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91637">
      <w:pPr>
        <w:adjustRightInd w:val="0"/>
        <w:snapToGrid w:val="0"/>
        <w:spacing w:line="360" w:lineRule="auto"/>
        <w:jc w:val="center"/>
        <w:rPr>
          <w:rFonts w:ascii="华文中宋" w:hAnsi="华文中宋" w:eastAsia="华文中宋"/>
          <w:b/>
          <w:snapToGrid w:val="0"/>
          <w:color w:val="auto"/>
          <w:spacing w:val="-20"/>
          <w:kern w:val="0"/>
          <w:sz w:val="52"/>
          <w:szCs w:val="52"/>
          <w:highlight w:val="none"/>
        </w:rPr>
      </w:pPr>
    </w:p>
    <w:p w14:paraId="1CBDF337">
      <w:pPr>
        <w:spacing w:line="360" w:lineRule="auto"/>
        <w:jc w:val="center"/>
        <w:rPr>
          <w:b/>
          <w:bCs/>
          <w:color w:val="auto"/>
          <w:sz w:val="52"/>
          <w:szCs w:val="52"/>
          <w:highlight w:val="none"/>
        </w:rPr>
      </w:pPr>
      <w:r>
        <w:rPr>
          <w:rFonts w:hint="eastAsia"/>
          <w:b/>
          <w:bCs/>
          <w:color w:val="auto"/>
          <w:sz w:val="52"/>
          <w:szCs w:val="52"/>
          <w:highlight w:val="none"/>
        </w:rPr>
        <w:t>花果山产业小镇综合配套</w:t>
      </w:r>
    </w:p>
    <w:p w14:paraId="0B0CAEDA">
      <w:pPr>
        <w:spacing w:line="360" w:lineRule="auto"/>
        <w:jc w:val="center"/>
        <w:rPr>
          <w:b/>
          <w:bCs/>
          <w:color w:val="auto"/>
          <w:sz w:val="52"/>
          <w:szCs w:val="52"/>
          <w:highlight w:val="none"/>
        </w:rPr>
      </w:pPr>
      <w:r>
        <w:rPr>
          <w:rFonts w:hint="eastAsia"/>
          <w:b/>
          <w:bCs/>
          <w:color w:val="auto"/>
          <w:sz w:val="52"/>
          <w:szCs w:val="52"/>
          <w:highlight w:val="none"/>
        </w:rPr>
        <w:t>工程建设项目</w:t>
      </w:r>
    </w:p>
    <w:p w14:paraId="781B3D16">
      <w:pPr>
        <w:adjustRightInd w:val="0"/>
        <w:snapToGrid w:val="0"/>
        <w:spacing w:line="360" w:lineRule="auto"/>
        <w:jc w:val="center"/>
        <w:outlineLvl w:val="0"/>
        <w:rPr>
          <w:rFonts w:ascii="华文中宋" w:hAnsi="华文中宋" w:eastAsia="华文中宋"/>
          <w:b/>
          <w:snapToGrid w:val="0"/>
          <w:color w:val="auto"/>
          <w:spacing w:val="-20"/>
          <w:kern w:val="0"/>
          <w:sz w:val="84"/>
          <w:szCs w:val="84"/>
          <w:highlight w:val="none"/>
        </w:rPr>
      </w:pPr>
      <w:r>
        <w:rPr>
          <w:rFonts w:hint="eastAsia" w:ascii="华文中宋" w:hAnsi="华文中宋" w:eastAsia="华文中宋"/>
          <w:b/>
          <w:snapToGrid w:val="0"/>
          <w:color w:val="auto"/>
          <w:spacing w:val="-20"/>
          <w:kern w:val="0"/>
          <w:sz w:val="84"/>
          <w:szCs w:val="84"/>
          <w:highlight w:val="none"/>
        </w:rPr>
        <w:t>施工总承包合同</w:t>
      </w:r>
    </w:p>
    <w:p w14:paraId="21CECC43">
      <w:pPr>
        <w:adjustRightInd w:val="0"/>
        <w:snapToGrid w:val="0"/>
        <w:spacing w:line="360" w:lineRule="auto"/>
        <w:jc w:val="center"/>
        <w:rPr>
          <w:rFonts w:ascii="宋体" w:hAnsi="宋体"/>
          <w:b/>
          <w:snapToGrid w:val="0"/>
          <w:color w:val="auto"/>
          <w:kern w:val="0"/>
          <w:sz w:val="32"/>
          <w:szCs w:val="32"/>
          <w:highlight w:val="none"/>
        </w:rPr>
      </w:pPr>
      <w:r>
        <w:rPr>
          <w:rFonts w:hint="eastAsia" w:ascii="宋体" w:hAnsi="宋体"/>
          <w:b/>
          <w:snapToGrid w:val="0"/>
          <w:color w:val="auto"/>
          <w:kern w:val="0"/>
          <w:sz w:val="32"/>
          <w:szCs w:val="32"/>
          <w:highlight w:val="none"/>
        </w:rPr>
        <w:t>合同编号：</w:t>
      </w:r>
    </w:p>
    <w:p w14:paraId="4EEB81EE">
      <w:pPr>
        <w:adjustRightInd w:val="0"/>
        <w:snapToGrid w:val="0"/>
        <w:spacing w:line="360" w:lineRule="auto"/>
        <w:rPr>
          <w:rFonts w:ascii="宋体" w:hAnsi="宋体"/>
          <w:snapToGrid w:val="0"/>
          <w:color w:val="auto"/>
          <w:kern w:val="0"/>
          <w:sz w:val="24"/>
          <w:highlight w:val="none"/>
        </w:rPr>
      </w:pPr>
    </w:p>
    <w:p w14:paraId="5BBCEB95">
      <w:pPr>
        <w:adjustRightInd w:val="0"/>
        <w:snapToGrid w:val="0"/>
        <w:spacing w:line="360" w:lineRule="auto"/>
        <w:rPr>
          <w:rFonts w:ascii="宋体" w:hAnsi="宋体"/>
          <w:snapToGrid w:val="0"/>
          <w:color w:val="auto"/>
          <w:kern w:val="0"/>
          <w:sz w:val="24"/>
          <w:highlight w:val="none"/>
        </w:rPr>
      </w:pPr>
    </w:p>
    <w:p w14:paraId="4180DF35">
      <w:pPr>
        <w:adjustRightInd w:val="0"/>
        <w:snapToGrid w:val="0"/>
        <w:spacing w:line="360" w:lineRule="auto"/>
        <w:rPr>
          <w:rFonts w:ascii="宋体" w:hAnsi="宋体"/>
          <w:snapToGrid w:val="0"/>
          <w:color w:val="auto"/>
          <w:kern w:val="0"/>
          <w:sz w:val="24"/>
          <w:highlight w:val="none"/>
        </w:rPr>
      </w:pPr>
    </w:p>
    <w:p w14:paraId="2499B9B7">
      <w:pPr>
        <w:adjustRightInd w:val="0"/>
        <w:snapToGrid w:val="0"/>
        <w:spacing w:line="360" w:lineRule="auto"/>
        <w:rPr>
          <w:rFonts w:ascii="宋体" w:hAnsi="宋体"/>
          <w:snapToGrid w:val="0"/>
          <w:color w:val="auto"/>
          <w:kern w:val="0"/>
          <w:sz w:val="24"/>
          <w:highlight w:val="none"/>
        </w:rPr>
      </w:pPr>
    </w:p>
    <w:p w14:paraId="65F0FF37">
      <w:pPr>
        <w:adjustRightInd w:val="0"/>
        <w:snapToGrid w:val="0"/>
        <w:spacing w:line="360" w:lineRule="auto"/>
        <w:rPr>
          <w:rFonts w:ascii="宋体" w:hAnsi="宋体"/>
          <w:snapToGrid w:val="0"/>
          <w:color w:val="auto"/>
          <w:kern w:val="0"/>
          <w:sz w:val="24"/>
          <w:highlight w:val="none"/>
        </w:rPr>
      </w:pPr>
    </w:p>
    <w:p w14:paraId="2FED24CF">
      <w:pPr>
        <w:adjustRightInd w:val="0"/>
        <w:snapToGrid w:val="0"/>
        <w:spacing w:line="360" w:lineRule="auto"/>
        <w:rPr>
          <w:rFonts w:ascii="宋体" w:hAnsi="宋体"/>
          <w:snapToGrid w:val="0"/>
          <w:color w:val="auto"/>
          <w:kern w:val="0"/>
          <w:sz w:val="24"/>
          <w:highlight w:val="none"/>
        </w:rPr>
      </w:pPr>
    </w:p>
    <w:p w14:paraId="1B4A3B8D">
      <w:pPr>
        <w:adjustRightInd w:val="0"/>
        <w:snapToGrid w:val="0"/>
        <w:spacing w:line="360" w:lineRule="auto"/>
        <w:rPr>
          <w:rFonts w:ascii="宋体" w:hAnsi="宋体"/>
          <w:snapToGrid w:val="0"/>
          <w:color w:val="auto"/>
          <w:kern w:val="0"/>
          <w:sz w:val="24"/>
          <w:highlight w:val="none"/>
        </w:rPr>
      </w:pPr>
    </w:p>
    <w:p w14:paraId="6E7546CA">
      <w:pPr>
        <w:adjustRightInd w:val="0"/>
        <w:snapToGrid w:val="0"/>
        <w:spacing w:line="360" w:lineRule="auto"/>
        <w:rPr>
          <w:rFonts w:ascii="宋体" w:hAnsi="宋体"/>
          <w:snapToGrid w:val="0"/>
          <w:color w:val="auto"/>
          <w:kern w:val="0"/>
          <w:sz w:val="24"/>
          <w:highlight w:val="none"/>
        </w:rPr>
      </w:pPr>
    </w:p>
    <w:p w14:paraId="07355EEA">
      <w:pPr>
        <w:adjustRightInd w:val="0"/>
        <w:snapToGrid w:val="0"/>
        <w:spacing w:line="360" w:lineRule="auto"/>
        <w:rPr>
          <w:rFonts w:ascii="宋体" w:hAnsi="宋体"/>
          <w:snapToGrid w:val="0"/>
          <w:color w:val="auto"/>
          <w:kern w:val="0"/>
          <w:sz w:val="24"/>
          <w:highlight w:val="none"/>
        </w:rPr>
      </w:pPr>
    </w:p>
    <w:p w14:paraId="5BB1D874">
      <w:pPr>
        <w:adjustRightInd w:val="0"/>
        <w:snapToGrid w:val="0"/>
        <w:spacing w:line="360" w:lineRule="auto"/>
        <w:rPr>
          <w:rFonts w:ascii="宋体" w:hAnsi="宋体"/>
          <w:snapToGrid w:val="0"/>
          <w:color w:val="auto"/>
          <w:kern w:val="0"/>
          <w:sz w:val="24"/>
          <w:highlight w:val="none"/>
        </w:rPr>
      </w:pPr>
    </w:p>
    <w:p w14:paraId="54EA23BD">
      <w:pPr>
        <w:adjustRightInd w:val="0"/>
        <w:snapToGrid w:val="0"/>
        <w:spacing w:line="360" w:lineRule="auto"/>
        <w:ind w:firstLine="948" w:firstLineChars="295"/>
        <w:rPr>
          <w:rFonts w:ascii="宋体" w:hAnsi="宋体"/>
          <w:b/>
          <w:bCs/>
          <w:snapToGrid w:val="0"/>
          <w:color w:val="auto"/>
          <w:kern w:val="0"/>
          <w:sz w:val="32"/>
          <w:szCs w:val="32"/>
          <w:highlight w:val="none"/>
        </w:rPr>
      </w:pPr>
      <w:r>
        <w:rPr>
          <w:rFonts w:hint="eastAsia" w:ascii="宋体" w:hAnsi="宋体"/>
          <w:b/>
          <w:bCs/>
          <w:snapToGrid w:val="0"/>
          <w:color w:val="auto"/>
          <w:kern w:val="0"/>
          <w:sz w:val="32"/>
          <w:szCs w:val="32"/>
          <w:highlight w:val="none"/>
        </w:rPr>
        <w:t>发包人：广州市越秀区代建项目管理中心</w:t>
      </w:r>
    </w:p>
    <w:p w14:paraId="463FDB59">
      <w:pPr>
        <w:adjustRightInd w:val="0"/>
        <w:snapToGrid w:val="0"/>
        <w:spacing w:line="360" w:lineRule="auto"/>
        <w:ind w:firstLine="900" w:firstLineChars="280"/>
        <w:rPr>
          <w:rFonts w:ascii="宋体" w:hAnsi="宋体"/>
          <w:b/>
          <w:bCs/>
          <w:snapToGrid w:val="0"/>
          <w:color w:val="auto"/>
          <w:kern w:val="0"/>
          <w:sz w:val="32"/>
          <w:szCs w:val="32"/>
          <w:highlight w:val="none"/>
        </w:rPr>
      </w:pPr>
    </w:p>
    <w:p w14:paraId="362070C2">
      <w:pPr>
        <w:adjustRightInd w:val="0"/>
        <w:snapToGrid w:val="0"/>
        <w:spacing w:line="360" w:lineRule="auto"/>
        <w:ind w:firstLine="900" w:firstLineChars="280"/>
        <w:rPr>
          <w:rFonts w:ascii="宋体" w:hAnsi="宋体"/>
          <w:b/>
          <w:bCs/>
          <w:snapToGrid w:val="0"/>
          <w:color w:val="auto"/>
          <w:kern w:val="0"/>
          <w:sz w:val="32"/>
          <w:szCs w:val="32"/>
          <w:highlight w:val="none"/>
        </w:rPr>
      </w:pPr>
      <w:r>
        <w:rPr>
          <w:rFonts w:hint="eastAsia" w:ascii="宋体" w:hAnsi="宋体"/>
          <w:b/>
          <w:bCs/>
          <w:snapToGrid w:val="0"/>
          <w:color w:val="auto"/>
          <w:kern w:val="0"/>
          <w:sz w:val="32"/>
          <w:szCs w:val="32"/>
          <w:highlight w:val="none"/>
        </w:rPr>
        <w:t xml:space="preserve">承包人：   </w:t>
      </w:r>
    </w:p>
    <w:p w14:paraId="21645CBD">
      <w:pPr>
        <w:adjustRightInd w:val="0"/>
        <w:snapToGrid w:val="0"/>
        <w:spacing w:line="360" w:lineRule="auto"/>
        <w:rPr>
          <w:rFonts w:ascii="宋体" w:hAnsi="宋体"/>
          <w:snapToGrid w:val="0"/>
          <w:color w:val="auto"/>
          <w:kern w:val="0"/>
          <w:sz w:val="24"/>
          <w:highlight w:val="none"/>
        </w:rPr>
      </w:pPr>
    </w:p>
    <w:p w14:paraId="4F97A998">
      <w:pPr>
        <w:adjustRightInd w:val="0"/>
        <w:snapToGrid w:val="0"/>
        <w:spacing w:line="360" w:lineRule="auto"/>
        <w:rPr>
          <w:rFonts w:ascii="宋体" w:hAnsi="宋体"/>
          <w:b/>
          <w:snapToGrid w:val="0"/>
          <w:color w:val="auto"/>
          <w:kern w:val="0"/>
          <w:sz w:val="24"/>
          <w:highlight w:val="none"/>
        </w:rPr>
      </w:pPr>
      <w:r>
        <w:rPr>
          <w:rFonts w:ascii="宋体" w:hAnsi="宋体"/>
          <w:bCs/>
          <w:snapToGrid w:val="0"/>
          <w:color w:val="auto"/>
          <w:kern w:val="0"/>
          <w:sz w:val="24"/>
          <w:highlight w:val="none"/>
        </w:rPr>
        <w:br w:type="page"/>
      </w:r>
    </w:p>
    <w:p w14:paraId="4341FADB">
      <w:pPr>
        <w:adjustRightInd w:val="0"/>
        <w:snapToGrid w:val="0"/>
        <w:spacing w:line="360" w:lineRule="auto"/>
        <w:jc w:val="center"/>
        <w:outlineLvl w:val="0"/>
        <w:rPr>
          <w:rFonts w:ascii="宋体" w:hAnsi="宋体"/>
          <w:b/>
          <w:bCs/>
          <w:snapToGrid w:val="0"/>
          <w:color w:val="auto"/>
          <w:kern w:val="0"/>
          <w:sz w:val="44"/>
          <w:szCs w:val="44"/>
          <w:highlight w:val="none"/>
        </w:rPr>
      </w:pPr>
      <w:r>
        <w:rPr>
          <w:rFonts w:hint="eastAsia" w:ascii="宋体" w:hAnsi="宋体"/>
          <w:b/>
          <w:bCs/>
          <w:snapToGrid w:val="0"/>
          <w:color w:val="auto"/>
          <w:kern w:val="0"/>
          <w:sz w:val="44"/>
          <w:szCs w:val="44"/>
          <w:highlight w:val="none"/>
        </w:rPr>
        <w:t>目  录</w:t>
      </w:r>
    </w:p>
    <w:p w14:paraId="5F143DB9">
      <w:pPr>
        <w:adjustRightInd w:val="0"/>
        <w:snapToGrid w:val="0"/>
        <w:spacing w:line="360" w:lineRule="auto"/>
        <w:jc w:val="distribute"/>
        <w:rPr>
          <w:rFonts w:ascii="宋体" w:hAnsi="宋体"/>
          <w:bCs/>
          <w:snapToGrid w:val="0"/>
          <w:color w:val="auto"/>
          <w:kern w:val="0"/>
          <w:sz w:val="24"/>
          <w:highlight w:val="none"/>
        </w:rPr>
      </w:pPr>
      <w:r>
        <w:rPr>
          <w:rFonts w:hint="eastAsia" w:ascii="宋体" w:hAnsi="宋体"/>
          <w:b/>
          <w:bCs/>
          <w:snapToGrid w:val="0"/>
          <w:color w:val="auto"/>
          <w:kern w:val="0"/>
          <w:sz w:val="24"/>
          <w:highlight w:val="none"/>
        </w:rPr>
        <w:t>第一篇  合同协议书</w:t>
      </w:r>
      <w:r>
        <w:rPr>
          <w:rFonts w:hint="eastAsia" w:ascii="宋体" w:hAnsi="宋体"/>
          <w:bCs/>
          <w:snapToGrid w:val="0"/>
          <w:color w:val="auto"/>
          <w:kern w:val="0"/>
          <w:sz w:val="24"/>
          <w:highlight w:val="none"/>
        </w:rPr>
        <w:t>………………………………………………………………3</w:t>
      </w:r>
    </w:p>
    <w:p w14:paraId="116E8BE5">
      <w:pPr>
        <w:adjustRightInd w:val="0"/>
        <w:snapToGrid w:val="0"/>
        <w:spacing w:line="360" w:lineRule="auto"/>
        <w:jc w:val="distribute"/>
        <w:rPr>
          <w:rFonts w:ascii="宋体" w:hAnsi="宋体"/>
          <w:bCs/>
          <w:snapToGrid w:val="0"/>
          <w:color w:val="auto"/>
          <w:kern w:val="0"/>
          <w:sz w:val="24"/>
          <w:highlight w:val="none"/>
        </w:rPr>
      </w:pPr>
      <w:r>
        <w:rPr>
          <w:rFonts w:hint="eastAsia" w:ascii="宋体" w:hAnsi="宋体"/>
          <w:b/>
          <w:bCs/>
          <w:snapToGrid w:val="0"/>
          <w:color w:val="auto"/>
          <w:kern w:val="0"/>
          <w:sz w:val="24"/>
          <w:highlight w:val="none"/>
        </w:rPr>
        <w:t>第二篇  合同专用条款</w:t>
      </w:r>
      <w:r>
        <w:rPr>
          <w:rFonts w:hint="eastAsia" w:ascii="宋体" w:hAnsi="宋体"/>
          <w:bCs/>
          <w:snapToGrid w:val="0"/>
          <w:color w:val="auto"/>
          <w:kern w:val="0"/>
          <w:sz w:val="24"/>
          <w:highlight w:val="none"/>
        </w:rPr>
        <w:t>……………………………………………………………14</w:t>
      </w:r>
    </w:p>
    <w:p w14:paraId="4166452A">
      <w:pPr>
        <w:adjustRightInd w:val="0"/>
        <w:snapToGrid w:val="0"/>
        <w:spacing w:line="360" w:lineRule="auto"/>
        <w:ind w:firstLine="480" w:firstLineChars="200"/>
        <w:jc w:val="distribute"/>
        <w:rPr>
          <w:rFonts w:ascii="宋体" w:hAnsi="宋体"/>
          <w:bCs/>
          <w:snapToGrid w:val="0"/>
          <w:color w:val="auto"/>
          <w:kern w:val="0"/>
          <w:sz w:val="24"/>
          <w:highlight w:val="none"/>
        </w:rPr>
      </w:pPr>
      <w:r>
        <w:rPr>
          <w:rFonts w:hint="eastAsia" w:ascii="宋体" w:hAnsi="宋体"/>
          <w:bCs/>
          <w:snapToGrid w:val="0"/>
          <w:color w:val="auto"/>
          <w:kern w:val="0"/>
          <w:sz w:val="24"/>
          <w:highlight w:val="none"/>
        </w:rPr>
        <w:t>总则……………………………………………………………………………14</w:t>
      </w:r>
    </w:p>
    <w:p w14:paraId="7814D527">
      <w:pPr>
        <w:adjustRightInd w:val="0"/>
        <w:snapToGrid w:val="0"/>
        <w:spacing w:line="360" w:lineRule="auto"/>
        <w:ind w:firstLine="480" w:firstLineChars="200"/>
        <w:jc w:val="distribute"/>
        <w:rPr>
          <w:rFonts w:ascii="宋体" w:hAnsi="宋体"/>
          <w:bCs/>
          <w:snapToGrid w:val="0"/>
          <w:color w:val="auto"/>
          <w:kern w:val="0"/>
          <w:sz w:val="24"/>
          <w:highlight w:val="none"/>
        </w:rPr>
      </w:pPr>
      <w:r>
        <w:rPr>
          <w:rFonts w:hint="eastAsia" w:ascii="宋体" w:hAnsi="宋体"/>
          <w:bCs/>
          <w:snapToGrid w:val="0"/>
          <w:color w:val="auto"/>
          <w:kern w:val="0"/>
          <w:sz w:val="24"/>
          <w:highlight w:val="none"/>
        </w:rPr>
        <w:t>一、词语定义及合同文件………………………………………………………16</w:t>
      </w:r>
    </w:p>
    <w:p w14:paraId="1D603FF0">
      <w:pPr>
        <w:adjustRightInd w:val="0"/>
        <w:snapToGrid w:val="0"/>
        <w:spacing w:line="360" w:lineRule="auto"/>
        <w:ind w:firstLine="480" w:firstLineChars="200"/>
        <w:jc w:val="distribute"/>
        <w:rPr>
          <w:rFonts w:ascii="宋体" w:hAnsi="宋体"/>
          <w:bCs/>
          <w:snapToGrid w:val="0"/>
          <w:color w:val="auto"/>
          <w:kern w:val="0"/>
          <w:sz w:val="24"/>
          <w:highlight w:val="none"/>
        </w:rPr>
      </w:pPr>
      <w:r>
        <w:rPr>
          <w:rFonts w:hint="eastAsia" w:ascii="宋体" w:hAnsi="宋体"/>
          <w:bCs/>
          <w:snapToGrid w:val="0"/>
          <w:color w:val="auto"/>
          <w:kern w:val="0"/>
          <w:sz w:val="24"/>
          <w:highlight w:val="none"/>
        </w:rPr>
        <w:t>二、双方一般权利和义务………………………………………………………20</w:t>
      </w:r>
    </w:p>
    <w:p w14:paraId="2A695A1F">
      <w:pPr>
        <w:adjustRightInd w:val="0"/>
        <w:snapToGrid w:val="0"/>
        <w:spacing w:line="360" w:lineRule="auto"/>
        <w:ind w:firstLine="480" w:firstLineChars="200"/>
        <w:jc w:val="distribute"/>
        <w:rPr>
          <w:rFonts w:ascii="宋体" w:hAnsi="宋体"/>
          <w:bCs/>
          <w:snapToGrid w:val="0"/>
          <w:color w:val="auto"/>
          <w:kern w:val="0"/>
          <w:sz w:val="24"/>
          <w:highlight w:val="none"/>
        </w:rPr>
      </w:pPr>
      <w:r>
        <w:rPr>
          <w:rFonts w:hint="eastAsia" w:ascii="宋体" w:hAnsi="宋体"/>
          <w:bCs/>
          <w:snapToGrid w:val="0"/>
          <w:color w:val="auto"/>
          <w:kern w:val="0"/>
          <w:sz w:val="24"/>
          <w:highlight w:val="none"/>
        </w:rPr>
        <w:t>三、施工组织设计和工期………………………………………………………33</w:t>
      </w:r>
    </w:p>
    <w:p w14:paraId="67FD3892">
      <w:pPr>
        <w:adjustRightInd w:val="0"/>
        <w:snapToGrid w:val="0"/>
        <w:spacing w:line="360" w:lineRule="auto"/>
        <w:ind w:firstLine="480" w:firstLineChars="200"/>
        <w:jc w:val="distribute"/>
        <w:rPr>
          <w:rFonts w:ascii="宋体" w:hAnsi="宋体"/>
          <w:bCs/>
          <w:snapToGrid w:val="0"/>
          <w:color w:val="auto"/>
          <w:kern w:val="0"/>
          <w:sz w:val="24"/>
          <w:highlight w:val="none"/>
        </w:rPr>
      </w:pPr>
      <w:r>
        <w:rPr>
          <w:rFonts w:hint="eastAsia" w:ascii="宋体" w:hAnsi="宋体"/>
          <w:bCs/>
          <w:snapToGrid w:val="0"/>
          <w:color w:val="auto"/>
          <w:kern w:val="0"/>
          <w:sz w:val="24"/>
          <w:highlight w:val="none"/>
        </w:rPr>
        <w:t>四、质量与检验…………………………………………………………………38</w:t>
      </w:r>
    </w:p>
    <w:p w14:paraId="2F502B11">
      <w:pPr>
        <w:adjustRightInd w:val="0"/>
        <w:snapToGrid w:val="0"/>
        <w:spacing w:line="360" w:lineRule="auto"/>
        <w:ind w:firstLine="480" w:firstLineChars="200"/>
        <w:jc w:val="distribute"/>
        <w:rPr>
          <w:rFonts w:ascii="宋体" w:hAnsi="宋体"/>
          <w:bCs/>
          <w:snapToGrid w:val="0"/>
          <w:color w:val="auto"/>
          <w:kern w:val="0"/>
          <w:sz w:val="24"/>
          <w:highlight w:val="none"/>
        </w:rPr>
      </w:pPr>
      <w:r>
        <w:rPr>
          <w:rFonts w:hint="eastAsia" w:ascii="宋体" w:hAnsi="宋体"/>
          <w:bCs/>
          <w:snapToGrid w:val="0"/>
          <w:color w:val="auto"/>
          <w:kern w:val="0"/>
          <w:sz w:val="24"/>
          <w:highlight w:val="none"/>
        </w:rPr>
        <w:t>五、安全文明施工………………………………………………………………42</w:t>
      </w:r>
    </w:p>
    <w:p w14:paraId="53320DD5">
      <w:pPr>
        <w:adjustRightInd w:val="0"/>
        <w:snapToGrid w:val="0"/>
        <w:spacing w:line="360" w:lineRule="auto"/>
        <w:ind w:firstLine="480" w:firstLineChars="200"/>
        <w:jc w:val="distribute"/>
        <w:rPr>
          <w:rFonts w:ascii="宋体" w:hAnsi="宋体"/>
          <w:bCs/>
          <w:snapToGrid w:val="0"/>
          <w:color w:val="auto"/>
          <w:kern w:val="0"/>
          <w:sz w:val="24"/>
          <w:highlight w:val="none"/>
        </w:rPr>
      </w:pPr>
      <w:r>
        <w:rPr>
          <w:rFonts w:hint="eastAsia" w:ascii="宋体" w:hAnsi="宋体"/>
          <w:bCs/>
          <w:snapToGrid w:val="0"/>
          <w:color w:val="auto"/>
          <w:kern w:val="0"/>
          <w:sz w:val="24"/>
          <w:highlight w:val="none"/>
        </w:rPr>
        <w:t>六、合同价款与支付……………………………………………………………45</w:t>
      </w:r>
    </w:p>
    <w:p w14:paraId="2B9BB7B8">
      <w:pPr>
        <w:adjustRightInd w:val="0"/>
        <w:snapToGrid w:val="0"/>
        <w:spacing w:line="360" w:lineRule="auto"/>
        <w:ind w:firstLine="480" w:firstLineChars="200"/>
        <w:jc w:val="distribute"/>
        <w:rPr>
          <w:rFonts w:ascii="宋体" w:hAnsi="宋体"/>
          <w:bCs/>
          <w:snapToGrid w:val="0"/>
          <w:color w:val="auto"/>
          <w:kern w:val="0"/>
          <w:sz w:val="24"/>
          <w:highlight w:val="none"/>
        </w:rPr>
      </w:pPr>
      <w:r>
        <w:rPr>
          <w:rFonts w:hint="eastAsia" w:ascii="宋体" w:hAnsi="宋体"/>
          <w:bCs/>
          <w:snapToGrid w:val="0"/>
          <w:color w:val="auto"/>
          <w:kern w:val="0"/>
          <w:sz w:val="24"/>
          <w:highlight w:val="none"/>
        </w:rPr>
        <w:t>七、材料设备供应………………………………………………………………60</w:t>
      </w:r>
    </w:p>
    <w:p w14:paraId="18197AC7">
      <w:pPr>
        <w:adjustRightInd w:val="0"/>
        <w:snapToGrid w:val="0"/>
        <w:spacing w:line="360" w:lineRule="auto"/>
        <w:ind w:firstLine="480" w:firstLineChars="200"/>
        <w:jc w:val="distribute"/>
        <w:rPr>
          <w:rFonts w:ascii="宋体" w:hAnsi="宋体"/>
          <w:bCs/>
          <w:snapToGrid w:val="0"/>
          <w:color w:val="auto"/>
          <w:kern w:val="0"/>
          <w:sz w:val="24"/>
          <w:highlight w:val="none"/>
        </w:rPr>
      </w:pPr>
      <w:r>
        <w:rPr>
          <w:rFonts w:hint="eastAsia" w:ascii="宋体" w:hAnsi="宋体"/>
          <w:bCs/>
          <w:snapToGrid w:val="0"/>
          <w:color w:val="auto"/>
          <w:kern w:val="0"/>
          <w:sz w:val="24"/>
          <w:highlight w:val="none"/>
        </w:rPr>
        <w:t>八、工程变更……………………………………………………………………69</w:t>
      </w:r>
    </w:p>
    <w:p w14:paraId="7ACF19BA">
      <w:pPr>
        <w:adjustRightInd w:val="0"/>
        <w:snapToGrid w:val="0"/>
        <w:spacing w:line="360" w:lineRule="auto"/>
        <w:ind w:firstLine="480" w:firstLineChars="200"/>
        <w:jc w:val="distribute"/>
        <w:rPr>
          <w:rFonts w:ascii="宋体" w:hAnsi="宋体"/>
          <w:bCs/>
          <w:snapToGrid w:val="0"/>
          <w:color w:val="auto"/>
          <w:kern w:val="0"/>
          <w:sz w:val="24"/>
          <w:highlight w:val="none"/>
        </w:rPr>
      </w:pPr>
      <w:r>
        <w:rPr>
          <w:rFonts w:hint="eastAsia" w:ascii="宋体" w:hAnsi="宋体"/>
          <w:bCs/>
          <w:snapToGrid w:val="0"/>
          <w:color w:val="auto"/>
          <w:kern w:val="0"/>
          <w:sz w:val="24"/>
          <w:highlight w:val="none"/>
        </w:rPr>
        <w:t>九、竣工验收与结算……………………………………………………………87</w:t>
      </w:r>
    </w:p>
    <w:p w14:paraId="322BC9BA">
      <w:pPr>
        <w:adjustRightInd w:val="0"/>
        <w:snapToGrid w:val="0"/>
        <w:spacing w:line="360" w:lineRule="auto"/>
        <w:ind w:firstLine="480" w:firstLineChars="200"/>
        <w:jc w:val="distribute"/>
        <w:rPr>
          <w:rFonts w:ascii="宋体" w:hAnsi="宋体"/>
          <w:bCs/>
          <w:snapToGrid w:val="0"/>
          <w:color w:val="auto"/>
          <w:kern w:val="0"/>
          <w:sz w:val="24"/>
          <w:highlight w:val="none"/>
        </w:rPr>
      </w:pPr>
      <w:r>
        <w:rPr>
          <w:rFonts w:hint="eastAsia" w:ascii="宋体" w:hAnsi="宋体"/>
          <w:bCs/>
          <w:snapToGrid w:val="0"/>
          <w:color w:val="auto"/>
          <w:kern w:val="0"/>
          <w:sz w:val="24"/>
          <w:highlight w:val="none"/>
        </w:rPr>
        <w:t>十、违约、索赔和争议…………………………………………………………95</w:t>
      </w:r>
    </w:p>
    <w:p w14:paraId="12310460">
      <w:pPr>
        <w:adjustRightInd w:val="0"/>
        <w:snapToGrid w:val="0"/>
        <w:spacing w:line="360" w:lineRule="auto"/>
        <w:ind w:firstLine="480" w:firstLineChars="200"/>
        <w:jc w:val="distribute"/>
        <w:rPr>
          <w:rFonts w:ascii="宋体" w:hAnsi="宋体"/>
          <w:bCs/>
          <w:snapToGrid w:val="0"/>
          <w:color w:val="auto"/>
          <w:kern w:val="0"/>
          <w:sz w:val="24"/>
          <w:highlight w:val="none"/>
        </w:rPr>
      </w:pPr>
      <w:r>
        <w:rPr>
          <w:rFonts w:hint="eastAsia" w:ascii="宋体" w:hAnsi="宋体"/>
          <w:bCs/>
          <w:snapToGrid w:val="0"/>
          <w:color w:val="auto"/>
          <w:kern w:val="0"/>
          <w:sz w:val="24"/>
          <w:highlight w:val="none"/>
        </w:rPr>
        <w:t>十一、其他……………………………………………………………………105</w:t>
      </w:r>
    </w:p>
    <w:p w14:paraId="45E3A85E">
      <w:pPr>
        <w:adjustRightInd w:val="0"/>
        <w:snapToGrid w:val="0"/>
        <w:spacing w:line="360" w:lineRule="auto"/>
        <w:jc w:val="distribute"/>
        <w:rPr>
          <w:rFonts w:ascii="宋体" w:hAnsi="宋体"/>
          <w:bCs/>
          <w:snapToGrid w:val="0"/>
          <w:color w:val="auto"/>
          <w:kern w:val="0"/>
          <w:sz w:val="24"/>
          <w:highlight w:val="none"/>
        </w:rPr>
      </w:pPr>
      <w:r>
        <w:rPr>
          <w:rFonts w:hint="eastAsia" w:ascii="宋体" w:hAnsi="宋体"/>
          <w:b/>
          <w:bCs/>
          <w:snapToGrid w:val="0"/>
          <w:color w:val="auto"/>
          <w:kern w:val="0"/>
          <w:sz w:val="24"/>
          <w:highlight w:val="none"/>
        </w:rPr>
        <w:t>第三篇  合同通用条款</w:t>
      </w:r>
      <w:r>
        <w:rPr>
          <w:rFonts w:hint="eastAsia" w:ascii="宋体" w:hAnsi="宋体"/>
          <w:bCs/>
          <w:snapToGrid w:val="0"/>
          <w:color w:val="auto"/>
          <w:kern w:val="0"/>
          <w:sz w:val="24"/>
          <w:highlight w:val="none"/>
        </w:rPr>
        <w:t>……………………………………………………………113</w:t>
      </w:r>
    </w:p>
    <w:p w14:paraId="13E24461">
      <w:pPr>
        <w:adjustRightInd w:val="0"/>
        <w:snapToGrid w:val="0"/>
        <w:spacing w:line="360" w:lineRule="auto"/>
        <w:jc w:val="distribute"/>
        <w:rPr>
          <w:rFonts w:ascii="宋体" w:hAnsi="宋体"/>
          <w:bCs/>
          <w:snapToGrid w:val="0"/>
          <w:color w:val="auto"/>
          <w:kern w:val="0"/>
          <w:sz w:val="24"/>
          <w:highlight w:val="none"/>
        </w:rPr>
      </w:pPr>
      <w:r>
        <w:rPr>
          <w:rFonts w:hint="eastAsia" w:ascii="宋体" w:hAnsi="宋体"/>
          <w:b/>
          <w:bCs/>
          <w:snapToGrid w:val="0"/>
          <w:color w:val="auto"/>
          <w:kern w:val="0"/>
          <w:sz w:val="24"/>
          <w:highlight w:val="none"/>
        </w:rPr>
        <w:t>第四篇  合同附件</w:t>
      </w:r>
      <w:r>
        <w:rPr>
          <w:rFonts w:hint="eastAsia" w:ascii="宋体" w:hAnsi="宋体"/>
          <w:bCs/>
          <w:snapToGrid w:val="0"/>
          <w:color w:val="auto"/>
          <w:kern w:val="0"/>
          <w:sz w:val="24"/>
          <w:highlight w:val="none"/>
        </w:rPr>
        <w:t>…………………………………………………………………137</w:t>
      </w:r>
    </w:p>
    <w:p w14:paraId="300DBD7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附件</w:t>
      </w:r>
      <w:r>
        <w:rPr>
          <w:rFonts w:ascii="宋体" w:hAnsi="宋体"/>
          <w:snapToGrid w:val="0"/>
          <w:color w:val="auto"/>
          <w:kern w:val="0"/>
          <w:sz w:val="24"/>
          <w:highlight w:val="none"/>
        </w:rPr>
        <w:t>1：工程质量保修书</w:t>
      </w:r>
    </w:p>
    <w:p w14:paraId="40DFD9F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附件</w:t>
      </w:r>
      <w:r>
        <w:rPr>
          <w:rFonts w:ascii="宋体" w:hAnsi="宋体"/>
          <w:snapToGrid w:val="0"/>
          <w:color w:val="auto"/>
          <w:kern w:val="0"/>
          <w:sz w:val="24"/>
          <w:highlight w:val="none"/>
        </w:rPr>
        <w:t>2：工程建设廉洁协议书</w:t>
      </w:r>
    </w:p>
    <w:p w14:paraId="06456CBC">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附件</w:t>
      </w:r>
      <w:r>
        <w:rPr>
          <w:rFonts w:ascii="宋体" w:hAnsi="宋体"/>
          <w:snapToGrid w:val="0"/>
          <w:color w:val="auto"/>
          <w:kern w:val="0"/>
          <w:sz w:val="24"/>
          <w:highlight w:val="none"/>
        </w:rPr>
        <w:t>3：安全生产合同</w:t>
      </w:r>
    </w:p>
    <w:p w14:paraId="594AA35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附件</w:t>
      </w:r>
      <w:r>
        <w:rPr>
          <w:rFonts w:ascii="宋体" w:hAnsi="宋体"/>
          <w:snapToGrid w:val="0"/>
          <w:color w:val="auto"/>
          <w:kern w:val="0"/>
          <w:sz w:val="24"/>
          <w:highlight w:val="none"/>
        </w:rPr>
        <w:t>4：工程建设资金拨付管理办法及实施细则</w:t>
      </w:r>
    </w:p>
    <w:p w14:paraId="3ADF526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附件</w:t>
      </w:r>
      <w:r>
        <w:rPr>
          <w:rFonts w:ascii="宋体" w:hAnsi="宋体"/>
          <w:snapToGrid w:val="0"/>
          <w:color w:val="auto"/>
          <w:kern w:val="0"/>
          <w:sz w:val="24"/>
          <w:highlight w:val="none"/>
        </w:rPr>
        <w:t>5：</w:t>
      </w:r>
      <w:r>
        <w:rPr>
          <w:rFonts w:hint="eastAsia" w:ascii="宋体" w:hAnsi="宋体"/>
          <w:snapToGrid w:val="0"/>
          <w:color w:val="auto"/>
          <w:kern w:val="0"/>
          <w:sz w:val="24"/>
          <w:highlight w:val="none"/>
        </w:rPr>
        <w:t>花果山产业小镇综合配套工程建设项目</w:t>
      </w:r>
      <w:r>
        <w:rPr>
          <w:rFonts w:ascii="宋体" w:hAnsi="宋体"/>
          <w:snapToGrid w:val="0"/>
          <w:color w:val="auto"/>
          <w:kern w:val="0"/>
          <w:sz w:val="24"/>
          <w:highlight w:val="none"/>
        </w:rPr>
        <w:t>结算工作协议书（格式）</w:t>
      </w:r>
    </w:p>
    <w:p w14:paraId="3CBFA2DA">
      <w:pPr>
        <w:adjustRightInd w:val="0"/>
        <w:snapToGrid w:val="0"/>
        <w:spacing w:line="360" w:lineRule="auto"/>
        <w:ind w:firstLine="480" w:firstLineChars="200"/>
        <w:rPr>
          <w:color w:val="auto"/>
          <w:kern w:val="0"/>
          <w:sz w:val="24"/>
          <w:highlight w:val="none"/>
        </w:rPr>
      </w:pPr>
      <w:r>
        <w:rPr>
          <w:rFonts w:hint="eastAsia" w:ascii="宋体" w:hAnsi="宋体"/>
          <w:snapToGrid w:val="0"/>
          <w:color w:val="auto"/>
          <w:kern w:val="0"/>
          <w:sz w:val="24"/>
          <w:highlight w:val="none"/>
        </w:rPr>
        <w:t>附件</w:t>
      </w:r>
      <w:r>
        <w:rPr>
          <w:rFonts w:ascii="宋体" w:hAnsi="宋体"/>
          <w:snapToGrid w:val="0"/>
          <w:color w:val="auto"/>
          <w:kern w:val="0"/>
          <w:sz w:val="24"/>
          <w:highlight w:val="none"/>
        </w:rPr>
        <w:t xml:space="preserve">6： </w:t>
      </w:r>
      <w:r>
        <w:rPr>
          <w:rFonts w:hint="eastAsia" w:ascii="宋体" w:hAnsi="宋体"/>
          <w:bCs/>
          <w:snapToGrid w:val="0"/>
          <w:color w:val="auto"/>
          <w:kern w:val="0"/>
          <w:sz w:val="24"/>
          <w:highlight w:val="none"/>
        </w:rPr>
        <w:t>使用维护管理责任主体转移三方协议</w:t>
      </w:r>
      <w:r>
        <w:rPr>
          <w:rFonts w:hint="eastAsia" w:ascii="宋体" w:hAnsi="宋体"/>
          <w:snapToGrid w:val="0"/>
          <w:color w:val="auto"/>
          <w:kern w:val="0"/>
          <w:sz w:val="24"/>
          <w:highlight w:val="none"/>
        </w:rPr>
        <w:t>（格式）</w:t>
      </w:r>
    </w:p>
    <w:p w14:paraId="74E33B0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附件</w:t>
      </w:r>
      <w:r>
        <w:rPr>
          <w:rFonts w:ascii="宋体" w:hAnsi="宋体"/>
          <w:snapToGrid w:val="0"/>
          <w:color w:val="auto"/>
          <w:kern w:val="0"/>
          <w:sz w:val="24"/>
          <w:highlight w:val="none"/>
        </w:rPr>
        <w:t>7：承包人履约银行保函及承诺书（格式）</w:t>
      </w:r>
    </w:p>
    <w:p w14:paraId="7C01999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附件</w:t>
      </w:r>
      <w:r>
        <w:rPr>
          <w:rFonts w:ascii="宋体" w:hAnsi="宋体"/>
          <w:snapToGrid w:val="0"/>
          <w:color w:val="auto"/>
          <w:kern w:val="0"/>
          <w:sz w:val="24"/>
          <w:highlight w:val="none"/>
        </w:rPr>
        <w:t>8： 项目结算资金监督管理协议</w:t>
      </w:r>
      <w:r>
        <w:rPr>
          <w:rFonts w:hint="eastAsia" w:ascii="宋体" w:hAnsi="宋体"/>
          <w:snapToGrid w:val="0"/>
          <w:color w:val="auto"/>
          <w:kern w:val="0"/>
          <w:sz w:val="24"/>
          <w:highlight w:val="none"/>
        </w:rPr>
        <w:t>及授权书（格式）</w:t>
      </w:r>
    </w:p>
    <w:p w14:paraId="18BE06ED">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附件9</w:t>
      </w:r>
      <w:r>
        <w:rPr>
          <w:rFonts w:ascii="宋体" w:hAnsi="宋体"/>
          <w:bCs/>
          <w:snapToGrid w:val="0"/>
          <w:color w:val="auto"/>
          <w:kern w:val="0"/>
          <w:sz w:val="24"/>
          <w:highlight w:val="none"/>
        </w:rPr>
        <w:t xml:space="preserve">： </w:t>
      </w:r>
      <w:r>
        <w:rPr>
          <w:rFonts w:hint="eastAsia" w:ascii="宋体" w:hAnsi="宋体"/>
          <w:bCs/>
          <w:snapToGrid w:val="0"/>
          <w:color w:val="auto"/>
          <w:kern w:val="0"/>
          <w:sz w:val="24"/>
          <w:highlight w:val="none"/>
        </w:rPr>
        <w:t>施工单位安全生产管理目标责任书</w:t>
      </w:r>
    </w:p>
    <w:p w14:paraId="60354FC0">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附件</w:t>
      </w:r>
      <w:r>
        <w:rPr>
          <w:rFonts w:ascii="宋体" w:hAnsi="宋体"/>
          <w:bCs/>
          <w:snapToGrid w:val="0"/>
          <w:color w:val="auto"/>
          <w:kern w:val="0"/>
          <w:sz w:val="24"/>
          <w:highlight w:val="none"/>
        </w:rPr>
        <w:t>1</w:t>
      </w:r>
      <w:r>
        <w:rPr>
          <w:rFonts w:hint="eastAsia" w:ascii="宋体" w:hAnsi="宋体"/>
          <w:bCs/>
          <w:snapToGrid w:val="0"/>
          <w:color w:val="auto"/>
          <w:kern w:val="0"/>
          <w:sz w:val="24"/>
          <w:highlight w:val="none"/>
        </w:rPr>
        <w:t>0</w:t>
      </w:r>
      <w:r>
        <w:rPr>
          <w:rFonts w:ascii="宋体" w:hAnsi="宋体"/>
          <w:bCs/>
          <w:snapToGrid w:val="0"/>
          <w:color w:val="auto"/>
          <w:kern w:val="0"/>
          <w:sz w:val="24"/>
          <w:highlight w:val="none"/>
        </w:rPr>
        <w:t>：</w:t>
      </w:r>
      <w:r>
        <w:rPr>
          <w:rFonts w:hint="eastAsia" w:ascii="宋体" w:hAnsi="宋体"/>
          <w:snapToGrid w:val="0"/>
          <w:color w:val="auto"/>
          <w:kern w:val="0"/>
          <w:sz w:val="24"/>
          <w:highlight w:val="none"/>
        </w:rPr>
        <w:t>花果山产业小镇综合配套工程建设项目</w:t>
      </w:r>
      <w:r>
        <w:rPr>
          <w:rFonts w:ascii="宋体" w:hAnsi="宋体"/>
          <w:bCs/>
          <w:snapToGrid w:val="0"/>
          <w:color w:val="auto"/>
          <w:kern w:val="0"/>
          <w:sz w:val="24"/>
          <w:highlight w:val="none"/>
        </w:rPr>
        <w:t>工人工资支付分账管理</w:t>
      </w:r>
      <w:r>
        <w:rPr>
          <w:rFonts w:hint="eastAsia" w:ascii="宋体" w:hAnsi="宋体"/>
          <w:bCs/>
          <w:snapToGrid w:val="0"/>
          <w:color w:val="auto"/>
          <w:kern w:val="0"/>
          <w:sz w:val="24"/>
          <w:highlight w:val="none"/>
        </w:rPr>
        <w:t>协议书（格式）</w:t>
      </w:r>
    </w:p>
    <w:p w14:paraId="71793375">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附件</w:t>
      </w:r>
      <w:r>
        <w:rPr>
          <w:rFonts w:ascii="宋体" w:hAnsi="宋体"/>
          <w:bCs/>
          <w:snapToGrid w:val="0"/>
          <w:color w:val="auto"/>
          <w:kern w:val="0"/>
          <w:sz w:val="24"/>
          <w:highlight w:val="none"/>
        </w:rPr>
        <w:t>1</w:t>
      </w:r>
      <w:r>
        <w:rPr>
          <w:rFonts w:hint="eastAsia" w:ascii="宋体" w:hAnsi="宋体"/>
          <w:bCs/>
          <w:snapToGrid w:val="0"/>
          <w:color w:val="auto"/>
          <w:kern w:val="0"/>
          <w:sz w:val="24"/>
          <w:highlight w:val="none"/>
        </w:rPr>
        <w:t>1</w:t>
      </w:r>
      <w:r>
        <w:rPr>
          <w:rFonts w:ascii="宋体" w:hAnsi="宋体"/>
          <w:bCs/>
          <w:snapToGrid w:val="0"/>
          <w:color w:val="auto"/>
          <w:kern w:val="0"/>
          <w:sz w:val="24"/>
          <w:highlight w:val="none"/>
        </w:rPr>
        <w:t>：承包人法定代表人、本工程指挥长、项目经理（项目负责人）的身份证、职务、职称及通信联系方式</w:t>
      </w:r>
    </w:p>
    <w:p w14:paraId="0E288FBC">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附件</w:t>
      </w:r>
      <w:r>
        <w:rPr>
          <w:rFonts w:ascii="宋体" w:hAnsi="宋体"/>
          <w:bCs/>
          <w:snapToGrid w:val="0"/>
          <w:color w:val="auto"/>
          <w:kern w:val="0"/>
          <w:sz w:val="24"/>
          <w:highlight w:val="none"/>
        </w:rPr>
        <w:t>1</w:t>
      </w:r>
      <w:r>
        <w:rPr>
          <w:rFonts w:hint="eastAsia" w:ascii="宋体" w:hAnsi="宋体"/>
          <w:bCs/>
          <w:snapToGrid w:val="0"/>
          <w:color w:val="auto"/>
          <w:kern w:val="0"/>
          <w:sz w:val="24"/>
          <w:highlight w:val="none"/>
        </w:rPr>
        <w:t>2</w:t>
      </w:r>
      <w:r>
        <w:rPr>
          <w:rFonts w:ascii="宋体" w:hAnsi="宋体"/>
          <w:bCs/>
          <w:snapToGrid w:val="0"/>
          <w:color w:val="auto"/>
          <w:kern w:val="0"/>
          <w:sz w:val="24"/>
          <w:highlight w:val="none"/>
        </w:rPr>
        <w:t>：中标通知书（复印件，</w:t>
      </w:r>
      <w:r>
        <w:rPr>
          <w:rFonts w:hint="eastAsia" w:ascii="宋体" w:hAnsi="宋体"/>
          <w:bCs/>
          <w:snapToGrid w:val="0"/>
          <w:color w:val="auto"/>
          <w:kern w:val="0"/>
          <w:sz w:val="24"/>
          <w:highlight w:val="none"/>
        </w:rPr>
        <w:t>见合同协议书）</w:t>
      </w:r>
    </w:p>
    <w:p w14:paraId="03BBED84">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附件</w:t>
      </w:r>
      <w:r>
        <w:rPr>
          <w:rFonts w:ascii="宋体" w:hAnsi="宋体"/>
          <w:bCs/>
          <w:snapToGrid w:val="0"/>
          <w:color w:val="auto"/>
          <w:kern w:val="0"/>
          <w:sz w:val="24"/>
          <w:highlight w:val="none"/>
        </w:rPr>
        <w:t>1</w:t>
      </w:r>
      <w:r>
        <w:rPr>
          <w:rFonts w:hint="eastAsia" w:ascii="宋体" w:hAnsi="宋体"/>
          <w:bCs/>
          <w:snapToGrid w:val="0"/>
          <w:color w:val="auto"/>
          <w:kern w:val="0"/>
          <w:sz w:val="24"/>
          <w:highlight w:val="none"/>
        </w:rPr>
        <w:t>3</w:t>
      </w:r>
      <w:r>
        <w:rPr>
          <w:rFonts w:ascii="宋体" w:hAnsi="宋体"/>
          <w:bCs/>
          <w:snapToGrid w:val="0"/>
          <w:color w:val="auto"/>
          <w:kern w:val="0"/>
          <w:sz w:val="24"/>
          <w:highlight w:val="none"/>
        </w:rPr>
        <w:t>：工程质量终身责任承诺书（含法定代表人授权书）</w:t>
      </w:r>
    </w:p>
    <w:p w14:paraId="4E863B01">
      <w:pPr>
        <w:adjustRightInd w:val="0"/>
        <w:snapToGrid w:val="0"/>
        <w:spacing w:line="360" w:lineRule="auto"/>
        <w:ind w:firstLine="480" w:firstLineChars="200"/>
        <w:rPr>
          <w:rFonts w:ascii="宋体" w:hAnsi="宋体"/>
          <w:bCs/>
          <w:snapToGrid w:val="0"/>
          <w:color w:val="auto"/>
          <w:kern w:val="0"/>
          <w:sz w:val="24"/>
          <w:highlight w:val="none"/>
          <w:u w:val="single"/>
        </w:rPr>
      </w:pPr>
      <w:r>
        <w:rPr>
          <w:rFonts w:hint="eastAsia" w:ascii="宋体" w:hAnsi="宋体"/>
          <w:bCs/>
          <w:snapToGrid w:val="0"/>
          <w:color w:val="auto"/>
          <w:kern w:val="0"/>
          <w:sz w:val="24"/>
          <w:highlight w:val="none"/>
        </w:rPr>
        <w:t>附件</w:t>
      </w:r>
      <w:r>
        <w:rPr>
          <w:rFonts w:ascii="宋体" w:hAnsi="宋体"/>
          <w:bCs/>
          <w:snapToGrid w:val="0"/>
          <w:color w:val="auto"/>
          <w:kern w:val="0"/>
          <w:sz w:val="24"/>
          <w:highlight w:val="none"/>
        </w:rPr>
        <w:t>1</w:t>
      </w:r>
      <w:r>
        <w:rPr>
          <w:rFonts w:hint="eastAsia" w:ascii="宋体" w:hAnsi="宋体"/>
          <w:bCs/>
          <w:snapToGrid w:val="0"/>
          <w:color w:val="auto"/>
          <w:kern w:val="0"/>
          <w:sz w:val="24"/>
          <w:highlight w:val="none"/>
        </w:rPr>
        <w:t>4</w:t>
      </w:r>
      <w:r>
        <w:rPr>
          <w:rFonts w:ascii="宋体" w:hAnsi="宋体"/>
          <w:bCs/>
          <w:snapToGrid w:val="0"/>
          <w:color w:val="auto"/>
          <w:kern w:val="0"/>
          <w:sz w:val="24"/>
          <w:highlight w:val="none"/>
        </w:rPr>
        <w:t>：</w:t>
      </w:r>
      <w:r>
        <w:rPr>
          <w:rFonts w:hint="eastAsia" w:ascii="宋体" w:hAnsi="宋体"/>
          <w:snapToGrid w:val="0"/>
          <w:color w:val="auto"/>
          <w:kern w:val="0"/>
          <w:sz w:val="24"/>
          <w:highlight w:val="none"/>
        </w:rPr>
        <w:t>花果山产业小镇综合配套工程建设项目</w:t>
      </w:r>
      <w:r>
        <w:rPr>
          <w:rFonts w:hint="eastAsia" w:ascii="宋体" w:hAnsi="宋体"/>
          <w:color w:val="auto"/>
          <w:sz w:val="24"/>
          <w:szCs w:val="24"/>
          <w:highlight w:val="none"/>
        </w:rPr>
        <w:t>突发事件应急协议</w:t>
      </w:r>
    </w:p>
    <w:p w14:paraId="26DE219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color w:val="auto"/>
          <w:sz w:val="24"/>
          <w:szCs w:val="24"/>
          <w:highlight w:val="none"/>
        </w:rPr>
        <w:t>附件</w:t>
      </w:r>
      <w:r>
        <w:rPr>
          <w:rFonts w:ascii="宋体" w:hAnsi="宋体"/>
          <w:color w:val="auto"/>
          <w:sz w:val="24"/>
          <w:szCs w:val="24"/>
          <w:highlight w:val="none"/>
        </w:rPr>
        <w:t>1</w:t>
      </w:r>
      <w:r>
        <w:rPr>
          <w:rFonts w:hint="eastAsia" w:ascii="宋体" w:hAnsi="宋体"/>
          <w:color w:val="auto"/>
          <w:sz w:val="24"/>
          <w:szCs w:val="24"/>
          <w:highlight w:val="none"/>
        </w:rPr>
        <w:t>5</w:t>
      </w:r>
      <w:r>
        <w:rPr>
          <w:rFonts w:hint="eastAsia" w:ascii="宋体" w:hAnsi="宋体"/>
          <w:snapToGrid w:val="0"/>
          <w:color w:val="auto"/>
          <w:kern w:val="0"/>
          <w:sz w:val="24"/>
          <w:highlight w:val="none"/>
        </w:rPr>
        <w:t>：花果山产业小镇综合配套工程建设项目管理协议书（格式）</w:t>
      </w:r>
    </w:p>
    <w:p w14:paraId="1ADC53B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附件</w:t>
      </w:r>
      <w:r>
        <w:rPr>
          <w:rFonts w:ascii="宋体" w:hAnsi="宋体"/>
          <w:snapToGrid w:val="0"/>
          <w:color w:val="auto"/>
          <w:kern w:val="0"/>
          <w:sz w:val="24"/>
          <w:highlight w:val="none"/>
        </w:rPr>
        <w:t>1</w:t>
      </w:r>
      <w:r>
        <w:rPr>
          <w:rFonts w:hint="eastAsia" w:ascii="宋体" w:hAnsi="宋体"/>
          <w:snapToGrid w:val="0"/>
          <w:color w:val="auto"/>
          <w:kern w:val="0"/>
          <w:sz w:val="24"/>
          <w:highlight w:val="none"/>
        </w:rPr>
        <w:t>6</w:t>
      </w:r>
      <w:r>
        <w:rPr>
          <w:rFonts w:ascii="宋体" w:hAnsi="宋体"/>
          <w:snapToGrid w:val="0"/>
          <w:color w:val="auto"/>
          <w:kern w:val="0"/>
          <w:sz w:val="24"/>
          <w:highlight w:val="none"/>
        </w:rPr>
        <w:t>：</w:t>
      </w:r>
      <w:r>
        <w:rPr>
          <w:rFonts w:hint="eastAsia" w:ascii="宋体" w:hAnsi="宋体"/>
          <w:snapToGrid w:val="0"/>
          <w:color w:val="auto"/>
          <w:kern w:val="0"/>
          <w:sz w:val="24"/>
          <w:highlight w:val="none"/>
        </w:rPr>
        <w:t>花果山产业小镇综合配套工程建设项目</w:t>
      </w:r>
      <w:r>
        <w:rPr>
          <w:rFonts w:ascii="宋体" w:hAnsi="宋体"/>
          <w:snapToGrid w:val="0"/>
          <w:color w:val="auto"/>
          <w:kern w:val="0"/>
          <w:sz w:val="24"/>
          <w:highlight w:val="none"/>
        </w:rPr>
        <w:t>施工组织架构图及投入主要人员汇总表</w:t>
      </w:r>
    </w:p>
    <w:p w14:paraId="6376B64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附件17</w:t>
      </w:r>
      <w:r>
        <w:rPr>
          <w:rFonts w:ascii="宋体" w:hAnsi="宋体"/>
          <w:snapToGrid w:val="0"/>
          <w:color w:val="auto"/>
          <w:kern w:val="0"/>
          <w:sz w:val="24"/>
          <w:highlight w:val="none"/>
        </w:rPr>
        <w:t>：</w:t>
      </w:r>
      <w:r>
        <w:rPr>
          <w:rFonts w:hint="eastAsia" w:ascii="宋体" w:hAnsi="宋体"/>
          <w:snapToGrid w:val="0"/>
          <w:color w:val="auto"/>
          <w:kern w:val="0"/>
          <w:sz w:val="24"/>
          <w:highlight w:val="none"/>
        </w:rPr>
        <w:t>花果山产业小镇综合配套工程建设项目</w:t>
      </w:r>
      <w:r>
        <w:rPr>
          <w:rFonts w:ascii="宋体" w:hAnsi="宋体"/>
          <w:snapToGrid w:val="0"/>
          <w:color w:val="auto"/>
          <w:kern w:val="0"/>
          <w:sz w:val="24"/>
          <w:highlight w:val="none"/>
        </w:rPr>
        <w:t>施工合同履约行为管理约定</w:t>
      </w:r>
    </w:p>
    <w:p w14:paraId="7E38754B">
      <w:pPr>
        <w:pStyle w:val="5"/>
        <w:rPr>
          <w:color w:val="auto"/>
          <w:highlight w:val="none"/>
        </w:rPr>
      </w:pPr>
      <w:r>
        <w:rPr>
          <w:rFonts w:hint="eastAsia" w:ascii="宋体" w:hAnsi="宋体"/>
          <w:snapToGrid w:val="0"/>
          <w:color w:val="auto"/>
          <w:kern w:val="0"/>
          <w:sz w:val="24"/>
          <w:highlight w:val="none"/>
        </w:rPr>
        <w:t>附件18</w:t>
      </w:r>
      <w:r>
        <w:rPr>
          <w:rFonts w:ascii="宋体" w:hAnsi="宋体"/>
          <w:snapToGrid w:val="0"/>
          <w:color w:val="auto"/>
          <w:kern w:val="0"/>
          <w:sz w:val="24"/>
          <w:highlight w:val="none"/>
        </w:rPr>
        <w:t>：</w:t>
      </w:r>
      <w:r>
        <w:rPr>
          <w:rFonts w:hint="eastAsia" w:ascii="宋体" w:hAnsi="宋体"/>
          <w:snapToGrid w:val="0"/>
          <w:color w:val="auto"/>
          <w:kern w:val="0"/>
          <w:sz w:val="24"/>
          <w:highlight w:val="none"/>
        </w:rPr>
        <w:t>房屋建筑工程工地文明施工检查标准</w:t>
      </w:r>
    </w:p>
    <w:p w14:paraId="5367AD53">
      <w:pPr>
        <w:adjustRightInd w:val="0"/>
        <w:snapToGrid w:val="0"/>
        <w:spacing w:line="360" w:lineRule="auto"/>
        <w:ind w:firstLine="480" w:firstLineChars="200"/>
        <w:rPr>
          <w:rFonts w:ascii="宋体" w:hAnsi="宋体"/>
          <w:snapToGrid w:val="0"/>
          <w:color w:val="auto"/>
          <w:kern w:val="0"/>
          <w:sz w:val="24"/>
          <w:highlight w:val="none"/>
        </w:rPr>
      </w:pPr>
    </w:p>
    <w:p w14:paraId="5643D580">
      <w:pPr>
        <w:adjustRightInd w:val="0"/>
        <w:snapToGrid w:val="0"/>
        <w:spacing w:line="360" w:lineRule="auto"/>
        <w:ind w:firstLine="480" w:firstLineChars="200"/>
        <w:rPr>
          <w:rFonts w:ascii="宋体" w:hAnsi="宋体"/>
          <w:bCs/>
          <w:snapToGrid w:val="0"/>
          <w:color w:val="auto"/>
          <w:kern w:val="0"/>
          <w:sz w:val="24"/>
          <w:highlight w:val="none"/>
        </w:rPr>
      </w:pPr>
    </w:p>
    <w:p w14:paraId="6927DE13">
      <w:pPr>
        <w:adjustRightInd w:val="0"/>
        <w:snapToGrid w:val="0"/>
        <w:spacing w:line="360" w:lineRule="auto"/>
        <w:ind w:right="11"/>
        <w:rPr>
          <w:rFonts w:ascii="宋体" w:hAnsi="宋体"/>
          <w:snapToGrid w:val="0"/>
          <w:color w:val="auto"/>
          <w:kern w:val="0"/>
          <w:sz w:val="24"/>
          <w:highlight w:val="none"/>
        </w:rPr>
      </w:pPr>
      <w:r>
        <w:rPr>
          <w:rFonts w:ascii="宋体" w:hAnsi="宋体"/>
          <w:b/>
          <w:bCs/>
          <w:snapToGrid w:val="0"/>
          <w:color w:val="auto"/>
          <w:kern w:val="0"/>
          <w:sz w:val="30"/>
          <w:szCs w:val="30"/>
          <w:highlight w:val="none"/>
        </w:rPr>
        <w:br w:type="page"/>
      </w:r>
    </w:p>
    <w:p w14:paraId="055261B3">
      <w:pPr>
        <w:adjustRightInd w:val="0"/>
        <w:snapToGrid w:val="0"/>
        <w:spacing w:line="360" w:lineRule="auto"/>
        <w:jc w:val="center"/>
        <w:outlineLvl w:val="0"/>
        <w:rPr>
          <w:rFonts w:ascii="宋体" w:hAnsi="宋体"/>
          <w:b/>
          <w:bCs/>
          <w:snapToGrid w:val="0"/>
          <w:color w:val="auto"/>
          <w:kern w:val="0"/>
          <w:sz w:val="44"/>
          <w:szCs w:val="44"/>
          <w:highlight w:val="none"/>
        </w:rPr>
      </w:pPr>
      <w:r>
        <w:rPr>
          <w:rFonts w:hint="eastAsia" w:ascii="宋体" w:hAnsi="宋体"/>
          <w:b/>
          <w:bCs/>
          <w:snapToGrid w:val="0"/>
          <w:color w:val="auto"/>
          <w:kern w:val="0"/>
          <w:sz w:val="44"/>
          <w:szCs w:val="44"/>
          <w:highlight w:val="none"/>
        </w:rPr>
        <w:t>第一篇  合同协议书</w:t>
      </w:r>
    </w:p>
    <w:p w14:paraId="431BE84B">
      <w:pPr>
        <w:adjustRightInd w:val="0"/>
        <w:snapToGrid w:val="0"/>
        <w:spacing w:line="360" w:lineRule="auto"/>
        <w:ind w:right="11"/>
        <w:rPr>
          <w:rFonts w:ascii="宋体" w:hAnsi="宋体"/>
          <w:snapToGrid w:val="0"/>
          <w:color w:val="auto"/>
          <w:kern w:val="0"/>
          <w:sz w:val="24"/>
          <w:highlight w:val="none"/>
        </w:rPr>
      </w:pPr>
    </w:p>
    <w:p w14:paraId="55C4A514">
      <w:pPr>
        <w:spacing w:line="360" w:lineRule="auto"/>
        <w:ind w:firstLine="482"/>
        <w:jc w:val="left"/>
        <w:rPr>
          <w:rFonts w:ascii="宋体" w:hAnsi="宋体"/>
          <w:b/>
          <w:bCs/>
          <w:snapToGrid w:val="0"/>
          <w:color w:val="auto"/>
          <w:kern w:val="0"/>
          <w:sz w:val="24"/>
          <w:highlight w:val="none"/>
        </w:rPr>
      </w:pPr>
      <w:r>
        <w:rPr>
          <w:rFonts w:hint="eastAsia" w:ascii="宋体" w:hAnsi="宋体"/>
          <w:b/>
          <w:snapToGrid w:val="0"/>
          <w:color w:val="auto"/>
          <w:kern w:val="0"/>
          <w:sz w:val="24"/>
          <w:highlight w:val="none"/>
        </w:rPr>
        <w:t xml:space="preserve">  广州市越秀区代建项目管理中心</w:t>
      </w:r>
      <w:r>
        <w:rPr>
          <w:rFonts w:hint="eastAsia" w:ascii="宋体" w:hAnsi="宋体"/>
          <w:snapToGrid w:val="0"/>
          <w:color w:val="auto"/>
          <w:kern w:val="0"/>
          <w:sz w:val="24"/>
          <w:highlight w:val="none"/>
        </w:rPr>
        <w:t>（以下称发包人）与</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以下称承包人）依照《中华人民共和国民法典》、《中华人民共和国建筑法》、《中华人民共和国招标投标法》及其他有关法律、行政法规、部门规章、地方性法规和规章，遵循平等、自愿、公平和诚实信用的原则，就</w:t>
      </w:r>
      <w:r>
        <w:rPr>
          <w:rFonts w:hint="eastAsia" w:ascii="宋体" w:hAnsi="宋体"/>
          <w:snapToGrid w:val="0"/>
          <w:color w:val="auto"/>
          <w:kern w:val="0"/>
          <w:sz w:val="24"/>
          <w:highlight w:val="none"/>
          <w:u w:val="single"/>
        </w:rPr>
        <w:t>花果山产业小镇综合配套工程建设项目</w:t>
      </w:r>
      <w:r>
        <w:rPr>
          <w:rFonts w:hint="eastAsia" w:ascii="宋体" w:hAnsi="宋体"/>
          <w:snapToGrid w:val="0"/>
          <w:color w:val="auto"/>
          <w:kern w:val="0"/>
          <w:sz w:val="24"/>
          <w:highlight w:val="none"/>
        </w:rPr>
        <w:t>（以下称本工程）事宜协商一致，订立本合同。</w:t>
      </w:r>
    </w:p>
    <w:p w14:paraId="45083F52">
      <w:pPr>
        <w:spacing w:line="360" w:lineRule="auto"/>
        <w:ind w:firstLine="482"/>
        <w:jc w:val="left"/>
        <w:rPr>
          <w:rFonts w:ascii="宋体" w:hAnsi="宋体"/>
          <w:bCs/>
          <w:snapToGrid w:val="0"/>
          <w:color w:val="auto"/>
          <w:kern w:val="0"/>
          <w:sz w:val="24"/>
          <w:highlight w:val="none"/>
        </w:rPr>
      </w:pPr>
      <w:r>
        <w:rPr>
          <w:rFonts w:ascii="宋体" w:hAnsi="宋体"/>
          <w:b/>
          <w:bCs/>
          <w:snapToGrid w:val="0"/>
          <w:color w:val="auto"/>
          <w:kern w:val="0"/>
          <w:sz w:val="24"/>
          <w:highlight w:val="none"/>
        </w:rPr>
        <w:t>1．工程概况</w:t>
      </w:r>
    </w:p>
    <w:p w14:paraId="093E4D2F">
      <w:pPr>
        <w:spacing w:line="360" w:lineRule="auto"/>
        <w:ind w:firstLine="482"/>
        <w:jc w:val="left"/>
        <w:rPr>
          <w:rFonts w:ascii="宋体" w:hAnsi="宋体"/>
          <w:bCs/>
          <w:snapToGrid w:val="0"/>
          <w:color w:val="auto"/>
          <w:kern w:val="0"/>
          <w:sz w:val="24"/>
          <w:highlight w:val="none"/>
        </w:rPr>
      </w:pPr>
      <w:r>
        <w:rPr>
          <w:rFonts w:hint="eastAsia" w:ascii="宋体" w:hAnsi="宋体"/>
          <w:bCs/>
          <w:snapToGrid w:val="0"/>
          <w:color w:val="auto"/>
          <w:kern w:val="0"/>
          <w:sz w:val="24"/>
          <w:highlight w:val="none"/>
        </w:rPr>
        <w:t>（</w:t>
      </w:r>
      <w:r>
        <w:rPr>
          <w:rFonts w:ascii="宋体" w:hAnsi="宋体"/>
          <w:bCs/>
          <w:snapToGrid w:val="0"/>
          <w:color w:val="auto"/>
          <w:kern w:val="0"/>
          <w:sz w:val="24"/>
          <w:highlight w:val="none"/>
        </w:rPr>
        <w:t>1）工程名称：</w:t>
      </w:r>
      <w:r>
        <w:rPr>
          <w:rFonts w:hint="eastAsia" w:ascii="宋体" w:hAnsi="宋体"/>
          <w:bCs/>
          <w:snapToGrid w:val="0"/>
          <w:color w:val="auto"/>
          <w:kern w:val="0"/>
          <w:sz w:val="24"/>
          <w:highlight w:val="none"/>
          <w:u w:val="single"/>
        </w:rPr>
        <w:t>花果山产业小镇综合配套工程建设项目</w:t>
      </w:r>
      <w:r>
        <w:rPr>
          <w:rFonts w:hint="eastAsia" w:ascii="宋体" w:hAnsi="宋体"/>
          <w:bCs/>
          <w:snapToGrid w:val="0"/>
          <w:color w:val="auto"/>
          <w:kern w:val="0"/>
          <w:sz w:val="24"/>
          <w:highlight w:val="none"/>
        </w:rPr>
        <w:t>。</w:t>
      </w:r>
    </w:p>
    <w:p w14:paraId="3183286B">
      <w:pPr>
        <w:spacing w:line="360" w:lineRule="auto"/>
        <w:ind w:firstLine="482"/>
        <w:jc w:val="left"/>
        <w:rPr>
          <w:rFonts w:ascii="宋体" w:hAnsi="宋体"/>
          <w:bCs/>
          <w:snapToGrid w:val="0"/>
          <w:color w:val="auto"/>
          <w:kern w:val="0"/>
          <w:sz w:val="24"/>
          <w:highlight w:val="none"/>
        </w:rPr>
      </w:pPr>
      <w:r>
        <w:rPr>
          <w:rFonts w:hint="eastAsia" w:ascii="宋体" w:hAnsi="宋体"/>
          <w:bCs/>
          <w:snapToGrid w:val="0"/>
          <w:color w:val="auto"/>
          <w:kern w:val="0"/>
          <w:sz w:val="24"/>
          <w:highlight w:val="none"/>
        </w:rPr>
        <w:t>（2）工程地点：</w:t>
      </w:r>
      <w:r>
        <w:rPr>
          <w:rFonts w:hint="eastAsia" w:ascii="宋体" w:hAnsi="宋体" w:cs="宋体"/>
          <w:color w:val="auto"/>
          <w:sz w:val="24"/>
          <w:szCs w:val="24"/>
          <w:highlight w:val="none"/>
          <w:u w:val="single"/>
        </w:rPr>
        <w:t>广州市越秀区西胜街以北、广州市广播电视台以东、广州青少年科技馆以西地块</w:t>
      </w:r>
      <w:r>
        <w:rPr>
          <w:rFonts w:ascii="宋体" w:hAnsi="宋体" w:cs="宋体"/>
          <w:bCs/>
          <w:color w:val="auto"/>
          <w:sz w:val="24"/>
          <w:highlight w:val="none"/>
          <w:u w:val="single"/>
        </w:rPr>
        <w:t>。</w:t>
      </w:r>
    </w:p>
    <w:p w14:paraId="4A343BD9">
      <w:pPr>
        <w:spacing w:line="360" w:lineRule="auto"/>
        <w:ind w:firstLine="482"/>
        <w:jc w:val="left"/>
        <w:rPr>
          <w:rFonts w:ascii="宋体" w:hAnsi="宋体"/>
          <w:bCs/>
          <w:snapToGrid w:val="0"/>
          <w:color w:val="auto"/>
          <w:kern w:val="0"/>
          <w:sz w:val="24"/>
          <w:highlight w:val="none"/>
        </w:rPr>
      </w:pPr>
      <w:r>
        <w:rPr>
          <w:rFonts w:hint="eastAsia" w:ascii="宋体" w:hAnsi="宋体"/>
          <w:bCs/>
          <w:snapToGrid w:val="0"/>
          <w:color w:val="auto"/>
          <w:kern w:val="0"/>
          <w:sz w:val="24"/>
          <w:highlight w:val="none"/>
        </w:rPr>
        <w:t>（3）工程立项批准文号：</w:t>
      </w:r>
      <w:r>
        <w:rPr>
          <w:rFonts w:hint="eastAsia" w:ascii="宋体" w:hAnsi="宋体" w:cs="宋体"/>
          <w:color w:val="auto"/>
          <w:sz w:val="24"/>
          <w:highlight w:val="none"/>
          <w:u w:val="single"/>
        </w:rPr>
        <w:t>穗越发改投批〔2021〕18号</w:t>
      </w:r>
      <w:r>
        <w:rPr>
          <w:rFonts w:hint="eastAsia" w:ascii="宋体" w:hAnsi="宋体"/>
          <w:bCs/>
          <w:snapToGrid w:val="0"/>
          <w:color w:val="auto"/>
          <w:kern w:val="0"/>
          <w:sz w:val="24"/>
          <w:highlight w:val="none"/>
        </w:rPr>
        <w:t>。</w:t>
      </w:r>
    </w:p>
    <w:p w14:paraId="4B241618">
      <w:pPr>
        <w:spacing w:line="360" w:lineRule="auto"/>
        <w:ind w:firstLine="480"/>
        <w:jc w:val="left"/>
        <w:rPr>
          <w:rFonts w:ascii="宋体" w:hAnsi="宋体"/>
          <w:b/>
          <w:bCs/>
          <w:snapToGrid w:val="0"/>
          <w:color w:val="auto"/>
          <w:kern w:val="0"/>
          <w:sz w:val="24"/>
          <w:highlight w:val="none"/>
        </w:rPr>
      </w:pPr>
      <w:r>
        <w:rPr>
          <w:rFonts w:hint="eastAsia" w:ascii="宋体" w:hAnsi="宋体"/>
          <w:bCs/>
          <w:snapToGrid w:val="0"/>
          <w:color w:val="auto"/>
          <w:kern w:val="0"/>
          <w:sz w:val="24"/>
          <w:highlight w:val="none"/>
        </w:rPr>
        <w:t>（4）资金来源：</w:t>
      </w:r>
      <w:r>
        <w:rPr>
          <w:rFonts w:hint="eastAsia" w:ascii="宋体" w:hAnsi="宋体" w:cs="宋体"/>
          <w:color w:val="auto"/>
          <w:sz w:val="24"/>
          <w:szCs w:val="24"/>
          <w:highlight w:val="none"/>
          <w:u w:val="single"/>
        </w:rPr>
        <w:t>区财政统筹。</w:t>
      </w:r>
    </w:p>
    <w:p w14:paraId="0257657D">
      <w:pPr>
        <w:spacing w:line="360" w:lineRule="auto"/>
        <w:ind w:firstLine="482"/>
        <w:jc w:val="left"/>
        <w:rPr>
          <w:rFonts w:ascii="宋体" w:hAnsi="宋体"/>
          <w:bCs/>
          <w:snapToGrid w:val="0"/>
          <w:color w:val="auto"/>
          <w:kern w:val="0"/>
          <w:sz w:val="24"/>
          <w:highlight w:val="none"/>
        </w:rPr>
      </w:pPr>
      <w:r>
        <w:rPr>
          <w:rFonts w:hint="eastAsia" w:ascii="宋体" w:hAnsi="宋体"/>
          <w:b/>
          <w:bCs/>
          <w:snapToGrid w:val="0"/>
          <w:color w:val="auto"/>
          <w:kern w:val="0"/>
          <w:sz w:val="24"/>
          <w:highlight w:val="none"/>
        </w:rPr>
        <w:t>2．工程内容、承包范围和承包方式</w:t>
      </w:r>
    </w:p>
    <w:p w14:paraId="38ACD31D">
      <w:pPr>
        <w:spacing w:line="432" w:lineRule="auto"/>
        <w:ind w:firstLine="537" w:firstLineChars="224"/>
        <w:rPr>
          <w:rFonts w:ascii="宋体" w:hAnsi="宋体"/>
          <w:color w:val="auto"/>
          <w:sz w:val="24"/>
          <w:highlight w:val="none"/>
          <w:u w:val="single"/>
        </w:rPr>
      </w:pPr>
      <w:r>
        <w:rPr>
          <w:rFonts w:ascii="宋体" w:hAnsi="宋体"/>
          <w:bCs w:val="0"/>
          <w:snapToGrid w:val="0"/>
          <w:color w:val="auto"/>
          <w:kern w:val="0"/>
          <w:sz w:val="24"/>
          <w:highlight w:val="none"/>
          <w:u w:val="single"/>
        </w:rPr>
        <w:t>2.1工程内容：</w:t>
      </w:r>
      <w:r>
        <w:rPr>
          <w:rFonts w:hint="eastAsia" w:ascii="宋体" w:hAnsi="宋体" w:eastAsia="宋体" w:cs="宋体"/>
          <w:color w:val="auto"/>
          <w:sz w:val="24"/>
          <w:highlight w:val="none"/>
          <w:u w:val="single"/>
        </w:rPr>
        <w:t>本</w:t>
      </w:r>
      <w:r>
        <w:rPr>
          <w:rFonts w:hint="eastAsia" w:ascii="宋体" w:hAnsi="宋体" w:cs="宋体"/>
          <w:color w:val="auto"/>
          <w:sz w:val="24"/>
          <w:highlight w:val="none"/>
          <w:u w:val="single"/>
          <w:lang w:val="en-US" w:eastAsia="zh-CN"/>
        </w:rPr>
        <w:t>新建</w:t>
      </w:r>
      <w:r>
        <w:rPr>
          <w:rFonts w:hint="eastAsia" w:ascii="宋体" w:hAnsi="宋体" w:eastAsia="宋体" w:cs="宋体"/>
          <w:color w:val="auto"/>
          <w:sz w:val="24"/>
          <w:highlight w:val="none"/>
          <w:u w:val="single"/>
        </w:rPr>
        <w:t>项目总用地面积为3.2公顷，工程总建筑面积约5.6万平方米。建设内容</w:t>
      </w:r>
      <w:r>
        <w:rPr>
          <w:rFonts w:hint="eastAsia" w:ascii="宋体" w:hAnsi="宋体" w:eastAsia="宋体" w:cs="宋体"/>
          <w:color w:val="auto"/>
          <w:sz w:val="24"/>
          <w:highlight w:val="none"/>
          <w:u w:val="single"/>
          <w:lang w:val="en-US" w:eastAsia="zh-CN"/>
        </w:rPr>
        <w:t>包括</w:t>
      </w:r>
      <w:r>
        <w:rPr>
          <w:rFonts w:hint="eastAsia" w:ascii="宋体" w:hAnsi="宋体" w:eastAsia="宋体" w:cs="宋体"/>
          <w:color w:val="auto"/>
          <w:sz w:val="24"/>
          <w:highlight w:val="none"/>
          <w:u w:val="single"/>
        </w:rPr>
        <w:t>1）室内工程部分：交警业务用房、消防站、产业配套设施</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目标企业为超高清视频（4K/8K）设计、研发、制作等企业</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、变电站、地下停车场及设备用房等；2）室外工程部分：道路工程、公共绿化工程、室外电气/照明工程、室外给排水工程、标识系统、外水外电燃气增容工程、山体护坡工程等。</w:t>
      </w:r>
      <w:r>
        <w:rPr>
          <w:rFonts w:hint="eastAsia"/>
          <w:color w:val="auto"/>
          <w:sz w:val="24"/>
          <w:szCs w:val="24"/>
          <w:highlight w:val="none"/>
          <w:u w:val="single"/>
        </w:rPr>
        <w:t>（</w:t>
      </w:r>
      <w:r>
        <w:rPr>
          <w:rFonts w:hint="eastAsia"/>
          <w:color w:val="auto"/>
          <w:sz w:val="24"/>
          <w:highlight w:val="none"/>
          <w:u w:val="single"/>
        </w:rPr>
        <w:t>具体以施工合同、施工图纸、工程量清单及有关资料为准）。</w:t>
      </w:r>
      <w:r>
        <w:rPr>
          <w:rFonts w:hint="eastAsia" w:ascii="宋体" w:hAnsi="宋体"/>
          <w:color w:val="auto"/>
          <w:sz w:val="24"/>
          <w:highlight w:val="none"/>
          <w:u w:val="single"/>
        </w:rPr>
        <w:t>包括但不限于（1）项目建设范围内的土建工程（含基坑工程、土石方工程、桩基工程、砌筑工程、混凝土及钢筋混凝土工程、金属结构工程、门窗工程、屋面及防水工程、保温、隔热、防腐工程、楼地面装饰工程、墙、柱面装饰与隔断、幕墙工程、天棚工程、其它装饰工程等）、安装工程（含专变配电工程、公变配电工程、柴油发电机工程、通信工程、电气工程、自动报警工程、弱电工程、通风工程、给排水工程、消防水工程（含气体灭火系统）、人防安装工程、电梯工程、抗震支架、充电桩、燃气工程等）、室外地面铺装、照明、管网、海绵城市、永久用水、市政道路修复等配套工程、充电桩建设、信息化设备安装工程、临时施工用水、排水工程、临时防护加固和管线迁移等</w:t>
      </w:r>
      <w:r>
        <w:rPr>
          <w:rFonts w:hint="eastAsia" w:ascii="宋体" w:hAnsi="宋体" w:cs="宋体"/>
          <w:color w:val="auto"/>
          <w:sz w:val="24"/>
          <w:szCs w:val="24"/>
          <w:highlight w:val="none"/>
          <w:u w:val="single"/>
        </w:rPr>
        <w:t>。本项目在开工前，</w:t>
      </w:r>
      <w:r>
        <w:rPr>
          <w:rFonts w:hint="eastAsia" w:ascii="宋体" w:hAnsi="宋体" w:cs="宋体"/>
          <w:color w:val="auto"/>
          <w:sz w:val="24"/>
          <w:szCs w:val="24"/>
          <w:highlight w:val="none"/>
          <w:u w:val="single"/>
          <w:lang w:val="en-US" w:eastAsia="zh-CN"/>
        </w:rPr>
        <w:t>承包人</w:t>
      </w:r>
      <w:r>
        <w:rPr>
          <w:rFonts w:hint="eastAsia" w:ascii="宋体" w:hAnsi="宋体" w:cs="宋体"/>
          <w:color w:val="auto"/>
          <w:sz w:val="24"/>
          <w:szCs w:val="24"/>
          <w:highlight w:val="none"/>
          <w:u w:val="single"/>
        </w:rPr>
        <w:t>必须与本项目前期场地平整实施单位对临电设施、临水设施、场地标高、排水位置、临时设施（大门、围挡等）、技术资料（含图纸、档案等资料）、场地移交等相关内容，具体详见本项目《场地平整工作界面划分表》做好场地移交、工完场清、场地标高等相关前期技术和资料交接等相关工作，相关交接工作约定需要形成文件存档，明确双方实施范围避免遗漏。</w:t>
      </w:r>
      <w:r>
        <w:rPr>
          <w:rFonts w:hint="eastAsia" w:ascii="宋体" w:hAnsi="宋体" w:cs="宋体"/>
          <w:color w:val="auto"/>
          <w:sz w:val="24"/>
          <w:szCs w:val="24"/>
          <w:highlight w:val="none"/>
          <w:u w:val="single"/>
          <w:lang w:eastAsia="zh-CN"/>
        </w:rPr>
        <w:t>《场地平整工作界面划分表》</w:t>
      </w:r>
      <w:r>
        <w:rPr>
          <w:rFonts w:hint="eastAsia" w:ascii="宋体" w:hAnsi="宋体" w:cs="宋体"/>
          <w:color w:val="auto"/>
          <w:sz w:val="24"/>
          <w:szCs w:val="24"/>
          <w:highlight w:val="none"/>
          <w:u w:val="single"/>
        </w:rPr>
        <w:t>必须经</w:t>
      </w:r>
      <w:r>
        <w:rPr>
          <w:rFonts w:hint="eastAsia" w:ascii="宋体" w:hAnsi="宋体" w:cs="宋体"/>
          <w:color w:val="auto"/>
          <w:sz w:val="24"/>
          <w:szCs w:val="24"/>
          <w:highlight w:val="none"/>
          <w:u w:val="single"/>
          <w:lang w:val="en-US" w:eastAsia="zh-CN"/>
        </w:rPr>
        <w:t>承包</w:t>
      </w:r>
      <w:r>
        <w:rPr>
          <w:rFonts w:hint="eastAsia" w:ascii="宋体" w:hAnsi="宋体" w:cs="宋体"/>
          <w:color w:val="auto"/>
          <w:sz w:val="24"/>
          <w:szCs w:val="24"/>
          <w:highlight w:val="none"/>
          <w:u w:val="single"/>
        </w:rPr>
        <w:t>人和前期场地平整实施单位双方盖章签字报</w:t>
      </w:r>
      <w:r>
        <w:rPr>
          <w:rFonts w:hint="eastAsia" w:ascii="宋体" w:hAnsi="宋体" w:cs="宋体"/>
          <w:color w:val="auto"/>
          <w:sz w:val="24"/>
          <w:szCs w:val="24"/>
          <w:highlight w:val="none"/>
          <w:u w:val="single"/>
          <w:lang w:val="en-US" w:eastAsia="zh-CN"/>
        </w:rPr>
        <w:t>发包</w:t>
      </w:r>
      <w:r>
        <w:rPr>
          <w:rFonts w:hint="eastAsia" w:ascii="宋体" w:hAnsi="宋体" w:cs="宋体"/>
          <w:color w:val="auto"/>
          <w:sz w:val="24"/>
          <w:szCs w:val="24"/>
          <w:highlight w:val="none"/>
          <w:u w:val="single"/>
        </w:rPr>
        <w:t>人审核同意。</w:t>
      </w:r>
      <w:r>
        <w:rPr>
          <w:rFonts w:hint="eastAsia" w:ascii="宋体" w:hAnsi="宋体"/>
          <w:snapToGrid w:val="0"/>
          <w:color w:val="auto"/>
          <w:kern w:val="0"/>
          <w:sz w:val="24"/>
          <w:highlight w:val="none"/>
          <w:u w:val="single"/>
          <w:shd w:val="clear" w:color="auto" w:fill="auto"/>
        </w:rPr>
        <w:t>施工围墙必须严格《广州市住房和城乡建设局等</w:t>
      </w:r>
      <w:r>
        <w:rPr>
          <w:rFonts w:hint="eastAsia" w:ascii="宋体" w:hAnsi="宋体"/>
          <w:snapToGrid w:val="0"/>
          <w:color w:val="auto"/>
          <w:kern w:val="0"/>
          <w:sz w:val="24"/>
          <w:highlight w:val="none"/>
          <w:u w:val="single"/>
        </w:rPr>
        <w:t>9部委关于印发广州市建设工程绿色施工围蔽指导图集（</w:t>
      </w:r>
      <w:r>
        <w:rPr>
          <w:rFonts w:ascii="宋体" w:hAnsi="宋体"/>
          <w:snapToGrid w:val="0"/>
          <w:color w:val="auto"/>
          <w:kern w:val="0"/>
          <w:sz w:val="24"/>
          <w:highlight w:val="none"/>
          <w:u w:val="single"/>
        </w:rPr>
        <w:t>V2.0）的通知》（穗建质〔2020〕1号）的质量标准，</w:t>
      </w:r>
      <w:r>
        <w:rPr>
          <w:rFonts w:hint="eastAsia" w:ascii="宋体" w:hAnsi="宋体" w:cs="宋体"/>
          <w:color w:val="auto"/>
          <w:kern w:val="0"/>
          <w:sz w:val="24"/>
          <w:szCs w:val="24"/>
          <w:highlight w:val="none"/>
          <w:u w:val="single"/>
        </w:rPr>
        <w:t>采用B1立体绿化围蔽（真绿植）</w:t>
      </w:r>
      <w:r>
        <w:rPr>
          <w:rFonts w:hint="eastAsia" w:ascii="宋体" w:hAnsi="宋体"/>
          <w:snapToGrid w:val="0"/>
          <w:color w:val="auto"/>
          <w:kern w:val="0"/>
          <w:sz w:val="24"/>
          <w:highlight w:val="none"/>
          <w:u w:val="single"/>
        </w:rPr>
        <w:t>。</w:t>
      </w:r>
    </w:p>
    <w:p w14:paraId="70D8D582">
      <w:pPr>
        <w:widowControl/>
        <w:spacing w:line="560" w:lineRule="exact"/>
        <w:ind w:firstLine="537" w:firstLineChars="224"/>
        <w:rPr>
          <w:rFonts w:ascii="宋体" w:hAnsi="宋体"/>
          <w:color w:val="auto"/>
          <w:sz w:val="24"/>
          <w:highlight w:val="none"/>
          <w:u w:val="single"/>
        </w:rPr>
      </w:pPr>
      <w:r>
        <w:rPr>
          <w:rFonts w:hint="eastAsia" w:ascii="宋体" w:hAnsi="宋体"/>
          <w:color w:val="auto"/>
          <w:sz w:val="24"/>
          <w:highlight w:val="none"/>
          <w:u w:val="single"/>
        </w:rPr>
        <w:t>（2）施工总承包管理和配合服务，包括对本项目由</w:t>
      </w:r>
      <w:r>
        <w:rPr>
          <w:rFonts w:hint="eastAsia" w:ascii="宋体" w:hAnsi="宋体"/>
          <w:color w:val="auto"/>
          <w:sz w:val="24"/>
          <w:highlight w:val="none"/>
          <w:u w:val="single"/>
          <w:lang w:val="en-US" w:eastAsia="zh-CN"/>
        </w:rPr>
        <w:t>发布</w:t>
      </w:r>
      <w:r>
        <w:rPr>
          <w:rFonts w:hint="eastAsia" w:ascii="宋体" w:hAnsi="宋体"/>
          <w:color w:val="auto"/>
          <w:sz w:val="24"/>
          <w:highlight w:val="none"/>
          <w:u w:val="single"/>
        </w:rPr>
        <w:t>人另行发包的专业工程实施总承包管理和配合服务，包括但不限于①提供垂直运输设备（塔吊、施工电梯）的运输服务；②提供外墙脚手架的使用，提供材料堆放及周转场地；③施工总承包单位负责向各专业施工单位提供施工及生活用水、用电接驳点，根据工期要求提供各项专业工程进场计划，合理安排穿插施工，对施工组织设计实施技术管理，对其他各专业系统的交叉施工进行综合协调和管理，并对各系统调试及竣工验收实施组织与管理</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负责项目范围内的信息安全管理</w:t>
      </w:r>
      <w:r>
        <w:rPr>
          <w:rFonts w:hint="eastAsia" w:ascii="宋体" w:hAnsi="宋体"/>
          <w:color w:val="auto"/>
          <w:sz w:val="24"/>
          <w:highlight w:val="none"/>
          <w:u w:val="single"/>
        </w:rPr>
        <w:t>； ④负责垃圾清运，及相关专业工程遗留的封边封口等完善收尾工作。</w:t>
      </w:r>
      <w:r>
        <w:rPr>
          <w:rFonts w:hint="eastAsia" w:ascii="宋体" w:hAnsi="宋体" w:cs="宋体"/>
          <w:color w:val="auto"/>
          <w:sz w:val="24"/>
          <w:szCs w:val="24"/>
          <w:highlight w:val="none"/>
          <w:u w:val="single"/>
        </w:rPr>
        <w:t>⑤负责项目深化设计工作，包括不限于幕墙、门窗、钢结构、二次装修、装配式建筑、外水电等，</w:t>
      </w:r>
      <w:r>
        <w:rPr>
          <w:rFonts w:hint="eastAsia" w:ascii="宋体" w:hAnsi="宋体"/>
          <w:color w:val="auto"/>
          <w:sz w:val="24"/>
          <w:highlight w:val="none"/>
          <w:u w:val="single"/>
        </w:rPr>
        <w:t>具体内容以招标文件为准。</w:t>
      </w:r>
    </w:p>
    <w:p w14:paraId="01CCF7BD">
      <w:pPr>
        <w:widowControl/>
        <w:spacing w:line="560" w:lineRule="exact"/>
        <w:ind w:firstLine="537" w:firstLineChars="224"/>
        <w:rPr>
          <w:rFonts w:ascii="宋体" w:hAnsi="宋体"/>
          <w:color w:val="auto"/>
          <w:sz w:val="24"/>
          <w:highlight w:val="none"/>
          <w:u w:val="single"/>
        </w:rPr>
      </w:pPr>
      <w:r>
        <w:rPr>
          <w:rFonts w:hint="eastAsia" w:ascii="宋体" w:hAnsi="宋体"/>
          <w:color w:val="auto"/>
          <w:sz w:val="24"/>
          <w:highlight w:val="none"/>
          <w:u w:val="single"/>
        </w:rPr>
        <w:t>（3）协助办理工程开工、验收、竣工等所需的各项相关手续，包括但不限于施工许可证（或临时施工许可证）、临水临电工程的报装及接驳、报建手续、施工占道手续、建筑废弃物处置证、排污手续、排水接驳、爆破工程所需办理的爆破作业单位许可证、水质检测、排水许可证、永久用水及永久用电的报装及验收、燃气工程的报装及验收、通信工程的报装及验收、车库出入口驳接、排污口规范化、噪音排放、环保检测、环保验收、消防验收、人防验收、防雷验收、绿色建筑验收、节能备案及验收、规划验收、质量验收、竣工验收备案和竣工结算资料归档移交、组织创优工作,并承担办理上述手续中需承包人承担的费用。</w:t>
      </w:r>
    </w:p>
    <w:p w14:paraId="21AB2DEE">
      <w:pPr>
        <w:widowControl/>
        <w:spacing w:line="560" w:lineRule="exact"/>
        <w:ind w:firstLine="537" w:firstLineChars="224"/>
        <w:rPr>
          <w:rFonts w:ascii="宋体" w:hAnsi="宋体"/>
          <w:color w:val="auto"/>
          <w:sz w:val="24"/>
          <w:highlight w:val="none"/>
          <w:u w:val="single"/>
        </w:rPr>
      </w:pPr>
      <w:r>
        <w:rPr>
          <w:rFonts w:hint="eastAsia" w:ascii="宋体" w:hAnsi="宋体"/>
          <w:color w:val="auto"/>
          <w:sz w:val="24"/>
          <w:highlight w:val="none"/>
          <w:u w:val="single"/>
        </w:rPr>
        <w:t>（4）</w:t>
      </w:r>
      <w:r>
        <w:rPr>
          <w:rFonts w:hint="eastAsia" w:ascii="宋体" w:hAnsi="宋体"/>
          <w:color w:val="auto"/>
          <w:sz w:val="24"/>
          <w:highlight w:val="none"/>
          <w:u w:val="single"/>
          <w:lang w:val="en-US" w:eastAsia="zh-CN"/>
        </w:rPr>
        <w:t>承包</w:t>
      </w:r>
      <w:r>
        <w:rPr>
          <w:rFonts w:hint="eastAsia" w:ascii="宋体" w:hAnsi="宋体"/>
          <w:color w:val="auto"/>
          <w:sz w:val="24"/>
          <w:highlight w:val="none"/>
          <w:u w:val="single"/>
        </w:rPr>
        <w:t>人应根据本项目建设的实际情况，充分考虑基坑施工过程中会出现的分段、分期的施工需要，对因此存在的施工场地移交及转场等影响施工进度的因素，包括临时通道、周边房屋加固保护、地下管线保护、</w:t>
      </w:r>
      <w:r>
        <w:rPr>
          <w:rFonts w:hint="eastAsia" w:ascii="宋体" w:hAnsi="宋体" w:cs="宋体"/>
          <w:color w:val="auto"/>
          <w:sz w:val="24"/>
          <w:szCs w:val="24"/>
          <w:highlight w:val="none"/>
          <w:u w:val="single"/>
        </w:rPr>
        <w:t>树木保护、围墙保护、文物保护</w:t>
      </w:r>
      <w:r>
        <w:rPr>
          <w:rFonts w:hint="eastAsia" w:ascii="宋体" w:hAnsi="宋体"/>
          <w:color w:val="auto"/>
          <w:sz w:val="24"/>
          <w:highlight w:val="none"/>
          <w:u w:val="single"/>
        </w:rPr>
        <w:t>等，</w:t>
      </w:r>
      <w:r>
        <w:rPr>
          <w:rFonts w:hint="eastAsia" w:ascii="宋体" w:hAnsi="宋体"/>
          <w:color w:val="auto"/>
          <w:sz w:val="24"/>
          <w:highlight w:val="none"/>
          <w:u w:val="single"/>
          <w:lang w:val="en-US" w:eastAsia="zh-CN"/>
        </w:rPr>
        <w:t>承包</w:t>
      </w:r>
      <w:r>
        <w:rPr>
          <w:rFonts w:hint="eastAsia" w:ascii="宋体" w:hAnsi="宋体"/>
          <w:color w:val="auto"/>
          <w:sz w:val="24"/>
          <w:highlight w:val="none"/>
          <w:u w:val="single"/>
        </w:rPr>
        <w:t>人应通过制订合理的、有针对性的施工方案，以保证施工进度及施工质量，同时服从并配合</w:t>
      </w:r>
      <w:r>
        <w:rPr>
          <w:rFonts w:hint="eastAsia" w:ascii="宋体" w:hAnsi="宋体"/>
          <w:color w:val="auto"/>
          <w:sz w:val="24"/>
          <w:highlight w:val="none"/>
          <w:u w:val="single"/>
          <w:lang w:val="en-US" w:eastAsia="zh-CN"/>
        </w:rPr>
        <w:t>发包</w:t>
      </w:r>
      <w:r>
        <w:rPr>
          <w:rFonts w:hint="eastAsia" w:ascii="宋体" w:hAnsi="宋体"/>
          <w:color w:val="auto"/>
          <w:sz w:val="24"/>
          <w:highlight w:val="none"/>
          <w:u w:val="single"/>
        </w:rPr>
        <w:t>人及监理单位的管理。为此造成的所有费用均由</w:t>
      </w:r>
      <w:r>
        <w:rPr>
          <w:rFonts w:hint="eastAsia" w:ascii="宋体" w:hAnsi="宋体"/>
          <w:color w:val="auto"/>
          <w:sz w:val="24"/>
          <w:highlight w:val="none"/>
          <w:u w:val="single"/>
          <w:lang w:val="en-US" w:eastAsia="zh-CN"/>
        </w:rPr>
        <w:t>承包</w:t>
      </w:r>
      <w:r>
        <w:rPr>
          <w:rFonts w:hint="eastAsia" w:ascii="宋体" w:hAnsi="宋体"/>
          <w:color w:val="auto"/>
          <w:sz w:val="24"/>
          <w:highlight w:val="none"/>
          <w:u w:val="single"/>
        </w:rPr>
        <w:t>人在投标时自行综合考虑在投标报价中。如</w:t>
      </w:r>
      <w:r>
        <w:rPr>
          <w:rFonts w:hint="eastAsia" w:ascii="宋体" w:hAnsi="宋体"/>
          <w:color w:val="auto"/>
          <w:sz w:val="24"/>
          <w:highlight w:val="none"/>
          <w:u w:val="single"/>
          <w:lang w:val="en-US" w:eastAsia="zh-CN"/>
        </w:rPr>
        <w:t>承包</w:t>
      </w:r>
      <w:r>
        <w:rPr>
          <w:rFonts w:hint="eastAsia" w:ascii="宋体" w:hAnsi="宋体"/>
          <w:color w:val="auto"/>
          <w:sz w:val="24"/>
          <w:highlight w:val="none"/>
          <w:u w:val="single"/>
        </w:rPr>
        <w:t>人在项目实施过程中，因与相关部门、单位、用户等发生争议、争执而影响本工程建设的，责任一概由</w:t>
      </w:r>
      <w:r>
        <w:rPr>
          <w:rFonts w:hint="eastAsia" w:ascii="宋体" w:hAnsi="宋体"/>
          <w:color w:val="auto"/>
          <w:sz w:val="24"/>
          <w:highlight w:val="none"/>
          <w:u w:val="single"/>
          <w:lang w:val="en-US" w:eastAsia="zh-CN"/>
        </w:rPr>
        <w:t>承包</w:t>
      </w:r>
      <w:r>
        <w:rPr>
          <w:rFonts w:hint="eastAsia" w:ascii="宋体" w:hAnsi="宋体"/>
          <w:color w:val="auto"/>
          <w:sz w:val="24"/>
          <w:highlight w:val="none"/>
          <w:u w:val="single"/>
        </w:rPr>
        <w:t>人承担。</w:t>
      </w:r>
    </w:p>
    <w:p w14:paraId="5B3BCFFB">
      <w:pPr>
        <w:spacing w:line="432" w:lineRule="auto"/>
        <w:ind w:firstLine="480" w:firstLineChars="200"/>
        <w:rPr>
          <w:rFonts w:hAnsi="宋体"/>
          <w:b w:val="0"/>
          <w:bCs w:val="0"/>
          <w:color w:val="auto"/>
          <w:sz w:val="24"/>
          <w:highlight w:val="none"/>
          <w:u w:val="single"/>
        </w:rPr>
      </w:pPr>
      <w:r>
        <w:rPr>
          <w:rFonts w:hint="eastAsia" w:ascii="宋体" w:hAnsi="宋体"/>
          <w:b w:val="0"/>
          <w:bCs w:val="0"/>
          <w:color w:val="auto"/>
          <w:sz w:val="24"/>
          <w:highlight w:val="none"/>
          <w:u w:val="single"/>
        </w:rPr>
        <w:t>（</w:t>
      </w:r>
      <w:r>
        <w:rPr>
          <w:rFonts w:hint="eastAsia" w:ascii="宋体" w:hAnsi="宋体"/>
          <w:b w:val="0"/>
          <w:bCs w:val="0"/>
          <w:color w:val="auto"/>
          <w:sz w:val="24"/>
          <w:highlight w:val="none"/>
          <w:u w:val="single"/>
          <w:lang w:val="en-US" w:eastAsia="zh-CN"/>
        </w:rPr>
        <w:t>6</w:t>
      </w:r>
      <w:r>
        <w:rPr>
          <w:rFonts w:hint="eastAsia" w:ascii="宋体" w:hAnsi="宋体"/>
          <w:b w:val="0"/>
          <w:bCs w:val="0"/>
          <w:color w:val="auto"/>
          <w:sz w:val="24"/>
          <w:highlight w:val="none"/>
          <w:u w:val="single"/>
        </w:rPr>
        <w:t>）</w:t>
      </w:r>
      <w:r>
        <w:rPr>
          <w:rFonts w:hint="eastAsia" w:ascii="宋体" w:hAnsi="宋体"/>
          <w:color w:val="auto"/>
          <w:sz w:val="24"/>
          <w:highlight w:val="none"/>
          <w:u w:val="single"/>
          <w:lang w:val="en-US" w:eastAsia="zh-CN"/>
        </w:rPr>
        <w:t>承包</w:t>
      </w:r>
      <w:r>
        <w:rPr>
          <w:rFonts w:hint="eastAsia" w:ascii="宋体" w:hAnsi="宋体"/>
          <w:color w:val="auto"/>
          <w:sz w:val="24"/>
          <w:highlight w:val="none"/>
          <w:u w:val="single"/>
        </w:rPr>
        <w:t>人</w:t>
      </w:r>
      <w:r>
        <w:rPr>
          <w:rFonts w:hint="eastAsia" w:ascii="宋体" w:hAnsi="宋体"/>
          <w:b w:val="0"/>
          <w:bCs w:val="0"/>
          <w:color w:val="auto"/>
          <w:sz w:val="24"/>
          <w:highlight w:val="none"/>
          <w:u w:val="single"/>
        </w:rPr>
        <w:t>应在投标截止日前自行组织相关人员对现场及周边环境情况进行踏勘，入场后发现土石方及材料等需要场内二次转运的、场内无法布置钢筋模板材料加工场及堆场的、场内无法布置办公生活区的、大型机械设备安拆等问题需要产生额外费用的，均已含在合同总价中，</w:t>
      </w:r>
      <w:r>
        <w:rPr>
          <w:rFonts w:hint="eastAsia" w:ascii="宋体" w:hAnsi="宋体"/>
          <w:color w:val="auto"/>
          <w:sz w:val="24"/>
          <w:highlight w:val="none"/>
          <w:u w:val="single"/>
          <w:lang w:val="en-US" w:eastAsia="zh-CN"/>
        </w:rPr>
        <w:t>承包</w:t>
      </w:r>
      <w:r>
        <w:rPr>
          <w:rFonts w:hint="eastAsia" w:ascii="宋体" w:hAnsi="宋体"/>
          <w:color w:val="auto"/>
          <w:sz w:val="24"/>
          <w:highlight w:val="none"/>
          <w:u w:val="single"/>
        </w:rPr>
        <w:t>人</w:t>
      </w:r>
      <w:r>
        <w:rPr>
          <w:rFonts w:hint="eastAsia" w:ascii="宋体" w:hAnsi="宋体"/>
          <w:b w:val="0"/>
          <w:bCs w:val="0"/>
          <w:color w:val="auto"/>
          <w:sz w:val="24"/>
          <w:highlight w:val="none"/>
          <w:u w:val="single"/>
        </w:rPr>
        <w:t>不得因此向</w:t>
      </w:r>
      <w:r>
        <w:rPr>
          <w:rFonts w:hint="eastAsia" w:ascii="宋体" w:hAnsi="宋体"/>
          <w:b w:val="0"/>
          <w:bCs w:val="0"/>
          <w:color w:val="auto"/>
          <w:sz w:val="24"/>
          <w:highlight w:val="none"/>
          <w:u w:val="single"/>
          <w:lang w:val="en-US" w:eastAsia="zh-CN"/>
        </w:rPr>
        <w:t>发包</w:t>
      </w:r>
      <w:r>
        <w:rPr>
          <w:rFonts w:hint="eastAsia" w:ascii="宋体" w:hAnsi="宋体"/>
          <w:b w:val="0"/>
          <w:bCs w:val="0"/>
          <w:color w:val="auto"/>
          <w:sz w:val="24"/>
          <w:highlight w:val="none"/>
          <w:u w:val="single"/>
        </w:rPr>
        <w:t>人要求补偿。</w:t>
      </w:r>
    </w:p>
    <w:p w14:paraId="3592C2B4">
      <w:pPr>
        <w:spacing w:line="500" w:lineRule="exact"/>
        <w:ind w:firstLine="480" w:firstLineChars="200"/>
        <w:rPr>
          <w:rFonts w:hint="eastAsia" w:ascii="宋体" w:hAnsi="宋体" w:eastAsia="宋体" w:cs="Times New Roman"/>
          <w:b w:val="0"/>
          <w:bCs w:val="0"/>
          <w:color w:val="auto"/>
          <w:sz w:val="24"/>
          <w:highlight w:val="none"/>
          <w:u w:val="single"/>
        </w:rPr>
      </w:pPr>
      <w:r>
        <w:rPr>
          <w:rFonts w:hint="eastAsia" w:ascii="宋体" w:hAnsi="宋体" w:eastAsia="宋体" w:cs="Times New Roman"/>
          <w:b w:val="0"/>
          <w:bCs w:val="0"/>
          <w:color w:val="auto"/>
          <w:sz w:val="24"/>
          <w:highlight w:val="none"/>
          <w:u w:val="single"/>
        </w:rPr>
        <w:t>（</w:t>
      </w:r>
      <w:r>
        <w:rPr>
          <w:rFonts w:hint="eastAsia" w:ascii="宋体" w:hAnsi="宋体" w:cs="Times New Roman"/>
          <w:b w:val="0"/>
          <w:bCs w:val="0"/>
          <w:color w:val="auto"/>
          <w:sz w:val="24"/>
          <w:highlight w:val="none"/>
          <w:u w:val="single"/>
          <w:lang w:val="en-US" w:eastAsia="zh-CN"/>
        </w:rPr>
        <w:t>7</w:t>
      </w:r>
      <w:r>
        <w:rPr>
          <w:rFonts w:hint="eastAsia" w:ascii="宋体" w:hAnsi="宋体" w:eastAsia="宋体" w:cs="Times New Roman"/>
          <w:b w:val="0"/>
          <w:bCs w:val="0"/>
          <w:color w:val="auto"/>
          <w:sz w:val="24"/>
          <w:highlight w:val="none"/>
          <w:u w:val="single"/>
        </w:rPr>
        <w:t>）严格执行合同关门工期，工期调整或变更严格按各级审批流程执行。</w:t>
      </w:r>
    </w:p>
    <w:p w14:paraId="5B1A6DC9">
      <w:pPr>
        <w:spacing w:line="360" w:lineRule="auto"/>
        <w:ind w:firstLine="537" w:firstLineChars="224"/>
        <w:rPr>
          <w:rFonts w:ascii="宋体" w:hAnsi="宋体"/>
          <w:bCs/>
          <w:snapToGrid w:val="0"/>
          <w:color w:val="auto"/>
          <w:kern w:val="0"/>
          <w:sz w:val="24"/>
          <w:highlight w:val="none"/>
        </w:rPr>
      </w:pPr>
      <w:r>
        <w:rPr>
          <w:rFonts w:hint="eastAsia" w:ascii="宋体" w:hAnsi="宋体"/>
          <w:bCs/>
          <w:snapToGrid w:val="0"/>
          <w:color w:val="auto"/>
          <w:kern w:val="0"/>
          <w:sz w:val="24"/>
          <w:highlight w:val="none"/>
        </w:rPr>
        <w:t>2.2承包范围（见下表）：</w:t>
      </w:r>
    </w:p>
    <w:tbl>
      <w:tblPr>
        <w:tblStyle w:val="47"/>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20"/>
        <w:gridCol w:w="2066"/>
        <w:gridCol w:w="634"/>
        <w:gridCol w:w="720"/>
        <w:gridCol w:w="720"/>
        <w:gridCol w:w="1080"/>
        <w:gridCol w:w="1080"/>
        <w:gridCol w:w="860"/>
      </w:tblGrid>
      <w:tr w14:paraId="2E5E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04529B7">
            <w:pPr>
              <w:adjustRightInd w:val="0"/>
              <w:snapToGrid w:val="0"/>
              <w:ind w:right="11"/>
              <w:jc w:val="center"/>
              <w:rPr>
                <w:rFonts w:ascii="宋体" w:hAnsi="宋体"/>
                <w:bCs/>
                <w:snapToGrid w:val="0"/>
                <w:color w:val="auto"/>
                <w:kern w:val="0"/>
                <w:szCs w:val="21"/>
                <w:highlight w:val="none"/>
              </w:rPr>
            </w:pPr>
            <w:r>
              <w:rPr>
                <w:rFonts w:hint="eastAsia" w:ascii="宋体" w:hAnsi="宋体"/>
                <w:bCs/>
                <w:snapToGrid w:val="0"/>
                <w:color w:val="auto"/>
                <w:kern w:val="0"/>
                <w:szCs w:val="21"/>
                <w:highlight w:val="none"/>
              </w:rPr>
              <w:t>选项</w:t>
            </w:r>
          </w:p>
        </w:tc>
        <w:tc>
          <w:tcPr>
            <w:tcW w:w="1620" w:type="dxa"/>
            <w:vAlign w:val="center"/>
          </w:tcPr>
          <w:p w14:paraId="7085E434">
            <w:pPr>
              <w:adjustRightInd w:val="0"/>
              <w:snapToGrid w:val="0"/>
              <w:ind w:right="11"/>
              <w:jc w:val="center"/>
              <w:rPr>
                <w:rFonts w:ascii="宋体" w:hAnsi="宋体"/>
                <w:bCs/>
                <w:snapToGrid w:val="0"/>
                <w:color w:val="auto"/>
                <w:kern w:val="0"/>
                <w:szCs w:val="21"/>
                <w:highlight w:val="none"/>
              </w:rPr>
            </w:pPr>
            <w:r>
              <w:rPr>
                <w:rFonts w:hint="eastAsia" w:ascii="宋体" w:hAnsi="宋体"/>
                <w:bCs/>
                <w:snapToGrid w:val="0"/>
                <w:color w:val="auto"/>
                <w:kern w:val="0"/>
                <w:szCs w:val="21"/>
                <w:highlight w:val="none"/>
              </w:rPr>
              <w:t>分项目种类</w:t>
            </w:r>
          </w:p>
        </w:tc>
        <w:tc>
          <w:tcPr>
            <w:tcW w:w="2066" w:type="dxa"/>
            <w:vAlign w:val="center"/>
          </w:tcPr>
          <w:p w14:paraId="556BB100">
            <w:pPr>
              <w:adjustRightInd w:val="0"/>
              <w:snapToGrid w:val="0"/>
              <w:spacing w:line="240" w:lineRule="exact"/>
              <w:ind w:right="11"/>
              <w:jc w:val="center"/>
              <w:rPr>
                <w:rFonts w:ascii="宋体" w:hAnsi="宋体"/>
                <w:bCs/>
                <w:snapToGrid w:val="0"/>
                <w:color w:val="auto"/>
                <w:kern w:val="0"/>
                <w:sz w:val="22"/>
                <w:szCs w:val="21"/>
                <w:highlight w:val="none"/>
              </w:rPr>
            </w:pPr>
            <w:r>
              <w:rPr>
                <w:rFonts w:hint="eastAsia" w:ascii="宋体" w:hAnsi="宋体"/>
                <w:bCs/>
                <w:snapToGrid w:val="0"/>
                <w:color w:val="auto"/>
                <w:kern w:val="0"/>
                <w:sz w:val="22"/>
                <w:szCs w:val="21"/>
                <w:highlight w:val="none"/>
              </w:rPr>
              <w:t>分部分项</w:t>
            </w:r>
          </w:p>
          <w:p w14:paraId="393A663F">
            <w:pPr>
              <w:adjustRightInd w:val="0"/>
              <w:snapToGrid w:val="0"/>
              <w:ind w:right="11"/>
              <w:jc w:val="center"/>
              <w:rPr>
                <w:rFonts w:ascii="宋体" w:hAnsi="宋体"/>
                <w:bCs/>
                <w:snapToGrid w:val="0"/>
                <w:color w:val="auto"/>
                <w:kern w:val="0"/>
                <w:szCs w:val="21"/>
                <w:highlight w:val="none"/>
              </w:rPr>
            </w:pPr>
            <w:r>
              <w:rPr>
                <w:rFonts w:hint="eastAsia" w:ascii="宋体" w:hAnsi="宋体"/>
                <w:bCs/>
                <w:snapToGrid w:val="0"/>
                <w:color w:val="auto"/>
                <w:kern w:val="0"/>
                <w:sz w:val="22"/>
                <w:szCs w:val="21"/>
                <w:highlight w:val="none"/>
              </w:rPr>
              <w:t>工程名称</w:t>
            </w:r>
          </w:p>
        </w:tc>
        <w:tc>
          <w:tcPr>
            <w:tcW w:w="634" w:type="dxa"/>
            <w:vAlign w:val="center"/>
          </w:tcPr>
          <w:p w14:paraId="501DC064">
            <w:pPr>
              <w:adjustRightInd w:val="0"/>
              <w:snapToGrid w:val="0"/>
              <w:ind w:right="11"/>
              <w:jc w:val="center"/>
              <w:rPr>
                <w:rFonts w:ascii="宋体" w:hAnsi="宋体"/>
                <w:bCs/>
                <w:snapToGrid w:val="0"/>
                <w:color w:val="auto"/>
                <w:kern w:val="0"/>
                <w:szCs w:val="21"/>
                <w:highlight w:val="none"/>
              </w:rPr>
            </w:pPr>
            <w:r>
              <w:rPr>
                <w:rFonts w:hint="eastAsia" w:ascii="宋体" w:hAnsi="宋体"/>
                <w:bCs/>
                <w:snapToGrid w:val="0"/>
                <w:color w:val="auto"/>
                <w:kern w:val="0"/>
                <w:szCs w:val="21"/>
                <w:highlight w:val="none"/>
              </w:rPr>
              <w:t>施工</w:t>
            </w:r>
          </w:p>
        </w:tc>
        <w:tc>
          <w:tcPr>
            <w:tcW w:w="720" w:type="dxa"/>
            <w:vAlign w:val="center"/>
          </w:tcPr>
          <w:p w14:paraId="6278D558">
            <w:pPr>
              <w:adjustRightInd w:val="0"/>
              <w:snapToGrid w:val="0"/>
              <w:ind w:right="11"/>
              <w:jc w:val="center"/>
              <w:rPr>
                <w:rFonts w:ascii="宋体" w:hAnsi="宋体"/>
                <w:bCs/>
                <w:snapToGrid w:val="0"/>
                <w:color w:val="auto"/>
                <w:kern w:val="0"/>
                <w:szCs w:val="21"/>
                <w:highlight w:val="none"/>
              </w:rPr>
            </w:pPr>
            <w:r>
              <w:rPr>
                <w:rFonts w:hint="eastAsia" w:ascii="宋体" w:hAnsi="宋体"/>
                <w:bCs/>
                <w:snapToGrid w:val="0"/>
                <w:color w:val="auto"/>
                <w:kern w:val="0"/>
                <w:szCs w:val="21"/>
                <w:highlight w:val="none"/>
              </w:rPr>
              <w:t>安装</w:t>
            </w:r>
          </w:p>
        </w:tc>
        <w:tc>
          <w:tcPr>
            <w:tcW w:w="720" w:type="dxa"/>
            <w:vAlign w:val="center"/>
          </w:tcPr>
          <w:p w14:paraId="3056E188">
            <w:pPr>
              <w:adjustRightInd w:val="0"/>
              <w:snapToGrid w:val="0"/>
              <w:ind w:right="11"/>
              <w:jc w:val="center"/>
              <w:rPr>
                <w:rFonts w:ascii="宋体" w:hAnsi="宋体"/>
                <w:bCs/>
                <w:snapToGrid w:val="0"/>
                <w:color w:val="auto"/>
                <w:kern w:val="0"/>
                <w:szCs w:val="21"/>
                <w:highlight w:val="none"/>
              </w:rPr>
            </w:pPr>
            <w:r>
              <w:rPr>
                <w:rFonts w:hint="eastAsia" w:ascii="宋体" w:hAnsi="宋体"/>
                <w:bCs/>
                <w:snapToGrid w:val="0"/>
                <w:color w:val="auto"/>
                <w:kern w:val="0"/>
                <w:szCs w:val="21"/>
                <w:highlight w:val="none"/>
              </w:rPr>
              <w:t>采购</w:t>
            </w:r>
          </w:p>
        </w:tc>
        <w:tc>
          <w:tcPr>
            <w:tcW w:w="1080" w:type="dxa"/>
            <w:vAlign w:val="center"/>
          </w:tcPr>
          <w:p w14:paraId="728EEFC1">
            <w:pPr>
              <w:adjustRightInd w:val="0"/>
              <w:snapToGrid w:val="0"/>
              <w:ind w:right="11"/>
              <w:jc w:val="center"/>
              <w:rPr>
                <w:rFonts w:ascii="宋体" w:hAnsi="宋体"/>
                <w:bCs/>
                <w:snapToGrid w:val="0"/>
                <w:color w:val="auto"/>
                <w:kern w:val="0"/>
                <w:szCs w:val="21"/>
                <w:highlight w:val="none"/>
              </w:rPr>
            </w:pPr>
            <w:r>
              <w:rPr>
                <w:rFonts w:hint="eastAsia" w:ascii="宋体" w:hAnsi="宋体"/>
                <w:bCs/>
                <w:snapToGrid w:val="0"/>
                <w:color w:val="auto"/>
                <w:kern w:val="0"/>
                <w:szCs w:val="21"/>
                <w:highlight w:val="none"/>
              </w:rPr>
              <w:t>总承包管理及配合服</w:t>
            </w:r>
            <w:r>
              <w:rPr>
                <w:rFonts w:ascii="宋体" w:hAnsi="宋体"/>
                <w:bCs/>
                <w:snapToGrid w:val="0"/>
                <w:color w:val="auto"/>
                <w:kern w:val="0"/>
                <w:szCs w:val="21"/>
                <w:highlight w:val="none"/>
              </w:rPr>
              <w:t xml:space="preserve">   </w:t>
            </w:r>
            <w:r>
              <w:rPr>
                <w:rFonts w:hint="eastAsia" w:ascii="宋体" w:hAnsi="宋体"/>
                <w:bCs/>
                <w:snapToGrid w:val="0"/>
                <w:color w:val="auto"/>
                <w:kern w:val="0"/>
                <w:szCs w:val="21"/>
                <w:highlight w:val="none"/>
              </w:rPr>
              <w:t>务</w:t>
            </w:r>
          </w:p>
        </w:tc>
        <w:tc>
          <w:tcPr>
            <w:tcW w:w="1080" w:type="dxa"/>
            <w:vAlign w:val="center"/>
          </w:tcPr>
          <w:p w14:paraId="6EAE8A17">
            <w:pPr>
              <w:adjustRightInd w:val="0"/>
              <w:snapToGrid w:val="0"/>
              <w:ind w:right="11"/>
              <w:jc w:val="center"/>
              <w:rPr>
                <w:rFonts w:ascii="宋体" w:hAnsi="宋体"/>
                <w:bCs/>
                <w:snapToGrid w:val="0"/>
                <w:color w:val="auto"/>
                <w:kern w:val="0"/>
                <w:szCs w:val="21"/>
                <w:highlight w:val="none"/>
              </w:rPr>
            </w:pPr>
            <w:r>
              <w:rPr>
                <w:rFonts w:hint="eastAsia" w:ascii="宋体" w:hAnsi="宋体"/>
                <w:bCs/>
                <w:snapToGrid w:val="0"/>
                <w:color w:val="auto"/>
                <w:kern w:val="0"/>
                <w:szCs w:val="21"/>
                <w:highlight w:val="none"/>
              </w:rPr>
              <w:t>发包人协助</w:t>
            </w:r>
            <w:r>
              <w:rPr>
                <w:rFonts w:ascii="宋体" w:hAnsi="宋体"/>
                <w:bCs/>
                <w:snapToGrid w:val="0"/>
                <w:color w:val="auto"/>
                <w:kern w:val="0"/>
                <w:szCs w:val="21"/>
                <w:highlight w:val="none"/>
              </w:rPr>
              <w:t xml:space="preserve"> </w:t>
            </w:r>
            <w:r>
              <w:rPr>
                <w:rFonts w:hint="eastAsia" w:ascii="宋体" w:hAnsi="宋体"/>
                <w:bCs/>
                <w:snapToGrid w:val="0"/>
                <w:color w:val="auto"/>
                <w:kern w:val="0"/>
                <w:szCs w:val="21"/>
                <w:highlight w:val="none"/>
              </w:rPr>
              <w:t>分</w:t>
            </w:r>
            <w:r>
              <w:rPr>
                <w:rFonts w:ascii="宋体" w:hAnsi="宋体"/>
                <w:bCs/>
                <w:snapToGrid w:val="0"/>
                <w:color w:val="auto"/>
                <w:kern w:val="0"/>
                <w:szCs w:val="21"/>
                <w:highlight w:val="none"/>
              </w:rPr>
              <w:t xml:space="preserve"> </w:t>
            </w:r>
            <w:r>
              <w:rPr>
                <w:rFonts w:hint="eastAsia" w:ascii="宋体" w:hAnsi="宋体"/>
                <w:bCs/>
                <w:snapToGrid w:val="0"/>
                <w:color w:val="auto"/>
                <w:kern w:val="0"/>
                <w:szCs w:val="21"/>
                <w:highlight w:val="none"/>
              </w:rPr>
              <w:t>包</w:t>
            </w:r>
          </w:p>
        </w:tc>
        <w:tc>
          <w:tcPr>
            <w:tcW w:w="860" w:type="dxa"/>
            <w:vAlign w:val="center"/>
          </w:tcPr>
          <w:p w14:paraId="492DF10C">
            <w:pPr>
              <w:adjustRightInd w:val="0"/>
              <w:snapToGrid w:val="0"/>
              <w:ind w:right="11"/>
              <w:jc w:val="center"/>
              <w:rPr>
                <w:rFonts w:ascii="宋体" w:hAnsi="宋体"/>
                <w:bCs/>
                <w:snapToGrid w:val="0"/>
                <w:color w:val="auto"/>
                <w:kern w:val="0"/>
                <w:szCs w:val="21"/>
                <w:highlight w:val="none"/>
              </w:rPr>
            </w:pPr>
            <w:r>
              <w:rPr>
                <w:rFonts w:hint="eastAsia" w:ascii="宋体" w:hAnsi="宋体"/>
                <w:bCs/>
                <w:snapToGrid w:val="0"/>
                <w:color w:val="auto"/>
                <w:kern w:val="0"/>
                <w:szCs w:val="21"/>
                <w:highlight w:val="none"/>
              </w:rPr>
              <w:t>备</w:t>
            </w:r>
            <w:r>
              <w:rPr>
                <w:rFonts w:ascii="宋体" w:hAnsi="宋体"/>
                <w:bCs/>
                <w:snapToGrid w:val="0"/>
                <w:color w:val="auto"/>
                <w:kern w:val="0"/>
                <w:szCs w:val="21"/>
                <w:highlight w:val="none"/>
              </w:rPr>
              <w:t xml:space="preserve">  </w:t>
            </w:r>
            <w:r>
              <w:rPr>
                <w:rFonts w:hint="eastAsia" w:ascii="宋体" w:hAnsi="宋体"/>
                <w:bCs/>
                <w:snapToGrid w:val="0"/>
                <w:color w:val="auto"/>
                <w:kern w:val="0"/>
                <w:szCs w:val="21"/>
                <w:highlight w:val="none"/>
              </w:rPr>
              <w:t>注</w:t>
            </w:r>
          </w:p>
        </w:tc>
      </w:tr>
      <w:tr w14:paraId="5950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9" w:type="dxa"/>
            <w:vMerge w:val="restart"/>
            <w:vAlign w:val="center"/>
          </w:tcPr>
          <w:p w14:paraId="358F7BCD">
            <w:pPr>
              <w:adjustRightInd w:val="0"/>
              <w:snapToGrid w:val="0"/>
              <w:jc w:val="center"/>
              <w:rPr>
                <w:rFonts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1620" w:type="dxa"/>
            <w:vMerge w:val="restart"/>
            <w:vAlign w:val="center"/>
          </w:tcPr>
          <w:p w14:paraId="567FEA8D">
            <w:pPr>
              <w:adjustRightInd w:val="0"/>
              <w:snapToGrid w:val="0"/>
              <w:ind w:right="11"/>
              <w:rPr>
                <w:rFonts w:ascii="宋体" w:hAnsi="宋体"/>
                <w:bCs/>
                <w:snapToGrid w:val="0"/>
                <w:color w:val="auto"/>
                <w:kern w:val="0"/>
                <w:szCs w:val="21"/>
                <w:highlight w:val="none"/>
              </w:rPr>
            </w:pPr>
            <w:r>
              <w:rPr>
                <w:rFonts w:hint="eastAsia" w:ascii="宋体" w:hAnsi="宋体"/>
                <w:bCs/>
                <w:snapToGrid w:val="0"/>
                <w:color w:val="auto"/>
                <w:kern w:val="0"/>
                <w:szCs w:val="21"/>
                <w:highlight w:val="none"/>
              </w:rPr>
              <w:t>承包人自行施工项目</w:t>
            </w:r>
          </w:p>
        </w:tc>
        <w:tc>
          <w:tcPr>
            <w:tcW w:w="2066" w:type="dxa"/>
            <w:vAlign w:val="center"/>
          </w:tcPr>
          <w:p w14:paraId="0A712600">
            <w:pPr>
              <w:pStyle w:val="62"/>
              <w:spacing w:line="240" w:lineRule="auto"/>
              <w:ind w:firstLine="0" w:firstLineChars="0"/>
              <w:jc w:val="center"/>
              <w:rPr>
                <w:rFonts w:ascii="宋体" w:hAnsi="宋体"/>
                <w:color w:val="auto"/>
                <w:kern w:val="2"/>
                <w:highlight w:val="none"/>
              </w:rPr>
            </w:pPr>
            <w:r>
              <w:rPr>
                <w:rFonts w:hint="eastAsia" w:ascii="宋体" w:hAnsi="宋体"/>
                <w:color w:val="auto"/>
                <w:kern w:val="2"/>
                <w:highlight w:val="none"/>
              </w:rPr>
              <w:t>土建工程</w:t>
            </w:r>
          </w:p>
        </w:tc>
        <w:tc>
          <w:tcPr>
            <w:tcW w:w="634" w:type="dxa"/>
            <w:vAlign w:val="center"/>
          </w:tcPr>
          <w:p w14:paraId="255EBB87">
            <w:pPr>
              <w:adjustRightInd w:val="0"/>
              <w:snapToGrid w:val="0"/>
              <w:jc w:val="center"/>
              <w:rPr>
                <w:rFonts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720" w:type="dxa"/>
            <w:vAlign w:val="center"/>
          </w:tcPr>
          <w:p w14:paraId="51C27560">
            <w:pPr>
              <w:adjustRightInd w:val="0"/>
              <w:snapToGrid w:val="0"/>
              <w:jc w:val="center"/>
              <w:rPr>
                <w:rFonts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720" w:type="dxa"/>
            <w:vAlign w:val="center"/>
          </w:tcPr>
          <w:p w14:paraId="00CA15A9">
            <w:pPr>
              <w:adjustRightInd w:val="0"/>
              <w:snapToGrid w:val="0"/>
              <w:jc w:val="center"/>
              <w:rPr>
                <w:rFonts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1080" w:type="dxa"/>
            <w:vAlign w:val="center"/>
          </w:tcPr>
          <w:p w14:paraId="37B2F351">
            <w:pPr>
              <w:adjustRightInd w:val="0"/>
              <w:snapToGrid w:val="0"/>
              <w:jc w:val="center"/>
              <w:rPr>
                <w:rFonts w:ascii="宋体" w:hAnsi="宋体"/>
                <w:bCs/>
                <w:snapToGrid w:val="0"/>
                <w:color w:val="auto"/>
                <w:kern w:val="0"/>
                <w:sz w:val="18"/>
                <w:szCs w:val="18"/>
                <w:highlight w:val="none"/>
                <w:bdr w:val="single" w:color="auto" w:sz="4" w:space="0"/>
              </w:rPr>
            </w:pPr>
            <w:r>
              <w:rPr>
                <w:rFonts w:hint="eastAsia" w:ascii="宋体" w:hAnsi="宋体"/>
                <w:b/>
                <w:bCs/>
                <w:snapToGrid w:val="0"/>
                <w:color w:val="auto"/>
                <w:kern w:val="0"/>
                <w:szCs w:val="21"/>
                <w:highlight w:val="none"/>
                <w:bdr w:val="single" w:color="auto" w:sz="4" w:space="0"/>
              </w:rPr>
              <w:t>√</w:t>
            </w:r>
          </w:p>
        </w:tc>
        <w:tc>
          <w:tcPr>
            <w:tcW w:w="1080" w:type="dxa"/>
            <w:vAlign w:val="center"/>
          </w:tcPr>
          <w:p w14:paraId="4CA75ADD">
            <w:pPr>
              <w:adjustRightInd w:val="0"/>
              <w:snapToGrid w:val="0"/>
              <w:jc w:val="center"/>
              <w:rPr>
                <w:rFonts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860" w:type="dxa"/>
            <w:vAlign w:val="center"/>
          </w:tcPr>
          <w:p w14:paraId="397423D1">
            <w:pPr>
              <w:adjustRightInd w:val="0"/>
              <w:snapToGrid w:val="0"/>
              <w:ind w:right="11"/>
              <w:jc w:val="center"/>
              <w:rPr>
                <w:rFonts w:ascii="宋体" w:hAnsi="宋体"/>
                <w:bCs/>
                <w:snapToGrid w:val="0"/>
                <w:color w:val="auto"/>
                <w:kern w:val="0"/>
                <w:szCs w:val="21"/>
                <w:highlight w:val="none"/>
              </w:rPr>
            </w:pPr>
          </w:p>
        </w:tc>
      </w:tr>
      <w:tr w14:paraId="7324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9" w:type="dxa"/>
            <w:vMerge w:val="continue"/>
            <w:vAlign w:val="center"/>
          </w:tcPr>
          <w:p w14:paraId="6EB715C4">
            <w:pPr>
              <w:adjustRightInd w:val="0"/>
              <w:snapToGrid w:val="0"/>
              <w:jc w:val="center"/>
              <w:rPr>
                <w:rFonts w:ascii="宋体" w:hAnsi="宋体"/>
                <w:bCs/>
                <w:snapToGrid w:val="0"/>
                <w:color w:val="auto"/>
                <w:kern w:val="0"/>
                <w:sz w:val="18"/>
                <w:szCs w:val="18"/>
                <w:highlight w:val="none"/>
                <w:bdr w:val="single" w:color="auto" w:sz="4" w:space="0"/>
              </w:rPr>
            </w:pPr>
          </w:p>
        </w:tc>
        <w:tc>
          <w:tcPr>
            <w:tcW w:w="1620" w:type="dxa"/>
            <w:vMerge w:val="continue"/>
            <w:vAlign w:val="center"/>
          </w:tcPr>
          <w:p w14:paraId="3A2A2213">
            <w:pPr>
              <w:adjustRightInd w:val="0"/>
              <w:snapToGrid w:val="0"/>
              <w:ind w:right="11"/>
              <w:rPr>
                <w:rFonts w:ascii="宋体" w:hAnsi="宋体"/>
                <w:bCs/>
                <w:snapToGrid w:val="0"/>
                <w:color w:val="auto"/>
                <w:kern w:val="0"/>
                <w:szCs w:val="21"/>
                <w:highlight w:val="none"/>
              </w:rPr>
            </w:pPr>
          </w:p>
        </w:tc>
        <w:tc>
          <w:tcPr>
            <w:tcW w:w="2066" w:type="dxa"/>
            <w:vAlign w:val="center"/>
          </w:tcPr>
          <w:p w14:paraId="19A10E76">
            <w:pPr>
              <w:pStyle w:val="62"/>
              <w:spacing w:line="240" w:lineRule="auto"/>
              <w:ind w:firstLine="0" w:firstLineChars="0"/>
              <w:jc w:val="center"/>
              <w:rPr>
                <w:rFonts w:ascii="宋体" w:hAnsi="宋体"/>
                <w:color w:val="auto"/>
                <w:kern w:val="2"/>
                <w:highlight w:val="none"/>
              </w:rPr>
            </w:pPr>
            <w:r>
              <w:rPr>
                <w:rFonts w:hint="eastAsia" w:ascii="宋体" w:hAnsi="宋体"/>
                <w:color w:val="auto"/>
                <w:kern w:val="2"/>
                <w:highlight w:val="none"/>
              </w:rPr>
              <w:t>安装工程</w:t>
            </w:r>
          </w:p>
        </w:tc>
        <w:tc>
          <w:tcPr>
            <w:tcW w:w="634" w:type="dxa"/>
            <w:vAlign w:val="center"/>
          </w:tcPr>
          <w:p w14:paraId="048280DB">
            <w:pPr>
              <w:adjustRightInd w:val="0"/>
              <w:snapToGrid w:val="0"/>
              <w:jc w:val="center"/>
              <w:rPr>
                <w:rFonts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720" w:type="dxa"/>
            <w:vAlign w:val="center"/>
          </w:tcPr>
          <w:p w14:paraId="310DFF4C">
            <w:pPr>
              <w:adjustRightInd w:val="0"/>
              <w:snapToGrid w:val="0"/>
              <w:jc w:val="center"/>
              <w:rPr>
                <w:rFonts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720" w:type="dxa"/>
            <w:vAlign w:val="center"/>
          </w:tcPr>
          <w:p w14:paraId="3C554143">
            <w:pPr>
              <w:adjustRightInd w:val="0"/>
              <w:snapToGrid w:val="0"/>
              <w:jc w:val="center"/>
              <w:rPr>
                <w:rFonts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1080" w:type="dxa"/>
            <w:vAlign w:val="center"/>
          </w:tcPr>
          <w:p w14:paraId="7C641524">
            <w:pPr>
              <w:adjustRightInd w:val="0"/>
              <w:snapToGrid w:val="0"/>
              <w:jc w:val="center"/>
              <w:rPr>
                <w:rFonts w:ascii="宋体" w:hAnsi="宋体"/>
                <w:bCs/>
                <w:snapToGrid w:val="0"/>
                <w:color w:val="auto"/>
                <w:kern w:val="0"/>
                <w:sz w:val="18"/>
                <w:szCs w:val="18"/>
                <w:highlight w:val="none"/>
                <w:bdr w:val="single" w:color="auto" w:sz="4" w:space="0"/>
              </w:rPr>
            </w:pPr>
            <w:r>
              <w:rPr>
                <w:rFonts w:hint="eastAsia" w:ascii="宋体" w:hAnsi="宋体"/>
                <w:b/>
                <w:bCs/>
                <w:snapToGrid w:val="0"/>
                <w:color w:val="auto"/>
                <w:kern w:val="0"/>
                <w:szCs w:val="21"/>
                <w:highlight w:val="none"/>
                <w:bdr w:val="single" w:color="auto" w:sz="4" w:space="0"/>
              </w:rPr>
              <w:t>√</w:t>
            </w:r>
          </w:p>
        </w:tc>
        <w:tc>
          <w:tcPr>
            <w:tcW w:w="1080" w:type="dxa"/>
            <w:vAlign w:val="center"/>
          </w:tcPr>
          <w:p w14:paraId="671DAFAD">
            <w:pPr>
              <w:adjustRightInd w:val="0"/>
              <w:snapToGrid w:val="0"/>
              <w:jc w:val="center"/>
              <w:rPr>
                <w:rFonts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860" w:type="dxa"/>
            <w:vAlign w:val="center"/>
          </w:tcPr>
          <w:p w14:paraId="72E6F014">
            <w:pPr>
              <w:adjustRightInd w:val="0"/>
              <w:snapToGrid w:val="0"/>
              <w:ind w:right="11"/>
              <w:jc w:val="center"/>
              <w:rPr>
                <w:rFonts w:ascii="宋体" w:hAnsi="宋体"/>
                <w:bCs/>
                <w:snapToGrid w:val="0"/>
                <w:color w:val="auto"/>
                <w:kern w:val="0"/>
                <w:szCs w:val="21"/>
                <w:highlight w:val="none"/>
              </w:rPr>
            </w:pPr>
          </w:p>
        </w:tc>
      </w:tr>
      <w:tr w14:paraId="0F5F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Merge w:val="continue"/>
            <w:vAlign w:val="center"/>
          </w:tcPr>
          <w:p w14:paraId="78919CB0">
            <w:pPr>
              <w:adjustRightInd w:val="0"/>
              <w:snapToGrid w:val="0"/>
              <w:jc w:val="center"/>
              <w:rPr>
                <w:rFonts w:ascii="宋体" w:hAnsi="宋体"/>
                <w:bCs/>
                <w:snapToGrid w:val="0"/>
                <w:color w:val="auto"/>
                <w:kern w:val="0"/>
                <w:sz w:val="18"/>
                <w:szCs w:val="18"/>
                <w:highlight w:val="none"/>
                <w:bdr w:val="single" w:color="auto" w:sz="4" w:space="0"/>
              </w:rPr>
            </w:pPr>
          </w:p>
        </w:tc>
        <w:tc>
          <w:tcPr>
            <w:tcW w:w="1620" w:type="dxa"/>
            <w:vMerge w:val="continue"/>
            <w:vAlign w:val="center"/>
          </w:tcPr>
          <w:p w14:paraId="1805FE5D">
            <w:pPr>
              <w:adjustRightInd w:val="0"/>
              <w:snapToGrid w:val="0"/>
              <w:ind w:right="11"/>
              <w:rPr>
                <w:rFonts w:ascii="宋体" w:hAnsi="宋体"/>
                <w:bCs/>
                <w:snapToGrid w:val="0"/>
                <w:color w:val="auto"/>
                <w:kern w:val="0"/>
                <w:szCs w:val="21"/>
                <w:highlight w:val="none"/>
              </w:rPr>
            </w:pPr>
          </w:p>
        </w:tc>
        <w:tc>
          <w:tcPr>
            <w:tcW w:w="2066" w:type="dxa"/>
            <w:vAlign w:val="center"/>
          </w:tcPr>
          <w:p w14:paraId="10F33215">
            <w:pPr>
              <w:pStyle w:val="62"/>
              <w:spacing w:line="240" w:lineRule="auto"/>
              <w:ind w:firstLine="0" w:firstLineChars="0"/>
              <w:jc w:val="center"/>
              <w:rPr>
                <w:rFonts w:ascii="宋体" w:hAnsi="宋体"/>
                <w:color w:val="auto"/>
                <w:kern w:val="2"/>
                <w:highlight w:val="none"/>
              </w:rPr>
            </w:pPr>
            <w:r>
              <w:rPr>
                <w:rFonts w:hint="eastAsia" w:ascii="宋体" w:hAnsi="宋体"/>
                <w:color w:val="auto"/>
                <w:kern w:val="2"/>
                <w:highlight w:val="none"/>
              </w:rPr>
              <w:t>室外工程</w:t>
            </w:r>
          </w:p>
        </w:tc>
        <w:tc>
          <w:tcPr>
            <w:tcW w:w="634" w:type="dxa"/>
            <w:vAlign w:val="center"/>
          </w:tcPr>
          <w:p w14:paraId="41A7A3F4">
            <w:pPr>
              <w:jc w:val="center"/>
              <w:rPr>
                <w:color w:val="auto"/>
                <w:highlight w:val="none"/>
              </w:rPr>
            </w:pPr>
            <w:r>
              <w:rPr>
                <w:rFonts w:hint="eastAsia" w:ascii="宋体" w:hAnsi="宋体"/>
                <w:bCs/>
                <w:snapToGrid w:val="0"/>
                <w:color w:val="auto"/>
                <w:kern w:val="0"/>
                <w:sz w:val="18"/>
                <w:szCs w:val="18"/>
                <w:highlight w:val="none"/>
                <w:bdr w:val="single" w:color="auto" w:sz="4" w:space="0"/>
              </w:rPr>
              <w:t>√</w:t>
            </w:r>
          </w:p>
        </w:tc>
        <w:tc>
          <w:tcPr>
            <w:tcW w:w="720" w:type="dxa"/>
            <w:vAlign w:val="center"/>
          </w:tcPr>
          <w:p w14:paraId="01B4FB20">
            <w:pPr>
              <w:jc w:val="center"/>
              <w:rPr>
                <w:color w:val="auto"/>
                <w:highlight w:val="none"/>
              </w:rPr>
            </w:pPr>
            <w:r>
              <w:rPr>
                <w:rFonts w:hint="eastAsia" w:ascii="宋体" w:hAnsi="宋体"/>
                <w:bCs/>
                <w:snapToGrid w:val="0"/>
                <w:color w:val="auto"/>
                <w:kern w:val="0"/>
                <w:sz w:val="18"/>
                <w:szCs w:val="18"/>
                <w:highlight w:val="none"/>
                <w:bdr w:val="single" w:color="auto" w:sz="4" w:space="0"/>
              </w:rPr>
              <w:t>√</w:t>
            </w:r>
          </w:p>
        </w:tc>
        <w:tc>
          <w:tcPr>
            <w:tcW w:w="720" w:type="dxa"/>
            <w:vAlign w:val="center"/>
          </w:tcPr>
          <w:p w14:paraId="2E43A17F">
            <w:pPr>
              <w:jc w:val="center"/>
              <w:rPr>
                <w:color w:val="auto"/>
                <w:highlight w:val="none"/>
              </w:rPr>
            </w:pPr>
            <w:r>
              <w:rPr>
                <w:rFonts w:hint="eastAsia" w:ascii="宋体" w:hAnsi="宋体"/>
                <w:bCs/>
                <w:snapToGrid w:val="0"/>
                <w:color w:val="auto"/>
                <w:kern w:val="0"/>
                <w:sz w:val="18"/>
                <w:szCs w:val="18"/>
                <w:highlight w:val="none"/>
                <w:bdr w:val="single" w:color="auto" w:sz="4" w:space="0"/>
              </w:rPr>
              <w:t>√</w:t>
            </w:r>
          </w:p>
        </w:tc>
        <w:tc>
          <w:tcPr>
            <w:tcW w:w="1080" w:type="dxa"/>
            <w:vAlign w:val="center"/>
          </w:tcPr>
          <w:p w14:paraId="4AFF70F8">
            <w:pPr>
              <w:jc w:val="center"/>
              <w:rPr>
                <w:color w:val="auto"/>
                <w:highlight w:val="none"/>
              </w:rPr>
            </w:pPr>
            <w:r>
              <w:rPr>
                <w:rFonts w:hint="eastAsia" w:ascii="宋体" w:hAnsi="宋体"/>
                <w:b/>
                <w:bCs/>
                <w:snapToGrid w:val="0"/>
                <w:color w:val="auto"/>
                <w:kern w:val="0"/>
                <w:szCs w:val="21"/>
                <w:highlight w:val="none"/>
                <w:bdr w:val="single" w:color="auto" w:sz="4" w:space="0"/>
              </w:rPr>
              <w:t>√</w:t>
            </w:r>
          </w:p>
        </w:tc>
        <w:tc>
          <w:tcPr>
            <w:tcW w:w="1080" w:type="dxa"/>
            <w:vAlign w:val="center"/>
          </w:tcPr>
          <w:p w14:paraId="53ADB83D">
            <w:pPr>
              <w:jc w:val="center"/>
              <w:rPr>
                <w:color w:val="auto"/>
                <w:highlight w:val="none"/>
              </w:rPr>
            </w:pPr>
            <w:r>
              <w:rPr>
                <w:rFonts w:hint="eastAsia" w:ascii="宋体" w:hAnsi="宋体"/>
                <w:bCs/>
                <w:snapToGrid w:val="0"/>
                <w:color w:val="auto"/>
                <w:kern w:val="0"/>
                <w:sz w:val="18"/>
                <w:szCs w:val="18"/>
                <w:highlight w:val="none"/>
                <w:bdr w:val="single" w:color="auto" w:sz="4" w:space="0"/>
              </w:rPr>
              <w:t>×</w:t>
            </w:r>
          </w:p>
        </w:tc>
        <w:tc>
          <w:tcPr>
            <w:tcW w:w="860" w:type="dxa"/>
            <w:vAlign w:val="center"/>
          </w:tcPr>
          <w:p w14:paraId="645E2848">
            <w:pPr>
              <w:adjustRightInd w:val="0"/>
              <w:snapToGrid w:val="0"/>
              <w:ind w:right="11"/>
              <w:jc w:val="center"/>
              <w:rPr>
                <w:rFonts w:ascii="宋体" w:hAnsi="宋体"/>
                <w:bCs/>
                <w:snapToGrid w:val="0"/>
                <w:color w:val="auto"/>
                <w:kern w:val="0"/>
                <w:szCs w:val="21"/>
                <w:highlight w:val="none"/>
              </w:rPr>
            </w:pPr>
          </w:p>
        </w:tc>
      </w:tr>
      <w:tr w14:paraId="187B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Merge w:val="continue"/>
            <w:vAlign w:val="center"/>
          </w:tcPr>
          <w:p w14:paraId="008A8EFD">
            <w:pPr>
              <w:adjustRightInd w:val="0"/>
              <w:snapToGrid w:val="0"/>
              <w:jc w:val="center"/>
              <w:rPr>
                <w:rFonts w:ascii="宋体" w:hAnsi="宋体"/>
                <w:bCs/>
                <w:snapToGrid w:val="0"/>
                <w:color w:val="auto"/>
                <w:kern w:val="0"/>
                <w:sz w:val="18"/>
                <w:szCs w:val="18"/>
                <w:highlight w:val="none"/>
                <w:bdr w:val="single" w:color="auto" w:sz="4" w:space="0"/>
              </w:rPr>
            </w:pPr>
          </w:p>
        </w:tc>
        <w:tc>
          <w:tcPr>
            <w:tcW w:w="1620" w:type="dxa"/>
            <w:vMerge w:val="continue"/>
            <w:vAlign w:val="center"/>
          </w:tcPr>
          <w:p w14:paraId="78E6D994">
            <w:pPr>
              <w:adjustRightInd w:val="0"/>
              <w:snapToGrid w:val="0"/>
              <w:ind w:right="11"/>
              <w:rPr>
                <w:rFonts w:ascii="宋体" w:hAnsi="宋体"/>
                <w:bCs/>
                <w:snapToGrid w:val="0"/>
                <w:color w:val="auto"/>
                <w:kern w:val="0"/>
                <w:szCs w:val="21"/>
                <w:highlight w:val="none"/>
              </w:rPr>
            </w:pPr>
          </w:p>
        </w:tc>
        <w:tc>
          <w:tcPr>
            <w:tcW w:w="2066" w:type="dxa"/>
            <w:vAlign w:val="center"/>
          </w:tcPr>
          <w:p w14:paraId="4BCB38D9">
            <w:pPr>
              <w:pStyle w:val="62"/>
              <w:spacing w:line="240" w:lineRule="auto"/>
              <w:ind w:firstLine="0" w:firstLineChars="0"/>
              <w:jc w:val="center"/>
              <w:rPr>
                <w:rFonts w:ascii="宋体" w:hAnsi="宋体"/>
                <w:color w:val="auto"/>
                <w:kern w:val="2"/>
                <w:highlight w:val="none"/>
              </w:rPr>
            </w:pPr>
            <w:r>
              <w:rPr>
                <w:rFonts w:hint="eastAsia" w:ascii="宋体" w:hAnsi="宋体"/>
                <w:color w:val="auto"/>
                <w:kern w:val="2"/>
                <w:highlight w:val="none"/>
              </w:rPr>
              <w:t>其他工程</w:t>
            </w:r>
          </w:p>
        </w:tc>
        <w:tc>
          <w:tcPr>
            <w:tcW w:w="634" w:type="dxa"/>
            <w:vAlign w:val="center"/>
          </w:tcPr>
          <w:p w14:paraId="09ECE06C">
            <w:pPr>
              <w:adjustRightInd w:val="0"/>
              <w:snapToGrid w:val="0"/>
              <w:jc w:val="center"/>
              <w:rPr>
                <w:rFonts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720" w:type="dxa"/>
            <w:vAlign w:val="center"/>
          </w:tcPr>
          <w:p w14:paraId="318EB268">
            <w:pPr>
              <w:adjustRightInd w:val="0"/>
              <w:snapToGrid w:val="0"/>
              <w:jc w:val="center"/>
              <w:rPr>
                <w:rFonts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720" w:type="dxa"/>
            <w:vAlign w:val="center"/>
          </w:tcPr>
          <w:p w14:paraId="06F99477">
            <w:pPr>
              <w:adjustRightInd w:val="0"/>
              <w:snapToGrid w:val="0"/>
              <w:jc w:val="center"/>
              <w:rPr>
                <w:rFonts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1080" w:type="dxa"/>
            <w:vAlign w:val="center"/>
          </w:tcPr>
          <w:p w14:paraId="00CEDEAD">
            <w:pPr>
              <w:adjustRightInd w:val="0"/>
              <w:snapToGrid w:val="0"/>
              <w:jc w:val="center"/>
              <w:rPr>
                <w:rFonts w:ascii="宋体" w:hAnsi="宋体"/>
                <w:bCs/>
                <w:snapToGrid w:val="0"/>
                <w:color w:val="auto"/>
                <w:kern w:val="0"/>
                <w:sz w:val="18"/>
                <w:szCs w:val="18"/>
                <w:highlight w:val="none"/>
                <w:bdr w:val="single" w:color="auto" w:sz="4" w:space="0"/>
              </w:rPr>
            </w:pPr>
            <w:r>
              <w:rPr>
                <w:rFonts w:hint="eastAsia" w:ascii="宋体" w:hAnsi="宋体"/>
                <w:b/>
                <w:bCs/>
                <w:snapToGrid w:val="0"/>
                <w:color w:val="auto"/>
                <w:kern w:val="0"/>
                <w:szCs w:val="21"/>
                <w:highlight w:val="none"/>
                <w:bdr w:val="single" w:color="auto" w:sz="4" w:space="0"/>
              </w:rPr>
              <w:t>√</w:t>
            </w:r>
          </w:p>
        </w:tc>
        <w:tc>
          <w:tcPr>
            <w:tcW w:w="1080" w:type="dxa"/>
            <w:vAlign w:val="center"/>
          </w:tcPr>
          <w:p w14:paraId="06CAAF2E">
            <w:pPr>
              <w:adjustRightInd w:val="0"/>
              <w:snapToGrid w:val="0"/>
              <w:jc w:val="center"/>
              <w:rPr>
                <w:rFonts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860" w:type="dxa"/>
            <w:vAlign w:val="center"/>
          </w:tcPr>
          <w:p w14:paraId="0A8BAFAC">
            <w:pPr>
              <w:adjustRightInd w:val="0"/>
              <w:snapToGrid w:val="0"/>
              <w:ind w:right="11"/>
              <w:jc w:val="center"/>
              <w:rPr>
                <w:rFonts w:ascii="宋体" w:hAnsi="宋体"/>
                <w:bCs/>
                <w:snapToGrid w:val="0"/>
                <w:color w:val="auto"/>
                <w:kern w:val="0"/>
                <w:szCs w:val="21"/>
                <w:highlight w:val="none"/>
              </w:rPr>
            </w:pPr>
          </w:p>
        </w:tc>
      </w:tr>
      <w:tr w14:paraId="60A9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vAlign w:val="center"/>
          </w:tcPr>
          <w:p w14:paraId="24EC7D7B">
            <w:pPr>
              <w:adjustRightInd w:val="0"/>
              <w:snapToGrid w:val="0"/>
              <w:jc w:val="center"/>
              <w:rPr>
                <w:rFonts w:ascii="宋体" w:hAnsi="宋体"/>
                <w:b/>
                <w:snapToGrid w:val="0"/>
                <w:color w:val="auto"/>
                <w:kern w:val="0"/>
                <w:szCs w:val="21"/>
                <w:highlight w:val="none"/>
              </w:rPr>
            </w:pPr>
            <w:r>
              <w:rPr>
                <w:rFonts w:hint="eastAsia" w:ascii="宋体" w:hAnsi="宋体"/>
                <w:bCs/>
                <w:snapToGrid w:val="0"/>
                <w:color w:val="auto"/>
                <w:kern w:val="0"/>
                <w:sz w:val="18"/>
                <w:szCs w:val="18"/>
                <w:highlight w:val="none"/>
                <w:bdr w:val="single" w:color="auto" w:sz="4" w:space="0"/>
              </w:rPr>
              <w:t>×</w:t>
            </w:r>
          </w:p>
        </w:tc>
        <w:tc>
          <w:tcPr>
            <w:tcW w:w="1620" w:type="dxa"/>
            <w:vAlign w:val="center"/>
          </w:tcPr>
          <w:p w14:paraId="74522AE3">
            <w:pPr>
              <w:adjustRightInd w:val="0"/>
              <w:snapToGrid w:val="0"/>
              <w:spacing w:line="240" w:lineRule="exact"/>
              <w:ind w:right="11"/>
              <w:rPr>
                <w:rFonts w:ascii="宋体" w:hAnsi="宋体"/>
                <w:bCs/>
                <w:snapToGrid w:val="0"/>
                <w:color w:val="auto"/>
                <w:kern w:val="0"/>
                <w:sz w:val="22"/>
                <w:szCs w:val="21"/>
                <w:highlight w:val="none"/>
              </w:rPr>
            </w:pPr>
            <w:r>
              <w:rPr>
                <w:rFonts w:hint="eastAsia" w:ascii="宋体" w:hAnsi="宋体"/>
                <w:bCs/>
                <w:snapToGrid w:val="0"/>
                <w:color w:val="auto"/>
                <w:kern w:val="0"/>
                <w:szCs w:val="21"/>
                <w:highlight w:val="none"/>
              </w:rPr>
              <w:t>承包人分包项目</w:t>
            </w:r>
          </w:p>
        </w:tc>
        <w:tc>
          <w:tcPr>
            <w:tcW w:w="2066" w:type="dxa"/>
            <w:vAlign w:val="center"/>
          </w:tcPr>
          <w:p w14:paraId="382AFB76">
            <w:pPr>
              <w:adjustRightInd w:val="0"/>
              <w:snapToGrid w:val="0"/>
              <w:spacing w:line="240" w:lineRule="exact"/>
              <w:ind w:right="11"/>
              <w:jc w:val="center"/>
              <w:rPr>
                <w:rFonts w:ascii="宋体" w:hAnsi="宋体"/>
                <w:bCs/>
                <w:snapToGrid w:val="0"/>
                <w:color w:val="auto"/>
                <w:kern w:val="0"/>
                <w:sz w:val="22"/>
                <w:szCs w:val="21"/>
                <w:highlight w:val="none"/>
              </w:rPr>
            </w:pPr>
            <w:r>
              <w:rPr>
                <w:rFonts w:hint="eastAsia" w:ascii="宋体" w:hAnsi="宋体"/>
                <w:bCs/>
                <w:snapToGrid w:val="0"/>
                <w:color w:val="auto"/>
                <w:kern w:val="0"/>
                <w:sz w:val="22"/>
                <w:szCs w:val="21"/>
                <w:highlight w:val="none"/>
              </w:rPr>
              <w:t>专业工程</w:t>
            </w:r>
          </w:p>
        </w:tc>
        <w:tc>
          <w:tcPr>
            <w:tcW w:w="634" w:type="dxa"/>
            <w:vAlign w:val="center"/>
          </w:tcPr>
          <w:p w14:paraId="5AEE7A38">
            <w:pPr>
              <w:adjustRightInd w:val="0"/>
              <w:snapToGrid w:val="0"/>
              <w:jc w:val="center"/>
              <w:rPr>
                <w:rFonts w:ascii="宋体" w:hAnsi="宋体"/>
                <w:bCs/>
                <w:snapToGrid w:val="0"/>
                <w:color w:val="auto"/>
                <w:kern w:val="0"/>
                <w:sz w:val="18"/>
                <w:szCs w:val="18"/>
                <w:highlight w:val="none"/>
                <w:bdr w:val="single" w:color="auto" w:sz="4" w:space="0"/>
              </w:rPr>
            </w:pPr>
          </w:p>
        </w:tc>
        <w:tc>
          <w:tcPr>
            <w:tcW w:w="720" w:type="dxa"/>
            <w:vAlign w:val="center"/>
          </w:tcPr>
          <w:p w14:paraId="0B1AFC5B">
            <w:pPr>
              <w:adjustRightInd w:val="0"/>
              <w:snapToGrid w:val="0"/>
              <w:jc w:val="center"/>
              <w:rPr>
                <w:rFonts w:ascii="宋体" w:hAnsi="宋体"/>
                <w:bCs/>
                <w:snapToGrid w:val="0"/>
                <w:color w:val="auto"/>
                <w:kern w:val="0"/>
                <w:sz w:val="18"/>
                <w:szCs w:val="18"/>
                <w:highlight w:val="none"/>
                <w:bdr w:val="single" w:color="auto" w:sz="4" w:space="0"/>
              </w:rPr>
            </w:pPr>
          </w:p>
        </w:tc>
        <w:tc>
          <w:tcPr>
            <w:tcW w:w="720" w:type="dxa"/>
            <w:vAlign w:val="center"/>
          </w:tcPr>
          <w:p w14:paraId="1E20A31A">
            <w:pPr>
              <w:adjustRightInd w:val="0"/>
              <w:snapToGrid w:val="0"/>
              <w:jc w:val="center"/>
              <w:rPr>
                <w:rFonts w:ascii="宋体" w:hAnsi="宋体"/>
                <w:bCs/>
                <w:snapToGrid w:val="0"/>
                <w:color w:val="auto"/>
                <w:kern w:val="0"/>
                <w:sz w:val="18"/>
                <w:szCs w:val="18"/>
                <w:highlight w:val="none"/>
                <w:bdr w:val="single" w:color="auto" w:sz="4" w:space="0"/>
              </w:rPr>
            </w:pPr>
          </w:p>
        </w:tc>
        <w:tc>
          <w:tcPr>
            <w:tcW w:w="1080" w:type="dxa"/>
            <w:vAlign w:val="center"/>
          </w:tcPr>
          <w:p w14:paraId="3C319741">
            <w:pPr>
              <w:adjustRightInd w:val="0"/>
              <w:snapToGrid w:val="0"/>
              <w:jc w:val="center"/>
              <w:rPr>
                <w:rFonts w:ascii="宋体" w:hAnsi="宋体"/>
                <w:bCs/>
                <w:snapToGrid w:val="0"/>
                <w:color w:val="auto"/>
                <w:kern w:val="0"/>
                <w:sz w:val="18"/>
                <w:szCs w:val="18"/>
                <w:highlight w:val="none"/>
                <w:bdr w:val="single" w:color="auto" w:sz="4" w:space="0"/>
              </w:rPr>
            </w:pPr>
          </w:p>
        </w:tc>
        <w:tc>
          <w:tcPr>
            <w:tcW w:w="1080" w:type="dxa"/>
            <w:vAlign w:val="center"/>
          </w:tcPr>
          <w:p w14:paraId="32BD77AE">
            <w:pPr>
              <w:adjustRightInd w:val="0"/>
              <w:snapToGrid w:val="0"/>
              <w:jc w:val="center"/>
              <w:rPr>
                <w:rFonts w:ascii="宋体" w:hAnsi="宋体"/>
                <w:bCs/>
                <w:snapToGrid w:val="0"/>
                <w:color w:val="auto"/>
                <w:kern w:val="0"/>
                <w:sz w:val="18"/>
                <w:szCs w:val="18"/>
                <w:highlight w:val="none"/>
                <w:bdr w:val="single" w:color="auto" w:sz="4" w:space="0"/>
              </w:rPr>
            </w:pPr>
          </w:p>
        </w:tc>
        <w:tc>
          <w:tcPr>
            <w:tcW w:w="860" w:type="dxa"/>
            <w:vAlign w:val="center"/>
          </w:tcPr>
          <w:p w14:paraId="79BBC1C0">
            <w:pPr>
              <w:adjustRightInd w:val="0"/>
              <w:snapToGrid w:val="0"/>
              <w:ind w:right="11"/>
              <w:jc w:val="center"/>
              <w:rPr>
                <w:rFonts w:ascii="宋体" w:hAnsi="宋体"/>
                <w:bCs/>
                <w:snapToGrid w:val="0"/>
                <w:color w:val="auto"/>
                <w:kern w:val="0"/>
                <w:szCs w:val="21"/>
                <w:highlight w:val="none"/>
              </w:rPr>
            </w:pPr>
          </w:p>
        </w:tc>
      </w:tr>
    </w:tbl>
    <w:p w14:paraId="05E375F0">
      <w:pPr>
        <w:adjustRightInd w:val="0"/>
        <w:snapToGrid w:val="0"/>
        <w:spacing w:before="156" w:beforeLines="50" w:line="360" w:lineRule="auto"/>
        <w:ind w:right="11"/>
        <w:rPr>
          <w:rFonts w:ascii="宋体" w:hAnsi="宋体"/>
          <w:bCs/>
          <w:snapToGrid w:val="0"/>
          <w:color w:val="auto"/>
          <w:kern w:val="0"/>
          <w:szCs w:val="21"/>
          <w:highlight w:val="none"/>
        </w:rPr>
      </w:pPr>
      <w:r>
        <w:rPr>
          <w:rFonts w:hint="eastAsia" w:ascii="宋体" w:hAnsi="宋体"/>
          <w:b/>
          <w:bCs/>
          <w:snapToGrid w:val="0"/>
          <w:color w:val="auto"/>
          <w:kern w:val="0"/>
          <w:szCs w:val="21"/>
          <w:highlight w:val="none"/>
        </w:rPr>
        <w:t>注：1.</w:t>
      </w:r>
      <w:r>
        <w:rPr>
          <w:rFonts w:hint="eastAsia" w:ascii="宋体" w:hAnsi="宋体"/>
          <w:bCs/>
          <w:snapToGrid w:val="0"/>
          <w:color w:val="auto"/>
          <w:kern w:val="0"/>
          <w:szCs w:val="21"/>
          <w:highlight w:val="none"/>
        </w:rPr>
        <w:t>“</w:t>
      </w:r>
      <w:r>
        <w:rPr>
          <w:rFonts w:hint="eastAsia" w:ascii="宋体" w:hAnsi="宋体"/>
          <w:b/>
          <w:bCs/>
          <w:snapToGrid w:val="0"/>
          <w:color w:val="auto"/>
          <w:kern w:val="0"/>
          <w:szCs w:val="21"/>
          <w:highlight w:val="none"/>
          <w:bdr w:val="single" w:color="auto" w:sz="4" w:space="0"/>
        </w:rPr>
        <w:t>√</w:t>
      </w:r>
      <w:r>
        <w:rPr>
          <w:rFonts w:hint="eastAsia" w:ascii="宋体" w:hAnsi="宋体"/>
          <w:bCs/>
          <w:snapToGrid w:val="0"/>
          <w:color w:val="auto"/>
          <w:kern w:val="0"/>
          <w:szCs w:val="21"/>
          <w:highlight w:val="none"/>
        </w:rPr>
        <w:t>”为承包人负责实施项目；“</w:t>
      </w:r>
      <w:r>
        <w:rPr>
          <w:rFonts w:hint="eastAsia" w:ascii="宋体" w:hAnsi="宋体"/>
          <w:b/>
          <w:bCs/>
          <w:snapToGrid w:val="0"/>
          <w:color w:val="auto"/>
          <w:kern w:val="0"/>
          <w:szCs w:val="21"/>
          <w:highlight w:val="none"/>
          <w:bdr w:val="single" w:color="auto" w:sz="4" w:space="0"/>
        </w:rPr>
        <w:t>×</w:t>
      </w:r>
      <w:r>
        <w:rPr>
          <w:rFonts w:hint="eastAsia" w:ascii="宋体" w:hAnsi="宋体"/>
          <w:bCs/>
          <w:snapToGrid w:val="0"/>
          <w:color w:val="auto"/>
          <w:kern w:val="0"/>
          <w:szCs w:val="21"/>
          <w:highlight w:val="none"/>
        </w:rPr>
        <w:t>”不属承包人实施项目。</w:t>
      </w:r>
    </w:p>
    <w:p w14:paraId="40FB0B7C">
      <w:pPr>
        <w:tabs>
          <w:tab w:val="left" w:pos="6840"/>
        </w:tabs>
        <w:adjustRightInd w:val="0"/>
        <w:snapToGrid w:val="0"/>
        <w:spacing w:line="360" w:lineRule="auto"/>
        <w:ind w:right="11" w:firstLine="480" w:firstLineChars="200"/>
        <w:rPr>
          <w:rFonts w:ascii="宋体" w:hAnsi="宋体"/>
          <w:bCs/>
          <w:snapToGrid w:val="0"/>
          <w:color w:val="auto"/>
          <w:kern w:val="0"/>
          <w:sz w:val="24"/>
          <w:highlight w:val="none"/>
        </w:rPr>
      </w:pPr>
      <w:r>
        <w:rPr>
          <w:rFonts w:ascii="宋体" w:hAnsi="宋体"/>
          <w:bCs/>
          <w:snapToGrid w:val="0"/>
          <w:color w:val="auto"/>
          <w:kern w:val="0"/>
          <w:sz w:val="24"/>
          <w:highlight w:val="none"/>
        </w:rPr>
        <w:t>2.3承包方式：</w:t>
      </w:r>
      <w:r>
        <w:rPr>
          <w:rFonts w:ascii="宋体" w:hAnsi="宋体"/>
          <w:bCs/>
          <w:snapToGrid w:val="0"/>
          <w:color w:val="auto"/>
          <w:kern w:val="0"/>
          <w:sz w:val="24"/>
          <w:highlight w:val="none"/>
        </w:rPr>
        <w:tab/>
      </w:r>
    </w:p>
    <w:p w14:paraId="073938C3">
      <w:pPr>
        <w:adjustRightInd w:val="0"/>
        <w:snapToGrid w:val="0"/>
        <w:spacing w:line="360" w:lineRule="auto"/>
        <w:ind w:right="11" w:firstLine="480" w:firstLineChars="200"/>
        <w:rPr>
          <w:rFonts w:ascii="宋体" w:hAnsi="宋体"/>
          <w:color w:val="auto"/>
          <w:sz w:val="24"/>
          <w:szCs w:val="24"/>
          <w:highlight w:val="none"/>
          <w:u w:val="single"/>
        </w:rPr>
      </w:pPr>
      <w:r>
        <w:rPr>
          <w:rFonts w:hint="eastAsia" w:ascii="宋体" w:hAnsi="宋体"/>
          <w:bCs/>
          <w:snapToGrid w:val="0"/>
          <w:color w:val="auto"/>
          <w:kern w:val="0"/>
          <w:sz w:val="24"/>
          <w:highlight w:val="none"/>
          <w:u w:val="single"/>
        </w:rPr>
        <w:t>由承包人按照本合同约定范围和图纸内容实行工程施工总承包，包括但不限于包工、包料、包工期、包质量、包安全、包文明施工、包不限于通过工程供电、燃气、通信和供水等相关管线部门报建验收、包移交、包结算的组织实施工作和资料整理等。合同价款按如下约定执行</w:t>
      </w:r>
      <w:r>
        <w:rPr>
          <w:rFonts w:hint="eastAsia" w:ascii="宋体" w:hAnsi="宋体"/>
          <w:color w:val="auto"/>
          <w:sz w:val="24"/>
          <w:szCs w:val="24"/>
          <w:highlight w:val="none"/>
          <w:u w:val="single"/>
        </w:rPr>
        <w:t>：</w:t>
      </w:r>
    </w:p>
    <w:p w14:paraId="2496E22F">
      <w:pPr>
        <w:adjustRightInd w:val="0"/>
        <w:snapToGrid w:val="0"/>
        <w:spacing w:line="360" w:lineRule="auto"/>
        <w:ind w:right="11" w:firstLine="480" w:firstLineChars="200"/>
        <w:rPr>
          <w:rFonts w:ascii="宋体" w:hAnsi="宋体" w:cs="宋体"/>
          <w:bCs/>
          <w:color w:val="auto"/>
          <w:sz w:val="24"/>
          <w:highlight w:val="none"/>
          <w:u w:val="single"/>
        </w:rPr>
      </w:pPr>
      <w:r>
        <w:rPr>
          <w:rFonts w:hint="eastAsia" w:ascii="宋体" w:hAnsi="宋体"/>
          <w:color w:val="auto"/>
          <w:sz w:val="24"/>
          <w:szCs w:val="24"/>
          <w:highlight w:val="none"/>
          <w:u w:val="single"/>
          <w:lang w:val="zh-CN"/>
        </w:rPr>
        <w:t>（1）</w:t>
      </w:r>
      <w:r>
        <w:rPr>
          <w:rFonts w:hint="eastAsia" w:ascii="宋体" w:hAnsi="宋体"/>
          <w:color w:val="auto"/>
          <w:sz w:val="24"/>
          <w:szCs w:val="24"/>
          <w:highlight w:val="none"/>
          <w:u w:val="single"/>
        </w:rPr>
        <w:t>工程量清单和单价措施项目综合单价包干，总价措施项目费总价包干。</w:t>
      </w:r>
      <w:r>
        <w:rPr>
          <w:rFonts w:hint="eastAsia" w:ascii="宋体" w:hAnsi="宋体"/>
          <w:color w:val="auto"/>
          <w:sz w:val="24"/>
          <w:szCs w:val="24"/>
          <w:highlight w:val="none"/>
          <w:u w:val="single"/>
        </w:rPr>
        <w:t>施工便道费用在已在系数计取的绿色施工安全防护措施费中综合考虑。本项目施工总承包管理配合费已包含在本合同价款中，发包人不再另行支付。且不因施工期间</w:t>
      </w:r>
      <w:r>
        <w:rPr>
          <w:rFonts w:hint="eastAsia" w:ascii="宋体" w:hAnsi="宋体" w:eastAsia="宋体" w:cs="Times New Roman"/>
          <w:color w:val="auto"/>
          <w:sz w:val="24"/>
          <w:szCs w:val="24"/>
          <w:highlight w:val="none"/>
          <w:u w:val="single"/>
        </w:rPr>
        <w:t>人工、材料及机械价格变化、施工条件、工程规模的变化和政府造价管理部门调整各项收费等而调整，最终结算以有权审核的终审部门审定结果为准。</w:t>
      </w:r>
      <w:r>
        <w:rPr>
          <w:rFonts w:hint="eastAsia" w:ascii="宋体" w:hAnsi="宋体" w:cs="Times New Roman"/>
          <w:color w:val="auto"/>
          <w:sz w:val="24"/>
          <w:szCs w:val="24"/>
          <w:highlight w:val="none"/>
          <w:u w:val="single"/>
          <w:lang w:eastAsia="zh-CN"/>
        </w:rPr>
        <w:t>若</w:t>
      </w:r>
      <w:r>
        <w:rPr>
          <w:rFonts w:hint="eastAsia" w:ascii="宋体" w:hAnsi="宋体" w:eastAsia="宋体" w:cs="Times New Roman"/>
          <w:color w:val="auto"/>
          <w:sz w:val="24"/>
          <w:szCs w:val="24"/>
          <w:highlight w:val="none"/>
          <w:u w:val="single"/>
        </w:rPr>
        <w:t>后续结构图纸深化，对混凝土、基坑支护形式等相关材料设备采取的优化措施，需要调整原综合单价的项目，必须按照本合同“工程变更”的原则调整综合单价，承包人不得因综合单价下调或者上浮的原因向发包人提出索赔，承包人必须无条件接受相关综合单价的调整。本项目施工总承包管理配合费已包含在本合同价款中，发包人不再另行支付。工程优质费已包含在合同价内，不另支付。且不因施工期间人工、材料及机械价格变化、施工条件、工程规模的变化和政府造价管理部门调整各项收费等而调整，最终结算以有权审核的终审部门审定结果为准。</w:t>
      </w:r>
    </w:p>
    <w:p w14:paraId="6DB837C1">
      <w:pPr>
        <w:adjustRightInd w:val="0"/>
        <w:snapToGrid w:val="0"/>
        <w:spacing w:line="360" w:lineRule="auto"/>
        <w:ind w:right="11" w:firstLine="480" w:firstLineChars="200"/>
        <w:rPr>
          <w:rFonts w:hint="eastAsia" w:ascii="宋体" w:hAnsi="宋体"/>
          <w:bCs w:val="0"/>
          <w:snapToGrid/>
          <w:color w:val="auto"/>
          <w:kern w:val="2"/>
          <w:sz w:val="24"/>
          <w:szCs w:val="24"/>
          <w:highlight w:val="none"/>
          <w:u w:val="single"/>
        </w:rPr>
      </w:pPr>
      <w:r>
        <w:rPr>
          <w:rFonts w:hint="eastAsia" w:ascii="宋体" w:hAnsi="宋体"/>
          <w:bCs w:val="0"/>
          <w:snapToGrid/>
          <w:color w:val="auto"/>
          <w:kern w:val="2"/>
          <w:sz w:val="24"/>
          <w:szCs w:val="24"/>
          <w:highlight w:val="none"/>
          <w:u w:val="single"/>
        </w:rPr>
        <w:t>（2）因项目特殊性，承包人须按发包人要求配合债券资金支付工作</w:t>
      </w:r>
      <w:r>
        <w:rPr>
          <w:rFonts w:hint="eastAsia" w:ascii="宋体" w:hAnsi="宋体"/>
          <w:bCs w:val="0"/>
          <w:snapToGrid/>
          <w:color w:val="auto"/>
          <w:kern w:val="2"/>
          <w:sz w:val="24"/>
          <w:szCs w:val="24"/>
          <w:highlight w:val="none"/>
          <w:u w:val="single"/>
          <w:lang w:eastAsia="zh-CN"/>
        </w:rPr>
        <w:t>，发包人有权调整部分款项支付比例，承包人须无条件服从</w:t>
      </w:r>
      <w:r>
        <w:rPr>
          <w:rFonts w:hint="eastAsia" w:ascii="宋体" w:hAnsi="宋体"/>
          <w:bCs w:val="0"/>
          <w:snapToGrid/>
          <w:color w:val="auto"/>
          <w:kern w:val="2"/>
          <w:sz w:val="24"/>
          <w:szCs w:val="24"/>
          <w:highlight w:val="none"/>
          <w:u w:val="single"/>
        </w:rPr>
        <w:t>。</w:t>
      </w:r>
      <w:r>
        <w:rPr>
          <w:rFonts w:hint="eastAsia" w:ascii="宋体" w:hAnsi="宋体"/>
          <w:bCs w:val="0"/>
          <w:snapToGrid/>
          <w:color w:val="auto"/>
          <w:kern w:val="2"/>
          <w:sz w:val="24"/>
          <w:szCs w:val="24"/>
          <w:highlight w:val="none"/>
          <w:u w:val="single"/>
          <w:lang w:eastAsia="zh-CN"/>
        </w:rPr>
        <w:t>承包人须</w:t>
      </w:r>
      <w:r>
        <w:rPr>
          <w:rFonts w:hint="eastAsia" w:ascii="宋体" w:hAnsi="宋体"/>
          <w:bCs w:val="0"/>
          <w:snapToGrid/>
          <w:color w:val="auto"/>
          <w:kern w:val="2"/>
          <w:sz w:val="24"/>
          <w:szCs w:val="24"/>
          <w:highlight w:val="none"/>
          <w:u w:val="single"/>
        </w:rPr>
        <w:t>按发包人要求开展施工工作，不得因上级资金安排或支付问题影响实施进度，如出现承包人因上述原因降低劳动力投入、自行停工、降低施工质量等影响实施进度的情况，发包人可根据严重情节对承包人进行相应的违约处罚并报行业主管部门备案。</w:t>
      </w:r>
    </w:p>
    <w:p w14:paraId="61238AE0">
      <w:pPr>
        <w:adjustRightInd w:val="0"/>
        <w:snapToGrid w:val="0"/>
        <w:spacing w:line="360" w:lineRule="auto"/>
        <w:ind w:right="11" w:firstLine="480" w:firstLineChars="200"/>
        <w:rPr>
          <w:rFonts w:hint="eastAsia" w:ascii="宋体" w:hAnsi="宋体"/>
          <w:b w:val="0"/>
          <w:bCs w:val="0"/>
          <w:snapToGrid/>
          <w:color w:val="auto"/>
          <w:kern w:val="2"/>
          <w:sz w:val="24"/>
          <w:szCs w:val="24"/>
          <w:highlight w:val="none"/>
          <w:u w:val="single"/>
          <w:lang w:val="en-US" w:eastAsia="zh-CN"/>
        </w:rPr>
      </w:pPr>
      <w:r>
        <w:rPr>
          <w:rFonts w:hint="eastAsia" w:ascii="宋体" w:hAnsi="宋体"/>
          <w:bCs w:val="0"/>
          <w:snapToGrid/>
          <w:color w:val="auto"/>
          <w:kern w:val="2"/>
          <w:sz w:val="24"/>
          <w:szCs w:val="24"/>
          <w:highlight w:val="none"/>
          <w:u w:val="single"/>
          <w:lang w:eastAsia="zh-CN"/>
        </w:rPr>
        <w:t>（</w:t>
      </w:r>
      <w:r>
        <w:rPr>
          <w:rFonts w:hint="eastAsia" w:ascii="宋体" w:hAnsi="宋体"/>
          <w:bCs w:val="0"/>
          <w:snapToGrid/>
          <w:color w:val="auto"/>
          <w:kern w:val="2"/>
          <w:sz w:val="24"/>
          <w:szCs w:val="24"/>
          <w:highlight w:val="none"/>
          <w:u w:val="single"/>
          <w:lang w:val="en-US" w:eastAsia="zh-CN"/>
        </w:rPr>
        <w:t>3</w:t>
      </w:r>
      <w:r>
        <w:rPr>
          <w:rFonts w:hint="eastAsia" w:ascii="宋体" w:hAnsi="宋体"/>
          <w:bCs w:val="0"/>
          <w:snapToGrid/>
          <w:color w:val="auto"/>
          <w:kern w:val="2"/>
          <w:sz w:val="24"/>
          <w:szCs w:val="24"/>
          <w:highlight w:val="none"/>
          <w:u w:val="single"/>
          <w:lang w:eastAsia="zh-CN"/>
        </w:rPr>
        <w:t>）承包人不得因合同清单内（包含暂估价部分）和合同清单外新增部分</w:t>
      </w:r>
      <w:r>
        <w:rPr>
          <w:rFonts w:hint="eastAsia" w:ascii="宋体" w:hAnsi="宋体"/>
          <w:b w:val="0"/>
          <w:bCs w:val="0"/>
          <w:snapToGrid/>
          <w:color w:val="auto"/>
          <w:kern w:val="2"/>
          <w:sz w:val="24"/>
          <w:szCs w:val="24"/>
          <w:highlight w:val="none"/>
          <w:u w:val="single"/>
          <w:lang w:eastAsia="zh-CN"/>
        </w:rPr>
        <w:t>主</w:t>
      </w:r>
      <w:r>
        <w:rPr>
          <w:rFonts w:hint="eastAsia" w:ascii="宋体" w:hAnsi="宋体"/>
          <w:bCs w:val="0"/>
          <w:snapToGrid/>
          <w:color w:val="auto"/>
          <w:kern w:val="2"/>
          <w:sz w:val="24"/>
          <w:szCs w:val="24"/>
          <w:highlight w:val="none"/>
          <w:u w:val="single"/>
          <w:lang w:eastAsia="zh-CN"/>
        </w:rPr>
        <w:t>材单价或综合单价争议问题，影响工程实施</w:t>
      </w:r>
      <w:r>
        <w:rPr>
          <w:rFonts w:hint="eastAsia" w:ascii="宋体" w:hAnsi="宋体"/>
          <w:b w:val="0"/>
          <w:bCs w:val="0"/>
          <w:snapToGrid/>
          <w:color w:val="auto"/>
          <w:kern w:val="2"/>
          <w:sz w:val="24"/>
          <w:szCs w:val="24"/>
          <w:highlight w:val="none"/>
          <w:u w:val="single"/>
          <w:lang w:eastAsia="zh-CN"/>
        </w:rPr>
        <w:t>。实施进度按发包人要求为准，承包人须无条件服从，否则按专用条款第</w:t>
      </w:r>
      <w:r>
        <w:rPr>
          <w:rFonts w:hint="eastAsia" w:ascii="宋体" w:hAnsi="宋体"/>
          <w:b w:val="0"/>
          <w:bCs w:val="0"/>
          <w:snapToGrid/>
          <w:color w:val="auto"/>
          <w:kern w:val="2"/>
          <w:sz w:val="24"/>
          <w:szCs w:val="24"/>
          <w:highlight w:val="none"/>
          <w:u w:val="single"/>
          <w:lang w:val="en-US" w:eastAsia="zh-CN"/>
        </w:rPr>
        <w:t>38款承担违约责任。</w:t>
      </w:r>
    </w:p>
    <w:p w14:paraId="34B7638E">
      <w:pPr>
        <w:adjustRightInd w:val="0"/>
        <w:snapToGrid w:val="0"/>
        <w:spacing w:line="360" w:lineRule="auto"/>
        <w:ind w:right="11" w:firstLine="480" w:firstLineChars="200"/>
        <w:rPr>
          <w:rFonts w:hint="eastAsia" w:ascii="宋体" w:hAnsi="宋体"/>
          <w:b w:val="0"/>
          <w:bCs w:val="0"/>
          <w:snapToGrid/>
          <w:color w:val="auto"/>
          <w:kern w:val="2"/>
          <w:sz w:val="24"/>
          <w:szCs w:val="24"/>
          <w:highlight w:val="none"/>
          <w:u w:val="single"/>
          <w:lang w:val="en-US" w:eastAsia="zh-CN"/>
        </w:rPr>
      </w:pPr>
      <w:r>
        <w:rPr>
          <w:rFonts w:hint="eastAsia" w:ascii="宋体" w:hAnsi="宋体"/>
          <w:b w:val="0"/>
          <w:bCs w:val="0"/>
          <w:snapToGrid/>
          <w:color w:val="auto"/>
          <w:kern w:val="2"/>
          <w:sz w:val="24"/>
          <w:szCs w:val="24"/>
          <w:highlight w:val="none"/>
          <w:u w:val="single"/>
          <w:lang w:val="en-US" w:eastAsia="zh-CN"/>
        </w:rPr>
        <w:t>（4）若项目因不可抗力等原因导致项目无法实施或调减实施的，承包人须无条件服从，不可索赔，项目风险已包含在合同价款中。承包人须在完工或项目终止之日起3个月内完成结算，若已支付款项大于已实施部分工程量对应的工程款，承包人须在结算定审之日起15日内向发包人返还多收的款项。</w:t>
      </w:r>
    </w:p>
    <w:p w14:paraId="62C03E67">
      <w:pPr>
        <w:adjustRightInd w:val="0"/>
        <w:snapToGrid w:val="0"/>
        <w:spacing w:line="360" w:lineRule="auto"/>
        <w:ind w:right="11" w:firstLine="480" w:firstLineChars="200"/>
        <w:rPr>
          <w:rFonts w:hint="eastAsia" w:ascii="宋体" w:hAnsi="宋体"/>
          <w:b w:val="0"/>
          <w:bCs/>
          <w:snapToGrid w:val="0"/>
          <w:color w:val="auto"/>
          <w:kern w:val="0"/>
          <w:sz w:val="24"/>
          <w:szCs w:val="20"/>
          <w:highlight w:val="none"/>
          <w:u w:val="none"/>
          <w:lang w:val="en-US" w:eastAsia="zh-CN"/>
        </w:rPr>
      </w:pPr>
      <w:r>
        <w:rPr>
          <w:rFonts w:hint="eastAsia" w:ascii="宋体" w:hAnsi="宋体"/>
          <w:b w:val="0"/>
          <w:bCs/>
          <w:snapToGrid w:val="0"/>
          <w:color w:val="auto"/>
          <w:kern w:val="0"/>
          <w:sz w:val="24"/>
          <w:szCs w:val="20"/>
          <w:highlight w:val="none"/>
          <w:u w:val="none"/>
          <w:lang w:val="en-US" w:eastAsia="zh-CN"/>
        </w:rPr>
        <w:t>（5）因项目特殊性，承包人须委派高标准建设团队参与项目建设，若人员经验不足或不满足发包人要求的，发包人有权要求承包人对团队人员进行调整。</w:t>
      </w:r>
    </w:p>
    <w:p w14:paraId="17EC3837">
      <w:pPr>
        <w:pStyle w:val="2"/>
        <w:ind w:firstLine="480" w:firstLineChars="200"/>
        <w:rPr>
          <w:rFonts w:hint="default" w:eastAsia="宋体"/>
          <w:color w:val="auto"/>
          <w:highlight w:val="none"/>
          <w:lang w:eastAsia="zh-CN"/>
        </w:rPr>
      </w:pPr>
      <w:r>
        <w:rPr>
          <w:rFonts w:hint="eastAsia" w:ascii="宋体" w:hAnsi="宋体"/>
          <w:b w:val="0"/>
          <w:bCs/>
          <w:snapToGrid w:val="0"/>
          <w:color w:val="auto"/>
          <w:kern w:val="0"/>
          <w:sz w:val="24"/>
          <w:szCs w:val="20"/>
          <w:highlight w:val="none"/>
          <w:u w:val="none"/>
          <w:lang w:val="en-US" w:eastAsia="zh-CN"/>
        </w:rPr>
        <w:t>（6）承包人须按发包人要求参与“百千万工程”，具体要求以发包人要求执行。</w:t>
      </w:r>
    </w:p>
    <w:p w14:paraId="6232A1C3">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2.4发包人根据工程实施情况，有权对承包人的承包范围及内容进行适当调整，并按合同专用条款第50.4（2）款的约定处理，承包人必须无条件服从。</w:t>
      </w:r>
    </w:p>
    <w:p w14:paraId="7CB34BAF">
      <w:pPr>
        <w:adjustRightInd w:val="0"/>
        <w:snapToGrid w:val="0"/>
        <w:spacing w:line="360" w:lineRule="auto"/>
        <w:ind w:right="11" w:firstLine="480" w:firstLineChars="200"/>
        <w:rPr>
          <w:color w:val="auto"/>
          <w:sz w:val="24"/>
          <w:szCs w:val="24"/>
          <w:highlight w:val="none"/>
        </w:rPr>
      </w:pPr>
      <w:r>
        <w:rPr>
          <w:rFonts w:ascii="宋体" w:hAnsi="宋体"/>
          <w:bCs/>
          <w:snapToGrid w:val="0"/>
          <w:color w:val="auto"/>
          <w:kern w:val="0"/>
          <w:sz w:val="24"/>
          <w:highlight w:val="none"/>
        </w:rPr>
        <w:t>2.5</w:t>
      </w:r>
      <w:r>
        <w:rPr>
          <w:rFonts w:hint="eastAsia"/>
          <w:color w:val="auto"/>
          <w:sz w:val="24"/>
          <w:szCs w:val="24"/>
          <w:highlight w:val="none"/>
        </w:rPr>
        <w:t>承包人应向广州公共资源交易中心交纳公共资源交易服务费，费用已包含在投标报价中，不单独开项，发包人不再另行支付。</w:t>
      </w:r>
    </w:p>
    <w:p w14:paraId="75F074F0">
      <w:pPr>
        <w:adjustRightInd w:val="0"/>
        <w:snapToGrid w:val="0"/>
        <w:spacing w:line="360" w:lineRule="auto"/>
        <w:ind w:right="11" w:firstLine="480" w:firstLineChars="200"/>
        <w:rPr>
          <w:color w:val="auto"/>
          <w:sz w:val="24"/>
          <w:szCs w:val="24"/>
          <w:highlight w:val="none"/>
        </w:rPr>
      </w:pPr>
    </w:p>
    <w:p w14:paraId="488C7E5F">
      <w:pPr>
        <w:adjustRightInd w:val="0"/>
        <w:snapToGrid w:val="0"/>
        <w:spacing w:line="360" w:lineRule="auto"/>
        <w:ind w:right="11" w:firstLine="482" w:firstLineChars="200"/>
        <w:rPr>
          <w:rFonts w:ascii="宋体" w:hAnsi="宋体"/>
          <w:b/>
          <w:bCs/>
          <w:snapToGrid w:val="0"/>
          <w:color w:val="auto"/>
          <w:kern w:val="0"/>
          <w:sz w:val="24"/>
          <w:highlight w:val="none"/>
        </w:rPr>
      </w:pPr>
      <w:r>
        <w:rPr>
          <w:rFonts w:ascii="宋体" w:hAnsi="宋体"/>
          <w:b/>
          <w:bCs/>
          <w:snapToGrid w:val="0"/>
          <w:color w:val="auto"/>
          <w:kern w:val="0"/>
          <w:sz w:val="24"/>
          <w:highlight w:val="none"/>
        </w:rPr>
        <w:t>3．合同工期</w:t>
      </w:r>
    </w:p>
    <w:p w14:paraId="4535189E">
      <w:pPr>
        <w:adjustRightInd w:val="0"/>
        <w:snapToGrid w:val="0"/>
        <w:spacing w:line="360" w:lineRule="auto"/>
        <w:ind w:right="11" w:firstLine="480" w:firstLineChars="200"/>
        <w:rPr>
          <w:rFonts w:ascii="宋体" w:hAnsi="宋体"/>
          <w:bCs/>
          <w:snapToGrid w:val="0"/>
          <w:color w:val="auto"/>
          <w:kern w:val="0"/>
          <w:sz w:val="24"/>
          <w:highlight w:val="none"/>
        </w:rPr>
      </w:pPr>
      <w:r>
        <w:rPr>
          <w:rFonts w:ascii="宋体" w:hAnsi="宋体"/>
          <w:bCs/>
          <w:snapToGrid w:val="0"/>
          <w:color w:val="auto"/>
          <w:kern w:val="0"/>
          <w:sz w:val="24"/>
          <w:szCs w:val="24"/>
          <w:highlight w:val="none"/>
        </w:rPr>
        <w:t>3.1</w:t>
      </w:r>
      <w:r>
        <w:rPr>
          <w:rFonts w:hint="eastAsia" w:ascii="宋体" w:hAnsi="宋体"/>
          <w:bCs/>
          <w:snapToGrid w:val="0"/>
          <w:color w:val="auto"/>
          <w:kern w:val="0"/>
          <w:sz w:val="24"/>
          <w:szCs w:val="24"/>
          <w:highlight w:val="none"/>
        </w:rPr>
        <w:t>本项目施工总工期为</w:t>
      </w:r>
      <w:r>
        <w:rPr>
          <w:rFonts w:hint="eastAsia" w:ascii="宋体" w:hAnsi="宋体"/>
          <w:bCs/>
          <w:snapToGrid w:val="0"/>
          <w:color w:val="auto"/>
          <w:kern w:val="0"/>
          <w:sz w:val="24"/>
          <w:szCs w:val="24"/>
          <w:highlight w:val="none"/>
          <w:u w:val="single"/>
        </w:rPr>
        <w:t xml:space="preserve"> 60 </w:t>
      </w:r>
      <w:r>
        <w:rPr>
          <w:rFonts w:hint="eastAsia" w:ascii="宋体" w:hAnsi="宋体"/>
          <w:bCs/>
          <w:snapToGrid w:val="0"/>
          <w:color w:val="auto"/>
          <w:kern w:val="0"/>
          <w:sz w:val="24"/>
          <w:szCs w:val="24"/>
          <w:highlight w:val="none"/>
        </w:rPr>
        <w:t>个月，</w:t>
      </w:r>
      <w:r>
        <w:rPr>
          <w:rFonts w:hint="eastAsia" w:ascii="宋体" w:hAnsi="宋体"/>
          <w:bCs/>
          <w:snapToGrid w:val="0"/>
          <w:color w:val="auto"/>
          <w:kern w:val="0"/>
          <w:sz w:val="24"/>
          <w:highlight w:val="none"/>
        </w:rPr>
        <w:t>本工程总工期为</w:t>
      </w:r>
      <w:r>
        <w:rPr>
          <w:rFonts w:hint="eastAsia" w:ascii="宋体" w:hAnsi="宋体"/>
          <w:bCs/>
          <w:snapToGrid w:val="0"/>
          <w:color w:val="auto"/>
          <w:kern w:val="0"/>
          <w:sz w:val="24"/>
          <w:highlight w:val="none"/>
          <w:u w:val="single"/>
        </w:rPr>
        <w:t xml:space="preserve"> 1825 </w:t>
      </w:r>
      <w:r>
        <w:rPr>
          <w:rFonts w:hint="eastAsia" w:ascii="宋体" w:hAnsi="宋体"/>
          <w:bCs/>
          <w:snapToGrid w:val="0"/>
          <w:color w:val="auto"/>
          <w:kern w:val="0"/>
          <w:sz w:val="24"/>
          <w:highlight w:val="none"/>
        </w:rPr>
        <w:t>日历天，计划</w:t>
      </w:r>
      <w:r>
        <w:rPr>
          <w:rFonts w:hint="eastAsia" w:ascii="宋体" w:hAnsi="宋体"/>
          <w:bCs/>
          <w:snapToGrid w:val="0"/>
          <w:color w:val="auto"/>
          <w:kern w:val="0"/>
          <w:sz w:val="24"/>
          <w:szCs w:val="24"/>
          <w:highlight w:val="none"/>
        </w:rPr>
        <w:t>开工日期为</w:t>
      </w:r>
      <w:r>
        <w:rPr>
          <w:rFonts w:ascii="宋体" w:hAnsi="宋体"/>
          <w:bCs/>
          <w:snapToGrid w:val="0"/>
          <w:color w:val="auto"/>
          <w:kern w:val="0"/>
          <w:sz w:val="24"/>
          <w:szCs w:val="24"/>
          <w:highlight w:val="none"/>
          <w:u w:val="single"/>
        </w:rPr>
        <w:t>20</w:t>
      </w:r>
      <w:r>
        <w:rPr>
          <w:rFonts w:hint="eastAsia" w:ascii="宋体" w:hAnsi="宋体"/>
          <w:bCs/>
          <w:snapToGrid w:val="0"/>
          <w:color w:val="auto"/>
          <w:kern w:val="0"/>
          <w:sz w:val="24"/>
          <w:szCs w:val="24"/>
          <w:highlight w:val="none"/>
          <w:u w:val="single"/>
        </w:rPr>
        <w:t xml:space="preserve">24年 12 月 </w:t>
      </w:r>
      <w:r>
        <w:rPr>
          <w:rFonts w:hint="eastAsia" w:ascii="宋体" w:hAnsi="宋体"/>
          <w:bCs/>
          <w:snapToGrid w:val="0"/>
          <w:color w:val="auto"/>
          <w:kern w:val="0"/>
          <w:sz w:val="24"/>
          <w:szCs w:val="24"/>
          <w:highlight w:val="none"/>
          <w:u w:val="single"/>
          <w:lang w:val="en-US" w:eastAsia="zh-CN"/>
        </w:rPr>
        <w:t>3</w:t>
      </w:r>
      <w:r>
        <w:rPr>
          <w:rFonts w:hint="eastAsia" w:ascii="宋体" w:hAnsi="宋体"/>
          <w:bCs/>
          <w:snapToGrid w:val="0"/>
          <w:color w:val="auto"/>
          <w:kern w:val="0"/>
          <w:sz w:val="24"/>
          <w:szCs w:val="24"/>
          <w:highlight w:val="none"/>
          <w:u w:val="single"/>
        </w:rPr>
        <w:t xml:space="preserve">1 日 </w:t>
      </w:r>
      <w:r>
        <w:rPr>
          <w:rFonts w:hint="eastAsia" w:ascii="宋体" w:hAnsi="宋体"/>
          <w:bCs/>
          <w:snapToGrid w:val="0"/>
          <w:color w:val="auto"/>
          <w:kern w:val="0"/>
          <w:sz w:val="24"/>
          <w:szCs w:val="24"/>
          <w:highlight w:val="none"/>
        </w:rPr>
        <w:t>，完工移交日期为</w:t>
      </w:r>
      <w:r>
        <w:rPr>
          <w:rFonts w:ascii="宋体" w:hAnsi="宋体"/>
          <w:bCs/>
          <w:snapToGrid w:val="0"/>
          <w:color w:val="auto"/>
          <w:kern w:val="0"/>
          <w:sz w:val="24"/>
          <w:szCs w:val="24"/>
          <w:highlight w:val="none"/>
          <w:u w:val="single"/>
        </w:rPr>
        <w:t>202</w:t>
      </w:r>
      <w:r>
        <w:rPr>
          <w:rFonts w:hint="eastAsia" w:ascii="宋体" w:hAnsi="宋体"/>
          <w:bCs/>
          <w:snapToGrid w:val="0"/>
          <w:color w:val="auto"/>
          <w:kern w:val="0"/>
          <w:sz w:val="24"/>
          <w:szCs w:val="24"/>
          <w:highlight w:val="none"/>
          <w:u w:val="single"/>
        </w:rPr>
        <w:t>9年 12 月 31 日前</w:t>
      </w:r>
      <w:r>
        <w:rPr>
          <w:rFonts w:hint="eastAsia" w:ascii="宋体" w:hAnsi="宋体"/>
          <w:bCs/>
          <w:snapToGrid w:val="0"/>
          <w:color w:val="auto"/>
          <w:kern w:val="0"/>
          <w:sz w:val="24"/>
          <w:szCs w:val="24"/>
          <w:highlight w:val="none"/>
        </w:rPr>
        <w:t>，具体开工日期以总监理工程师发出的开工令为准。</w:t>
      </w:r>
    </w:p>
    <w:p w14:paraId="18829C98">
      <w:pPr>
        <w:adjustRightInd w:val="0"/>
        <w:snapToGrid w:val="0"/>
        <w:spacing w:line="360" w:lineRule="auto"/>
        <w:ind w:right="11" w:firstLine="480" w:firstLineChars="200"/>
        <w:rPr>
          <w:rFonts w:ascii="宋体" w:hAnsi="宋体"/>
          <w:bCs/>
          <w:snapToGrid w:val="0"/>
          <w:color w:val="auto"/>
          <w:kern w:val="0"/>
          <w:sz w:val="24"/>
          <w:highlight w:val="none"/>
        </w:rPr>
      </w:pPr>
      <w:r>
        <w:rPr>
          <w:rFonts w:ascii="宋体" w:hAnsi="宋体"/>
          <w:bCs/>
          <w:snapToGrid w:val="0"/>
          <w:color w:val="auto"/>
          <w:kern w:val="0"/>
          <w:sz w:val="24"/>
          <w:highlight w:val="none"/>
        </w:rPr>
        <w:t>3.2关键节点工期要求：</w:t>
      </w:r>
    </w:p>
    <w:p w14:paraId="320CC073">
      <w:pPr>
        <w:pStyle w:val="62"/>
        <w:ind w:firstLine="496"/>
        <w:rPr>
          <w:rFonts w:hint="eastAsia" w:ascii="宋体" w:hAnsi="宋体" w:eastAsia="宋体" w:cs="Times New Roman"/>
          <w:bCs/>
          <w:color w:val="auto"/>
          <w:spacing w:val="0"/>
          <w:szCs w:val="20"/>
          <w:highlight w:val="none"/>
        </w:rPr>
      </w:pPr>
      <w:r>
        <w:rPr>
          <w:rFonts w:hint="eastAsia" w:ascii="宋体" w:hAnsi="宋体" w:eastAsia="宋体" w:cs="Times New Roman"/>
          <w:bCs/>
          <w:color w:val="auto"/>
          <w:spacing w:val="0"/>
          <w:szCs w:val="20"/>
          <w:highlight w:val="none"/>
        </w:rPr>
        <w:t>（1）基坑工程计划2026年6月底完成；</w:t>
      </w:r>
    </w:p>
    <w:p w14:paraId="51094D25">
      <w:pPr>
        <w:pStyle w:val="62"/>
        <w:ind w:firstLine="496"/>
        <w:rPr>
          <w:rFonts w:hint="eastAsia" w:ascii="宋体" w:hAnsi="宋体" w:eastAsia="宋体" w:cs="Times New Roman"/>
          <w:bCs/>
          <w:color w:val="auto"/>
          <w:spacing w:val="0"/>
          <w:szCs w:val="20"/>
          <w:highlight w:val="none"/>
        </w:rPr>
      </w:pPr>
      <w:r>
        <w:rPr>
          <w:rFonts w:hint="eastAsia" w:ascii="宋体" w:hAnsi="宋体" w:eastAsia="宋体" w:cs="Times New Roman"/>
          <w:bCs/>
          <w:color w:val="auto"/>
          <w:spacing w:val="0"/>
          <w:szCs w:val="20"/>
          <w:highlight w:val="none"/>
        </w:rPr>
        <w:t>（2）地基与基础工程计划工期12个月，计划2027年6月完成：</w:t>
      </w:r>
    </w:p>
    <w:p w14:paraId="7777E81E">
      <w:pPr>
        <w:pStyle w:val="62"/>
        <w:ind w:firstLine="496"/>
        <w:rPr>
          <w:rFonts w:hint="eastAsia" w:ascii="宋体" w:hAnsi="宋体" w:eastAsia="宋体" w:cs="Times New Roman"/>
          <w:bCs/>
          <w:color w:val="auto"/>
          <w:spacing w:val="0"/>
          <w:szCs w:val="20"/>
          <w:highlight w:val="none"/>
        </w:rPr>
      </w:pPr>
      <w:r>
        <w:rPr>
          <w:rFonts w:hint="eastAsia" w:ascii="宋体" w:hAnsi="宋体" w:eastAsia="宋体" w:cs="Times New Roman"/>
          <w:bCs/>
          <w:color w:val="auto"/>
          <w:spacing w:val="0"/>
          <w:szCs w:val="20"/>
          <w:highlight w:val="none"/>
        </w:rPr>
        <w:t>（3）±00以上主体结构工程建设，2028年12月完成封顶</w:t>
      </w:r>
    </w:p>
    <w:p w14:paraId="275F7CBF">
      <w:pPr>
        <w:pStyle w:val="62"/>
        <w:ind w:firstLine="496"/>
        <w:rPr>
          <w:rFonts w:hint="eastAsia" w:ascii="宋体" w:hAnsi="宋体" w:eastAsia="宋体" w:cs="Times New Roman"/>
          <w:bCs/>
          <w:color w:val="auto"/>
          <w:spacing w:val="0"/>
          <w:szCs w:val="20"/>
          <w:highlight w:val="none"/>
        </w:rPr>
      </w:pPr>
      <w:r>
        <w:rPr>
          <w:rFonts w:hint="eastAsia" w:ascii="宋体" w:hAnsi="宋体" w:eastAsia="宋体" w:cs="Times New Roman"/>
          <w:bCs/>
          <w:color w:val="auto"/>
          <w:spacing w:val="0"/>
          <w:szCs w:val="20"/>
          <w:highlight w:val="none"/>
        </w:rPr>
        <w:t>（4）水电、装饰装修、消防、设备调试、试运行、专项验收、备案、使用培训及场地移交工作，计划2029年12月完成。</w:t>
      </w:r>
    </w:p>
    <w:p w14:paraId="02A026DA">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3.3发包人根据工程实施情况，有权对本合同工程工期（包括关键节点工期和竣工日期）进行适当调整，并按合同专用条款第50.4（1）款的约定处理，承包人必须采取一切有效措施保证竣工日期，不得延误，并不得要求另行增加费用；如不能按经发包人批准或下达的计划完成任务，由承包人按合同专用条款第38.8（5）款的约定承担违约责任。</w:t>
      </w:r>
    </w:p>
    <w:p w14:paraId="77DD68BF">
      <w:pPr>
        <w:adjustRightInd w:val="0"/>
        <w:snapToGrid w:val="0"/>
        <w:spacing w:line="360" w:lineRule="auto"/>
        <w:ind w:right="11" w:firstLine="482" w:firstLineChars="200"/>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4．质量标准和目标</w:t>
      </w:r>
    </w:p>
    <w:p w14:paraId="46D4535C">
      <w:pPr>
        <w:pStyle w:val="220"/>
        <w:numPr>
          <w:ilvl w:val="0"/>
          <w:numId w:val="4"/>
        </w:numPr>
        <w:adjustRightInd w:val="0"/>
        <w:snapToGrid w:val="0"/>
        <w:spacing w:line="360" w:lineRule="auto"/>
        <w:ind w:right="11" w:firstLineChars="0"/>
        <w:rPr>
          <w:rFonts w:ascii="宋体" w:hAnsi="宋体"/>
          <w:bCs/>
          <w:snapToGrid w:val="0"/>
          <w:color w:val="auto"/>
          <w:kern w:val="0"/>
          <w:sz w:val="24"/>
          <w:highlight w:val="none"/>
        </w:rPr>
      </w:pPr>
      <w:r>
        <w:rPr>
          <w:rFonts w:hint="eastAsia" w:ascii="宋体" w:hAnsi="宋体"/>
          <w:bCs/>
          <w:snapToGrid w:val="0"/>
          <w:color w:val="auto"/>
          <w:kern w:val="0"/>
          <w:sz w:val="24"/>
          <w:highlight w:val="none"/>
        </w:rPr>
        <w:t>质量标准：</w:t>
      </w:r>
    </w:p>
    <w:p w14:paraId="7D70D638">
      <w:pPr>
        <w:pStyle w:val="220"/>
        <w:numPr>
          <w:ilvl w:val="0"/>
          <w:numId w:val="5"/>
        </w:numPr>
        <w:adjustRightInd w:val="0"/>
        <w:snapToGrid w:val="0"/>
        <w:spacing w:line="360" w:lineRule="auto"/>
        <w:ind w:right="11" w:firstLineChars="0"/>
        <w:rPr>
          <w:rFonts w:ascii="宋体" w:hAnsi="宋体"/>
          <w:bCs/>
          <w:snapToGrid w:val="0"/>
          <w:color w:val="auto"/>
          <w:kern w:val="0"/>
          <w:sz w:val="24"/>
          <w:highlight w:val="none"/>
        </w:rPr>
      </w:pPr>
      <w:r>
        <w:rPr>
          <w:rFonts w:hint="eastAsia" w:ascii="宋体" w:hAnsi="宋体"/>
          <w:bCs/>
          <w:snapToGrid w:val="0"/>
          <w:color w:val="auto"/>
          <w:kern w:val="0"/>
          <w:sz w:val="24"/>
          <w:highlight w:val="none"/>
        </w:rPr>
        <w:t>《建筑工程施工质量验收统一标准》（GB50300-2013）及相应配套的各专业验收规范等。</w:t>
      </w:r>
    </w:p>
    <w:p w14:paraId="2D1D1B1E">
      <w:pPr>
        <w:pStyle w:val="220"/>
        <w:numPr>
          <w:ilvl w:val="0"/>
          <w:numId w:val="5"/>
        </w:numPr>
        <w:adjustRightInd w:val="0"/>
        <w:snapToGrid w:val="0"/>
        <w:spacing w:line="360" w:lineRule="auto"/>
        <w:ind w:right="11" w:firstLineChars="0"/>
        <w:rPr>
          <w:rFonts w:ascii="宋体" w:hAnsi="宋体"/>
          <w:bCs/>
          <w:snapToGrid w:val="0"/>
          <w:color w:val="auto"/>
          <w:kern w:val="0"/>
          <w:sz w:val="24"/>
          <w:highlight w:val="none"/>
        </w:rPr>
      </w:pPr>
      <w:r>
        <w:rPr>
          <w:rFonts w:ascii="宋体" w:hAnsi="宋体"/>
          <w:bCs/>
          <w:snapToGrid w:val="0"/>
          <w:color w:val="auto"/>
          <w:kern w:val="0"/>
          <w:sz w:val="24"/>
          <w:highlight w:val="none"/>
        </w:rPr>
        <w:t>《建筑地基基础工程施工质量验收标准》（GB</w:t>
      </w:r>
      <w:r>
        <w:rPr>
          <w:rFonts w:hint="eastAsia" w:ascii="宋体" w:hAnsi="宋体"/>
          <w:bCs/>
          <w:snapToGrid w:val="0"/>
          <w:color w:val="auto"/>
          <w:kern w:val="0"/>
          <w:sz w:val="24"/>
          <w:highlight w:val="none"/>
        </w:rPr>
        <w:t xml:space="preserve"> </w:t>
      </w:r>
      <w:r>
        <w:rPr>
          <w:rFonts w:ascii="宋体" w:hAnsi="宋体"/>
          <w:bCs/>
          <w:snapToGrid w:val="0"/>
          <w:color w:val="auto"/>
          <w:kern w:val="0"/>
          <w:sz w:val="24"/>
          <w:highlight w:val="none"/>
        </w:rPr>
        <w:t>50202-2018）</w:t>
      </w:r>
    </w:p>
    <w:p w14:paraId="422C9D1E">
      <w:pPr>
        <w:pStyle w:val="220"/>
        <w:numPr>
          <w:ilvl w:val="0"/>
          <w:numId w:val="5"/>
        </w:numPr>
        <w:adjustRightInd w:val="0"/>
        <w:snapToGrid w:val="0"/>
        <w:spacing w:line="360" w:lineRule="auto"/>
        <w:ind w:right="11" w:firstLineChars="0"/>
        <w:rPr>
          <w:rFonts w:ascii="宋体" w:hAnsi="宋体"/>
          <w:bCs/>
          <w:snapToGrid w:val="0"/>
          <w:color w:val="auto"/>
          <w:kern w:val="0"/>
          <w:sz w:val="24"/>
          <w:highlight w:val="none"/>
        </w:rPr>
      </w:pPr>
      <w:r>
        <w:rPr>
          <w:rFonts w:ascii="宋体" w:hAnsi="宋体"/>
          <w:bCs/>
          <w:snapToGrid w:val="0"/>
          <w:color w:val="auto"/>
          <w:kern w:val="0"/>
          <w:sz w:val="24"/>
          <w:highlight w:val="none"/>
        </w:rPr>
        <w:t>《混凝土结构工程施工质量验收规范》（GB 50204-2015）</w:t>
      </w:r>
    </w:p>
    <w:p w14:paraId="27F8588A">
      <w:pPr>
        <w:pStyle w:val="220"/>
        <w:numPr>
          <w:ilvl w:val="0"/>
          <w:numId w:val="5"/>
        </w:numPr>
        <w:adjustRightInd w:val="0"/>
        <w:snapToGrid w:val="0"/>
        <w:spacing w:line="360" w:lineRule="auto"/>
        <w:ind w:right="11" w:firstLineChars="0"/>
        <w:rPr>
          <w:rFonts w:ascii="宋体" w:hAnsi="宋体"/>
          <w:bCs/>
          <w:snapToGrid w:val="0"/>
          <w:color w:val="auto"/>
          <w:kern w:val="0"/>
          <w:sz w:val="24"/>
          <w:highlight w:val="none"/>
        </w:rPr>
      </w:pPr>
      <w:r>
        <w:rPr>
          <w:rFonts w:ascii="宋体" w:hAnsi="宋体"/>
          <w:bCs/>
          <w:snapToGrid w:val="0"/>
          <w:color w:val="auto"/>
          <w:kern w:val="0"/>
          <w:sz w:val="24"/>
          <w:highlight w:val="none"/>
        </w:rPr>
        <w:t>《砌体结构工程施工质量验收规范》（GB 50203-2011）</w:t>
      </w:r>
    </w:p>
    <w:p w14:paraId="1EBFBDF0">
      <w:pPr>
        <w:pStyle w:val="220"/>
        <w:numPr>
          <w:ilvl w:val="0"/>
          <w:numId w:val="5"/>
        </w:numPr>
        <w:adjustRightInd w:val="0"/>
        <w:snapToGrid w:val="0"/>
        <w:spacing w:line="360" w:lineRule="auto"/>
        <w:ind w:right="11" w:firstLineChars="0"/>
        <w:rPr>
          <w:rFonts w:ascii="宋体" w:hAnsi="宋体"/>
          <w:bCs/>
          <w:snapToGrid w:val="0"/>
          <w:color w:val="auto"/>
          <w:kern w:val="0"/>
          <w:sz w:val="24"/>
          <w:highlight w:val="none"/>
        </w:rPr>
      </w:pPr>
      <w:r>
        <w:rPr>
          <w:rFonts w:ascii="宋体" w:hAnsi="宋体"/>
          <w:bCs/>
          <w:snapToGrid w:val="0"/>
          <w:color w:val="auto"/>
          <w:kern w:val="0"/>
          <w:sz w:val="24"/>
          <w:highlight w:val="none"/>
        </w:rPr>
        <w:t>《钢结构工程施工质量验收规范》（GB 50205-2020）</w:t>
      </w:r>
    </w:p>
    <w:p w14:paraId="2DE70D62">
      <w:pPr>
        <w:pStyle w:val="220"/>
        <w:numPr>
          <w:ilvl w:val="0"/>
          <w:numId w:val="5"/>
        </w:numPr>
        <w:adjustRightInd w:val="0"/>
        <w:snapToGrid w:val="0"/>
        <w:spacing w:line="360" w:lineRule="auto"/>
        <w:ind w:right="11" w:firstLineChars="0"/>
        <w:rPr>
          <w:rFonts w:ascii="宋体" w:hAnsi="宋体"/>
          <w:bCs/>
          <w:snapToGrid w:val="0"/>
          <w:color w:val="auto"/>
          <w:kern w:val="0"/>
          <w:sz w:val="24"/>
          <w:highlight w:val="none"/>
        </w:rPr>
      </w:pPr>
      <w:r>
        <w:rPr>
          <w:rFonts w:ascii="宋体" w:hAnsi="宋体"/>
          <w:bCs/>
          <w:snapToGrid w:val="0"/>
          <w:color w:val="auto"/>
          <w:kern w:val="0"/>
          <w:sz w:val="24"/>
          <w:highlight w:val="none"/>
        </w:rPr>
        <w:t>《屋面工程质量验收规范》（GB 50207-2012）</w:t>
      </w:r>
    </w:p>
    <w:p w14:paraId="36BD6E38">
      <w:pPr>
        <w:pStyle w:val="220"/>
        <w:numPr>
          <w:ilvl w:val="0"/>
          <w:numId w:val="5"/>
        </w:numPr>
        <w:adjustRightInd w:val="0"/>
        <w:snapToGrid w:val="0"/>
        <w:spacing w:line="360" w:lineRule="auto"/>
        <w:ind w:right="11" w:firstLineChars="0"/>
        <w:rPr>
          <w:rFonts w:ascii="宋体" w:hAnsi="宋体"/>
          <w:bCs/>
          <w:snapToGrid w:val="0"/>
          <w:color w:val="auto"/>
          <w:kern w:val="0"/>
          <w:sz w:val="24"/>
          <w:highlight w:val="none"/>
        </w:rPr>
      </w:pPr>
      <w:r>
        <w:rPr>
          <w:rFonts w:ascii="宋体" w:hAnsi="宋体"/>
          <w:bCs/>
          <w:snapToGrid w:val="0"/>
          <w:color w:val="auto"/>
          <w:kern w:val="0"/>
          <w:sz w:val="24"/>
          <w:highlight w:val="none"/>
        </w:rPr>
        <w:t>《地下防水工程质量验收规范》（GB 50208-2011）</w:t>
      </w:r>
    </w:p>
    <w:p w14:paraId="200CC03A">
      <w:pPr>
        <w:pStyle w:val="220"/>
        <w:numPr>
          <w:ilvl w:val="0"/>
          <w:numId w:val="5"/>
        </w:numPr>
        <w:adjustRightInd w:val="0"/>
        <w:snapToGrid w:val="0"/>
        <w:spacing w:line="360" w:lineRule="auto"/>
        <w:ind w:right="11" w:firstLineChars="0"/>
        <w:rPr>
          <w:rFonts w:ascii="宋体" w:hAnsi="宋体"/>
          <w:bCs/>
          <w:snapToGrid w:val="0"/>
          <w:color w:val="auto"/>
          <w:kern w:val="0"/>
          <w:sz w:val="24"/>
          <w:highlight w:val="none"/>
        </w:rPr>
      </w:pPr>
      <w:r>
        <w:rPr>
          <w:rFonts w:ascii="宋体" w:hAnsi="宋体"/>
          <w:bCs/>
          <w:snapToGrid w:val="0"/>
          <w:color w:val="auto"/>
          <w:kern w:val="0"/>
          <w:sz w:val="24"/>
          <w:highlight w:val="none"/>
        </w:rPr>
        <w:t>《建筑给水排水及采暖工程施工质量验收规范》（GB 50242-2002）</w:t>
      </w:r>
    </w:p>
    <w:p w14:paraId="654D7B9D">
      <w:pPr>
        <w:pStyle w:val="220"/>
        <w:numPr>
          <w:ilvl w:val="0"/>
          <w:numId w:val="5"/>
        </w:numPr>
        <w:adjustRightInd w:val="0"/>
        <w:snapToGrid w:val="0"/>
        <w:spacing w:line="360" w:lineRule="auto"/>
        <w:ind w:right="11" w:firstLineChars="0"/>
        <w:rPr>
          <w:rFonts w:ascii="宋体" w:hAnsi="宋体"/>
          <w:bCs/>
          <w:snapToGrid w:val="0"/>
          <w:color w:val="auto"/>
          <w:kern w:val="0"/>
          <w:sz w:val="24"/>
          <w:highlight w:val="none"/>
        </w:rPr>
      </w:pPr>
      <w:r>
        <w:rPr>
          <w:rFonts w:ascii="宋体" w:hAnsi="宋体"/>
          <w:bCs/>
          <w:snapToGrid w:val="0"/>
          <w:color w:val="auto"/>
          <w:kern w:val="0"/>
          <w:sz w:val="24"/>
          <w:highlight w:val="none"/>
        </w:rPr>
        <w:t>《通风与空调工程施工质量验收规范》（GB 50243-2016）</w:t>
      </w:r>
    </w:p>
    <w:p w14:paraId="1904F4DD">
      <w:pPr>
        <w:pStyle w:val="220"/>
        <w:numPr>
          <w:ilvl w:val="0"/>
          <w:numId w:val="5"/>
        </w:numPr>
        <w:adjustRightInd w:val="0"/>
        <w:snapToGrid w:val="0"/>
        <w:spacing w:line="360" w:lineRule="auto"/>
        <w:ind w:right="11" w:firstLineChars="0"/>
        <w:rPr>
          <w:rFonts w:ascii="宋体" w:hAnsi="宋体"/>
          <w:bCs/>
          <w:snapToGrid w:val="0"/>
          <w:color w:val="auto"/>
          <w:kern w:val="0"/>
          <w:sz w:val="24"/>
          <w:highlight w:val="none"/>
        </w:rPr>
      </w:pPr>
      <w:r>
        <w:rPr>
          <w:rFonts w:ascii="宋体" w:hAnsi="宋体"/>
          <w:bCs/>
          <w:snapToGrid w:val="0"/>
          <w:color w:val="auto"/>
          <w:kern w:val="0"/>
          <w:sz w:val="24"/>
          <w:highlight w:val="none"/>
        </w:rPr>
        <w:t>《给水排水管道工程施工及验收规范》（GB 50268-2008）及相应配</w:t>
      </w:r>
    </w:p>
    <w:p w14:paraId="760A4A7D">
      <w:pPr>
        <w:adjustRightInd w:val="0"/>
        <w:snapToGrid w:val="0"/>
        <w:spacing w:line="360" w:lineRule="auto"/>
        <w:ind w:left="461" w:right="11"/>
        <w:rPr>
          <w:rFonts w:ascii="宋体" w:hAnsi="宋体"/>
          <w:bCs/>
          <w:snapToGrid w:val="0"/>
          <w:color w:val="auto"/>
          <w:kern w:val="0"/>
          <w:sz w:val="24"/>
          <w:highlight w:val="none"/>
        </w:rPr>
      </w:pPr>
      <w:r>
        <w:rPr>
          <w:rFonts w:ascii="宋体" w:hAnsi="宋体"/>
          <w:bCs/>
          <w:snapToGrid w:val="0"/>
          <w:color w:val="auto"/>
          <w:kern w:val="0"/>
          <w:sz w:val="24"/>
          <w:highlight w:val="none"/>
        </w:rPr>
        <w:t>套的各专业验收规范等。</w:t>
      </w:r>
    </w:p>
    <w:p w14:paraId="507BA54F">
      <w:pPr>
        <w:pStyle w:val="220"/>
        <w:numPr>
          <w:ilvl w:val="0"/>
          <w:numId w:val="5"/>
        </w:numPr>
        <w:adjustRightInd w:val="0"/>
        <w:snapToGrid w:val="0"/>
        <w:spacing w:line="360" w:lineRule="auto"/>
        <w:ind w:right="11" w:firstLineChars="0"/>
        <w:rPr>
          <w:rFonts w:ascii="宋体" w:hAnsi="宋体"/>
          <w:snapToGrid w:val="0"/>
          <w:color w:val="auto"/>
          <w:kern w:val="0"/>
          <w:sz w:val="24"/>
          <w:highlight w:val="none"/>
        </w:rPr>
      </w:pPr>
      <w:r>
        <w:rPr>
          <w:rFonts w:ascii="宋体" w:hAnsi="宋体"/>
          <w:bCs/>
          <w:snapToGrid w:val="0"/>
          <w:color w:val="auto"/>
          <w:kern w:val="0"/>
          <w:sz w:val="24"/>
          <w:highlight w:val="none"/>
        </w:rPr>
        <w:t>《园林绿化工程施工及验收规范》（CJJ82-2012）、《城市绿化</w:t>
      </w:r>
      <w:r>
        <w:rPr>
          <w:rFonts w:ascii="宋体" w:hAnsi="宋体"/>
          <w:snapToGrid w:val="0"/>
          <w:color w:val="auto"/>
          <w:kern w:val="0"/>
          <w:sz w:val="24"/>
          <w:highlight w:val="none"/>
        </w:rPr>
        <w:t>工程施工及验收规范》（CJJ/T82-99）及相应配套的各专业验收规范等。</w:t>
      </w:r>
    </w:p>
    <w:p w14:paraId="35449C8C">
      <w:pPr>
        <w:adjustRightInd w:val="0"/>
        <w:snapToGrid w:val="0"/>
        <w:spacing w:line="360" w:lineRule="auto"/>
        <w:ind w:right="11"/>
        <w:rPr>
          <w:rFonts w:ascii="Segoe UI" w:hAnsi="Segoe UI" w:cs="Segoe UI"/>
          <w:color w:val="auto"/>
          <w:highlight w:val="none"/>
          <w:shd w:val="clear" w:color="auto" w:fill="FFFFFF"/>
        </w:rPr>
      </w:pPr>
      <w:r>
        <w:rPr>
          <w:rFonts w:ascii="Segoe UI" w:hAnsi="Segoe UI" w:cs="Segoe UI"/>
          <w:color w:val="auto"/>
          <w:highlight w:val="none"/>
          <w:shd w:val="clear" w:color="auto" w:fill="FFFFFF"/>
        </w:rPr>
        <w:t>《建筑电气工程施工质量验收规范》（GB50303-2015）</w:t>
      </w:r>
    </w:p>
    <w:p w14:paraId="71EF0C71">
      <w:pPr>
        <w:adjustRightInd w:val="0"/>
        <w:snapToGrid w:val="0"/>
        <w:spacing w:line="360" w:lineRule="auto"/>
        <w:ind w:right="11" w:firstLine="420" w:firstLineChars="200"/>
        <w:rPr>
          <w:rFonts w:ascii="Segoe UI" w:hAnsi="Segoe UI" w:cs="Segoe UI"/>
          <w:color w:val="auto"/>
          <w:highlight w:val="none"/>
          <w:shd w:val="clear" w:color="auto" w:fill="FFFFFF"/>
        </w:rPr>
      </w:pPr>
      <w:r>
        <w:rPr>
          <w:rFonts w:hint="eastAsia" w:ascii="Segoe UI" w:hAnsi="Segoe UI" w:cs="Segoe UI"/>
          <w:color w:val="auto"/>
          <w:highlight w:val="none"/>
          <w:shd w:val="clear" w:color="auto" w:fill="FFFFFF"/>
        </w:rPr>
        <w:t>12）</w:t>
      </w:r>
      <w:r>
        <w:rPr>
          <w:rFonts w:ascii="Segoe UI" w:hAnsi="Segoe UI" w:cs="Segoe UI"/>
          <w:color w:val="auto"/>
          <w:highlight w:val="none"/>
          <w:shd w:val="clear" w:color="auto" w:fill="FFFFFF"/>
        </w:rPr>
        <w:t>《火灾自动报警系统施工及验收标准》（GB50166-2019）</w:t>
      </w:r>
    </w:p>
    <w:p w14:paraId="20DFB4BA">
      <w:pPr>
        <w:adjustRightInd w:val="0"/>
        <w:snapToGrid w:val="0"/>
        <w:spacing w:line="360" w:lineRule="auto"/>
        <w:ind w:right="11" w:firstLine="420" w:firstLineChars="200"/>
        <w:rPr>
          <w:rFonts w:ascii="Segoe UI" w:hAnsi="Segoe UI" w:cs="Segoe UI"/>
          <w:color w:val="auto"/>
          <w:highlight w:val="none"/>
          <w:shd w:val="clear" w:color="auto" w:fill="FFFFFF"/>
        </w:rPr>
      </w:pPr>
      <w:r>
        <w:rPr>
          <w:rFonts w:hint="eastAsia" w:ascii="Segoe UI" w:hAnsi="Segoe UI" w:cs="Segoe UI"/>
          <w:color w:val="auto"/>
          <w:highlight w:val="none"/>
          <w:shd w:val="clear" w:color="auto" w:fill="FFFFFF"/>
        </w:rPr>
        <w:t>13）</w:t>
      </w:r>
      <w:r>
        <w:rPr>
          <w:rFonts w:ascii="Segoe UI" w:hAnsi="Segoe UI" w:cs="Segoe UI"/>
          <w:color w:val="auto"/>
          <w:highlight w:val="none"/>
          <w:shd w:val="clear" w:color="auto" w:fill="FFFFFF"/>
        </w:rPr>
        <w:t>《自动喷水灭火系统施工及验收规范》（GB50261-2017）</w:t>
      </w:r>
    </w:p>
    <w:p w14:paraId="0A53706A">
      <w:pPr>
        <w:adjustRightInd w:val="0"/>
        <w:snapToGrid w:val="0"/>
        <w:spacing w:line="360" w:lineRule="auto"/>
        <w:ind w:right="11" w:firstLine="420" w:firstLineChars="200"/>
        <w:rPr>
          <w:rFonts w:ascii="Segoe UI" w:hAnsi="Segoe UI" w:cs="Segoe UI"/>
          <w:color w:val="auto"/>
          <w:highlight w:val="none"/>
          <w:shd w:val="clear" w:color="auto" w:fill="FFFFFF"/>
        </w:rPr>
      </w:pPr>
      <w:r>
        <w:rPr>
          <w:rFonts w:hint="eastAsia" w:ascii="Segoe UI" w:hAnsi="Segoe UI" w:cs="Segoe UI"/>
          <w:color w:val="auto"/>
          <w:highlight w:val="none"/>
          <w:shd w:val="clear" w:color="auto" w:fill="FFFFFF"/>
        </w:rPr>
        <w:t>14）</w:t>
      </w:r>
      <w:r>
        <w:rPr>
          <w:rFonts w:ascii="Segoe UI" w:hAnsi="Segoe UI" w:cs="Segoe UI"/>
          <w:color w:val="auto"/>
          <w:highlight w:val="none"/>
          <w:shd w:val="clear" w:color="auto" w:fill="FFFFFF"/>
        </w:rPr>
        <w:t>《智能建筑工程质量验收规范》（GB50339-2013）</w:t>
      </w:r>
    </w:p>
    <w:p w14:paraId="0C40AC25">
      <w:pPr>
        <w:adjustRightInd w:val="0"/>
        <w:snapToGrid w:val="0"/>
        <w:spacing w:line="360" w:lineRule="auto"/>
        <w:ind w:right="11" w:firstLine="420" w:firstLineChars="200"/>
        <w:rPr>
          <w:rFonts w:ascii="Segoe UI" w:hAnsi="Segoe UI" w:cs="Segoe UI"/>
          <w:color w:val="auto"/>
          <w:highlight w:val="none"/>
          <w:shd w:val="clear" w:color="auto" w:fill="FFFFFF"/>
        </w:rPr>
      </w:pPr>
      <w:r>
        <w:rPr>
          <w:rFonts w:hint="eastAsia"/>
          <w:bCs/>
          <w:color w:val="auto"/>
          <w:highlight w:val="none"/>
        </w:rPr>
        <w:t>15）</w:t>
      </w:r>
      <w:r>
        <w:rPr>
          <w:bCs/>
          <w:color w:val="auto"/>
          <w:highlight w:val="none"/>
        </w:rPr>
        <w:t>《电气装置安装工程 电缆线路施工及验收规范》</w:t>
      </w:r>
      <w:r>
        <w:rPr>
          <w:rFonts w:hint="eastAsia"/>
          <w:bCs/>
          <w:color w:val="auto"/>
          <w:highlight w:val="none"/>
        </w:rPr>
        <w:t>（</w:t>
      </w:r>
      <w:r>
        <w:rPr>
          <w:bCs/>
          <w:color w:val="auto"/>
          <w:highlight w:val="none"/>
        </w:rPr>
        <w:t>GB 50168-2018</w:t>
      </w:r>
      <w:r>
        <w:rPr>
          <w:rFonts w:hint="eastAsia"/>
          <w:bCs/>
          <w:color w:val="auto"/>
          <w:highlight w:val="none"/>
        </w:rPr>
        <w:t>）</w:t>
      </w:r>
    </w:p>
    <w:p w14:paraId="0EEDAB90">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w:t>
      </w:r>
      <w:r>
        <w:rPr>
          <w:rFonts w:ascii="宋体" w:hAnsi="宋体"/>
          <w:bCs/>
          <w:snapToGrid w:val="0"/>
          <w:color w:val="auto"/>
          <w:kern w:val="0"/>
          <w:sz w:val="24"/>
          <w:highlight w:val="none"/>
        </w:rPr>
        <w:t>2）质量目标：</w:t>
      </w:r>
    </w:p>
    <w:p w14:paraId="78533214">
      <w:pPr>
        <w:adjustRightInd w:val="0"/>
        <w:snapToGrid w:val="0"/>
        <w:spacing w:line="360" w:lineRule="auto"/>
        <w:ind w:right="11" w:firstLine="482" w:firstLineChars="200"/>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一次竣工验收合格，省建设工程优质奖。</w:t>
      </w:r>
    </w:p>
    <w:p w14:paraId="042C2E93">
      <w:pPr>
        <w:adjustRightInd w:val="0"/>
        <w:snapToGrid w:val="0"/>
        <w:spacing w:line="360" w:lineRule="auto"/>
        <w:ind w:right="11" w:firstLine="482" w:firstLineChars="200"/>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5．职业健康安全管理目标和环境管理目标</w:t>
      </w:r>
    </w:p>
    <w:p w14:paraId="116AE6B1">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（1）职业健康安全管理目标：</w:t>
      </w:r>
    </w:p>
    <w:p w14:paraId="041090EE">
      <w:pPr>
        <w:adjustRightInd w:val="0"/>
        <w:snapToGrid w:val="0"/>
        <w:spacing w:line="360" w:lineRule="auto"/>
        <w:ind w:right="11"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达到省级安全文明施工样板工地标准。杜绝发生一般事故等级及以上的伤亡事故且工伤责任事故死亡人数为零。</w:t>
      </w:r>
    </w:p>
    <w:p w14:paraId="11EC94B7">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w:t>
      </w:r>
      <w:r>
        <w:rPr>
          <w:rFonts w:ascii="宋体" w:hAnsi="宋体"/>
          <w:bCs/>
          <w:snapToGrid w:val="0"/>
          <w:color w:val="auto"/>
          <w:kern w:val="0"/>
          <w:sz w:val="24"/>
          <w:highlight w:val="none"/>
        </w:rPr>
        <w:t>2）环境管理目标：</w:t>
      </w:r>
    </w:p>
    <w:p w14:paraId="399DB42D">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snapToGrid w:val="0"/>
          <w:color w:val="auto"/>
          <w:kern w:val="0"/>
          <w:sz w:val="24"/>
          <w:highlight w:val="none"/>
        </w:rPr>
        <w:t>严格执行《广州市建设工程现场文明施工管理办法》（穗建质〔2008〕937号）、《广州市城乡建设委员会关于印发广州市加强建筑工地环保管理工作方案的通知》(穗建质〔2014〕754号) 、《广州市住房和城乡建设委员会关于印发建设工程扬尘防治“6个100%”管理标准细化措施的通知》（穗建质〔2018〕1394号）、《广州市住房和城乡建设局等6部委关于印发广州市建设工程绿色施工围蔽指导图集（V2.0）的通知》（穗建质〔2020〕1号）。执行《危险性较大的分部分项工程安全管理规定》(中华人民共和国住房和城乡建设部令第37号)和《广州市住房和城乡建设局关于印发加强建设工程安全生产管理落实建设各方主体责任的暂行规定的通知》穗建规字〔2020〕34号等国家、省、市现行标准、规定和文件要求</w:t>
      </w:r>
      <w:r>
        <w:rPr>
          <w:rFonts w:hint="eastAsia" w:ascii="宋体" w:hAnsi="宋体"/>
          <w:bCs/>
          <w:snapToGrid w:val="0"/>
          <w:color w:val="auto"/>
          <w:kern w:val="0"/>
          <w:sz w:val="24"/>
          <w:highlight w:val="none"/>
        </w:rPr>
        <w:t>。</w:t>
      </w:r>
    </w:p>
    <w:p w14:paraId="0B9C71E7">
      <w:pPr>
        <w:adjustRightInd w:val="0"/>
        <w:snapToGrid w:val="0"/>
        <w:spacing w:line="360" w:lineRule="auto"/>
        <w:ind w:right="11" w:firstLine="482" w:firstLineChars="200"/>
        <w:rPr>
          <w:rFonts w:ascii="宋体" w:hAnsi="宋体"/>
          <w:b/>
          <w:bCs/>
          <w:snapToGrid w:val="0"/>
          <w:color w:val="auto"/>
          <w:kern w:val="0"/>
          <w:sz w:val="24"/>
          <w:highlight w:val="none"/>
        </w:rPr>
      </w:pPr>
      <w:r>
        <w:rPr>
          <w:rFonts w:ascii="宋体" w:hAnsi="宋体"/>
          <w:b/>
          <w:bCs/>
          <w:snapToGrid w:val="0"/>
          <w:color w:val="auto"/>
          <w:kern w:val="0"/>
          <w:sz w:val="24"/>
          <w:highlight w:val="none"/>
        </w:rPr>
        <w:t>6．合同价款</w:t>
      </w:r>
    </w:p>
    <w:p w14:paraId="132A3A97">
      <w:pPr>
        <w:adjustRightInd w:val="0"/>
        <w:snapToGrid w:val="0"/>
        <w:spacing w:line="360" w:lineRule="auto"/>
        <w:ind w:right="11" w:firstLine="480" w:firstLineChars="200"/>
        <w:rPr>
          <w:rFonts w:ascii="宋体" w:hAnsi="宋体"/>
          <w:bCs/>
          <w:snapToGrid w:val="0"/>
          <w:color w:val="auto"/>
          <w:kern w:val="0"/>
          <w:sz w:val="24"/>
          <w:highlight w:val="none"/>
        </w:rPr>
      </w:pPr>
      <w:r>
        <w:rPr>
          <w:rFonts w:ascii="宋体" w:hAnsi="宋体"/>
          <w:bCs/>
          <w:snapToGrid w:val="0"/>
          <w:color w:val="auto"/>
          <w:kern w:val="0"/>
          <w:sz w:val="24"/>
          <w:highlight w:val="none"/>
        </w:rPr>
        <w:t>6.1本合同以人民币为报价和结算货币，除非发包人、承包人双方另有约定。</w:t>
      </w:r>
    </w:p>
    <w:p w14:paraId="557F41C2">
      <w:pPr>
        <w:adjustRightInd w:val="0"/>
        <w:snapToGrid w:val="0"/>
        <w:spacing w:line="360" w:lineRule="auto"/>
        <w:ind w:right="11" w:firstLine="480" w:firstLineChars="200"/>
        <w:rPr>
          <w:rFonts w:ascii="宋体" w:hAnsi="宋体"/>
          <w:bCs/>
          <w:snapToGrid w:val="0"/>
          <w:color w:val="auto"/>
          <w:kern w:val="0"/>
          <w:sz w:val="24"/>
          <w:highlight w:val="none"/>
        </w:rPr>
      </w:pPr>
      <w:r>
        <w:rPr>
          <w:rFonts w:ascii="宋体" w:hAnsi="宋体"/>
          <w:bCs/>
          <w:snapToGrid w:val="0"/>
          <w:color w:val="auto"/>
          <w:kern w:val="0"/>
          <w:sz w:val="24"/>
          <w:highlight w:val="none"/>
        </w:rPr>
        <w:t>6.2本合同价款为</w:t>
      </w:r>
      <w:r>
        <w:rPr>
          <w:rFonts w:hint="eastAsia" w:ascii="宋体" w:hAnsi="宋体"/>
          <w:bCs/>
          <w:snapToGrid w:val="0"/>
          <w:color w:val="auto"/>
          <w:kern w:val="0"/>
          <w:sz w:val="24"/>
          <w:highlight w:val="none"/>
          <w:u w:val="single"/>
        </w:rPr>
        <w:t xml:space="preserve">         </w:t>
      </w:r>
      <w:r>
        <w:rPr>
          <w:rFonts w:hint="eastAsia" w:ascii="宋体" w:hAnsi="宋体"/>
          <w:b/>
          <w:bCs/>
          <w:snapToGrid w:val="0"/>
          <w:color w:val="auto"/>
          <w:kern w:val="0"/>
          <w:sz w:val="24"/>
          <w:highlight w:val="none"/>
        </w:rPr>
        <w:t>元</w:t>
      </w:r>
      <w:r>
        <w:rPr>
          <w:rFonts w:hint="eastAsia" w:ascii="宋体" w:hAnsi="宋体"/>
          <w:bCs/>
          <w:snapToGrid w:val="0"/>
          <w:color w:val="auto"/>
          <w:kern w:val="0"/>
          <w:sz w:val="24"/>
          <w:highlight w:val="none"/>
        </w:rPr>
        <w:t>（大写：</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），由以下四部分费用组成：</w:t>
      </w:r>
    </w:p>
    <w:p w14:paraId="399367BE">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w:t>
      </w:r>
      <w:r>
        <w:rPr>
          <w:rFonts w:ascii="宋体" w:hAnsi="宋体"/>
          <w:bCs/>
          <w:snapToGrid w:val="0"/>
          <w:color w:val="auto"/>
          <w:kern w:val="0"/>
          <w:sz w:val="24"/>
          <w:highlight w:val="none"/>
        </w:rPr>
        <w:t>1）分部分项工程量清单计价汇总合计</w:t>
      </w:r>
      <w:r>
        <w:rPr>
          <w:rFonts w:hint="eastAsia" w:ascii="宋体" w:hAnsi="宋体"/>
          <w:bCs/>
          <w:snapToGrid w:val="0"/>
          <w:color w:val="auto"/>
          <w:kern w:val="0"/>
          <w:sz w:val="24"/>
          <w:highlight w:val="none"/>
          <w:u w:val="single"/>
        </w:rPr>
        <w:t xml:space="preserve">         </w:t>
      </w:r>
      <w:r>
        <w:rPr>
          <w:rFonts w:ascii="宋体" w:hAnsi="宋体"/>
          <w:bCs/>
          <w:snapToGrid w:val="0"/>
          <w:color w:val="auto"/>
          <w:kern w:val="0"/>
          <w:sz w:val="24"/>
          <w:highlight w:val="none"/>
        </w:rPr>
        <w:t>元；</w:t>
      </w:r>
    </w:p>
    <w:p w14:paraId="7E6B94C3">
      <w:pPr>
        <w:adjustRightInd w:val="0"/>
        <w:snapToGrid w:val="0"/>
        <w:spacing w:line="360" w:lineRule="auto"/>
        <w:ind w:left="566" w:leftChars="200" w:right="11" w:hanging="146" w:hangingChars="61"/>
        <w:jc w:val="left"/>
        <w:rPr>
          <w:rFonts w:ascii="宋体" w:hAnsi="宋体"/>
          <w:bCs/>
          <w:snapToGrid w:val="0"/>
          <w:color w:val="auto"/>
          <w:kern w:val="0"/>
          <w:sz w:val="24"/>
          <w:highlight w:val="none"/>
        </w:rPr>
      </w:pPr>
      <w:r>
        <w:rPr>
          <w:rFonts w:hint="eastAsia" w:ascii="宋体" w:hAnsi="宋体"/>
          <w:bCs/>
          <w:snapToGrid w:val="0"/>
          <w:color w:val="auto"/>
          <w:kern w:val="0"/>
          <w:sz w:val="24"/>
          <w:highlight w:val="none"/>
        </w:rPr>
        <w:t>（</w:t>
      </w:r>
      <w:r>
        <w:rPr>
          <w:rFonts w:ascii="宋体" w:hAnsi="宋体"/>
          <w:bCs/>
          <w:snapToGrid w:val="0"/>
          <w:color w:val="auto"/>
          <w:kern w:val="0"/>
          <w:sz w:val="24"/>
          <w:highlight w:val="none"/>
        </w:rPr>
        <w:t>2）措施项目清单计价汇总合计</w:t>
      </w:r>
      <w:r>
        <w:rPr>
          <w:rFonts w:hint="eastAsia" w:ascii="宋体" w:hAnsi="宋体"/>
          <w:bCs/>
          <w:snapToGrid w:val="0"/>
          <w:color w:val="auto"/>
          <w:kern w:val="0"/>
          <w:sz w:val="24"/>
          <w:highlight w:val="none"/>
          <w:u w:val="single"/>
        </w:rPr>
        <w:t xml:space="preserve">         </w:t>
      </w:r>
      <w:r>
        <w:rPr>
          <w:rFonts w:ascii="宋体" w:hAnsi="宋体"/>
          <w:bCs/>
          <w:snapToGrid w:val="0"/>
          <w:color w:val="auto"/>
          <w:kern w:val="0"/>
          <w:sz w:val="24"/>
          <w:highlight w:val="none"/>
        </w:rPr>
        <w:t>元，其中，绿色施工安全防护措施费</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w:t>
      </w:r>
      <w:r>
        <w:rPr>
          <w:rFonts w:hint="eastAsia" w:ascii="宋体" w:hAnsi="宋体"/>
          <w:color w:val="auto"/>
          <w:sz w:val="24"/>
          <w:szCs w:val="24"/>
          <w:highlight w:val="none"/>
          <w:lang w:val="zh-CN"/>
        </w:rPr>
        <w:t>施工便道费用在已在系数计取的绿色施工安全防护措施费中综合考虑</w:t>
      </w:r>
      <w:r>
        <w:rPr>
          <w:rFonts w:ascii="宋体" w:hAnsi="宋体"/>
          <w:bCs/>
          <w:snapToGrid w:val="0"/>
          <w:color w:val="auto"/>
          <w:kern w:val="0"/>
          <w:sz w:val="24"/>
          <w:highlight w:val="none"/>
        </w:rPr>
        <w:t>；</w:t>
      </w:r>
    </w:p>
    <w:p w14:paraId="0782D8C6">
      <w:pPr>
        <w:adjustRightInd w:val="0"/>
        <w:snapToGrid w:val="0"/>
        <w:spacing w:line="360" w:lineRule="auto"/>
        <w:ind w:right="11" w:firstLine="480" w:firstLineChars="200"/>
        <w:jc w:val="left"/>
        <w:rPr>
          <w:rFonts w:ascii="宋体" w:hAnsi="宋体"/>
          <w:bCs/>
          <w:snapToGrid w:val="0"/>
          <w:color w:val="auto"/>
          <w:kern w:val="0"/>
          <w:sz w:val="24"/>
          <w:highlight w:val="none"/>
        </w:rPr>
      </w:pPr>
      <w:r>
        <w:rPr>
          <w:rFonts w:hint="eastAsia" w:ascii="宋体" w:hAnsi="宋体"/>
          <w:bCs/>
          <w:snapToGrid w:val="0"/>
          <w:color w:val="auto"/>
          <w:kern w:val="0"/>
          <w:sz w:val="24"/>
          <w:highlight w:val="none"/>
        </w:rPr>
        <w:t>（</w:t>
      </w:r>
      <w:r>
        <w:rPr>
          <w:rFonts w:ascii="宋体" w:hAnsi="宋体"/>
          <w:bCs/>
          <w:snapToGrid w:val="0"/>
          <w:color w:val="auto"/>
          <w:kern w:val="0"/>
          <w:sz w:val="24"/>
          <w:highlight w:val="none"/>
        </w:rPr>
        <w:t>3）其他项目清单计价汇总合计</w:t>
      </w:r>
      <w:r>
        <w:rPr>
          <w:rFonts w:hint="eastAsia" w:ascii="宋体" w:hAnsi="宋体"/>
          <w:bCs/>
          <w:snapToGrid w:val="0"/>
          <w:color w:val="auto"/>
          <w:kern w:val="0"/>
          <w:sz w:val="24"/>
          <w:highlight w:val="none"/>
          <w:u w:val="single"/>
        </w:rPr>
        <w:t xml:space="preserve">          </w:t>
      </w:r>
      <w:r>
        <w:rPr>
          <w:rFonts w:ascii="宋体" w:hAnsi="宋体"/>
          <w:bCs/>
          <w:snapToGrid w:val="0"/>
          <w:color w:val="auto"/>
          <w:kern w:val="0"/>
          <w:sz w:val="24"/>
          <w:highlight w:val="none"/>
        </w:rPr>
        <w:t>元，其中，暂列金额</w:t>
      </w:r>
      <w:r>
        <w:rPr>
          <w:rFonts w:hint="eastAsia" w:ascii="宋体" w:hAnsi="宋体"/>
          <w:bCs/>
          <w:snapToGrid w:val="0"/>
          <w:color w:val="auto"/>
          <w:kern w:val="0"/>
          <w:sz w:val="24"/>
          <w:highlight w:val="none"/>
          <w:u w:val="single"/>
        </w:rPr>
        <w:t xml:space="preserve">         </w:t>
      </w:r>
      <w:r>
        <w:rPr>
          <w:rFonts w:ascii="宋体" w:hAnsi="宋体"/>
          <w:bCs/>
          <w:snapToGrid w:val="0"/>
          <w:color w:val="auto"/>
          <w:kern w:val="0"/>
          <w:sz w:val="24"/>
          <w:highlight w:val="none"/>
        </w:rPr>
        <w:t>元</w:t>
      </w:r>
      <w:r>
        <w:rPr>
          <w:rFonts w:hint="eastAsia" w:ascii="宋体" w:hAnsi="宋体"/>
          <w:bCs/>
          <w:snapToGrid w:val="0"/>
          <w:color w:val="auto"/>
          <w:kern w:val="0"/>
          <w:sz w:val="24"/>
          <w:highlight w:val="none"/>
        </w:rPr>
        <w:t>，暂估价</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w:t>
      </w:r>
    </w:p>
    <w:p w14:paraId="5F3EEB1B">
      <w:pPr>
        <w:spacing w:line="360" w:lineRule="auto"/>
        <w:ind w:left="420" w:leftChars="200"/>
        <w:rPr>
          <w:rFonts w:ascii="宋体" w:hAnsi="宋体"/>
          <w:snapToGrid w:val="0"/>
          <w:color w:val="auto"/>
          <w:kern w:val="0"/>
          <w:sz w:val="24"/>
          <w:highlight w:val="none"/>
        </w:rPr>
      </w:pPr>
      <w:r>
        <w:rPr>
          <w:rFonts w:hint="eastAsia" w:ascii="宋体" w:hAnsi="宋体"/>
          <w:bCs/>
          <w:snapToGrid w:val="0"/>
          <w:color w:val="auto"/>
          <w:kern w:val="0"/>
          <w:sz w:val="24"/>
          <w:highlight w:val="none"/>
        </w:rPr>
        <w:t>（</w:t>
      </w:r>
      <w:r>
        <w:rPr>
          <w:rFonts w:ascii="宋体" w:hAnsi="宋体"/>
          <w:bCs/>
          <w:snapToGrid w:val="0"/>
          <w:color w:val="auto"/>
          <w:kern w:val="0"/>
          <w:sz w:val="24"/>
          <w:highlight w:val="none"/>
        </w:rPr>
        <w:t>4</w:t>
      </w:r>
      <w:r>
        <w:rPr>
          <w:rFonts w:hint="eastAsia" w:ascii="宋体" w:hAnsi="宋体"/>
          <w:bCs/>
          <w:snapToGrid w:val="0"/>
          <w:color w:val="auto"/>
          <w:kern w:val="0"/>
          <w:sz w:val="24"/>
          <w:highlight w:val="none"/>
        </w:rPr>
        <w:t>）税金项目计价汇总合计</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w:t>
      </w:r>
    </w:p>
    <w:p w14:paraId="4023AF5C">
      <w:pPr>
        <w:spacing w:line="360" w:lineRule="auto"/>
        <w:ind w:left="420" w:leftChars="200"/>
        <w:rPr>
          <w:rFonts w:ascii="宋体" w:hAnsi="宋体"/>
          <w:snapToGrid w:val="0"/>
          <w:color w:val="auto"/>
          <w:kern w:val="0"/>
          <w:sz w:val="24"/>
          <w:szCs w:val="21"/>
          <w:highlight w:val="none"/>
        </w:rPr>
      </w:pPr>
      <w:r>
        <w:rPr>
          <w:rFonts w:hint="eastAsia" w:ascii="宋体" w:hAnsi="宋体"/>
          <w:snapToGrid w:val="0"/>
          <w:color w:val="auto"/>
          <w:kern w:val="0"/>
          <w:sz w:val="24"/>
          <w:szCs w:val="21"/>
          <w:highlight w:val="none"/>
        </w:rPr>
        <w:t>（</w:t>
      </w:r>
      <w:r>
        <w:rPr>
          <w:rFonts w:ascii="宋体" w:hAnsi="宋体"/>
          <w:snapToGrid w:val="0"/>
          <w:color w:val="auto"/>
          <w:kern w:val="0"/>
          <w:sz w:val="24"/>
          <w:szCs w:val="21"/>
          <w:highlight w:val="none"/>
        </w:rPr>
        <w:t>5）</w:t>
      </w:r>
      <w:r>
        <w:rPr>
          <w:rFonts w:hint="eastAsia" w:ascii="宋体" w:hAnsi="宋体"/>
          <w:snapToGrid w:val="0"/>
          <w:color w:val="auto"/>
          <w:kern w:val="0"/>
          <w:sz w:val="24"/>
          <w:szCs w:val="21"/>
          <w:highlight w:val="none"/>
        </w:rPr>
        <w:t>因本项目特殊性和紧急性，若增加白天余泥外运时间，白天和</w:t>
      </w:r>
      <w:r>
        <w:rPr>
          <w:rFonts w:hint="eastAsia" w:ascii="宋体" w:hAnsi="宋体"/>
          <w:snapToGrid w:val="0"/>
          <w:color w:val="auto"/>
          <w:kern w:val="0"/>
          <w:sz w:val="24"/>
          <w:highlight w:val="none"/>
        </w:rPr>
        <w:t>夜间</w:t>
      </w:r>
      <w:r>
        <w:rPr>
          <w:rFonts w:hint="eastAsia" w:ascii="宋体" w:hAnsi="宋体"/>
          <w:snapToGrid w:val="0"/>
          <w:color w:val="auto"/>
          <w:kern w:val="0"/>
          <w:sz w:val="24"/>
          <w:szCs w:val="21"/>
          <w:highlight w:val="none"/>
        </w:rPr>
        <w:t>余</w:t>
      </w:r>
    </w:p>
    <w:p w14:paraId="6EA01A77">
      <w:pPr>
        <w:spacing w:line="360" w:lineRule="auto"/>
        <w:rPr>
          <w:rFonts w:hint="eastAsia" w:ascii="宋体" w:hAnsi="宋体" w:eastAsia="宋体"/>
          <w:bCs/>
          <w:snapToGrid w:val="0"/>
          <w:color w:val="auto"/>
          <w:kern w:val="0"/>
          <w:sz w:val="24"/>
          <w:highlight w:val="none"/>
          <w:lang w:eastAsia="zh-CN"/>
        </w:rPr>
      </w:pPr>
      <w:r>
        <w:rPr>
          <w:rFonts w:hint="eastAsia" w:ascii="宋体" w:hAnsi="宋体"/>
          <w:bCs/>
          <w:snapToGrid w:val="0"/>
          <w:color w:val="auto"/>
          <w:kern w:val="0"/>
          <w:sz w:val="24"/>
          <w:szCs w:val="21"/>
          <w:highlight w:val="none"/>
        </w:rPr>
        <w:t>泥外运单价相同且均不超公布函单价执行</w:t>
      </w:r>
      <w:r>
        <w:rPr>
          <w:rFonts w:hint="eastAsia" w:ascii="宋体" w:hAnsi="宋体"/>
          <w:bCs/>
          <w:snapToGrid w:val="0"/>
          <w:color w:val="auto"/>
          <w:kern w:val="0"/>
          <w:sz w:val="24"/>
          <w:highlight w:val="none"/>
        </w:rPr>
        <w:t>。</w:t>
      </w:r>
      <w:r>
        <w:rPr>
          <w:rFonts w:hint="eastAsia" w:ascii="宋体" w:hAnsi="宋体"/>
          <w:bCs/>
          <w:snapToGrid w:val="0"/>
          <w:color w:val="auto"/>
          <w:kern w:val="0"/>
          <w:sz w:val="24"/>
          <w:highlight w:val="none"/>
        </w:rPr>
        <w:t>土方运距暂按20km计算，每增加1km按投标单价计算，土方运距控制在30km以内，超过30km的按照30km进行结算。</w:t>
      </w:r>
      <w:r>
        <w:rPr>
          <w:rFonts w:hint="eastAsia" w:ascii="宋体" w:hAnsi="宋体"/>
          <w:bCs/>
          <w:snapToGrid w:val="0"/>
          <w:color w:val="auto"/>
          <w:kern w:val="0"/>
          <w:sz w:val="24"/>
          <w:highlight w:val="none"/>
          <w:lang w:eastAsia="zh-CN"/>
        </w:rPr>
        <w:t>消纳费按实结算，承包人提供发票和消纳证明等材料，</w:t>
      </w:r>
      <w:r>
        <w:rPr>
          <w:rFonts w:hint="eastAsia" w:ascii="宋体" w:hAnsi="宋体" w:cs="宋体"/>
          <w:bCs/>
          <w:color w:val="auto"/>
          <w:sz w:val="24"/>
          <w:highlight w:val="none"/>
          <w:u w:val="none"/>
        </w:rPr>
        <w:t>最终结算以有权审核的终审部门审定结果为准</w:t>
      </w:r>
      <w:r>
        <w:rPr>
          <w:rFonts w:hint="eastAsia" w:ascii="宋体" w:hAnsi="宋体" w:cs="宋体"/>
          <w:bCs/>
          <w:color w:val="auto"/>
          <w:sz w:val="24"/>
          <w:highlight w:val="none"/>
          <w:u w:val="none"/>
          <w:lang w:eastAsia="zh-CN"/>
        </w:rPr>
        <w:t>。</w:t>
      </w:r>
    </w:p>
    <w:p w14:paraId="490AD7A1">
      <w:pPr>
        <w:spacing w:line="360" w:lineRule="auto"/>
        <w:ind w:left="420" w:leftChars="200"/>
        <w:rPr>
          <w:rFonts w:ascii="宋体" w:hAnsi="宋体"/>
          <w:bCs/>
          <w:snapToGrid w:val="0"/>
          <w:color w:val="auto"/>
          <w:kern w:val="0"/>
          <w:sz w:val="24"/>
          <w:highlight w:val="none"/>
        </w:rPr>
      </w:pPr>
      <w:r>
        <w:rPr>
          <w:rFonts w:ascii="宋体" w:hAnsi="宋体"/>
          <w:bCs/>
          <w:snapToGrid w:val="0"/>
          <w:color w:val="auto"/>
          <w:kern w:val="0"/>
          <w:sz w:val="24"/>
          <w:highlight w:val="none"/>
        </w:rPr>
        <w:t>6.3本工程的计价依据执行《广东省住房和城乡建设厅关于印发&lt;</w:t>
      </w:r>
      <w:r>
        <w:rPr>
          <w:rFonts w:hint="eastAsia" w:ascii="宋体" w:hAnsi="宋体"/>
          <w:bCs/>
          <w:snapToGrid w:val="0"/>
          <w:color w:val="auto"/>
          <w:kern w:val="0"/>
          <w:sz w:val="24"/>
          <w:highlight w:val="none"/>
        </w:rPr>
        <w:t>广东省建设工程计价依据（</w:t>
      </w:r>
      <w:r>
        <w:rPr>
          <w:rFonts w:ascii="宋体" w:hAnsi="宋体"/>
          <w:bCs/>
          <w:snapToGrid w:val="0"/>
          <w:color w:val="auto"/>
          <w:kern w:val="0"/>
          <w:sz w:val="24"/>
          <w:highlight w:val="none"/>
        </w:rPr>
        <w:t>2018）&gt;</w:t>
      </w:r>
      <w:r>
        <w:rPr>
          <w:rFonts w:hint="eastAsia" w:ascii="宋体" w:hAnsi="宋体"/>
          <w:bCs/>
          <w:snapToGrid w:val="0"/>
          <w:color w:val="auto"/>
          <w:kern w:val="0"/>
          <w:sz w:val="24"/>
          <w:highlight w:val="none"/>
        </w:rPr>
        <w:t>的通知》（粤建市</w:t>
      </w:r>
      <w:r>
        <w:rPr>
          <w:rFonts w:ascii="宋体" w:hAnsi="宋体"/>
          <w:bCs/>
          <w:snapToGrid w:val="0"/>
          <w:color w:val="auto"/>
          <w:kern w:val="0"/>
          <w:sz w:val="24"/>
          <w:highlight w:val="none"/>
        </w:rPr>
        <w:t>[2019]6号）</w:t>
      </w:r>
      <w:r>
        <w:rPr>
          <w:rFonts w:hint="eastAsia" w:ascii="宋体" w:hAnsi="宋体"/>
          <w:bCs/>
          <w:snapToGrid w:val="0"/>
          <w:color w:val="auto"/>
          <w:kern w:val="0"/>
          <w:sz w:val="24"/>
          <w:highlight w:val="none"/>
        </w:rPr>
        <w:t>。</w:t>
      </w:r>
    </w:p>
    <w:p w14:paraId="493570AD">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6.4承包人应在双方签定合同并承包人收到合同后</w:t>
      </w:r>
      <w:r>
        <w:rPr>
          <w:rFonts w:ascii="宋体" w:hAnsi="宋体"/>
          <w:bCs/>
          <w:snapToGrid w:val="0"/>
          <w:color w:val="auto"/>
          <w:kern w:val="0"/>
          <w:sz w:val="24"/>
          <w:highlight w:val="none"/>
        </w:rPr>
        <w:t>15个工作日内</w:t>
      </w:r>
      <w:r>
        <w:rPr>
          <w:rFonts w:hint="eastAsia" w:ascii="宋体" w:hAnsi="宋体"/>
          <w:bCs/>
          <w:snapToGrid w:val="0"/>
          <w:color w:val="auto"/>
          <w:kern w:val="0"/>
          <w:sz w:val="24"/>
          <w:highlight w:val="none"/>
        </w:rPr>
        <w:t>按《广州市建筑业职工参加工伤保险实施办法》（穗人社发[2015]73号）的规定缴纳工伤保险费。如因承包人未按规定缴纳工伤保险费导致本工程施工许可证未能如期办理的，由此引起的相关责任全部由承包人承担。</w:t>
      </w:r>
    </w:p>
    <w:p w14:paraId="294D3E03">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6.5承包人应在双方签定合同并承包人取得工程编码后15个工作日内按《广州市建设领域工人工资支付分账管理实施细则》（穗建规字[2017]10）、</w:t>
      </w:r>
      <w:r>
        <w:rPr>
          <w:rFonts w:hint="eastAsia"/>
          <w:color w:val="auto"/>
          <w:sz w:val="24"/>
          <w:szCs w:val="24"/>
          <w:highlight w:val="none"/>
        </w:rPr>
        <w:t>《广州市住房和城乡建设局关于在我市房建市政工程贯彻执行省用工实名及工人工资支付专用账户管理办法有关要求的通知》（穗建筑【2019】352号）</w:t>
      </w:r>
      <w:r>
        <w:rPr>
          <w:rFonts w:hint="eastAsia" w:ascii="宋体" w:hAnsi="宋体"/>
          <w:bCs/>
          <w:snapToGrid w:val="0"/>
          <w:color w:val="auto"/>
          <w:kern w:val="0"/>
          <w:sz w:val="24"/>
          <w:highlight w:val="none"/>
        </w:rPr>
        <w:t>的规定开立工人工资支付专用账户。如因承包人未按规定开立、使用、变更、撤销工人工资支付专用账户导致本工程施工许可证未能如期办理、拖欠或克扣工人工资造成群体性事件或其他不良行为的，由此引起的相关责任全部由承包人承担。</w:t>
      </w:r>
    </w:p>
    <w:p w14:paraId="1F3557D3">
      <w:pPr>
        <w:widowControl/>
        <w:adjustRightInd w:val="0"/>
        <w:snapToGrid w:val="0"/>
        <w:spacing w:line="360" w:lineRule="auto"/>
        <w:ind w:right="11" w:firstLine="480" w:firstLineChars="200"/>
        <w:jc w:val="left"/>
        <w:rPr>
          <w:rFonts w:ascii="微软雅黑" w:hAnsi="微软雅黑"/>
          <w:color w:val="auto"/>
          <w:sz w:val="24"/>
          <w:szCs w:val="24"/>
          <w:highlight w:val="none"/>
        </w:rPr>
      </w:pPr>
      <w:r>
        <w:rPr>
          <w:rFonts w:hint="eastAsia" w:ascii="宋体" w:hAnsi="宋体"/>
          <w:bCs/>
          <w:snapToGrid w:val="0"/>
          <w:color w:val="auto"/>
          <w:kern w:val="0"/>
          <w:sz w:val="24"/>
          <w:highlight w:val="none"/>
        </w:rPr>
        <w:t>6.6承包人应当按照《广东省房屋建筑和市政基础设施工程用工实名管理暂行办法》（粤建规范〔</w:t>
      </w:r>
      <w:r>
        <w:rPr>
          <w:rFonts w:ascii="宋体" w:hAnsi="宋体"/>
          <w:bCs/>
          <w:snapToGrid w:val="0"/>
          <w:color w:val="auto"/>
          <w:kern w:val="0"/>
          <w:sz w:val="24"/>
          <w:highlight w:val="none"/>
        </w:rPr>
        <w:t>2018〕1号）和《广州市住房和城乡建设委员会关于印发&lt;</w:t>
      </w:r>
      <w:r>
        <w:rPr>
          <w:rFonts w:hint="eastAsia" w:ascii="宋体" w:hAnsi="宋体"/>
          <w:bCs/>
          <w:snapToGrid w:val="0"/>
          <w:color w:val="auto"/>
          <w:kern w:val="0"/>
          <w:sz w:val="24"/>
          <w:szCs w:val="21"/>
          <w:highlight w:val="none"/>
        </w:rPr>
        <w:t>广州市建筑施工实名制管理办法</w:t>
      </w:r>
      <w:r>
        <w:rPr>
          <w:rFonts w:ascii="宋体" w:hAnsi="宋体"/>
          <w:bCs/>
          <w:snapToGrid w:val="0"/>
          <w:color w:val="auto"/>
          <w:kern w:val="0"/>
          <w:sz w:val="24"/>
          <w:szCs w:val="21"/>
          <w:highlight w:val="none"/>
        </w:rPr>
        <w:t>&gt;</w:t>
      </w:r>
      <w:r>
        <w:rPr>
          <w:rFonts w:hint="eastAsia" w:ascii="宋体" w:hAnsi="宋体"/>
          <w:bCs/>
          <w:snapToGrid w:val="0"/>
          <w:color w:val="auto"/>
          <w:kern w:val="0"/>
          <w:sz w:val="24"/>
          <w:szCs w:val="21"/>
          <w:highlight w:val="none"/>
        </w:rPr>
        <w:t>的通知》（穗建规字〔</w:t>
      </w:r>
      <w:r>
        <w:rPr>
          <w:rFonts w:ascii="宋体" w:hAnsi="宋体"/>
          <w:bCs/>
          <w:snapToGrid w:val="0"/>
          <w:color w:val="auto"/>
          <w:kern w:val="0"/>
          <w:sz w:val="24"/>
          <w:szCs w:val="21"/>
          <w:highlight w:val="none"/>
        </w:rPr>
        <w:t>2017〕4号）</w:t>
      </w:r>
      <w:r>
        <w:rPr>
          <w:rFonts w:hint="eastAsia" w:ascii="宋体" w:hAnsi="宋体"/>
          <w:bCs/>
          <w:snapToGrid w:val="0"/>
          <w:color w:val="auto"/>
          <w:kern w:val="0"/>
          <w:sz w:val="24"/>
          <w:szCs w:val="21"/>
          <w:highlight w:val="none"/>
        </w:rPr>
        <w:t>《广州市住房和城乡建设局关于在我市房建市政工程贯彻执行省用工实名及工人工资支付专用账户管理办法有关要求的通知》（穗建筑【2019】352号）、《广州市住房和城乡建设局</w:t>
      </w:r>
      <w:r>
        <w:rPr>
          <w:rFonts w:ascii="宋体" w:hAnsi="宋体"/>
          <w:bCs/>
          <w:snapToGrid w:val="0"/>
          <w:color w:val="auto"/>
          <w:kern w:val="0"/>
          <w:sz w:val="24"/>
          <w:szCs w:val="21"/>
          <w:highlight w:val="none"/>
        </w:rPr>
        <w:t xml:space="preserve"> </w:t>
      </w:r>
      <w:r>
        <w:rPr>
          <w:rFonts w:hint="eastAsia" w:ascii="宋体" w:hAnsi="宋体"/>
          <w:bCs/>
          <w:snapToGrid w:val="0"/>
          <w:color w:val="auto"/>
          <w:kern w:val="0"/>
          <w:sz w:val="24"/>
          <w:szCs w:val="21"/>
          <w:highlight w:val="none"/>
        </w:rPr>
        <w:t>广州市人力资源和社会保障局</w:t>
      </w:r>
      <w:r>
        <w:rPr>
          <w:rFonts w:ascii="宋体" w:hAnsi="宋体"/>
          <w:bCs/>
          <w:snapToGrid w:val="0"/>
          <w:color w:val="auto"/>
          <w:kern w:val="0"/>
          <w:sz w:val="24"/>
          <w:szCs w:val="21"/>
          <w:highlight w:val="none"/>
        </w:rPr>
        <w:t xml:space="preserve"> </w:t>
      </w:r>
      <w:r>
        <w:rPr>
          <w:rFonts w:hint="eastAsia" w:ascii="宋体" w:hAnsi="宋体"/>
          <w:bCs/>
          <w:snapToGrid w:val="0"/>
          <w:color w:val="auto"/>
          <w:kern w:val="0"/>
          <w:sz w:val="24"/>
          <w:szCs w:val="21"/>
          <w:highlight w:val="none"/>
        </w:rPr>
        <w:t>广州市交通运输局</w:t>
      </w:r>
      <w:r>
        <w:rPr>
          <w:rFonts w:ascii="宋体" w:hAnsi="宋体"/>
          <w:bCs/>
          <w:snapToGrid w:val="0"/>
          <w:color w:val="auto"/>
          <w:kern w:val="0"/>
          <w:sz w:val="24"/>
          <w:szCs w:val="21"/>
          <w:highlight w:val="none"/>
        </w:rPr>
        <w:t xml:space="preserve"> </w:t>
      </w:r>
      <w:r>
        <w:rPr>
          <w:rFonts w:hint="eastAsia" w:ascii="宋体" w:hAnsi="宋体"/>
          <w:bCs/>
          <w:snapToGrid w:val="0"/>
          <w:color w:val="auto"/>
          <w:kern w:val="0"/>
          <w:sz w:val="24"/>
          <w:szCs w:val="21"/>
          <w:highlight w:val="none"/>
        </w:rPr>
        <w:t>广州市水务局</w:t>
      </w:r>
      <w:r>
        <w:rPr>
          <w:rFonts w:ascii="宋体" w:hAnsi="宋体"/>
          <w:bCs/>
          <w:snapToGrid w:val="0"/>
          <w:color w:val="auto"/>
          <w:kern w:val="0"/>
          <w:sz w:val="24"/>
          <w:szCs w:val="21"/>
          <w:highlight w:val="none"/>
        </w:rPr>
        <w:t xml:space="preserve"> </w:t>
      </w:r>
      <w:r>
        <w:rPr>
          <w:rFonts w:hint="eastAsia" w:ascii="宋体" w:hAnsi="宋体"/>
          <w:bCs/>
          <w:snapToGrid w:val="0"/>
          <w:color w:val="auto"/>
          <w:kern w:val="0"/>
          <w:sz w:val="24"/>
          <w:szCs w:val="21"/>
          <w:highlight w:val="none"/>
        </w:rPr>
        <w:t>广州市林业和园林局</w:t>
      </w:r>
      <w:r>
        <w:rPr>
          <w:rFonts w:ascii="宋体" w:hAnsi="宋体"/>
          <w:bCs/>
          <w:snapToGrid w:val="0"/>
          <w:color w:val="auto"/>
          <w:kern w:val="0"/>
          <w:sz w:val="24"/>
          <w:szCs w:val="21"/>
          <w:highlight w:val="none"/>
        </w:rPr>
        <w:t xml:space="preserve"> </w:t>
      </w:r>
      <w:r>
        <w:rPr>
          <w:rFonts w:hint="eastAsia" w:ascii="宋体" w:hAnsi="宋体"/>
          <w:bCs/>
          <w:snapToGrid w:val="0"/>
          <w:color w:val="auto"/>
          <w:kern w:val="0"/>
          <w:sz w:val="24"/>
          <w:szCs w:val="21"/>
          <w:highlight w:val="none"/>
        </w:rPr>
        <w:t>中国人民银行广州分行营业管理部关于印发广州市建设领域工人工资支付分账管理实施细则的通知》（</w:t>
      </w:r>
      <w:r>
        <w:rPr>
          <w:rFonts w:hint="eastAsia" w:ascii="宋体" w:hAnsi="宋体"/>
          <w:bCs/>
          <w:snapToGrid w:val="0"/>
          <w:color w:val="auto"/>
          <w:kern w:val="0"/>
          <w:sz w:val="24"/>
          <w:highlight w:val="none"/>
        </w:rPr>
        <w:t>穗建规字〔</w:t>
      </w:r>
      <w:r>
        <w:rPr>
          <w:rFonts w:ascii="宋体" w:hAnsi="宋体"/>
          <w:bCs/>
          <w:snapToGrid w:val="0"/>
          <w:color w:val="auto"/>
          <w:kern w:val="0"/>
          <w:sz w:val="24"/>
          <w:highlight w:val="none"/>
        </w:rPr>
        <w:t>2020</w:t>
      </w:r>
      <w:r>
        <w:rPr>
          <w:rFonts w:hint="eastAsia" w:ascii="宋体" w:hAnsi="宋体"/>
          <w:bCs/>
          <w:snapToGrid w:val="0"/>
          <w:color w:val="auto"/>
          <w:kern w:val="0"/>
          <w:sz w:val="24"/>
          <w:highlight w:val="none"/>
        </w:rPr>
        <w:t>〕37号</w:t>
      </w:r>
      <w:r>
        <w:rPr>
          <w:rFonts w:hint="eastAsia" w:ascii="宋体" w:hAnsi="宋体"/>
          <w:bCs/>
          <w:snapToGrid w:val="0"/>
          <w:color w:val="auto"/>
          <w:kern w:val="0"/>
          <w:sz w:val="24"/>
          <w:szCs w:val="21"/>
          <w:highlight w:val="none"/>
        </w:rPr>
        <w:t>）</w:t>
      </w:r>
      <w:r>
        <w:rPr>
          <w:rFonts w:hint="eastAsia" w:ascii="宋体" w:hAnsi="宋体"/>
          <w:bCs/>
          <w:snapToGrid w:val="0"/>
          <w:color w:val="auto"/>
          <w:kern w:val="0"/>
          <w:sz w:val="24"/>
          <w:highlight w:val="none"/>
        </w:rPr>
        <w:t>等有关要求，利用信息技术手段，为施工现场人员（即实名管</w:t>
      </w:r>
      <w:r>
        <w:rPr>
          <w:rFonts w:hint="eastAsia" w:ascii="宋体" w:hAnsi="宋体"/>
          <w:bCs/>
          <w:snapToGrid w:val="0"/>
          <w:color w:val="auto"/>
          <w:kern w:val="0"/>
          <w:sz w:val="24"/>
          <w:szCs w:val="24"/>
          <w:highlight w:val="none"/>
        </w:rPr>
        <w:t>理对象，指建筑项目负责人、现场管理人员和作业工人）建立实名制管理机构，建立健全实名制信息采集、登记、报送、审核和档案管理的有关制度，落实实名管理制度。如</w:t>
      </w:r>
      <w:r>
        <w:rPr>
          <w:rFonts w:ascii="微软雅黑" w:hAnsi="微软雅黑"/>
          <w:color w:val="auto"/>
          <w:sz w:val="24"/>
          <w:szCs w:val="24"/>
          <w:highlight w:val="none"/>
        </w:rPr>
        <w:t>未按规定建立建筑施工实名制信息登记档案或档案不符合规定标准的，</w:t>
      </w:r>
      <w:r>
        <w:rPr>
          <w:rFonts w:hint="eastAsia" w:ascii="微软雅黑" w:hAnsi="微软雅黑"/>
          <w:color w:val="auto"/>
          <w:sz w:val="24"/>
          <w:szCs w:val="24"/>
          <w:highlight w:val="none"/>
        </w:rPr>
        <w:t>由此引起的一切责任和后果（包括不限于被纳入企业“黑名单”、按招标及合同文件规定被发包人拒绝参与其后续工程招标项目投标等）均由承包人自行承担</w:t>
      </w:r>
      <w:r>
        <w:rPr>
          <w:rFonts w:ascii="微软雅黑" w:hAnsi="微软雅黑"/>
          <w:color w:val="auto"/>
          <w:sz w:val="24"/>
          <w:szCs w:val="24"/>
          <w:highlight w:val="none"/>
        </w:rPr>
        <w:t>。</w:t>
      </w:r>
    </w:p>
    <w:p w14:paraId="1D406A2A">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szCs w:val="24"/>
          <w:highlight w:val="none"/>
        </w:rPr>
        <w:t>承包人对实名管理负总责，应当对</w:t>
      </w:r>
      <w:r>
        <w:rPr>
          <w:rFonts w:hint="eastAsia" w:ascii="宋体" w:hAnsi="宋体"/>
          <w:bCs/>
          <w:iCs/>
          <w:snapToGrid w:val="0"/>
          <w:color w:val="auto"/>
          <w:kern w:val="0"/>
          <w:sz w:val="24"/>
          <w:highlight w:val="none"/>
        </w:rPr>
        <w:t>其</w:t>
      </w:r>
      <w:r>
        <w:rPr>
          <w:rFonts w:hint="eastAsia" w:ascii="宋体" w:hAnsi="宋体"/>
          <w:bCs/>
          <w:snapToGrid w:val="0"/>
          <w:color w:val="auto"/>
          <w:kern w:val="0"/>
          <w:sz w:val="24"/>
          <w:szCs w:val="24"/>
          <w:highlight w:val="none"/>
        </w:rPr>
        <w:t>专业分包单位和劳务分包单位实施统一管理，监督其用工单位按时足额支付作业工人工资，督促其落实实名管理制度。发包人直接发包的专业承包单位应按照其与承包人签订的附件《施工总承包管理协议书》的约定和承包人的要求开展实名管理的相关工作。</w:t>
      </w:r>
    </w:p>
    <w:p w14:paraId="500DBB38">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6.7</w:t>
      </w:r>
      <w:r>
        <w:rPr>
          <w:rFonts w:hint="eastAsia" w:ascii="宋体" w:hAnsi="宋体"/>
          <w:color w:val="auto"/>
          <w:sz w:val="24"/>
          <w:highlight w:val="none"/>
        </w:rPr>
        <w:t>发包人、承包人双方一致同意，</w:t>
      </w:r>
      <w:r>
        <w:rPr>
          <w:rFonts w:hint="eastAsia" w:ascii="宋体" w:hAnsi="宋体"/>
          <w:bCs/>
          <w:snapToGrid w:val="0"/>
          <w:color w:val="auto"/>
          <w:kern w:val="0"/>
          <w:sz w:val="24"/>
          <w:highlight w:val="none"/>
        </w:rPr>
        <w:t>如本合同工程纳入广州市年度审计项目计划，且审计机关对于结算评审提出修正意见的，双方应当本着实事求是的原则予以纠正。</w:t>
      </w:r>
    </w:p>
    <w:p w14:paraId="2A664B99">
      <w:pPr>
        <w:adjustRightInd w:val="0"/>
        <w:snapToGrid w:val="0"/>
        <w:spacing w:line="360" w:lineRule="auto"/>
        <w:ind w:right="11" w:firstLine="482" w:firstLineChars="200"/>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7．组成合同的文件</w:t>
      </w:r>
    </w:p>
    <w:p w14:paraId="75A1F2EA">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下列文件应被认为是组成本合同的一部分，并互为补充和解释，如各文件存在冲突之处，以如下排列次序在前者优先适用：</w:t>
      </w:r>
    </w:p>
    <w:p w14:paraId="55DE147C">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（1）相关政府主管部门关于本工程的有关文件；</w:t>
      </w:r>
    </w:p>
    <w:p w14:paraId="3D582EFA">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（2）本合同履行期间发包人与承包人双方签订的补充合同（协议）或修正文件；</w:t>
      </w:r>
    </w:p>
    <w:p w14:paraId="021F8F37">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（3）合同协议书；</w:t>
      </w:r>
    </w:p>
    <w:p w14:paraId="387D7799">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（4）中标通知书；</w:t>
      </w:r>
    </w:p>
    <w:p w14:paraId="5D787F10">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（5）合同专用条款；</w:t>
      </w:r>
    </w:p>
    <w:p w14:paraId="233F0FC4">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（6）发包人针对本工程管理的各项制度、规定</w:t>
      </w:r>
      <w:r>
        <w:rPr>
          <w:rFonts w:hint="eastAsia" w:ascii="宋体" w:hAnsi="宋体"/>
          <w:b/>
          <w:snapToGrid w:val="0"/>
          <w:color w:val="auto"/>
          <w:spacing w:val="4"/>
          <w:kern w:val="0"/>
          <w:sz w:val="24"/>
          <w:highlight w:val="none"/>
        </w:rPr>
        <w:t>（发包人所制定的各项工程管理制度及规定，如有更新则按更新后的执行）</w:t>
      </w:r>
      <w:r>
        <w:rPr>
          <w:rFonts w:hint="eastAsia" w:ascii="宋体" w:hAnsi="宋体"/>
          <w:bCs/>
          <w:snapToGrid w:val="0"/>
          <w:color w:val="auto"/>
          <w:kern w:val="0"/>
          <w:sz w:val="24"/>
          <w:highlight w:val="none"/>
        </w:rPr>
        <w:t>；</w:t>
      </w:r>
    </w:p>
    <w:p w14:paraId="228D80EA">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（7）合同附件[属本条第（1）项和第（6）项内容的除外]；</w:t>
      </w:r>
    </w:p>
    <w:p w14:paraId="14F0BC72">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（8）合同通用条款；</w:t>
      </w:r>
    </w:p>
    <w:p w14:paraId="079439B5">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（9）招标文件[含招标文件补充文件、澄清文件、答疑文件、招标图等，属本条第（7）项内容的除外]；</w:t>
      </w:r>
    </w:p>
    <w:p w14:paraId="2B20A215">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（10）承包人投标文件及其附件[含投标文件澄清等，属本条第（7）项内容的除外]；</w:t>
      </w:r>
    </w:p>
    <w:p w14:paraId="254BBD3A">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（11）国家及广东省、广州市的标准、规范及有关技术文件；</w:t>
      </w:r>
      <w:r>
        <w:rPr>
          <w:rFonts w:hint="eastAsia" w:ascii="宋体" w:hAnsi="宋体"/>
          <w:bCs/>
          <w:snapToGrid w:val="0"/>
          <w:color w:val="auto"/>
          <w:kern w:val="0"/>
          <w:sz w:val="24"/>
          <w:highlight w:val="none"/>
          <w:lang w:eastAsia="zh-CN"/>
        </w:rPr>
        <w:t>（文件如已更新则以最新文件执行）</w:t>
      </w:r>
    </w:p>
    <w:p w14:paraId="703CF516">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（12）组成合同的其他文件。</w:t>
      </w:r>
    </w:p>
    <w:p w14:paraId="1F5B9090">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通过上述顺序解释仍无法明确的事项，由发包人与承包人协商解决；如协商不成，由发包人按照公平合理和有利于本工程建设的原则作出决定，如承包人对此决定不服的，应在接到发包人决定之日起三日内提出书面异议。如期满不提出书面异议的，视为同意发包人的决定。发包人收到承包人的书面异议后应作出进一步的决定。如</w:t>
      </w:r>
      <w:r>
        <w:rPr>
          <w:rFonts w:hint="eastAsia" w:ascii="宋体" w:hAnsi="宋体"/>
          <w:bCs/>
          <w:snapToGrid w:val="0"/>
          <w:color w:val="auto"/>
          <w:kern w:val="0"/>
          <w:sz w:val="24"/>
          <w:highlight w:val="none"/>
        </w:rPr>
        <w:t>承包人</w:t>
      </w:r>
      <w:r>
        <w:rPr>
          <w:rFonts w:hint="eastAsia" w:ascii="宋体" w:hAnsi="宋体"/>
          <w:snapToGrid w:val="0"/>
          <w:color w:val="auto"/>
          <w:kern w:val="0"/>
          <w:sz w:val="24"/>
          <w:highlight w:val="none"/>
        </w:rPr>
        <w:t>还不服的，可按</w:t>
      </w:r>
      <w:r>
        <w:rPr>
          <w:rFonts w:hint="eastAsia" w:ascii="宋体" w:hAnsi="宋体"/>
          <w:bCs/>
          <w:snapToGrid w:val="0"/>
          <w:color w:val="auto"/>
          <w:kern w:val="0"/>
          <w:sz w:val="24"/>
          <w:highlight w:val="none"/>
        </w:rPr>
        <w:t>合同专用条款第40条的约定处理，但在有关部门没有作出正式裁决之前，承包人必须无条件先行执行发包人的决定。</w:t>
      </w:r>
    </w:p>
    <w:p w14:paraId="1DB8A049">
      <w:pPr>
        <w:adjustRightInd w:val="0"/>
        <w:snapToGrid w:val="0"/>
        <w:spacing w:line="360" w:lineRule="auto"/>
        <w:ind w:right="11" w:firstLine="482" w:firstLineChars="200"/>
        <w:rPr>
          <w:rFonts w:ascii="宋体" w:hAnsi="宋体"/>
          <w:bCs/>
          <w:snapToGrid w:val="0"/>
          <w:color w:val="auto"/>
          <w:kern w:val="0"/>
          <w:sz w:val="24"/>
          <w:highlight w:val="none"/>
        </w:rPr>
      </w:pPr>
      <w:r>
        <w:rPr>
          <w:rFonts w:hint="eastAsia" w:ascii="宋体" w:hAnsi="宋体"/>
          <w:b/>
          <w:bCs/>
          <w:snapToGrid w:val="0"/>
          <w:color w:val="auto"/>
          <w:kern w:val="0"/>
          <w:sz w:val="24"/>
          <w:highlight w:val="none"/>
        </w:rPr>
        <w:t>8．</w:t>
      </w:r>
      <w:r>
        <w:rPr>
          <w:rFonts w:hint="eastAsia" w:ascii="宋体" w:hAnsi="宋体"/>
          <w:bCs/>
          <w:snapToGrid w:val="0"/>
          <w:color w:val="auto"/>
          <w:kern w:val="0"/>
          <w:sz w:val="24"/>
          <w:highlight w:val="none"/>
        </w:rPr>
        <w:t>承包人应在收到中标通知书之日起5日内以书面形式向发包人提交其法定代表人、本工程指挥长、项目经理（项目负责人）的姓名、身份证复印件、职务、职称、联系方式（包括办公电话、手机、传真号码）、通信地址等信息作为合同附件。</w:t>
      </w:r>
    </w:p>
    <w:p w14:paraId="544CE7BB">
      <w:pPr>
        <w:adjustRightInd w:val="0"/>
        <w:snapToGrid w:val="0"/>
        <w:spacing w:line="360" w:lineRule="auto"/>
        <w:ind w:right="11" w:firstLine="482" w:firstLineChars="200"/>
        <w:rPr>
          <w:rFonts w:ascii="宋体" w:hAnsi="宋体"/>
          <w:bCs/>
          <w:snapToGrid w:val="0"/>
          <w:color w:val="auto"/>
          <w:kern w:val="0"/>
          <w:sz w:val="24"/>
          <w:highlight w:val="none"/>
        </w:rPr>
      </w:pPr>
      <w:r>
        <w:rPr>
          <w:rFonts w:hint="eastAsia" w:ascii="宋体" w:hAnsi="宋体"/>
          <w:b/>
          <w:bCs/>
          <w:snapToGrid w:val="0"/>
          <w:color w:val="auto"/>
          <w:kern w:val="0"/>
          <w:sz w:val="24"/>
          <w:highlight w:val="none"/>
        </w:rPr>
        <w:t>9．</w:t>
      </w:r>
      <w:r>
        <w:rPr>
          <w:rFonts w:hint="eastAsia" w:ascii="宋体" w:hAnsi="宋体"/>
          <w:bCs/>
          <w:snapToGrid w:val="0"/>
          <w:color w:val="auto"/>
          <w:kern w:val="0"/>
          <w:sz w:val="24"/>
          <w:highlight w:val="none"/>
        </w:rPr>
        <w:t>在本合同有效期内，承包人的单位名称变更的，应及时以书面形式通知发包人并附上变更登记资料；法定代表人变更的，应在变更后15日内向发包人提交新法定代表人的姓名、身份证复印件、职务、职称、联系电话、通信地址等信息。</w:t>
      </w:r>
    </w:p>
    <w:p w14:paraId="4C2E47D7">
      <w:pPr>
        <w:adjustRightInd w:val="0"/>
        <w:snapToGrid w:val="0"/>
        <w:spacing w:line="360" w:lineRule="auto"/>
        <w:ind w:right="11" w:firstLine="482" w:firstLineChars="200"/>
        <w:rPr>
          <w:rFonts w:ascii="宋体" w:hAnsi="宋体"/>
          <w:bCs/>
          <w:snapToGrid w:val="0"/>
          <w:color w:val="auto"/>
          <w:kern w:val="0"/>
          <w:sz w:val="24"/>
          <w:highlight w:val="none"/>
        </w:rPr>
      </w:pPr>
      <w:r>
        <w:rPr>
          <w:rFonts w:hint="eastAsia" w:ascii="宋体" w:hAnsi="宋体"/>
          <w:b/>
          <w:bCs/>
          <w:snapToGrid w:val="0"/>
          <w:color w:val="auto"/>
          <w:kern w:val="0"/>
          <w:sz w:val="24"/>
          <w:highlight w:val="none"/>
        </w:rPr>
        <w:t>10．</w:t>
      </w:r>
      <w:r>
        <w:rPr>
          <w:rFonts w:hint="eastAsia" w:ascii="宋体" w:hAnsi="宋体"/>
          <w:bCs/>
          <w:snapToGrid w:val="0"/>
          <w:color w:val="auto"/>
          <w:kern w:val="0"/>
          <w:sz w:val="24"/>
          <w:highlight w:val="none"/>
        </w:rPr>
        <w:t>在本合同有效期内，</w:t>
      </w:r>
      <w:r>
        <w:rPr>
          <w:rFonts w:hint="eastAsia" w:ascii="宋体" w:hAnsi="宋体"/>
          <w:snapToGrid w:val="0"/>
          <w:color w:val="auto"/>
          <w:kern w:val="0"/>
          <w:sz w:val="24"/>
          <w:highlight w:val="none"/>
        </w:rPr>
        <w:t>现场管理机构各部主要组织管理人员[包括但不限于</w:t>
      </w:r>
      <w:r>
        <w:rPr>
          <w:rFonts w:hint="eastAsia" w:ascii="宋体" w:hAnsi="宋体"/>
          <w:bCs/>
          <w:snapToGrid w:val="0"/>
          <w:color w:val="auto"/>
          <w:kern w:val="0"/>
          <w:sz w:val="24"/>
          <w:highlight w:val="none"/>
        </w:rPr>
        <w:t>工程指挥长、项目经理（项目负责人）、</w:t>
      </w:r>
      <w:r>
        <w:rPr>
          <w:rFonts w:hint="eastAsia" w:ascii="宋体" w:hAnsi="宋体"/>
          <w:snapToGrid w:val="0"/>
          <w:color w:val="auto"/>
          <w:kern w:val="0"/>
          <w:sz w:val="24"/>
          <w:highlight w:val="none"/>
        </w:rPr>
        <w:t>技术负责人]应与投标文件保持一致，且需常驻工地。发包人不要求更换时不得更换。因特殊情况需要更换的，承包人应以书面形式向监理单位提出意向（附前任和后任人员的详细履历资料），经总监理工程师签署意见后向发包人提出申请，征得发包人及项目业主同意后方可更换。出现前述情形，承包人</w:t>
      </w:r>
      <w:r>
        <w:rPr>
          <w:rFonts w:hint="eastAsia" w:ascii="宋体" w:hAnsi="宋体"/>
          <w:bCs/>
          <w:snapToGrid w:val="0"/>
          <w:color w:val="auto"/>
          <w:kern w:val="0"/>
          <w:sz w:val="24"/>
          <w:highlight w:val="none"/>
        </w:rPr>
        <w:t>除按合同专用条款的有关约定承担违约责任外，还应在更换后7日内将新指挥长、新项目经理（项目负责人）的姓名、职务、职称、联系电话、通信地址等信息提交给发包人。</w:t>
      </w:r>
    </w:p>
    <w:p w14:paraId="78B4BA2A">
      <w:pPr>
        <w:adjustRightInd w:val="0"/>
        <w:snapToGrid w:val="0"/>
        <w:spacing w:line="360" w:lineRule="auto"/>
        <w:ind w:right="11" w:firstLine="482" w:firstLineChars="200"/>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11．</w:t>
      </w:r>
      <w:r>
        <w:rPr>
          <w:rFonts w:hint="eastAsia" w:ascii="宋体" w:hAnsi="宋体"/>
          <w:bCs/>
          <w:snapToGrid w:val="0"/>
          <w:color w:val="auto"/>
          <w:kern w:val="0"/>
          <w:sz w:val="24"/>
          <w:highlight w:val="none"/>
        </w:rPr>
        <w:t>发包人已建立工程项目信息管理系统，承包人应投入足够的人员并配备足够的设备与该系统连接，确保及时准确地按发包人要求进行信息沟通及管理。</w:t>
      </w:r>
    </w:p>
    <w:p w14:paraId="1CC9B266">
      <w:pPr>
        <w:adjustRightInd w:val="0"/>
        <w:snapToGrid w:val="0"/>
        <w:spacing w:line="360" w:lineRule="auto"/>
        <w:ind w:right="11" w:firstLine="482" w:firstLineChars="200"/>
        <w:rPr>
          <w:rFonts w:ascii="宋体" w:hAnsi="宋体"/>
          <w:bCs/>
          <w:snapToGrid w:val="0"/>
          <w:color w:val="auto"/>
          <w:kern w:val="0"/>
          <w:sz w:val="24"/>
          <w:highlight w:val="none"/>
        </w:rPr>
      </w:pPr>
      <w:r>
        <w:rPr>
          <w:rFonts w:hint="eastAsia" w:ascii="宋体" w:hAnsi="宋体"/>
          <w:b/>
          <w:bCs/>
          <w:snapToGrid w:val="0"/>
          <w:color w:val="auto"/>
          <w:kern w:val="0"/>
          <w:sz w:val="24"/>
          <w:highlight w:val="none"/>
        </w:rPr>
        <w:t>12．</w:t>
      </w:r>
      <w:r>
        <w:rPr>
          <w:rFonts w:hint="eastAsia" w:ascii="宋体" w:hAnsi="宋体"/>
          <w:bCs/>
          <w:snapToGrid w:val="0"/>
          <w:color w:val="auto"/>
          <w:kern w:val="0"/>
          <w:sz w:val="24"/>
          <w:highlight w:val="none"/>
        </w:rPr>
        <w:t>合同协议书中有关词语含义与合同通用条款、合同专用条款中分别赋予它们的定义相同。</w:t>
      </w:r>
    </w:p>
    <w:p w14:paraId="31CF4C4A">
      <w:pPr>
        <w:adjustRightInd w:val="0"/>
        <w:snapToGrid w:val="0"/>
        <w:spacing w:line="360" w:lineRule="auto"/>
        <w:ind w:right="11" w:firstLine="482" w:firstLineChars="200"/>
        <w:rPr>
          <w:rFonts w:ascii="宋体" w:hAnsi="宋体"/>
          <w:bCs/>
          <w:snapToGrid w:val="0"/>
          <w:color w:val="auto"/>
          <w:kern w:val="0"/>
          <w:sz w:val="24"/>
          <w:highlight w:val="none"/>
        </w:rPr>
      </w:pPr>
      <w:r>
        <w:rPr>
          <w:rFonts w:hint="eastAsia" w:ascii="宋体" w:hAnsi="宋体"/>
          <w:b/>
          <w:bCs/>
          <w:snapToGrid w:val="0"/>
          <w:color w:val="auto"/>
          <w:kern w:val="0"/>
          <w:sz w:val="24"/>
          <w:highlight w:val="none"/>
        </w:rPr>
        <w:t>13．</w:t>
      </w:r>
      <w:r>
        <w:rPr>
          <w:rFonts w:hint="eastAsia" w:ascii="宋体" w:hAnsi="宋体"/>
          <w:bCs/>
          <w:snapToGrid w:val="0"/>
          <w:color w:val="auto"/>
          <w:kern w:val="0"/>
          <w:sz w:val="24"/>
          <w:szCs w:val="24"/>
          <w:highlight w:val="none"/>
        </w:rPr>
        <w:t>承包人向发包人承诺按照合同约定进行采购、施工、竣工验收、移交、结算、管理及配合服务，并在缺陷责任期及质量保修期内承担工程质量保修责任。</w:t>
      </w:r>
    </w:p>
    <w:p w14:paraId="5304DD9D">
      <w:pPr>
        <w:adjustRightInd w:val="0"/>
        <w:snapToGrid w:val="0"/>
        <w:spacing w:line="360" w:lineRule="auto"/>
        <w:ind w:right="11" w:firstLine="482" w:firstLineChars="200"/>
        <w:rPr>
          <w:rFonts w:ascii="宋体" w:hAnsi="宋体"/>
          <w:bCs/>
          <w:snapToGrid w:val="0"/>
          <w:color w:val="auto"/>
          <w:kern w:val="0"/>
          <w:sz w:val="24"/>
          <w:highlight w:val="none"/>
        </w:rPr>
      </w:pPr>
      <w:r>
        <w:rPr>
          <w:rFonts w:hint="eastAsia" w:ascii="宋体" w:hAnsi="宋体"/>
          <w:b/>
          <w:bCs/>
          <w:snapToGrid w:val="0"/>
          <w:color w:val="auto"/>
          <w:kern w:val="0"/>
          <w:sz w:val="24"/>
          <w:highlight w:val="none"/>
        </w:rPr>
        <w:t>14．</w:t>
      </w:r>
      <w:r>
        <w:rPr>
          <w:rFonts w:hint="eastAsia" w:ascii="宋体" w:hAnsi="宋体"/>
          <w:bCs/>
          <w:snapToGrid w:val="0"/>
          <w:color w:val="auto"/>
          <w:kern w:val="0"/>
          <w:sz w:val="24"/>
          <w:highlight w:val="none"/>
        </w:rPr>
        <w:t>发包人向承包人承诺按照合同约定的期限和方式支付合同价款及按合同约定应支付的其他款项。</w:t>
      </w:r>
    </w:p>
    <w:p w14:paraId="45DB89CC">
      <w:pPr>
        <w:adjustRightInd w:val="0"/>
        <w:snapToGrid w:val="0"/>
        <w:spacing w:line="360" w:lineRule="auto"/>
        <w:ind w:right="11" w:firstLine="482" w:firstLineChars="200"/>
        <w:rPr>
          <w:rFonts w:ascii="宋体" w:hAnsi="宋体"/>
          <w:bCs/>
          <w:snapToGrid w:val="0"/>
          <w:color w:val="auto"/>
          <w:kern w:val="0"/>
          <w:sz w:val="24"/>
          <w:highlight w:val="none"/>
          <w:u w:val="single"/>
        </w:rPr>
      </w:pPr>
      <w:r>
        <w:rPr>
          <w:rFonts w:hint="eastAsia" w:ascii="宋体" w:hAnsi="宋体"/>
          <w:b/>
          <w:bCs/>
          <w:snapToGrid w:val="0"/>
          <w:color w:val="auto"/>
          <w:kern w:val="0"/>
          <w:sz w:val="24"/>
          <w:highlight w:val="none"/>
        </w:rPr>
        <w:t>15．</w:t>
      </w:r>
      <w:r>
        <w:rPr>
          <w:rFonts w:hint="eastAsia" w:ascii="宋体" w:hAnsi="宋体"/>
          <w:b/>
          <w:bCs/>
          <w:snapToGrid w:val="0"/>
          <w:color w:val="auto"/>
          <w:kern w:val="0"/>
          <w:sz w:val="24"/>
          <w:highlight w:val="none"/>
          <w:u w:val="single"/>
        </w:rPr>
        <w:t>在出现以下情况时，发包人有权拒绝承包人参与发包人后续招标项目的投标：</w:t>
      </w:r>
    </w:p>
    <w:p w14:paraId="128E2D84">
      <w:pPr>
        <w:adjustRightInd w:val="0"/>
        <w:snapToGrid w:val="0"/>
        <w:spacing w:line="360" w:lineRule="auto"/>
        <w:ind w:right="11" w:firstLine="480" w:firstLineChars="200"/>
        <w:rPr>
          <w:rFonts w:ascii="宋体" w:hAnsi="宋体"/>
          <w:bCs/>
          <w:snapToGrid w:val="0"/>
          <w:color w:val="auto"/>
          <w:kern w:val="0"/>
          <w:sz w:val="24"/>
          <w:highlight w:val="none"/>
          <w:u w:val="single"/>
        </w:rPr>
      </w:pPr>
      <w:r>
        <w:rPr>
          <w:rFonts w:hint="eastAsia" w:ascii="宋体" w:hAnsi="宋体"/>
          <w:bCs/>
          <w:snapToGrid w:val="0"/>
          <w:color w:val="auto"/>
          <w:kern w:val="0"/>
          <w:sz w:val="24"/>
          <w:highlight w:val="none"/>
          <w:u w:val="single"/>
        </w:rPr>
        <w:t>（1）承包人因过错行为被生效法律文书认定承担违约或侵权责任的；</w:t>
      </w:r>
    </w:p>
    <w:p w14:paraId="5259CE7D">
      <w:pPr>
        <w:adjustRightInd w:val="0"/>
        <w:snapToGrid w:val="0"/>
        <w:spacing w:line="360" w:lineRule="auto"/>
        <w:ind w:right="11" w:firstLine="480" w:firstLineChars="200"/>
        <w:rPr>
          <w:rFonts w:ascii="宋体" w:hAnsi="宋体"/>
          <w:bCs/>
          <w:snapToGrid w:val="0"/>
          <w:color w:val="auto"/>
          <w:kern w:val="0"/>
          <w:sz w:val="24"/>
          <w:highlight w:val="none"/>
          <w:u w:val="single"/>
        </w:rPr>
      </w:pPr>
      <w:r>
        <w:rPr>
          <w:rFonts w:hint="eastAsia" w:ascii="宋体" w:hAnsi="宋体"/>
          <w:bCs/>
          <w:snapToGrid w:val="0"/>
          <w:color w:val="auto"/>
          <w:kern w:val="0"/>
          <w:sz w:val="24"/>
          <w:highlight w:val="none"/>
          <w:u w:val="single"/>
        </w:rPr>
        <w:t>（2）承包人就其与发包人之间的争议问题向人民法院提起诉讼或向仲裁机构提请仲裁，且该诉讼（或仲裁）案件尚未审理终结的；</w:t>
      </w:r>
    </w:p>
    <w:p w14:paraId="1326694D">
      <w:pPr>
        <w:adjustRightInd w:val="0"/>
        <w:snapToGrid w:val="0"/>
        <w:spacing w:line="360" w:lineRule="auto"/>
        <w:ind w:right="11" w:firstLine="480" w:firstLineChars="200"/>
        <w:rPr>
          <w:rFonts w:ascii="宋体" w:hAnsi="宋体"/>
          <w:bCs/>
          <w:snapToGrid w:val="0"/>
          <w:color w:val="auto"/>
          <w:kern w:val="0"/>
          <w:sz w:val="24"/>
          <w:highlight w:val="none"/>
          <w:u w:val="single"/>
        </w:rPr>
      </w:pPr>
      <w:r>
        <w:rPr>
          <w:rFonts w:hint="eastAsia" w:ascii="宋体" w:hAnsi="宋体"/>
          <w:bCs/>
          <w:snapToGrid w:val="0"/>
          <w:color w:val="auto"/>
          <w:kern w:val="0"/>
          <w:sz w:val="24"/>
          <w:highlight w:val="none"/>
          <w:u w:val="single"/>
        </w:rPr>
        <w:t>（3）承包人不按合同及有关规定按时、足额支付分包单位合同价款及工人工资被投诉，经发包人查证属实的，或因此致使工人集体上访、集聚围阻而造成社会不良影响的；</w:t>
      </w:r>
    </w:p>
    <w:p w14:paraId="2B3D0ED5">
      <w:pPr>
        <w:adjustRightInd w:val="0"/>
        <w:snapToGrid w:val="0"/>
        <w:spacing w:line="360" w:lineRule="auto"/>
        <w:ind w:right="11" w:firstLine="480" w:firstLineChars="200"/>
        <w:rPr>
          <w:rFonts w:ascii="宋体" w:hAnsi="宋体"/>
          <w:bCs/>
          <w:snapToGrid w:val="0"/>
          <w:color w:val="auto"/>
          <w:kern w:val="0"/>
          <w:sz w:val="24"/>
          <w:highlight w:val="none"/>
          <w:u w:val="single"/>
        </w:rPr>
      </w:pPr>
      <w:r>
        <w:rPr>
          <w:rFonts w:hint="eastAsia" w:ascii="宋体" w:hAnsi="宋体"/>
          <w:bCs/>
          <w:snapToGrid w:val="0"/>
          <w:color w:val="auto"/>
          <w:kern w:val="0"/>
          <w:sz w:val="24"/>
          <w:highlight w:val="none"/>
          <w:u w:val="single"/>
        </w:rPr>
        <w:t>（4）因承包人原因导致发包人被其他单位或个人以诉讼或仲裁方式追索工程款或其他费用，但承包人未按照合同约定承担发包人由此产生的一切经济损失（包括但不限于发包人由此支出的所有诉讼或仲裁费用、律师代理费及其他费用），在收到发包人赔付通知后拒绝赔付的；</w:t>
      </w:r>
    </w:p>
    <w:p w14:paraId="70541587">
      <w:pPr>
        <w:adjustRightInd w:val="0"/>
        <w:snapToGrid w:val="0"/>
        <w:spacing w:line="360" w:lineRule="auto"/>
        <w:ind w:right="11" w:firstLine="480" w:firstLineChars="200"/>
        <w:rPr>
          <w:rFonts w:ascii="宋体" w:hAnsi="宋体"/>
          <w:bCs/>
          <w:snapToGrid w:val="0"/>
          <w:color w:val="auto"/>
          <w:kern w:val="0"/>
          <w:sz w:val="24"/>
          <w:highlight w:val="none"/>
          <w:u w:val="single"/>
        </w:rPr>
      </w:pPr>
      <w:r>
        <w:rPr>
          <w:rFonts w:hint="eastAsia" w:ascii="宋体" w:hAnsi="宋体"/>
          <w:bCs/>
          <w:snapToGrid w:val="0"/>
          <w:color w:val="auto"/>
          <w:kern w:val="0"/>
          <w:sz w:val="24"/>
          <w:highlight w:val="none"/>
          <w:u w:val="single"/>
        </w:rPr>
        <w:t>（5）承包人违反合同约定应承担两次以上严重违约责任的。</w:t>
      </w:r>
    </w:p>
    <w:p w14:paraId="110DD2EC">
      <w:pPr>
        <w:pStyle w:val="19"/>
        <w:ind w:firstLine="480" w:firstLineChars="200"/>
        <w:rPr>
          <w:rFonts w:ascii="宋体" w:hAnsi="宋体"/>
          <w:bCs/>
          <w:snapToGrid w:val="0"/>
          <w:color w:val="auto"/>
          <w:kern w:val="0"/>
          <w:sz w:val="24"/>
          <w:highlight w:val="none"/>
          <w:u w:val="single"/>
        </w:rPr>
      </w:pPr>
      <w:r>
        <w:rPr>
          <w:rFonts w:hint="eastAsia" w:ascii="宋体" w:hAnsi="宋体"/>
          <w:bCs/>
          <w:snapToGrid w:val="0"/>
          <w:color w:val="auto"/>
          <w:kern w:val="0"/>
          <w:sz w:val="24"/>
          <w:highlight w:val="none"/>
          <w:u w:val="single"/>
        </w:rPr>
        <w:t>（6）承包人将工程转包或者违法分包的；</w:t>
      </w:r>
    </w:p>
    <w:p w14:paraId="188A6E53">
      <w:pPr>
        <w:pStyle w:val="19"/>
        <w:ind w:firstLine="480" w:firstLineChars="200"/>
        <w:rPr>
          <w:rFonts w:ascii="宋体" w:hAnsi="宋体"/>
          <w:bCs/>
          <w:snapToGrid w:val="0"/>
          <w:color w:val="auto"/>
          <w:kern w:val="0"/>
          <w:sz w:val="24"/>
          <w:highlight w:val="none"/>
          <w:u w:val="single"/>
        </w:rPr>
      </w:pPr>
      <w:r>
        <w:rPr>
          <w:rFonts w:hint="eastAsia" w:ascii="宋体" w:hAnsi="宋体"/>
          <w:bCs/>
          <w:snapToGrid w:val="0"/>
          <w:color w:val="auto"/>
          <w:kern w:val="0"/>
          <w:sz w:val="24"/>
          <w:highlight w:val="none"/>
        </w:rPr>
        <w:t>（7）</w:t>
      </w:r>
      <w:r>
        <w:rPr>
          <w:rFonts w:hint="eastAsia" w:ascii="宋体" w:hAnsi="宋体"/>
          <w:bCs/>
          <w:snapToGrid w:val="0"/>
          <w:color w:val="auto"/>
          <w:kern w:val="0"/>
          <w:sz w:val="24"/>
          <w:highlight w:val="none"/>
          <w:u w:val="single"/>
        </w:rPr>
        <w:t>承包人不执行质量、安全生产相关规定的，造成质量或安全事故的；</w:t>
      </w:r>
    </w:p>
    <w:p w14:paraId="4D8BC8C2">
      <w:pPr>
        <w:adjustRightInd w:val="0"/>
        <w:snapToGrid w:val="0"/>
        <w:spacing w:line="360" w:lineRule="auto"/>
        <w:ind w:right="11" w:firstLine="480" w:firstLineChars="200"/>
        <w:rPr>
          <w:rFonts w:ascii="宋体" w:hAnsi="宋体"/>
          <w:bCs/>
          <w:snapToGrid w:val="0"/>
          <w:color w:val="auto"/>
          <w:kern w:val="0"/>
          <w:sz w:val="24"/>
          <w:highlight w:val="none"/>
          <w:u w:val="single"/>
        </w:rPr>
      </w:pPr>
      <w:r>
        <w:rPr>
          <w:rFonts w:hint="eastAsia" w:ascii="宋体" w:hAnsi="宋体"/>
          <w:bCs/>
          <w:snapToGrid w:val="0"/>
          <w:color w:val="auto"/>
          <w:kern w:val="0"/>
          <w:sz w:val="24"/>
          <w:highlight w:val="none"/>
          <w:u w:val="single"/>
        </w:rPr>
        <w:t>（8）承包人未按照国家、省、市有关建筑施工实名制管理和工人工资支付分账管理的规定执行，被行政监管部门通报或处罚的。</w:t>
      </w:r>
    </w:p>
    <w:p w14:paraId="5CD68224">
      <w:pPr>
        <w:adjustRightInd w:val="0"/>
        <w:snapToGrid w:val="0"/>
        <w:spacing w:line="360" w:lineRule="auto"/>
        <w:ind w:right="11" w:firstLine="480" w:firstLineChars="200"/>
        <w:rPr>
          <w:rFonts w:ascii="宋体" w:hAnsi="宋体"/>
          <w:bCs/>
          <w:snapToGrid w:val="0"/>
          <w:color w:val="auto"/>
          <w:kern w:val="0"/>
          <w:sz w:val="24"/>
          <w:highlight w:val="none"/>
          <w:u w:val="single"/>
        </w:rPr>
      </w:pPr>
    </w:p>
    <w:p w14:paraId="66E551D2">
      <w:pPr>
        <w:adjustRightInd w:val="0"/>
        <w:snapToGrid w:val="0"/>
        <w:spacing w:line="360" w:lineRule="auto"/>
        <w:ind w:right="11" w:firstLine="482" w:firstLineChars="200"/>
        <w:outlineLvl w:val="1"/>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16．合同生效</w:t>
      </w:r>
    </w:p>
    <w:p w14:paraId="5CA84EF2">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本合同自发包人、承包人双方法定代表人签字并加盖公章之日起生效，委托代理人签字的需经另一方书面同意。本合同有效期至本工程质量保修期满且竣工结算满60日及双方的责任、义务履行完毕时终止。</w:t>
      </w:r>
    </w:p>
    <w:p w14:paraId="08D5EF4F">
      <w:pPr>
        <w:adjustRightInd w:val="0"/>
        <w:snapToGrid w:val="0"/>
        <w:spacing w:line="360" w:lineRule="auto"/>
        <w:ind w:right="11" w:firstLine="482" w:firstLineChars="200"/>
        <w:outlineLvl w:val="1"/>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17．合同份数</w:t>
      </w:r>
    </w:p>
    <w:p w14:paraId="6EF89689">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本合同正本一式两份，发包人、承包人各执一份；副本八份，发包人执四份，承包人执四份。合同正、副本具有同等效力，但当合同正本与副本的表述不一致时，以合同正本为准。</w:t>
      </w:r>
    </w:p>
    <w:p w14:paraId="7286D04B">
      <w:pPr>
        <w:adjustRightInd w:val="0"/>
        <w:snapToGrid w:val="0"/>
        <w:spacing w:line="360" w:lineRule="auto"/>
        <w:ind w:right="11" w:firstLine="482" w:firstLineChars="200"/>
        <w:rPr>
          <w:rFonts w:ascii="宋体" w:hAnsi="宋体"/>
          <w:bCs/>
          <w:snapToGrid w:val="0"/>
          <w:color w:val="auto"/>
          <w:kern w:val="0"/>
          <w:sz w:val="24"/>
          <w:highlight w:val="none"/>
        </w:rPr>
      </w:pPr>
      <w:r>
        <w:rPr>
          <w:rFonts w:hint="eastAsia" w:ascii="宋体" w:hAnsi="宋体"/>
          <w:b/>
          <w:bCs/>
          <w:snapToGrid w:val="0"/>
          <w:color w:val="auto"/>
          <w:kern w:val="0"/>
          <w:sz w:val="24"/>
          <w:highlight w:val="none"/>
        </w:rPr>
        <w:t>18．</w:t>
      </w:r>
      <w:r>
        <w:rPr>
          <w:rFonts w:hint="eastAsia" w:ascii="宋体" w:hAnsi="宋体"/>
          <w:bCs/>
          <w:snapToGrid w:val="0"/>
          <w:color w:val="auto"/>
          <w:kern w:val="0"/>
          <w:sz w:val="24"/>
          <w:highlight w:val="none"/>
        </w:rPr>
        <w:t>中标通知书和招标答疑及澄清文件作为合同协议书组成部分附后。</w:t>
      </w:r>
    </w:p>
    <w:p w14:paraId="752D51E3">
      <w:pPr>
        <w:adjustRightInd w:val="0"/>
        <w:snapToGrid w:val="0"/>
        <w:spacing w:line="360" w:lineRule="auto"/>
        <w:ind w:right="11"/>
        <w:rPr>
          <w:rFonts w:ascii="宋体" w:hAnsi="宋体"/>
          <w:b/>
          <w:snapToGrid w:val="0"/>
          <w:color w:val="auto"/>
          <w:spacing w:val="-20"/>
          <w:kern w:val="0"/>
          <w:sz w:val="24"/>
          <w:highlight w:val="none"/>
        </w:rPr>
      </w:pPr>
      <w:r>
        <w:rPr>
          <w:rFonts w:hint="eastAsia" w:ascii="宋体" w:hAnsi="宋体"/>
          <w:snapToGrid w:val="0"/>
          <w:color w:val="auto"/>
          <w:spacing w:val="-20"/>
          <w:kern w:val="0"/>
          <w:sz w:val="24"/>
          <w:highlight w:val="none"/>
        </w:rPr>
        <w:t xml:space="preserve">发包人： 广州市越秀区代建项目管理中心           承包人： </w:t>
      </w:r>
    </w:p>
    <w:p w14:paraId="1E0507FA">
      <w:pPr>
        <w:adjustRightInd w:val="0"/>
        <w:snapToGrid w:val="0"/>
        <w:spacing w:line="360" w:lineRule="auto"/>
        <w:ind w:right="11" w:firstLine="2040" w:firstLineChars="850"/>
        <w:rPr>
          <w:rFonts w:ascii="宋体" w:hAnsi="宋体"/>
          <w:snapToGrid w:val="0"/>
          <w:color w:val="auto"/>
          <w:kern w:val="0"/>
          <w:sz w:val="24"/>
          <w:highlight w:val="none"/>
        </w:rPr>
      </w:pPr>
      <w:r>
        <w:rPr>
          <w:rFonts w:hint="eastAsia" w:ascii="宋体" w:hAnsi="宋体"/>
          <w:snapToGrid w:val="0"/>
          <w:color w:val="auto"/>
          <w:kern w:val="0"/>
          <w:sz w:val="24"/>
          <w:highlight w:val="none"/>
        </w:rPr>
        <w:t>（盖章）                         （盖章）</w:t>
      </w:r>
    </w:p>
    <w:p w14:paraId="11BB56C4">
      <w:pPr>
        <w:tabs>
          <w:tab w:val="left" w:pos="3525"/>
        </w:tabs>
        <w:adjustRightInd w:val="0"/>
        <w:snapToGrid w:val="0"/>
        <w:spacing w:line="360" w:lineRule="auto"/>
        <w:ind w:right="11"/>
        <w:rPr>
          <w:rFonts w:ascii="宋体" w:hAnsi="宋体"/>
          <w:snapToGrid w:val="0"/>
          <w:color w:val="auto"/>
          <w:kern w:val="0"/>
          <w:sz w:val="24"/>
          <w:highlight w:val="none"/>
        </w:rPr>
      </w:pPr>
      <w:r>
        <w:rPr>
          <w:rFonts w:ascii="宋体" w:hAnsi="宋体"/>
          <w:snapToGrid w:val="0"/>
          <w:color w:val="auto"/>
          <w:kern w:val="0"/>
          <w:sz w:val="24"/>
          <w:highlight w:val="none"/>
        </w:rPr>
        <w:tab/>
      </w:r>
    </w:p>
    <w:p w14:paraId="4477F09A">
      <w:pPr>
        <w:adjustRightInd w:val="0"/>
        <w:snapToGrid w:val="0"/>
        <w:spacing w:line="360" w:lineRule="auto"/>
        <w:ind w:right="11"/>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                           法定代表人：</w:t>
      </w:r>
    </w:p>
    <w:p w14:paraId="662E0081">
      <w:pPr>
        <w:tabs>
          <w:tab w:val="left" w:pos="5460"/>
        </w:tabs>
        <w:adjustRightInd w:val="0"/>
        <w:snapToGrid w:val="0"/>
        <w:spacing w:line="360" w:lineRule="auto"/>
        <w:ind w:left="-2" w:leftChars="-1" w:right="11"/>
        <w:rPr>
          <w:rFonts w:ascii="宋体" w:hAnsi="宋体"/>
          <w:snapToGrid w:val="0"/>
          <w:color w:val="auto"/>
          <w:kern w:val="0"/>
          <w:sz w:val="24"/>
          <w:highlight w:val="none"/>
        </w:rPr>
      </w:pPr>
    </w:p>
    <w:p w14:paraId="211A3F5A">
      <w:pPr>
        <w:tabs>
          <w:tab w:val="left" w:pos="5460"/>
        </w:tabs>
        <w:adjustRightInd w:val="0"/>
        <w:snapToGrid w:val="0"/>
        <w:spacing w:line="360" w:lineRule="auto"/>
        <w:ind w:left="-2" w:leftChars="-1" w:right="11"/>
        <w:rPr>
          <w:rFonts w:ascii="宋体" w:hAnsi="宋体"/>
          <w:snapToGrid w:val="0"/>
          <w:color w:val="auto"/>
          <w:kern w:val="0"/>
          <w:sz w:val="24"/>
          <w:highlight w:val="none"/>
        </w:rPr>
      </w:pPr>
      <w:r>
        <w:rPr>
          <w:rFonts w:hint="eastAsia" w:ascii="宋体" w:hAnsi="宋体"/>
          <w:snapToGrid w:val="0"/>
          <w:color w:val="auto"/>
          <w:kern w:val="0"/>
          <w:sz w:val="24"/>
          <w:highlight w:val="none"/>
        </w:rPr>
        <w:t>经办人：                               经办人：</w:t>
      </w:r>
    </w:p>
    <w:p w14:paraId="1CBABD80">
      <w:pPr>
        <w:adjustRightInd w:val="0"/>
        <w:snapToGrid w:val="0"/>
        <w:spacing w:line="360" w:lineRule="auto"/>
        <w:ind w:right="11"/>
        <w:rPr>
          <w:rFonts w:ascii="宋体" w:hAnsi="宋体"/>
          <w:snapToGrid w:val="0"/>
          <w:color w:val="auto"/>
          <w:kern w:val="0"/>
          <w:sz w:val="24"/>
          <w:highlight w:val="none"/>
        </w:rPr>
      </w:pPr>
    </w:p>
    <w:p w14:paraId="16C97C9F">
      <w:pPr>
        <w:adjustRightInd w:val="0"/>
        <w:snapToGrid w:val="0"/>
        <w:spacing w:line="360" w:lineRule="auto"/>
        <w:ind w:left="5520" w:right="11" w:hanging="5520" w:hangingChars="230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地址：广州市越秀区东华西路            地址：  </w:t>
      </w:r>
    </w:p>
    <w:p w14:paraId="06B039C2">
      <w:pPr>
        <w:adjustRightInd w:val="0"/>
        <w:snapToGrid w:val="0"/>
        <w:spacing w:line="360" w:lineRule="auto"/>
        <w:ind w:left="5518" w:leftChars="342" w:right="11" w:hanging="4800" w:hangingChars="200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永胜街51号                            </w:t>
      </w:r>
    </w:p>
    <w:p w14:paraId="5C601CB1">
      <w:pPr>
        <w:adjustRightInd w:val="0"/>
        <w:snapToGrid w:val="0"/>
        <w:spacing w:line="360" w:lineRule="auto"/>
        <w:ind w:right="11"/>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邮政编码：510055                       邮政编码： </w:t>
      </w:r>
    </w:p>
    <w:p w14:paraId="56381081">
      <w:pPr>
        <w:adjustRightInd w:val="0"/>
        <w:snapToGrid w:val="0"/>
        <w:spacing w:line="360" w:lineRule="auto"/>
        <w:ind w:right="11"/>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电话：83520212                         电话： </w:t>
      </w:r>
    </w:p>
    <w:p w14:paraId="12C553E0">
      <w:pPr>
        <w:adjustRightInd w:val="0"/>
        <w:snapToGrid w:val="0"/>
        <w:spacing w:line="360" w:lineRule="auto"/>
        <w:ind w:right="11"/>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传真：/                                传真： </w:t>
      </w:r>
    </w:p>
    <w:p w14:paraId="4FA2C811">
      <w:pPr>
        <w:tabs>
          <w:tab w:val="left" w:pos="5460"/>
        </w:tabs>
        <w:adjustRightInd w:val="0"/>
        <w:snapToGrid w:val="0"/>
        <w:spacing w:line="360" w:lineRule="auto"/>
        <w:ind w:left="-2" w:leftChars="-1" w:right="11"/>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开户银行：/                             开户银行： </w:t>
      </w:r>
    </w:p>
    <w:p w14:paraId="5E13689E">
      <w:pPr>
        <w:tabs>
          <w:tab w:val="left" w:pos="5460"/>
        </w:tabs>
        <w:wordWrap w:val="0"/>
        <w:adjustRightInd w:val="0"/>
        <w:snapToGrid w:val="0"/>
        <w:spacing w:line="360" w:lineRule="auto"/>
        <w:ind w:left="-2" w:leftChars="-1" w:right="11"/>
        <w:jc w:val="right"/>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w:t>
      </w:r>
    </w:p>
    <w:p w14:paraId="7E2B438B">
      <w:pPr>
        <w:tabs>
          <w:tab w:val="left" w:pos="5460"/>
        </w:tabs>
        <w:adjustRightInd w:val="0"/>
        <w:snapToGrid w:val="0"/>
        <w:spacing w:line="360" w:lineRule="auto"/>
        <w:ind w:left="-2" w:leftChars="-1" w:right="11"/>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账号：/                                 账号：    </w:t>
      </w:r>
    </w:p>
    <w:p w14:paraId="23DE3829">
      <w:pPr>
        <w:tabs>
          <w:tab w:val="left" w:pos="5460"/>
        </w:tabs>
        <w:adjustRightInd w:val="0"/>
        <w:snapToGrid w:val="0"/>
        <w:spacing w:line="360" w:lineRule="auto"/>
        <w:ind w:left="-2" w:leftChars="-1" w:right="11"/>
        <w:rPr>
          <w:rFonts w:ascii="宋体" w:hAnsi="宋体"/>
          <w:snapToGrid w:val="0"/>
          <w:color w:val="auto"/>
          <w:kern w:val="0"/>
          <w:sz w:val="24"/>
          <w:highlight w:val="none"/>
        </w:rPr>
      </w:pPr>
      <w:r>
        <w:rPr>
          <w:rFonts w:hint="eastAsia" w:ascii="宋体" w:hAnsi="宋体"/>
          <w:snapToGrid w:val="0"/>
          <w:color w:val="auto"/>
          <w:kern w:val="0"/>
          <w:sz w:val="24"/>
          <w:highlight w:val="none"/>
        </w:rPr>
        <w:t>签订时间：2024年  月  日               签订时间：2024年  月  日</w:t>
      </w:r>
    </w:p>
    <w:p w14:paraId="2FE18405">
      <w:pPr>
        <w:adjustRightInd w:val="0"/>
        <w:snapToGrid w:val="0"/>
        <w:spacing w:line="360" w:lineRule="auto"/>
        <w:jc w:val="center"/>
        <w:rPr>
          <w:rFonts w:ascii="宋体" w:hAnsi="宋体"/>
          <w:snapToGrid w:val="0"/>
          <w:color w:val="auto"/>
          <w:kern w:val="0"/>
          <w:sz w:val="24"/>
          <w:highlight w:val="none"/>
        </w:rPr>
      </w:pPr>
    </w:p>
    <w:p w14:paraId="7D1DE336">
      <w:pPr>
        <w:adjustRightInd w:val="0"/>
        <w:snapToGrid w:val="0"/>
        <w:spacing w:line="360" w:lineRule="auto"/>
        <w:jc w:val="center"/>
        <w:rPr>
          <w:rFonts w:ascii="宋体" w:hAnsi="宋体"/>
          <w:b/>
          <w:snapToGrid w:val="0"/>
          <w:color w:val="auto"/>
          <w:kern w:val="0"/>
          <w:sz w:val="32"/>
          <w:szCs w:val="32"/>
          <w:highlight w:val="none"/>
        </w:rPr>
      </w:pPr>
      <w:r>
        <w:rPr>
          <w:rFonts w:hint="eastAsia" w:ascii="宋体" w:hAnsi="宋体"/>
          <w:snapToGrid w:val="0"/>
          <w:color w:val="auto"/>
          <w:kern w:val="0"/>
          <w:sz w:val="24"/>
          <w:highlight w:val="none"/>
        </w:rPr>
        <w:t>合同订立地点：广州市越秀区。</w:t>
      </w:r>
      <w:r>
        <w:rPr>
          <w:rFonts w:ascii="宋体" w:hAnsi="宋体"/>
          <w:bCs/>
          <w:snapToGrid w:val="0"/>
          <w:color w:val="auto"/>
          <w:kern w:val="0"/>
          <w:sz w:val="24"/>
          <w:highlight w:val="none"/>
        </w:rPr>
        <w:br w:type="page"/>
      </w:r>
      <w:r>
        <w:rPr>
          <w:rFonts w:hint="eastAsia" w:ascii="宋体" w:hAnsi="宋体"/>
          <w:b/>
          <w:snapToGrid w:val="0"/>
          <w:color w:val="auto"/>
          <w:kern w:val="0"/>
          <w:sz w:val="32"/>
          <w:szCs w:val="32"/>
          <w:highlight w:val="none"/>
        </w:rPr>
        <w:t>中标通知书（复印件）</w:t>
      </w:r>
    </w:p>
    <w:p w14:paraId="5B9DDF36">
      <w:pPr>
        <w:adjustRightInd w:val="0"/>
        <w:snapToGrid w:val="0"/>
        <w:spacing w:line="360" w:lineRule="auto"/>
        <w:jc w:val="center"/>
        <w:rPr>
          <w:rFonts w:ascii="宋体" w:hAnsi="宋体"/>
          <w:snapToGrid w:val="0"/>
          <w:color w:val="auto"/>
          <w:kern w:val="0"/>
          <w:sz w:val="24"/>
          <w:szCs w:val="24"/>
          <w:highlight w:val="none"/>
        </w:rPr>
      </w:pPr>
      <w:r>
        <w:rPr>
          <w:rFonts w:ascii="宋体" w:hAnsi="宋体"/>
          <w:b/>
          <w:snapToGrid w:val="0"/>
          <w:color w:val="auto"/>
          <w:kern w:val="0"/>
          <w:sz w:val="32"/>
          <w:szCs w:val="32"/>
          <w:highlight w:val="none"/>
        </w:rPr>
        <w:br w:type="page"/>
      </w:r>
    </w:p>
    <w:p w14:paraId="6E58A177">
      <w:pPr>
        <w:adjustRightInd w:val="0"/>
        <w:snapToGrid w:val="0"/>
        <w:spacing w:line="360" w:lineRule="auto"/>
        <w:ind w:firstLine="643"/>
        <w:jc w:val="center"/>
        <w:outlineLvl w:val="1"/>
        <w:rPr>
          <w:rFonts w:ascii="宋体" w:hAnsi="宋体"/>
          <w:b/>
          <w:snapToGrid w:val="0"/>
          <w:color w:val="auto"/>
          <w:kern w:val="0"/>
          <w:sz w:val="32"/>
          <w:szCs w:val="32"/>
          <w:highlight w:val="none"/>
        </w:rPr>
      </w:pPr>
      <w:r>
        <w:rPr>
          <w:rFonts w:hint="eastAsia" w:ascii="宋体" w:hAnsi="宋体"/>
          <w:b/>
          <w:snapToGrid w:val="0"/>
          <w:color w:val="auto"/>
          <w:kern w:val="0"/>
          <w:sz w:val="32"/>
          <w:szCs w:val="32"/>
          <w:highlight w:val="none"/>
        </w:rPr>
        <w:t>招标答疑及澄清文件（复印件）</w:t>
      </w:r>
    </w:p>
    <w:p w14:paraId="05A8EB59">
      <w:pPr>
        <w:tabs>
          <w:tab w:val="left" w:pos="5460"/>
        </w:tabs>
        <w:adjustRightInd w:val="0"/>
        <w:snapToGrid w:val="0"/>
        <w:spacing w:line="360" w:lineRule="auto"/>
        <w:ind w:left="-2" w:leftChars="-1" w:right="11"/>
        <w:jc w:val="center"/>
        <w:rPr>
          <w:rFonts w:ascii="宋体" w:hAnsi="宋体"/>
          <w:bCs/>
          <w:snapToGrid w:val="0"/>
          <w:color w:val="auto"/>
          <w:kern w:val="0"/>
          <w:sz w:val="24"/>
          <w:highlight w:val="none"/>
        </w:rPr>
      </w:pPr>
      <w:r>
        <w:rPr>
          <w:rFonts w:ascii="宋体" w:hAnsi="宋体"/>
          <w:bCs/>
          <w:snapToGrid w:val="0"/>
          <w:color w:val="auto"/>
          <w:kern w:val="0"/>
          <w:sz w:val="24"/>
          <w:highlight w:val="none"/>
        </w:rPr>
        <w:br w:type="page"/>
      </w:r>
    </w:p>
    <w:p w14:paraId="66005D66">
      <w:pPr>
        <w:adjustRightInd w:val="0"/>
        <w:snapToGrid w:val="0"/>
        <w:spacing w:line="360" w:lineRule="auto"/>
        <w:ind w:right="11"/>
        <w:jc w:val="center"/>
        <w:outlineLvl w:val="0"/>
        <w:rPr>
          <w:rFonts w:ascii="宋体" w:hAnsi="宋体"/>
          <w:b/>
          <w:bCs/>
          <w:snapToGrid w:val="0"/>
          <w:color w:val="auto"/>
          <w:kern w:val="0"/>
          <w:sz w:val="44"/>
          <w:szCs w:val="44"/>
          <w:highlight w:val="none"/>
        </w:rPr>
      </w:pPr>
      <w:bookmarkStart w:id="0" w:name="_Toc115711030"/>
      <w:bookmarkStart w:id="1" w:name="_Toc122759215"/>
      <w:bookmarkStart w:id="2" w:name="_Toc82141021"/>
      <w:bookmarkStart w:id="3" w:name="_Toc114119682"/>
      <w:r>
        <w:rPr>
          <w:rFonts w:hint="eastAsia" w:ascii="宋体" w:hAnsi="宋体"/>
          <w:b/>
          <w:bCs/>
          <w:snapToGrid w:val="0"/>
          <w:color w:val="auto"/>
          <w:kern w:val="0"/>
          <w:sz w:val="44"/>
          <w:szCs w:val="44"/>
          <w:highlight w:val="none"/>
        </w:rPr>
        <w:t>第二篇  合同专用条款</w:t>
      </w:r>
      <w:bookmarkEnd w:id="0"/>
      <w:bookmarkEnd w:id="1"/>
      <w:bookmarkEnd w:id="2"/>
      <w:bookmarkEnd w:id="3"/>
    </w:p>
    <w:p w14:paraId="7BEF070A">
      <w:pPr>
        <w:pStyle w:val="27"/>
        <w:adjustRightInd w:val="0"/>
        <w:snapToGrid w:val="0"/>
        <w:spacing w:line="360" w:lineRule="auto"/>
        <w:jc w:val="center"/>
        <w:rPr>
          <w:rFonts w:ascii="楷体_GB2312" w:hAnsi="宋体" w:eastAsia="楷体_GB2312"/>
          <w:snapToGrid w:val="0"/>
          <w:color w:val="auto"/>
          <w:kern w:val="0"/>
          <w:sz w:val="24"/>
          <w:highlight w:val="none"/>
        </w:rPr>
      </w:pPr>
      <w:r>
        <w:rPr>
          <w:rFonts w:hint="eastAsia" w:ascii="楷体_GB2312" w:hAnsi="宋体" w:eastAsia="楷体_GB2312"/>
          <w:snapToGrid w:val="0"/>
          <w:color w:val="auto"/>
          <w:kern w:val="0"/>
          <w:sz w:val="24"/>
          <w:highlight w:val="none"/>
        </w:rPr>
        <w:t>（本部分条款的序号与合同通用条款的序号相对应，是</w:t>
      </w:r>
      <w:r>
        <w:rPr>
          <w:rFonts w:ascii="楷体_GB2312" w:hAnsi="宋体" w:eastAsia="楷体_GB2312"/>
          <w:snapToGrid w:val="0"/>
          <w:color w:val="auto"/>
          <w:kern w:val="0"/>
          <w:sz w:val="24"/>
          <w:highlight w:val="none"/>
        </w:rPr>
        <w:t>根据</w:t>
      </w:r>
      <w:r>
        <w:rPr>
          <w:rFonts w:hint="eastAsia" w:ascii="楷体_GB2312" w:hAnsi="宋体" w:eastAsia="楷体_GB2312"/>
          <w:snapToGrid w:val="0"/>
          <w:color w:val="auto"/>
          <w:kern w:val="0"/>
          <w:sz w:val="24"/>
          <w:highlight w:val="none"/>
        </w:rPr>
        <w:t>本工程</w:t>
      </w:r>
      <w:r>
        <w:rPr>
          <w:rFonts w:ascii="楷体_GB2312" w:hAnsi="宋体" w:eastAsia="楷体_GB2312"/>
          <w:snapToGrid w:val="0"/>
          <w:color w:val="auto"/>
          <w:kern w:val="0"/>
          <w:sz w:val="24"/>
          <w:highlight w:val="none"/>
        </w:rPr>
        <w:t>的实际情况</w:t>
      </w:r>
    </w:p>
    <w:p w14:paraId="2FB13369">
      <w:pPr>
        <w:pStyle w:val="27"/>
        <w:adjustRightInd w:val="0"/>
        <w:snapToGrid w:val="0"/>
        <w:spacing w:line="360" w:lineRule="auto"/>
        <w:jc w:val="center"/>
        <w:rPr>
          <w:rFonts w:ascii="楷体_GB2312" w:hAnsi="宋体" w:eastAsia="楷体_GB2312"/>
          <w:snapToGrid w:val="0"/>
          <w:color w:val="auto"/>
          <w:kern w:val="0"/>
          <w:sz w:val="24"/>
          <w:highlight w:val="none"/>
        </w:rPr>
      </w:pPr>
      <w:r>
        <w:rPr>
          <w:rFonts w:hint="eastAsia" w:ascii="楷体_GB2312" w:hAnsi="宋体" w:eastAsia="楷体_GB2312"/>
          <w:snapToGrid w:val="0"/>
          <w:color w:val="auto"/>
          <w:kern w:val="0"/>
          <w:sz w:val="24"/>
          <w:highlight w:val="none"/>
        </w:rPr>
        <w:t>对合同通用条款中相对应条款</w:t>
      </w:r>
      <w:r>
        <w:rPr>
          <w:rFonts w:ascii="楷体_GB2312" w:hAnsi="宋体" w:eastAsia="楷体_GB2312"/>
          <w:snapToGrid w:val="0"/>
          <w:color w:val="auto"/>
          <w:kern w:val="0"/>
          <w:sz w:val="24"/>
          <w:highlight w:val="none"/>
        </w:rPr>
        <w:t>进行修改</w:t>
      </w:r>
      <w:r>
        <w:rPr>
          <w:rFonts w:hint="eastAsia" w:ascii="楷体_GB2312" w:hAnsi="宋体" w:eastAsia="楷体_GB2312"/>
          <w:snapToGrid w:val="0"/>
          <w:color w:val="auto"/>
          <w:kern w:val="0"/>
          <w:sz w:val="24"/>
          <w:highlight w:val="none"/>
        </w:rPr>
        <w:t>、</w:t>
      </w:r>
      <w:r>
        <w:rPr>
          <w:rFonts w:ascii="楷体_GB2312" w:hAnsi="宋体" w:eastAsia="楷体_GB2312"/>
          <w:snapToGrid w:val="0"/>
          <w:color w:val="auto"/>
          <w:kern w:val="0"/>
          <w:sz w:val="24"/>
          <w:highlight w:val="none"/>
        </w:rPr>
        <w:t>补充</w:t>
      </w:r>
      <w:r>
        <w:rPr>
          <w:rFonts w:hint="eastAsia" w:ascii="楷体_GB2312" w:hAnsi="宋体" w:eastAsia="楷体_GB2312"/>
          <w:snapToGrid w:val="0"/>
          <w:color w:val="auto"/>
          <w:kern w:val="0"/>
          <w:sz w:val="24"/>
          <w:highlight w:val="none"/>
        </w:rPr>
        <w:t>或否定，其适用顺序优先于合同</w:t>
      </w:r>
    </w:p>
    <w:p w14:paraId="11192BDD">
      <w:pPr>
        <w:pStyle w:val="27"/>
        <w:adjustRightInd w:val="0"/>
        <w:snapToGrid w:val="0"/>
        <w:spacing w:line="360" w:lineRule="auto"/>
        <w:jc w:val="center"/>
        <w:rPr>
          <w:rFonts w:ascii="楷体_GB2312" w:hAnsi="宋体" w:eastAsia="楷体_GB2312"/>
          <w:snapToGrid w:val="0"/>
          <w:color w:val="auto"/>
          <w:kern w:val="0"/>
          <w:sz w:val="24"/>
          <w:highlight w:val="none"/>
        </w:rPr>
      </w:pPr>
      <w:r>
        <w:rPr>
          <w:rFonts w:hint="eastAsia" w:ascii="楷体_GB2312" w:hAnsi="宋体" w:eastAsia="楷体_GB2312"/>
          <w:snapToGrid w:val="0"/>
          <w:color w:val="auto"/>
          <w:kern w:val="0"/>
          <w:sz w:val="24"/>
          <w:highlight w:val="none"/>
        </w:rPr>
        <w:t>通用条款。本部分条款未阐明的内容，则按合同通用条款的有关约定执行）</w:t>
      </w:r>
    </w:p>
    <w:p w14:paraId="760BEA33">
      <w:pPr>
        <w:adjustRightInd w:val="0"/>
        <w:snapToGrid w:val="0"/>
        <w:spacing w:line="360" w:lineRule="auto"/>
        <w:jc w:val="center"/>
        <w:rPr>
          <w:rFonts w:ascii="宋体" w:hAnsi="宋体"/>
          <w:b/>
          <w:snapToGrid w:val="0"/>
          <w:color w:val="auto"/>
          <w:kern w:val="0"/>
          <w:sz w:val="28"/>
          <w:szCs w:val="28"/>
          <w:highlight w:val="none"/>
        </w:rPr>
      </w:pPr>
    </w:p>
    <w:p w14:paraId="2AA27A18">
      <w:pPr>
        <w:adjustRightInd w:val="0"/>
        <w:snapToGrid w:val="0"/>
        <w:spacing w:line="360" w:lineRule="auto"/>
        <w:jc w:val="center"/>
        <w:outlineLvl w:val="1"/>
        <w:rPr>
          <w:rFonts w:ascii="宋体" w:hAnsi="宋体"/>
          <w:b/>
          <w:snapToGrid w:val="0"/>
          <w:color w:val="auto"/>
          <w:kern w:val="0"/>
          <w:sz w:val="28"/>
          <w:szCs w:val="28"/>
          <w:highlight w:val="none"/>
        </w:rPr>
      </w:pPr>
      <w:r>
        <w:rPr>
          <w:rFonts w:hint="eastAsia" w:ascii="宋体" w:hAnsi="宋体"/>
          <w:b/>
          <w:snapToGrid w:val="0"/>
          <w:color w:val="auto"/>
          <w:kern w:val="0"/>
          <w:sz w:val="28"/>
          <w:szCs w:val="28"/>
          <w:highlight w:val="none"/>
        </w:rPr>
        <w:t>总  则</w:t>
      </w:r>
    </w:p>
    <w:p w14:paraId="5018085E">
      <w:pPr>
        <w:adjustRightInd w:val="0"/>
        <w:snapToGrid w:val="0"/>
        <w:spacing w:line="360" w:lineRule="auto"/>
        <w:ind w:firstLine="480" w:firstLineChars="200"/>
        <w:outlineLvl w:val="2"/>
        <w:rPr>
          <w:rFonts w:ascii="宋体" w:hAnsi="宋体"/>
          <w:snapToGrid w:val="0"/>
          <w:color w:val="auto"/>
          <w:kern w:val="0"/>
          <w:sz w:val="24"/>
          <w:highlight w:val="none"/>
        </w:rPr>
      </w:pPr>
      <w:r>
        <w:rPr>
          <w:rFonts w:hint="eastAsia" w:ascii="宋体" w:hAnsi="宋体"/>
          <w:snapToGrid w:val="0"/>
          <w:color w:val="auto"/>
          <w:kern w:val="0"/>
          <w:sz w:val="24"/>
          <w:highlight w:val="none"/>
        </w:rPr>
        <w:t>1．根据建设项目管理规范和本工程管理实际，本合同工程将实行社会化、专业化的管理模式。发包人将授权监理单位依据有关法律法规、规范和合同，充分行使其严格控制工程进度与投资以及进行合同、信息管理和协调处理现场等有关工程问题的权力，确保工程质量与安全。</w:t>
      </w:r>
    </w:p>
    <w:p w14:paraId="7026E711">
      <w:pPr>
        <w:adjustRightInd w:val="0"/>
        <w:snapToGrid w:val="0"/>
        <w:spacing w:line="360" w:lineRule="auto"/>
        <w:ind w:firstLine="480" w:firstLineChars="200"/>
        <w:outlineLvl w:val="2"/>
        <w:rPr>
          <w:rFonts w:ascii="宋体" w:hAnsi="宋体"/>
          <w:snapToGrid w:val="0"/>
          <w:color w:val="auto"/>
          <w:kern w:val="0"/>
          <w:sz w:val="24"/>
          <w:highlight w:val="none"/>
        </w:rPr>
      </w:pPr>
      <w:r>
        <w:rPr>
          <w:rFonts w:hint="eastAsia" w:ascii="宋体" w:hAnsi="宋体"/>
          <w:snapToGrid w:val="0"/>
          <w:color w:val="auto"/>
          <w:kern w:val="0"/>
          <w:sz w:val="24"/>
          <w:highlight w:val="none"/>
        </w:rPr>
        <w:t>2．发包人通过监理单位下达指令，监督承包人履约行为，承包人所有请求事项由监理单位协调并一般均通过监理单位接受或提出处理意见（发包人有特别要求和规定的除外）。</w:t>
      </w:r>
    </w:p>
    <w:p w14:paraId="22517AD5">
      <w:pPr>
        <w:adjustRightInd w:val="0"/>
        <w:snapToGrid w:val="0"/>
        <w:spacing w:line="360" w:lineRule="auto"/>
        <w:ind w:firstLine="480" w:firstLineChars="200"/>
        <w:outlineLvl w:val="2"/>
        <w:rPr>
          <w:rFonts w:ascii="宋体" w:hAnsi="宋体"/>
          <w:snapToGrid w:val="0"/>
          <w:color w:val="auto"/>
          <w:kern w:val="0"/>
          <w:sz w:val="24"/>
          <w:highlight w:val="none"/>
        </w:rPr>
      </w:pPr>
      <w:r>
        <w:rPr>
          <w:rFonts w:hint="eastAsia" w:ascii="宋体" w:hAnsi="宋体"/>
          <w:snapToGrid w:val="0"/>
          <w:color w:val="auto"/>
          <w:kern w:val="0"/>
          <w:sz w:val="24"/>
          <w:highlight w:val="none"/>
        </w:rPr>
        <w:t>3．考虑到本工程的重要性，发包人将采取较为严密的组织管理形式，承包人需投入有别于其他项目的人力、物力，以满足本工程施工需要。</w:t>
      </w:r>
    </w:p>
    <w:p w14:paraId="6E53E421">
      <w:pPr>
        <w:adjustRightInd w:val="0"/>
        <w:snapToGrid w:val="0"/>
        <w:spacing w:line="360" w:lineRule="auto"/>
        <w:ind w:firstLine="480" w:firstLineChars="200"/>
        <w:outlineLvl w:val="2"/>
        <w:rPr>
          <w:rFonts w:ascii="宋体" w:hAnsi="宋体"/>
          <w:snapToGrid w:val="0"/>
          <w:color w:val="auto"/>
          <w:kern w:val="0"/>
          <w:sz w:val="24"/>
          <w:highlight w:val="none"/>
        </w:rPr>
      </w:pPr>
      <w:r>
        <w:rPr>
          <w:rFonts w:hint="eastAsia" w:ascii="宋体" w:hAnsi="宋体"/>
          <w:snapToGrid w:val="0"/>
          <w:color w:val="auto"/>
          <w:kern w:val="0"/>
          <w:sz w:val="24"/>
          <w:highlight w:val="none"/>
        </w:rPr>
        <w:t>4．发包人根据工程推进实际情况，有权要求承包人的法定代表人或总经理必须常驻施工现场，协调各种事项。</w:t>
      </w:r>
    </w:p>
    <w:p w14:paraId="5B50B716">
      <w:pPr>
        <w:adjustRightInd w:val="0"/>
        <w:snapToGrid w:val="0"/>
        <w:spacing w:line="360" w:lineRule="auto"/>
        <w:ind w:firstLine="480" w:firstLineChars="200"/>
        <w:outlineLvl w:val="2"/>
        <w:rPr>
          <w:rFonts w:ascii="宋体" w:hAnsi="宋体"/>
          <w:snapToGrid w:val="0"/>
          <w:color w:val="auto"/>
          <w:kern w:val="0"/>
          <w:sz w:val="24"/>
          <w:highlight w:val="none"/>
        </w:rPr>
      </w:pPr>
      <w:r>
        <w:rPr>
          <w:rFonts w:hint="eastAsia" w:ascii="宋体" w:hAnsi="宋体"/>
          <w:snapToGrid w:val="0"/>
          <w:color w:val="auto"/>
          <w:kern w:val="0"/>
          <w:sz w:val="24"/>
          <w:highlight w:val="none"/>
        </w:rPr>
        <w:t>5．为保证本工程建设有序、规范和顺利进行，承包人必须主动支持发包人工作，对发包人的指令和书面通知，若无正当理由又未提前向发包人报告并得到书面认可，而公开或变相拒不执行的，应按合同专用条款第38.7（1）款的约定承担违约责任并赔偿由此造成发包人的一切经济损失。</w:t>
      </w:r>
    </w:p>
    <w:p w14:paraId="09D9D350">
      <w:pPr>
        <w:adjustRightInd w:val="0"/>
        <w:snapToGrid w:val="0"/>
        <w:spacing w:line="360" w:lineRule="auto"/>
        <w:ind w:firstLine="480" w:firstLineChars="200"/>
        <w:outlineLvl w:val="2"/>
        <w:rPr>
          <w:rFonts w:ascii="宋体" w:hAnsi="宋体"/>
          <w:snapToGrid w:val="0"/>
          <w:color w:val="auto"/>
          <w:kern w:val="0"/>
          <w:sz w:val="24"/>
          <w:highlight w:val="none"/>
        </w:rPr>
      </w:pPr>
      <w:r>
        <w:rPr>
          <w:rFonts w:hint="eastAsia" w:ascii="宋体" w:hAnsi="宋体"/>
          <w:snapToGrid w:val="0"/>
          <w:color w:val="auto"/>
          <w:kern w:val="0"/>
          <w:sz w:val="24"/>
          <w:highlight w:val="none"/>
        </w:rPr>
        <w:t>6．承包人承诺遵守发包人所制定的针对本工程管理的各项制度、规定，这些管理制度、规定必须符合下列原则：</w:t>
      </w:r>
    </w:p>
    <w:p w14:paraId="421F3BA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（1）符合国家、广东省、广州市的有关法律法规、规范和标准；</w:t>
      </w:r>
    </w:p>
    <w:p w14:paraId="1A2BE10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（2）符合对本工程进行有效管理的基本精神和要求；</w:t>
      </w:r>
    </w:p>
    <w:p w14:paraId="5F7CF07A">
      <w:pPr>
        <w:adjustRightInd w:val="0"/>
        <w:snapToGrid w:val="0"/>
        <w:spacing w:line="360" w:lineRule="auto"/>
        <w:ind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（3）为确保工程质量、进度、安全文明施工管理所必须；</w:t>
      </w:r>
    </w:p>
    <w:p w14:paraId="1C75392C">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（4）不是针对某一特定的承包人。</w:t>
      </w:r>
    </w:p>
    <w:p w14:paraId="2980C5AD">
      <w:pPr>
        <w:adjustRightInd w:val="0"/>
        <w:snapToGrid w:val="0"/>
        <w:spacing w:line="360" w:lineRule="auto"/>
        <w:rPr>
          <w:rFonts w:ascii="宋体" w:hAnsi="宋体"/>
          <w:snapToGrid w:val="0"/>
          <w:color w:val="auto"/>
          <w:kern w:val="0"/>
          <w:sz w:val="24"/>
          <w:highlight w:val="none"/>
        </w:rPr>
      </w:pPr>
    </w:p>
    <w:p w14:paraId="2E92995F">
      <w:pPr>
        <w:adjustRightInd w:val="0"/>
        <w:snapToGrid w:val="0"/>
        <w:spacing w:line="360" w:lineRule="auto"/>
        <w:jc w:val="center"/>
        <w:outlineLvl w:val="1"/>
        <w:rPr>
          <w:b/>
          <w:color w:val="auto"/>
          <w:sz w:val="28"/>
          <w:szCs w:val="28"/>
          <w:highlight w:val="none"/>
        </w:rPr>
      </w:pPr>
      <w:r>
        <w:rPr>
          <w:rFonts w:hint="eastAsia"/>
          <w:b/>
          <w:color w:val="auto"/>
          <w:sz w:val="28"/>
          <w:szCs w:val="28"/>
          <w:highlight w:val="none"/>
        </w:rPr>
        <w:t>一、词语定义及合同文件</w:t>
      </w:r>
    </w:p>
    <w:p w14:paraId="15A59B76">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1．词语定义</w:t>
      </w:r>
    </w:p>
    <w:p w14:paraId="6B1DB8EA">
      <w:pPr>
        <w:adjustRightInd w:val="0"/>
        <w:snapToGrid w:val="0"/>
        <w:spacing w:line="360" w:lineRule="auto"/>
        <w:ind w:firstLine="480" w:firstLineChars="20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1.3发包人</w:t>
      </w:r>
    </w:p>
    <w:p w14:paraId="4131D42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bCs/>
          <w:snapToGrid w:val="0"/>
          <w:color w:val="auto"/>
          <w:kern w:val="0"/>
          <w:sz w:val="24"/>
          <w:highlight w:val="none"/>
        </w:rPr>
        <w:t>（1）发包人</w:t>
      </w:r>
      <w:r>
        <w:rPr>
          <w:rFonts w:hint="eastAsia" w:ascii="宋体" w:hAnsi="宋体"/>
          <w:snapToGrid w:val="0"/>
          <w:color w:val="auto"/>
          <w:kern w:val="0"/>
          <w:sz w:val="24"/>
          <w:highlight w:val="none"/>
        </w:rPr>
        <w:t>：在本合同中特指</w:t>
      </w:r>
      <w:r>
        <w:rPr>
          <w:rFonts w:hint="eastAsia" w:ascii="宋体" w:hAnsi="宋体"/>
          <w:snapToGrid w:val="0"/>
          <w:color w:val="auto"/>
          <w:kern w:val="0"/>
          <w:sz w:val="24"/>
          <w:highlight w:val="none"/>
          <w:u w:val="single"/>
        </w:rPr>
        <w:t>广州市越秀区代建项目管理中心。</w:t>
      </w:r>
    </w:p>
    <w:p w14:paraId="2B59FAD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bCs/>
          <w:snapToGrid w:val="0"/>
          <w:color w:val="auto"/>
          <w:kern w:val="0"/>
          <w:sz w:val="24"/>
          <w:highlight w:val="none"/>
        </w:rPr>
        <w:t>（2）</w:t>
      </w:r>
      <w:r>
        <w:rPr>
          <w:rFonts w:hint="eastAsia" w:ascii="宋体" w:hAnsi="宋体"/>
          <w:snapToGrid w:val="0"/>
          <w:color w:val="auto"/>
          <w:kern w:val="0"/>
          <w:sz w:val="24"/>
          <w:highlight w:val="none"/>
        </w:rPr>
        <w:t>合法继承人：指工程竣工验收合格后，发包人依据广州市人民政府的规定或者相关合同（协议）约定，将工程移交给其承接使用的产权管理单位。在继承生效后，合法继承人享有发包人在本合同中的一切权利及承担相应的义务。</w:t>
      </w:r>
    </w:p>
    <w:p w14:paraId="4D91C502">
      <w:pPr>
        <w:adjustRightInd w:val="0"/>
        <w:snapToGrid w:val="0"/>
        <w:spacing w:line="360" w:lineRule="auto"/>
        <w:ind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1.6设计单位</w:t>
      </w:r>
    </w:p>
    <w:p w14:paraId="4DB6043E">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本工程的设计单位是：</w:t>
      </w:r>
      <w:r>
        <w:rPr>
          <w:rFonts w:hint="eastAsia" w:ascii="宋体" w:hAnsi="宋体"/>
          <w:color w:val="auto"/>
          <w:sz w:val="24"/>
          <w:szCs w:val="24"/>
          <w:highlight w:val="none"/>
          <w:u w:val="single"/>
        </w:rPr>
        <w:t xml:space="preserve">                           </w:t>
      </w:r>
      <w:r>
        <w:rPr>
          <w:rFonts w:hint="eastAsia" w:ascii="宋体" w:hAnsi="宋体"/>
          <w:snapToGrid w:val="0"/>
          <w:color w:val="auto"/>
          <w:kern w:val="0"/>
          <w:sz w:val="24"/>
          <w:szCs w:val="24"/>
          <w:highlight w:val="none"/>
        </w:rPr>
        <w:t>。</w:t>
      </w:r>
    </w:p>
    <w:p w14:paraId="009961CA">
      <w:pPr>
        <w:adjustRightInd w:val="0"/>
        <w:snapToGrid w:val="0"/>
        <w:spacing w:line="360" w:lineRule="auto"/>
        <w:ind w:firstLine="480" w:firstLineChars="20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1.7监理单位</w:t>
      </w:r>
    </w:p>
    <w:p w14:paraId="2E8CFFCD">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本工程的</w:t>
      </w:r>
      <w:r>
        <w:rPr>
          <w:rFonts w:hint="eastAsia" w:ascii="宋体" w:hAnsi="宋体"/>
          <w:bCs/>
          <w:snapToGrid w:val="0"/>
          <w:color w:val="auto"/>
          <w:kern w:val="0"/>
          <w:sz w:val="24"/>
          <w:szCs w:val="24"/>
          <w:highlight w:val="none"/>
        </w:rPr>
        <w:t>监理单位</w:t>
      </w:r>
      <w:r>
        <w:rPr>
          <w:rFonts w:hint="eastAsia" w:ascii="宋体" w:hAnsi="宋体"/>
          <w:snapToGrid w:val="0"/>
          <w:color w:val="auto"/>
          <w:kern w:val="0"/>
          <w:sz w:val="24"/>
          <w:szCs w:val="24"/>
          <w:highlight w:val="none"/>
        </w:rPr>
        <w:t>是：</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w:t>
      </w:r>
    </w:p>
    <w:p w14:paraId="069ED748">
      <w:pPr>
        <w:adjustRightInd w:val="0"/>
        <w:snapToGrid w:val="0"/>
        <w:spacing w:line="360" w:lineRule="auto"/>
        <w:ind w:firstLine="480" w:firstLineChars="20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1.8工程师</w:t>
      </w:r>
    </w:p>
    <w:p w14:paraId="023FDBC5">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合同通用条款中的工程师，如无特别注明，均是指监理等单位派驻本工程施工场地的现场工作机构的负责人。</w:t>
      </w:r>
    </w:p>
    <w:p w14:paraId="364556AA">
      <w:pPr>
        <w:adjustRightInd w:val="0"/>
        <w:snapToGrid w:val="0"/>
        <w:spacing w:line="360" w:lineRule="auto"/>
        <w:ind w:firstLine="480" w:firstLineChars="20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1.14工期</w:t>
      </w:r>
    </w:p>
    <w:p w14:paraId="69EA9014">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节点工期：指在经发包人和总监理工程师批准的施工组织设计或者工程工期网络计划中载明的承包人按总日历天数（包括法定节假日）计算完成某一阶段或某一工序的承包天数。按工期网络计划的一般线路和关键线路分为一般节点工期和关键节点工期。</w:t>
      </w:r>
    </w:p>
    <w:p w14:paraId="7EFE2B69">
      <w:pPr>
        <w:adjustRightInd w:val="0"/>
        <w:snapToGrid w:val="0"/>
        <w:spacing w:line="360" w:lineRule="auto"/>
        <w:ind w:firstLine="480" w:firstLineChars="20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1.20违约责任：指合同任何一方不履行或不完全履行合同约定的义务或者履行义务不符合合同约定所应承担的责任。</w:t>
      </w:r>
    </w:p>
    <w:p w14:paraId="298C1087">
      <w:pPr>
        <w:adjustRightInd w:val="0"/>
        <w:snapToGrid w:val="0"/>
        <w:spacing w:line="360" w:lineRule="auto"/>
        <w:ind w:firstLine="480" w:firstLineChars="20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（1）轻度违约责任：指违反本合同的约定，其违约行为对本合同的履行造成一定影响而应承担的责任。</w:t>
      </w:r>
    </w:p>
    <w:p w14:paraId="1AD8945C">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（2）一般违约责任：指虽然违反本合同的约定，但其违约行为不对本合同的履行造成严重影响而应承担的责任。</w:t>
      </w:r>
    </w:p>
    <w:p w14:paraId="59E524DC">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（3）严重违约责任。指违反本合同的约定且其违约行为足以对本合同的履行造成严重或实质性的影响而应承担的责任。</w:t>
      </w:r>
    </w:p>
    <w:p w14:paraId="690B612B">
      <w:pPr>
        <w:adjustRightInd w:val="0"/>
        <w:snapToGrid w:val="0"/>
        <w:spacing w:line="360" w:lineRule="auto"/>
        <w:ind w:firstLine="480" w:firstLineChars="20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1.24通知：指合同中所提及的各方之间传达意思表示的方式，包括但不限于申请、报告、同意、答复、批准、指令、证书、决定等。除合同专用条款有特别约定外，只有采用书面形式的通知才有效。</w:t>
      </w:r>
    </w:p>
    <w:p w14:paraId="1B3E1734">
      <w:pPr>
        <w:adjustRightInd w:val="0"/>
        <w:snapToGrid w:val="0"/>
        <w:spacing w:line="360" w:lineRule="auto"/>
        <w:ind w:firstLine="480" w:firstLineChars="20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1.25安全事故等级[《安全生产事故报告和调查处理条例》]：</w:t>
      </w:r>
    </w:p>
    <w:p w14:paraId="63D0D452">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（1）特别重大事故，是指造成30人以</w:t>
      </w:r>
      <w:bookmarkStart w:id="4" w:name="修改1"/>
      <w:bookmarkEnd w:id="4"/>
      <w:r>
        <w:rPr>
          <w:rFonts w:hint="eastAsia" w:ascii="宋体" w:hAnsi="宋体"/>
          <w:bCs/>
          <w:snapToGrid w:val="0"/>
          <w:color w:val="auto"/>
          <w:kern w:val="0"/>
          <w:sz w:val="24"/>
          <w:highlight w:val="none"/>
        </w:rPr>
        <w:t>上死亡，或者100人以上重伤，或者1亿元以上直接经济损失的事故；</w:t>
      </w:r>
    </w:p>
    <w:p w14:paraId="4FBF01B8">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（2）重大事故，是指造成10人以上30人以下死亡，或者50人以上100人以下重伤，或者5000万元以上1亿元以下直接经济损失的事故；</w:t>
      </w:r>
    </w:p>
    <w:p w14:paraId="60C3A905">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（3）较大事故，是指造成3人以上10人以下死亡，或者10人以上50人以下重伤，或者1000万元以上5000万元以下直接经济损失的事故；</w:t>
      </w:r>
    </w:p>
    <w:p w14:paraId="51B110F9">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（4）一般事故，是指造成3人以下死亡，或者10人以下重伤，或者100万元以上1000万元以下直接经济损失的事故。</w:t>
      </w:r>
    </w:p>
    <w:p w14:paraId="0511A4DB">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上述所称的“以上”包括本数，所称的“以下”不包括本数。</w:t>
      </w:r>
    </w:p>
    <w:p w14:paraId="7A2688A4">
      <w:pPr>
        <w:adjustRightInd w:val="0"/>
        <w:snapToGrid w:val="0"/>
        <w:spacing w:line="360" w:lineRule="auto"/>
        <w:ind w:firstLine="480" w:firstLineChars="20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1.26质量事故等级[《关于做好房屋建筑和市政基础设施工程质量事故报告和调查处理工作的通知》（建质[2010]111号）]：</w:t>
      </w:r>
    </w:p>
    <w:p w14:paraId="572B10BB">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根据工程质量事故造成的人员伤亡或者直接经济损失，工程质量事故分为4个等级：</w:t>
      </w:r>
    </w:p>
    <w:p w14:paraId="675086BC">
      <w:pPr>
        <w:adjustRightInd w:val="0"/>
        <w:snapToGrid w:val="0"/>
        <w:spacing w:line="360" w:lineRule="auto"/>
        <w:ind w:firstLine="360" w:firstLineChars="150"/>
        <w:rPr>
          <w:rFonts w:ascii="宋体" w:hAnsi="宋体"/>
          <w:bCs/>
          <w:snapToGrid w:val="0"/>
          <w:color w:val="auto"/>
          <w:kern w:val="0"/>
          <w:sz w:val="24"/>
          <w:highlight w:val="none"/>
        </w:rPr>
      </w:pPr>
      <w:r>
        <w:rPr>
          <w:rFonts w:hint="eastAsia" w:ascii="宋体" w:hAnsi="宋体"/>
          <w:bCs/>
          <w:snapToGrid w:val="0"/>
          <w:color w:val="auto"/>
          <w:kern w:val="0"/>
          <w:sz w:val="24"/>
          <w:highlight w:val="none"/>
        </w:rPr>
        <w:t>（1）特别重大事故，是指造成30人以上死亡，或者100人以上重伤，或者1亿元以上直接经济损失的事故；</w:t>
      </w:r>
    </w:p>
    <w:p w14:paraId="50AF07DE">
      <w:pPr>
        <w:adjustRightInd w:val="0"/>
        <w:snapToGrid w:val="0"/>
        <w:spacing w:line="360" w:lineRule="auto"/>
        <w:ind w:firstLine="360" w:firstLineChars="150"/>
        <w:rPr>
          <w:rFonts w:ascii="宋体" w:hAnsi="宋体"/>
          <w:bCs/>
          <w:snapToGrid w:val="0"/>
          <w:color w:val="auto"/>
          <w:kern w:val="0"/>
          <w:sz w:val="24"/>
          <w:highlight w:val="none"/>
        </w:rPr>
      </w:pPr>
      <w:r>
        <w:rPr>
          <w:rFonts w:hint="eastAsia" w:ascii="宋体" w:hAnsi="宋体"/>
          <w:bCs/>
          <w:snapToGrid w:val="0"/>
          <w:color w:val="auto"/>
          <w:kern w:val="0"/>
          <w:sz w:val="24"/>
          <w:highlight w:val="none"/>
        </w:rPr>
        <w:t>（2）重大事故，是指造成10人以上30人以下死亡，或者50人以上100人以下重伤，或者5000万元以上1亿元以下直接经济损失的事故；</w:t>
      </w:r>
    </w:p>
    <w:p w14:paraId="219CF928">
      <w:pPr>
        <w:adjustRightInd w:val="0"/>
        <w:snapToGrid w:val="0"/>
        <w:spacing w:line="360" w:lineRule="auto"/>
        <w:ind w:firstLine="360" w:firstLineChars="150"/>
        <w:rPr>
          <w:rFonts w:ascii="宋体" w:hAnsi="宋体"/>
          <w:bCs/>
          <w:snapToGrid w:val="0"/>
          <w:color w:val="auto"/>
          <w:kern w:val="0"/>
          <w:sz w:val="24"/>
          <w:highlight w:val="none"/>
        </w:rPr>
      </w:pPr>
      <w:r>
        <w:rPr>
          <w:rFonts w:hint="eastAsia" w:ascii="宋体" w:hAnsi="宋体"/>
          <w:bCs/>
          <w:snapToGrid w:val="0"/>
          <w:color w:val="auto"/>
          <w:kern w:val="0"/>
          <w:sz w:val="24"/>
          <w:highlight w:val="none"/>
        </w:rPr>
        <w:t>（3）较大事故，是指造成3人以上10人以下死亡，或者10人以上50人以下重伤，或者1000万元以上5000万元以下直接经济损失的事故；</w:t>
      </w:r>
    </w:p>
    <w:p w14:paraId="75534997">
      <w:pPr>
        <w:adjustRightInd w:val="0"/>
        <w:snapToGrid w:val="0"/>
        <w:spacing w:line="360" w:lineRule="auto"/>
        <w:ind w:firstLine="360" w:firstLineChars="150"/>
        <w:rPr>
          <w:rFonts w:ascii="宋体" w:hAnsi="宋体"/>
          <w:bCs/>
          <w:snapToGrid w:val="0"/>
          <w:color w:val="auto"/>
          <w:kern w:val="0"/>
          <w:sz w:val="24"/>
          <w:highlight w:val="none"/>
        </w:rPr>
      </w:pPr>
      <w:r>
        <w:rPr>
          <w:rFonts w:hint="eastAsia" w:ascii="宋体" w:hAnsi="宋体"/>
          <w:bCs/>
          <w:snapToGrid w:val="0"/>
          <w:color w:val="auto"/>
          <w:kern w:val="0"/>
          <w:sz w:val="24"/>
          <w:highlight w:val="none"/>
        </w:rPr>
        <w:t>（4）一般事故，是指造成3人以下死亡，或者10人以下重伤，或者100万元以上1000万元以下直接经济损失的事故。</w:t>
      </w:r>
    </w:p>
    <w:p w14:paraId="3469FF37">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本等级划分所称的“以上”包括本数，所称的“以下”不包括本数。</w:t>
      </w:r>
    </w:p>
    <w:p w14:paraId="3150EDC1">
      <w:pPr>
        <w:adjustRightInd w:val="0"/>
        <w:snapToGrid w:val="0"/>
        <w:spacing w:line="360" w:lineRule="auto"/>
        <w:ind w:firstLine="480" w:firstLineChars="200"/>
        <w:outlineLvl w:val="3"/>
        <w:rPr>
          <w:rFonts w:ascii="宋体" w:hAnsi="宋体" w:cs="宋体"/>
          <w:snapToGrid w:val="0"/>
          <w:color w:val="auto"/>
          <w:kern w:val="0"/>
          <w:sz w:val="24"/>
          <w:highlight w:val="none"/>
        </w:rPr>
      </w:pPr>
      <w:r>
        <w:rPr>
          <w:rFonts w:hint="eastAsia" w:ascii="宋体" w:hAnsi="宋体"/>
          <w:bCs/>
          <w:snapToGrid w:val="0"/>
          <w:color w:val="auto"/>
          <w:kern w:val="0"/>
          <w:sz w:val="24"/>
          <w:highlight w:val="none"/>
        </w:rPr>
        <w:t>1.27“综合单价（合价）包干项目”、“分部分项工程量清单计价”、“措施项目清单计价”、“其他项目清单计价”、“绿色施工安全防护措施费”、“暂列金额”等费用项目以招标文件的定义为准。</w:t>
      </w:r>
    </w:p>
    <w:p w14:paraId="2CADA76C">
      <w:pPr>
        <w:adjustRightInd w:val="0"/>
        <w:snapToGrid w:val="0"/>
        <w:spacing w:line="360" w:lineRule="auto"/>
        <w:ind w:firstLine="480" w:firstLineChars="20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1.28元：指人民币元。</w:t>
      </w:r>
    </w:p>
    <w:p w14:paraId="6AE1972B">
      <w:pPr>
        <w:adjustRightInd w:val="0"/>
        <w:snapToGrid w:val="0"/>
        <w:spacing w:line="360" w:lineRule="auto"/>
        <w:ind w:firstLine="480" w:firstLineChars="20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1.29变更工程和新增工程：包括合同专用条款及通用条款第31条所定义的工程设计变更和第32条所定义的其他变更，由于设计需要或项目建设实际需要，这些变更会引致工程量清单内数量发生变化、或工程量清单内项目的局部内容发生变化、或新增了工程量清单内没有的项目。</w:t>
      </w:r>
    </w:p>
    <w:p w14:paraId="1076D7D7">
      <w:pPr>
        <w:adjustRightInd w:val="0"/>
        <w:snapToGrid w:val="0"/>
        <w:spacing w:line="360" w:lineRule="auto"/>
        <w:ind w:firstLine="480" w:firstLineChars="20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1.30单项工程：指具备独立施工条件并能形成独立使用功能的建筑物及构筑物。</w:t>
      </w:r>
    </w:p>
    <w:p w14:paraId="578378FA">
      <w:pPr>
        <w:adjustRightInd w:val="0"/>
        <w:snapToGrid w:val="0"/>
        <w:spacing w:line="360" w:lineRule="auto"/>
        <w:ind w:firstLine="480" w:firstLineChars="20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1.31单位工程：指一个独立建筑物或构筑物中的每个专业工程，如：建筑工程、土建工程、安装工程等。</w:t>
      </w:r>
    </w:p>
    <w:p w14:paraId="111ECD1D">
      <w:pPr>
        <w:adjustRightInd w:val="0"/>
        <w:snapToGrid w:val="0"/>
        <w:spacing w:line="360" w:lineRule="auto"/>
        <w:ind w:firstLine="480" w:firstLineChars="200"/>
        <w:outlineLvl w:val="3"/>
        <w:rPr>
          <w:rFonts w:ascii="宋体" w:hAnsi="宋体"/>
          <w:bCs/>
          <w:snapToGrid w:val="0"/>
          <w:color w:val="auto"/>
          <w:kern w:val="0"/>
          <w:sz w:val="24"/>
          <w:highlight w:val="none"/>
        </w:rPr>
      </w:pPr>
      <w:r>
        <w:rPr>
          <w:rFonts w:ascii="宋体" w:hAnsi="宋体"/>
          <w:bCs/>
          <w:snapToGrid w:val="0"/>
          <w:color w:val="auto"/>
          <w:kern w:val="0"/>
          <w:sz w:val="24"/>
          <w:highlight w:val="none"/>
        </w:rPr>
        <w:t>1.32专业</w:t>
      </w:r>
      <w:r>
        <w:rPr>
          <w:rFonts w:hint="eastAsia" w:ascii="宋体" w:hAnsi="宋体"/>
          <w:bCs/>
          <w:snapToGrid w:val="0"/>
          <w:color w:val="auto"/>
          <w:kern w:val="0"/>
          <w:sz w:val="24"/>
          <w:highlight w:val="none"/>
        </w:rPr>
        <w:t>承包</w:t>
      </w:r>
      <w:r>
        <w:rPr>
          <w:rFonts w:ascii="宋体" w:hAnsi="宋体"/>
          <w:bCs/>
          <w:snapToGrid w:val="0"/>
          <w:color w:val="auto"/>
          <w:kern w:val="0"/>
          <w:sz w:val="24"/>
          <w:highlight w:val="none"/>
        </w:rPr>
        <w:t>单位：指与</w:t>
      </w:r>
      <w:r>
        <w:rPr>
          <w:rFonts w:hint="eastAsia" w:ascii="宋体" w:hAnsi="宋体"/>
          <w:bCs/>
          <w:snapToGrid w:val="0"/>
          <w:color w:val="auto"/>
          <w:kern w:val="0"/>
          <w:sz w:val="24"/>
          <w:highlight w:val="none"/>
        </w:rPr>
        <w:t>发包</w:t>
      </w:r>
      <w:r>
        <w:rPr>
          <w:rFonts w:ascii="宋体" w:hAnsi="宋体"/>
          <w:bCs/>
          <w:snapToGrid w:val="0"/>
          <w:color w:val="auto"/>
          <w:kern w:val="0"/>
          <w:sz w:val="24"/>
          <w:highlight w:val="none"/>
        </w:rPr>
        <w:t>人直接签订专业工程施工承包合同</w:t>
      </w:r>
      <w:r>
        <w:rPr>
          <w:rFonts w:hint="eastAsia" w:ascii="宋体" w:hAnsi="宋体"/>
          <w:bCs/>
          <w:snapToGrid w:val="0"/>
          <w:color w:val="auto"/>
          <w:kern w:val="0"/>
          <w:sz w:val="24"/>
          <w:highlight w:val="none"/>
        </w:rPr>
        <w:t>具有</w:t>
      </w:r>
      <w:r>
        <w:rPr>
          <w:rFonts w:ascii="宋体" w:hAnsi="宋体"/>
          <w:bCs/>
          <w:snapToGrid w:val="0"/>
          <w:color w:val="auto"/>
          <w:kern w:val="0"/>
          <w:sz w:val="24"/>
          <w:highlight w:val="none"/>
        </w:rPr>
        <w:t>相应施工承包资格和资质的</w:t>
      </w:r>
      <w:r>
        <w:rPr>
          <w:rFonts w:hint="eastAsia" w:ascii="宋体" w:hAnsi="宋体"/>
          <w:bCs/>
          <w:snapToGrid w:val="0"/>
          <w:color w:val="auto"/>
          <w:kern w:val="0"/>
          <w:sz w:val="24"/>
          <w:highlight w:val="none"/>
        </w:rPr>
        <w:t>承包</w:t>
      </w:r>
      <w:r>
        <w:rPr>
          <w:rFonts w:ascii="宋体" w:hAnsi="宋体"/>
          <w:bCs/>
          <w:snapToGrid w:val="0"/>
          <w:color w:val="auto"/>
          <w:kern w:val="0"/>
          <w:sz w:val="24"/>
          <w:highlight w:val="none"/>
        </w:rPr>
        <w:t>单位。</w:t>
      </w:r>
    </w:p>
    <w:p w14:paraId="23A403B6">
      <w:pPr>
        <w:adjustRightInd w:val="0"/>
        <w:snapToGrid w:val="0"/>
        <w:spacing w:line="360" w:lineRule="auto"/>
        <w:ind w:firstLine="480" w:firstLineChars="200"/>
        <w:outlineLvl w:val="3"/>
        <w:rPr>
          <w:rFonts w:ascii="宋体" w:hAnsi="宋体"/>
          <w:snapToGrid w:val="0"/>
          <w:color w:val="auto"/>
          <w:kern w:val="0"/>
          <w:sz w:val="24"/>
          <w:highlight w:val="none"/>
        </w:rPr>
      </w:pPr>
      <w:r>
        <w:rPr>
          <w:rFonts w:ascii="宋体" w:hAnsi="宋体"/>
          <w:snapToGrid w:val="0"/>
          <w:color w:val="auto"/>
          <w:kern w:val="0"/>
          <w:sz w:val="24"/>
          <w:highlight w:val="none"/>
        </w:rPr>
        <w:t>1.33施工图审查单位</w:t>
      </w:r>
    </w:p>
    <w:p w14:paraId="70AE861C">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本工程的施工图审查单位是：。</w:t>
      </w:r>
    </w:p>
    <w:p w14:paraId="3D67F28F">
      <w:pPr>
        <w:adjustRightInd w:val="0"/>
        <w:snapToGrid w:val="0"/>
        <w:spacing w:line="360" w:lineRule="auto"/>
        <w:ind w:firstLine="480" w:firstLineChars="200"/>
        <w:outlineLvl w:val="3"/>
        <w:rPr>
          <w:rFonts w:ascii="宋体" w:hAnsi="宋体"/>
          <w:snapToGrid w:val="0"/>
          <w:color w:val="auto"/>
          <w:kern w:val="0"/>
          <w:sz w:val="24"/>
          <w:highlight w:val="none"/>
        </w:rPr>
      </w:pPr>
      <w:r>
        <w:rPr>
          <w:rFonts w:ascii="宋体" w:hAnsi="宋体"/>
          <w:snapToGrid w:val="0"/>
          <w:color w:val="auto"/>
          <w:kern w:val="0"/>
          <w:sz w:val="24"/>
          <w:highlight w:val="none"/>
        </w:rPr>
        <w:t>1.34设计咨询单位</w:t>
      </w:r>
    </w:p>
    <w:p w14:paraId="2400727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本工程的设计咨询单位是：</w:t>
      </w:r>
      <w:r>
        <w:rPr>
          <w:rFonts w:ascii="宋体" w:hAnsi="宋体"/>
          <w:snapToGrid w:val="0"/>
          <w:color w:val="auto"/>
          <w:kern w:val="0"/>
          <w:sz w:val="24"/>
          <w:highlight w:val="none"/>
          <w:u w:val="single"/>
        </w:rPr>
        <w:t xml:space="preserve">           /               </w:t>
      </w:r>
      <w:r>
        <w:rPr>
          <w:rFonts w:hint="eastAsia" w:ascii="宋体" w:hAnsi="宋体"/>
          <w:snapToGrid w:val="0"/>
          <w:color w:val="auto"/>
          <w:kern w:val="0"/>
          <w:sz w:val="24"/>
          <w:highlight w:val="none"/>
        </w:rPr>
        <w:t>。</w:t>
      </w:r>
    </w:p>
    <w:p w14:paraId="23CAA3A1">
      <w:pPr>
        <w:adjustRightInd w:val="0"/>
        <w:snapToGrid w:val="0"/>
        <w:spacing w:line="360" w:lineRule="auto"/>
        <w:ind w:firstLine="480" w:firstLineChars="200"/>
        <w:outlineLvl w:val="3"/>
        <w:rPr>
          <w:rFonts w:ascii="宋体" w:hAnsi="宋体"/>
          <w:snapToGrid w:val="0"/>
          <w:color w:val="auto"/>
          <w:kern w:val="0"/>
          <w:sz w:val="24"/>
          <w:highlight w:val="none"/>
        </w:rPr>
      </w:pPr>
      <w:r>
        <w:rPr>
          <w:rFonts w:ascii="宋体" w:hAnsi="宋体"/>
          <w:snapToGrid w:val="0"/>
          <w:color w:val="auto"/>
          <w:kern w:val="0"/>
          <w:sz w:val="24"/>
          <w:highlight w:val="none"/>
        </w:rPr>
        <w:t>1.</w:t>
      </w:r>
      <w:r>
        <w:rPr>
          <w:rFonts w:hint="eastAsia" w:ascii="宋体" w:hAnsi="宋体"/>
          <w:snapToGrid w:val="0"/>
          <w:color w:val="auto"/>
          <w:kern w:val="0"/>
          <w:sz w:val="24"/>
          <w:highlight w:val="none"/>
        </w:rPr>
        <w:t>35技术督导单位</w:t>
      </w:r>
    </w:p>
    <w:p w14:paraId="6ACC8CF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本工程的技术督导单位是：</w:t>
      </w:r>
      <w:r>
        <w:rPr>
          <w:rFonts w:hint="eastAsia" w:ascii="宋体" w:hAnsi="宋体"/>
          <w:snapToGrid w:val="0"/>
          <w:color w:val="auto"/>
          <w:kern w:val="0"/>
          <w:sz w:val="24"/>
          <w:highlight w:val="none"/>
          <w:u w:val="single"/>
        </w:rPr>
        <w:t xml:space="preserve">                  /                  </w:t>
      </w:r>
      <w:r>
        <w:rPr>
          <w:rFonts w:hint="eastAsia" w:ascii="宋体" w:hAnsi="宋体"/>
          <w:snapToGrid w:val="0"/>
          <w:color w:val="auto"/>
          <w:kern w:val="0"/>
          <w:sz w:val="24"/>
          <w:highlight w:val="none"/>
        </w:rPr>
        <w:t>。</w:t>
      </w:r>
    </w:p>
    <w:p w14:paraId="74C20E97">
      <w:pPr>
        <w:adjustRightInd w:val="0"/>
        <w:snapToGrid w:val="0"/>
        <w:spacing w:line="360" w:lineRule="auto"/>
        <w:ind w:firstLine="480" w:firstLineChars="200"/>
        <w:outlineLvl w:val="3"/>
        <w:rPr>
          <w:rFonts w:ascii="宋体" w:hAnsi="宋体"/>
          <w:snapToGrid w:val="0"/>
          <w:color w:val="auto"/>
          <w:kern w:val="0"/>
          <w:sz w:val="24"/>
          <w:highlight w:val="none"/>
        </w:rPr>
      </w:pPr>
      <w:r>
        <w:rPr>
          <w:rFonts w:ascii="宋体" w:hAnsi="宋体"/>
          <w:snapToGrid w:val="0"/>
          <w:color w:val="auto"/>
          <w:kern w:val="0"/>
          <w:sz w:val="24"/>
          <w:highlight w:val="none"/>
        </w:rPr>
        <w:t>1.</w:t>
      </w:r>
      <w:r>
        <w:rPr>
          <w:rFonts w:hint="eastAsia" w:ascii="宋体" w:hAnsi="宋体"/>
          <w:snapToGrid w:val="0"/>
          <w:color w:val="auto"/>
          <w:kern w:val="0"/>
          <w:sz w:val="24"/>
          <w:highlight w:val="none"/>
        </w:rPr>
        <w:t>36施工总承包管理单位：</w:t>
      </w:r>
      <w:r>
        <w:rPr>
          <w:rFonts w:hint="eastAsia" w:ascii="宋体" w:hAnsi="宋体"/>
          <w:snapToGrid w:val="0"/>
          <w:color w:val="auto"/>
          <w:kern w:val="0"/>
          <w:sz w:val="24"/>
          <w:szCs w:val="24"/>
          <w:highlight w:val="none"/>
        </w:rPr>
        <w:t>在本合同中特指    。</w:t>
      </w:r>
    </w:p>
    <w:p w14:paraId="411046C7">
      <w:pPr>
        <w:adjustRightInd w:val="0"/>
        <w:snapToGrid w:val="0"/>
        <w:spacing w:line="360" w:lineRule="auto"/>
        <w:ind w:firstLine="480" w:firstLineChars="200"/>
        <w:outlineLvl w:val="3"/>
        <w:rPr>
          <w:rFonts w:ascii="宋体" w:hAnsi="宋体"/>
          <w:snapToGrid w:val="0"/>
          <w:color w:val="auto"/>
          <w:kern w:val="0"/>
          <w:sz w:val="24"/>
          <w:highlight w:val="none"/>
        </w:rPr>
      </w:pPr>
      <w:r>
        <w:rPr>
          <w:rFonts w:ascii="宋体" w:hAnsi="宋体"/>
          <w:snapToGrid w:val="0"/>
          <w:color w:val="auto"/>
          <w:kern w:val="0"/>
          <w:sz w:val="24"/>
          <w:highlight w:val="none"/>
        </w:rPr>
        <w:t>1.</w:t>
      </w:r>
      <w:r>
        <w:rPr>
          <w:rFonts w:hint="eastAsia" w:ascii="宋体" w:hAnsi="宋体"/>
          <w:snapToGrid w:val="0"/>
          <w:color w:val="auto"/>
          <w:kern w:val="0"/>
          <w:sz w:val="24"/>
          <w:highlight w:val="none"/>
        </w:rPr>
        <w:t>37施工总承包管理和配合服务</w:t>
      </w:r>
    </w:p>
    <w:p w14:paraId="3707FD9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指施工总承包单位根据发包人的要求和合同约定对</w:t>
      </w:r>
      <w:r>
        <w:rPr>
          <w:rFonts w:hint="eastAsia" w:ascii="宋体" w:hAnsi="宋体" w:cs="宋体"/>
          <w:snapToGrid w:val="0"/>
          <w:color w:val="auto"/>
          <w:kern w:val="0"/>
          <w:sz w:val="24"/>
          <w:highlight w:val="none"/>
        </w:rPr>
        <w:t>发包人另行发包的</w:t>
      </w:r>
      <w:r>
        <w:rPr>
          <w:rFonts w:hint="eastAsia" w:ascii="宋体" w:hAnsi="宋体"/>
          <w:snapToGrid w:val="0"/>
          <w:color w:val="auto"/>
          <w:kern w:val="0"/>
          <w:sz w:val="24"/>
          <w:highlight w:val="none"/>
        </w:rPr>
        <w:t>专业承包单位进行统一管理和配合服务，包括施工总承包管理和专业工程配合服务。</w:t>
      </w:r>
    </w:p>
    <w:p w14:paraId="2BDF9CCD">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施工总承包管理包括但不限于以下工作内容：项目总进度计划管理和协调；信息管理；公共临时设施管理；公共文明施工和安全生产设施管理；现场综合管理；总体协调配合；提供标高基准点、平面控制轴线、墨线；提供工作面；成品保护；组织项目竣工验收、竣工结算、竣工资料和竣工备案及其他管理工作。</w:t>
      </w:r>
    </w:p>
    <w:p w14:paraId="79AEC18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专业工程配合服务包括但不限于以下工作内容：为发包人另行发包的专业承包单位（包括但不限于电梯、空调、机械停车库、三网接驳工程等）提供生产、生活用设施搭建场地；提供现有运输道路和通道；提供施工用水、用电的接驳点；提供现有公共临时设施；提供现有水平、垂直运输设施；提供现有脚手架以及其他配合服务（费用含在总报价中）。</w:t>
      </w:r>
    </w:p>
    <w:p w14:paraId="218D1E7F">
      <w:pPr>
        <w:adjustRightInd w:val="0"/>
        <w:snapToGrid w:val="0"/>
        <w:spacing w:line="360" w:lineRule="auto"/>
        <w:ind w:firstLine="480" w:firstLineChars="200"/>
        <w:outlineLvl w:val="3"/>
        <w:rPr>
          <w:rFonts w:ascii="宋体" w:hAnsi="宋体"/>
          <w:snapToGrid w:val="0"/>
          <w:color w:val="auto"/>
          <w:kern w:val="0"/>
          <w:sz w:val="24"/>
          <w:highlight w:val="none"/>
        </w:rPr>
      </w:pPr>
      <w:r>
        <w:rPr>
          <w:rFonts w:hint="eastAsia" w:ascii="宋体" w:hAnsi="宋体"/>
          <w:bCs/>
          <w:snapToGrid w:val="0"/>
          <w:color w:val="auto"/>
          <w:kern w:val="0"/>
          <w:sz w:val="24"/>
          <w:highlight w:val="none"/>
        </w:rPr>
        <w:t>1.38暂列金额：指发包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暂列金额在投标报价时，以发包人正式公布的固定金额进行填报，计量支付、结算时，以合同计列的暂列金额为限额，按合同约定和承包人实际完成的工作量依据合同变更计价原则计量支付、结算，未使用部分仍归发包人所有</w:t>
      </w:r>
      <w:r>
        <w:rPr>
          <w:rFonts w:hint="eastAsia" w:ascii="宋体" w:hAnsi="宋体"/>
          <w:snapToGrid w:val="0"/>
          <w:color w:val="auto"/>
          <w:kern w:val="0"/>
          <w:sz w:val="24"/>
          <w:highlight w:val="none"/>
        </w:rPr>
        <w:t>。</w:t>
      </w:r>
    </w:p>
    <w:p w14:paraId="4DBE6A77">
      <w:pPr>
        <w:adjustRightInd w:val="0"/>
        <w:snapToGrid w:val="0"/>
        <w:spacing w:line="360" w:lineRule="auto"/>
        <w:ind w:firstLine="480" w:firstLineChars="20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1.39本工程综合考评委员会：指在本工程建设期间，由发包人组建的、代表发包人对各参建单位合同履约情况进行考核的机构。</w:t>
      </w:r>
    </w:p>
    <w:p w14:paraId="22421FE3">
      <w:pPr>
        <w:adjustRightInd w:val="0"/>
        <w:snapToGrid w:val="0"/>
        <w:spacing w:line="360" w:lineRule="auto"/>
        <w:ind w:left="239" w:leftChars="114" w:firstLine="240" w:firstLineChars="100"/>
        <w:outlineLvl w:val="3"/>
        <w:rPr>
          <w:color w:val="auto"/>
          <w:sz w:val="24"/>
          <w:highlight w:val="none"/>
        </w:rPr>
      </w:pPr>
      <w:r>
        <w:rPr>
          <w:rFonts w:hint="eastAsia" w:ascii="宋体" w:hAnsi="宋体"/>
          <w:bCs/>
          <w:snapToGrid w:val="0"/>
          <w:color w:val="auto"/>
          <w:kern w:val="0"/>
          <w:sz w:val="24"/>
          <w:highlight w:val="none"/>
        </w:rPr>
        <w:t>1.40招标当期：</w:t>
      </w:r>
      <w:r>
        <w:rPr>
          <w:color w:val="auto"/>
          <w:sz w:val="24"/>
          <w:highlight w:val="none"/>
        </w:rPr>
        <w:t>指</w:t>
      </w:r>
      <w:r>
        <w:rPr>
          <w:rFonts w:hint="eastAsia"/>
          <w:color w:val="auto"/>
          <w:sz w:val="24"/>
          <w:highlight w:val="none"/>
        </w:rPr>
        <w:t>《广州地区建设工程常用材料税前综合价格》按2024</w:t>
      </w:r>
      <w:r>
        <w:rPr>
          <w:color w:val="auto"/>
          <w:sz w:val="24"/>
          <w:highlight w:val="none"/>
        </w:rPr>
        <w:t>年</w:t>
      </w:r>
      <w:r>
        <w:rPr>
          <w:rFonts w:hint="eastAsia"/>
          <w:color w:val="auto"/>
          <w:sz w:val="24"/>
          <w:highlight w:val="none"/>
        </w:rPr>
        <w:t>9月份执行，《广州地区建设工程材料（设备）厂商价格信息》按2024年第三季度执行。</w:t>
      </w:r>
    </w:p>
    <w:p w14:paraId="0A5A860F">
      <w:pPr>
        <w:adjustRightInd w:val="0"/>
        <w:snapToGrid w:val="0"/>
        <w:spacing w:line="360" w:lineRule="auto"/>
        <w:ind w:firstLine="480" w:firstLineChars="200"/>
        <w:outlineLvl w:val="3"/>
        <w:rPr>
          <w:rFonts w:ascii="宋体" w:hAnsi="宋体"/>
          <w:bCs/>
          <w:snapToGrid w:val="0"/>
          <w:color w:val="auto"/>
          <w:kern w:val="0"/>
          <w:sz w:val="24"/>
          <w:highlight w:val="none"/>
          <w:u w:val="single"/>
        </w:rPr>
      </w:pPr>
      <w:r>
        <w:rPr>
          <w:rFonts w:hint="eastAsia" w:ascii="宋体" w:hAnsi="宋体"/>
          <w:bCs/>
          <w:snapToGrid w:val="0"/>
          <w:color w:val="auto"/>
          <w:kern w:val="0"/>
          <w:sz w:val="24"/>
          <w:highlight w:val="none"/>
          <w:u w:val="single"/>
        </w:rPr>
        <w:t>1.41缺陷责任期：是指承包人按照合同约定承担缺陷修复义务，且发包人预留质量保证金的期限。本工程缺陷责任期为24个月，自工程竣工验收合格之日起计算。</w:t>
      </w:r>
    </w:p>
    <w:p w14:paraId="682B8B10">
      <w:pPr>
        <w:adjustRightInd w:val="0"/>
        <w:snapToGrid w:val="0"/>
        <w:spacing w:line="360" w:lineRule="auto"/>
        <w:ind w:firstLine="480" w:firstLineChars="200"/>
        <w:outlineLvl w:val="3"/>
        <w:rPr>
          <w:rFonts w:ascii="宋体" w:hAnsi="宋体"/>
          <w:bCs/>
          <w:snapToGrid w:val="0"/>
          <w:color w:val="auto"/>
          <w:kern w:val="0"/>
          <w:sz w:val="24"/>
          <w:highlight w:val="none"/>
          <w:u w:val="single"/>
        </w:rPr>
      </w:pPr>
      <w:r>
        <w:rPr>
          <w:rFonts w:hint="eastAsia" w:ascii="宋体" w:hAnsi="宋体"/>
          <w:bCs/>
          <w:snapToGrid w:val="0"/>
          <w:color w:val="auto"/>
          <w:kern w:val="0"/>
          <w:sz w:val="24"/>
          <w:highlight w:val="none"/>
          <w:u w:val="single"/>
        </w:rPr>
        <w:t>单位工程先于全部工程进行验收，经验收合格并交付使用的，该单位工程缺陷责任期自单位工程验收合格之日起算。</w:t>
      </w:r>
    </w:p>
    <w:p w14:paraId="5A2066C2">
      <w:pPr>
        <w:adjustRightInd w:val="0"/>
        <w:snapToGrid w:val="0"/>
        <w:spacing w:line="360" w:lineRule="auto"/>
        <w:ind w:firstLine="480" w:firstLineChars="200"/>
        <w:outlineLvl w:val="3"/>
        <w:rPr>
          <w:rFonts w:ascii="宋体" w:hAnsi="宋体"/>
          <w:bCs/>
          <w:snapToGrid w:val="0"/>
          <w:color w:val="auto"/>
          <w:kern w:val="0"/>
          <w:sz w:val="24"/>
          <w:highlight w:val="none"/>
          <w:u w:val="single"/>
        </w:rPr>
      </w:pPr>
      <w:r>
        <w:rPr>
          <w:rFonts w:hint="eastAsia" w:ascii="宋体" w:hAnsi="宋体"/>
          <w:bCs/>
          <w:snapToGrid w:val="0"/>
          <w:color w:val="auto"/>
          <w:kern w:val="0"/>
          <w:sz w:val="24"/>
          <w:highlight w:val="none"/>
          <w:u w:val="single"/>
        </w:rPr>
        <w:t>1.42质量保证金：是指发包人与承包人在本合同中约定，从应付的工程款中预留，用以保证承包人在缺陷责任期内对建设工程出现的缺陷进行维修的资金。</w:t>
      </w:r>
    </w:p>
    <w:p w14:paraId="2FA7999F">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2、合同文件及解释顺序</w:t>
      </w:r>
    </w:p>
    <w:p w14:paraId="3DFE12FB">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按合同协议书第7条执行。</w:t>
      </w:r>
    </w:p>
    <w:p w14:paraId="13964DF6">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3、语言文字和适用法律、标准及规范</w:t>
      </w:r>
    </w:p>
    <w:p w14:paraId="58FC870A">
      <w:pPr>
        <w:adjustRightInd w:val="0"/>
        <w:snapToGrid w:val="0"/>
        <w:spacing w:line="360" w:lineRule="auto"/>
        <w:ind w:firstLine="480" w:firstLineChars="20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3.2适用法律和法规</w:t>
      </w:r>
    </w:p>
    <w:p w14:paraId="0DFD43D5">
      <w:pPr>
        <w:adjustRightInd w:val="0"/>
        <w:snapToGrid w:val="0"/>
        <w:spacing w:line="360" w:lineRule="auto"/>
        <w:ind w:right="11" w:firstLine="460" w:firstLineChars="192"/>
        <w:rPr>
          <w:rFonts w:ascii="宋体" w:hAnsi="宋体"/>
          <w:bCs/>
          <w:snapToGrid w:val="0"/>
          <w:color w:val="auto"/>
          <w:kern w:val="0"/>
          <w:sz w:val="24"/>
          <w:highlight w:val="none"/>
        </w:rPr>
      </w:pPr>
      <w:r>
        <w:rPr>
          <w:rFonts w:hint="eastAsia" w:ascii="宋体" w:hAnsi="宋体"/>
          <w:snapToGrid w:val="0"/>
          <w:color w:val="auto"/>
          <w:kern w:val="0"/>
          <w:sz w:val="24"/>
          <w:highlight w:val="none"/>
        </w:rPr>
        <w:t>适用于本合同的法律法规是中华人民共和国法律、法规，合同约定的部门规章及工程所在地的地方法规。</w:t>
      </w:r>
    </w:p>
    <w:p w14:paraId="14C8B452">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需要明示的法律、行政法规：《中华人民共和国民法典》、《中华人民共和国建筑法》、《中华人民共和国招标投标法》、《建设工程质量管理条例》。</w:t>
      </w:r>
    </w:p>
    <w:p w14:paraId="14B8D15C">
      <w:pPr>
        <w:adjustRightInd w:val="0"/>
        <w:snapToGrid w:val="0"/>
        <w:spacing w:line="360" w:lineRule="auto"/>
        <w:ind w:firstLine="480" w:firstLineChars="20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3.3适用标准、规范</w:t>
      </w:r>
    </w:p>
    <w:p w14:paraId="3B4F8487">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适用标准、规范的名称：国家及广东省、广州市现行有效的有关建设项目管理、设计、施工及验收规范和验收标准，以及发包人根据本工程具体情况聘请专家委员会依照国家有关标准制订的施工技术规定及验收办法。</w:t>
      </w:r>
    </w:p>
    <w:p w14:paraId="016A840F">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4、图纸</w:t>
      </w:r>
    </w:p>
    <w:p w14:paraId="5A2CA446">
      <w:pPr>
        <w:adjustRightInd w:val="0"/>
        <w:snapToGrid w:val="0"/>
        <w:spacing w:line="360" w:lineRule="auto"/>
        <w:ind w:firstLine="480" w:firstLineChars="20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4.1发包人向承包人提供图纸的日期和套数：发包人在开工前向承包人提供8套图纸（其中4套为编制竣工图所需），同时提供电子文档。承包人确需增加图纸套数的，应当取得发包人的同意，所需费用由承包人自行承担。</w:t>
      </w:r>
    </w:p>
    <w:p w14:paraId="111E6288">
      <w:pPr>
        <w:adjustRightInd w:val="0"/>
        <w:snapToGrid w:val="0"/>
        <w:spacing w:line="360" w:lineRule="auto"/>
        <w:ind w:firstLine="480" w:firstLineChars="20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4.2对图纸的保密要求：由发包人提供的图纸、文件等，未经发包人许可，承包人不得用于本工程以外的项目或者转借、出让、泄露给第三方。保密措施费用由承包人自行承担。</w:t>
      </w:r>
    </w:p>
    <w:p w14:paraId="15D60AC6">
      <w:pPr>
        <w:adjustRightInd w:val="0"/>
        <w:snapToGrid w:val="0"/>
        <w:spacing w:line="360" w:lineRule="auto"/>
        <w:ind w:right="11"/>
        <w:rPr>
          <w:rFonts w:ascii="宋体" w:hAnsi="宋体"/>
          <w:bCs/>
          <w:snapToGrid w:val="0"/>
          <w:color w:val="auto"/>
          <w:kern w:val="0"/>
          <w:sz w:val="24"/>
          <w:highlight w:val="none"/>
        </w:rPr>
      </w:pPr>
    </w:p>
    <w:p w14:paraId="63EF4CE5">
      <w:pPr>
        <w:adjustRightInd w:val="0"/>
        <w:snapToGrid w:val="0"/>
        <w:spacing w:line="360" w:lineRule="auto"/>
        <w:ind w:right="11"/>
        <w:outlineLvl w:val="1"/>
        <w:rPr>
          <w:rFonts w:ascii="宋体" w:hAnsi="宋体"/>
          <w:b/>
          <w:bCs/>
          <w:snapToGrid w:val="0"/>
          <w:color w:val="auto"/>
          <w:kern w:val="0"/>
          <w:sz w:val="28"/>
          <w:szCs w:val="28"/>
          <w:highlight w:val="none"/>
        </w:rPr>
      </w:pPr>
      <w:r>
        <w:rPr>
          <w:rFonts w:hint="eastAsia" w:ascii="宋体" w:hAnsi="宋体"/>
          <w:b/>
          <w:bCs/>
          <w:snapToGrid w:val="0"/>
          <w:color w:val="auto"/>
          <w:kern w:val="0"/>
          <w:sz w:val="28"/>
          <w:szCs w:val="28"/>
          <w:highlight w:val="none"/>
        </w:rPr>
        <w:t>二、双方一般权利和义务</w:t>
      </w:r>
    </w:p>
    <w:p w14:paraId="4640BF30">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5、工程师</w:t>
      </w:r>
    </w:p>
    <w:p w14:paraId="1A35379F">
      <w:pPr>
        <w:adjustRightInd w:val="0"/>
        <w:snapToGrid w:val="0"/>
        <w:spacing w:line="360" w:lineRule="auto"/>
        <w:ind w:right="11" w:firstLine="460" w:firstLineChars="192"/>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5.1监理单位</w:t>
      </w:r>
    </w:p>
    <w:p w14:paraId="391534F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bCs/>
          <w:snapToGrid w:val="0"/>
          <w:color w:val="auto"/>
          <w:kern w:val="0"/>
          <w:sz w:val="24"/>
          <w:highlight w:val="none"/>
        </w:rPr>
        <w:t>发包人委托</w:t>
      </w:r>
      <w:r>
        <w:rPr>
          <w:rFonts w:hint="eastAsia" w:ascii="宋体" w:hAnsi="宋体"/>
          <w:snapToGrid w:val="0"/>
          <w:color w:val="auto"/>
          <w:kern w:val="0"/>
          <w:sz w:val="24"/>
          <w:highlight w:val="none"/>
        </w:rPr>
        <w:t>为</w:t>
      </w:r>
      <w:r>
        <w:rPr>
          <w:rFonts w:hint="eastAsia" w:ascii="宋体" w:hAnsi="宋体"/>
          <w:bCs/>
          <w:snapToGrid w:val="0"/>
          <w:color w:val="auto"/>
          <w:kern w:val="0"/>
          <w:sz w:val="24"/>
          <w:highlight w:val="none"/>
        </w:rPr>
        <w:t>本工程的监理单位，总监理工程师为 。监理单位的职责以发包人与监理单位签订的《委托监理合同》为准。</w:t>
      </w:r>
    </w:p>
    <w:p w14:paraId="3B3C8BAE">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5.2技术督导单位</w:t>
      </w:r>
    </w:p>
    <w:p w14:paraId="714CAA8E">
      <w:pPr>
        <w:adjustRightInd w:val="0"/>
        <w:snapToGrid w:val="0"/>
        <w:spacing w:line="360" w:lineRule="auto"/>
        <w:ind w:right="11"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发包人委托</w:t>
      </w:r>
      <w:r>
        <w:rPr>
          <w:rFonts w:hint="eastAsia" w:ascii="宋体" w:hAnsi="宋体"/>
          <w:snapToGrid w:val="0"/>
          <w:color w:val="auto"/>
          <w:kern w:val="0"/>
          <w:sz w:val="24"/>
          <w:highlight w:val="none"/>
          <w:u w:val="single"/>
        </w:rPr>
        <w:t xml:space="preserve">                   /          </w:t>
      </w:r>
      <w:r>
        <w:rPr>
          <w:rFonts w:hint="eastAsia" w:ascii="宋体" w:hAnsi="宋体"/>
          <w:snapToGrid w:val="0"/>
          <w:color w:val="auto"/>
          <w:kern w:val="0"/>
          <w:sz w:val="24"/>
          <w:highlight w:val="none"/>
        </w:rPr>
        <w:t>为本工程的技术督导单位，总督导工程师</w:t>
      </w:r>
      <w:r>
        <w:rPr>
          <w:rFonts w:hint="eastAsia" w:ascii="宋体" w:hAnsi="宋体"/>
          <w:bCs/>
          <w:snapToGrid w:val="0"/>
          <w:color w:val="auto"/>
          <w:kern w:val="0"/>
          <w:sz w:val="24"/>
          <w:highlight w:val="none"/>
        </w:rPr>
        <w:t>为</w:t>
      </w:r>
      <w:r>
        <w:rPr>
          <w:rFonts w:hint="eastAsia" w:ascii="宋体" w:hAnsi="宋体"/>
          <w:snapToGrid w:val="0"/>
          <w:color w:val="auto"/>
          <w:kern w:val="0"/>
          <w:sz w:val="24"/>
          <w:highlight w:val="none"/>
          <w:u w:val="single"/>
        </w:rPr>
        <w:t xml:space="preserve">      /       </w:t>
      </w:r>
      <w:r>
        <w:rPr>
          <w:rFonts w:hint="eastAsia" w:ascii="宋体" w:hAnsi="宋体"/>
          <w:snapToGrid w:val="0"/>
          <w:color w:val="auto"/>
          <w:kern w:val="0"/>
          <w:sz w:val="24"/>
          <w:highlight w:val="none"/>
        </w:rPr>
        <w:t>。技术督导单位</w:t>
      </w:r>
      <w:r>
        <w:rPr>
          <w:rFonts w:hint="eastAsia" w:ascii="宋体" w:hAnsi="宋体"/>
          <w:bCs/>
          <w:snapToGrid w:val="0"/>
          <w:color w:val="auto"/>
          <w:kern w:val="0"/>
          <w:sz w:val="24"/>
          <w:highlight w:val="none"/>
        </w:rPr>
        <w:t>的职责以发包人与</w:t>
      </w:r>
      <w:r>
        <w:rPr>
          <w:rFonts w:hint="eastAsia" w:ascii="宋体" w:hAnsi="宋体"/>
          <w:snapToGrid w:val="0"/>
          <w:color w:val="auto"/>
          <w:kern w:val="0"/>
          <w:sz w:val="24"/>
          <w:highlight w:val="none"/>
        </w:rPr>
        <w:t>技术督导单位</w:t>
      </w:r>
      <w:r>
        <w:rPr>
          <w:rFonts w:hint="eastAsia" w:ascii="宋体" w:hAnsi="宋体"/>
          <w:bCs/>
          <w:snapToGrid w:val="0"/>
          <w:color w:val="auto"/>
          <w:kern w:val="0"/>
          <w:sz w:val="24"/>
          <w:highlight w:val="none"/>
        </w:rPr>
        <w:t>签订的</w:t>
      </w:r>
      <w:r>
        <w:rPr>
          <w:rFonts w:hint="eastAsia" w:ascii="宋体" w:hAnsi="宋体"/>
          <w:snapToGrid w:val="0"/>
          <w:color w:val="auto"/>
          <w:kern w:val="0"/>
          <w:sz w:val="24"/>
          <w:highlight w:val="none"/>
        </w:rPr>
        <w:t>《技术督导（管理）合同》</w:t>
      </w:r>
      <w:r>
        <w:rPr>
          <w:rFonts w:hint="eastAsia" w:ascii="宋体" w:hAnsi="宋体"/>
          <w:bCs/>
          <w:snapToGrid w:val="0"/>
          <w:color w:val="auto"/>
          <w:kern w:val="0"/>
          <w:sz w:val="24"/>
          <w:highlight w:val="none"/>
        </w:rPr>
        <w:t>为准。</w:t>
      </w:r>
    </w:p>
    <w:p w14:paraId="30CC624E">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bCs/>
          <w:snapToGrid w:val="0"/>
          <w:color w:val="auto"/>
          <w:kern w:val="0"/>
          <w:sz w:val="24"/>
          <w:highlight w:val="none"/>
        </w:rPr>
        <w:t>5.3</w:t>
      </w:r>
      <w:r>
        <w:rPr>
          <w:rFonts w:hint="eastAsia" w:ascii="宋体" w:hAnsi="宋体"/>
          <w:snapToGrid w:val="0"/>
          <w:color w:val="auto"/>
          <w:kern w:val="0"/>
          <w:sz w:val="24"/>
          <w:highlight w:val="none"/>
        </w:rPr>
        <w:t>发包人代表</w:t>
      </w:r>
    </w:p>
    <w:p w14:paraId="3E2DE48E">
      <w:pPr>
        <w:adjustRightInd w:val="0"/>
        <w:snapToGrid w:val="0"/>
        <w:spacing w:line="360" w:lineRule="auto"/>
        <w:ind w:right="11" w:firstLine="460" w:firstLineChars="192"/>
        <w:rPr>
          <w:rFonts w:ascii="宋体" w:hAnsi="宋体"/>
          <w:bCs/>
          <w:snapToGrid w:val="0"/>
          <w:color w:val="auto"/>
          <w:kern w:val="0"/>
          <w:sz w:val="24"/>
          <w:highlight w:val="none"/>
        </w:rPr>
      </w:pPr>
      <w:r>
        <w:rPr>
          <w:rFonts w:hint="eastAsia" w:ascii="宋体" w:hAnsi="宋体"/>
          <w:bCs/>
          <w:snapToGrid w:val="0"/>
          <w:color w:val="auto"/>
          <w:kern w:val="0"/>
          <w:sz w:val="24"/>
          <w:highlight w:val="none"/>
        </w:rPr>
        <w:t>发包人派驻施工场地履行合同的代表在本合同中称为发包人代表。其姓名、职务如下：</w:t>
      </w:r>
    </w:p>
    <w:p w14:paraId="0682B1AE">
      <w:pPr>
        <w:adjustRightInd w:val="0"/>
        <w:snapToGrid w:val="0"/>
        <w:spacing w:line="360" w:lineRule="auto"/>
        <w:ind w:right="11" w:firstLine="460" w:firstLineChars="192"/>
        <w:rPr>
          <w:rFonts w:ascii="宋体" w:hAnsi="宋体"/>
          <w:bCs/>
          <w:strike/>
          <w:snapToGrid w:val="0"/>
          <w:color w:val="auto"/>
          <w:kern w:val="0"/>
          <w:sz w:val="24"/>
          <w:highlight w:val="none"/>
          <w:u w:val="single"/>
        </w:rPr>
      </w:pPr>
      <w:r>
        <w:rPr>
          <w:rFonts w:hint="eastAsia" w:ascii="宋体" w:hAnsi="宋体"/>
          <w:bCs/>
          <w:snapToGrid w:val="0"/>
          <w:color w:val="auto"/>
          <w:kern w:val="0"/>
          <w:sz w:val="24"/>
          <w:highlight w:val="none"/>
        </w:rPr>
        <w:t>姓名：梁伟良。    职务：项目负责人。</w:t>
      </w:r>
    </w:p>
    <w:p w14:paraId="787B94A5">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6、工程师的委派和指令</w:t>
      </w:r>
    </w:p>
    <w:p w14:paraId="1A085C39">
      <w:pPr>
        <w:adjustRightInd w:val="0"/>
        <w:snapToGrid w:val="0"/>
        <w:spacing w:line="360" w:lineRule="auto"/>
        <w:ind w:right="11" w:firstLine="460" w:firstLineChars="192"/>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6.2在紧急情况下，总监理工程师可以当场发出口头指令，承包人应遵照执行。承包人在收到上述口头指令后24小时内，应向总监理工程师发出书面确认函。若总监理工程师在收到书面确认函后24小时内未予答复，该口头指令应被视为总监理工程师的正式指令。由于总监理工程师指令错误而延误工期的，工期顺延情形只适用于一般节点工期。</w:t>
      </w:r>
    </w:p>
    <w:p w14:paraId="14C00161">
      <w:pPr>
        <w:adjustRightInd w:val="0"/>
        <w:snapToGrid w:val="0"/>
        <w:spacing w:line="360" w:lineRule="auto"/>
        <w:ind w:right="11" w:firstLine="460" w:firstLineChars="192"/>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6.3由于总监理工程师未能按合同约定履行义务造成工期延误的，工期顺延情形只适用于一般节点工期。</w:t>
      </w:r>
    </w:p>
    <w:p w14:paraId="19349B38">
      <w:pPr>
        <w:adjustRightInd w:val="0"/>
        <w:snapToGrid w:val="0"/>
        <w:spacing w:line="360" w:lineRule="auto"/>
        <w:ind w:right="11" w:firstLine="463" w:firstLineChars="192"/>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承包人与发包人一致同意增加6.5、6.6：</w:t>
      </w:r>
    </w:p>
    <w:p w14:paraId="7683C8A0">
      <w:pPr>
        <w:adjustRightInd w:val="0"/>
        <w:snapToGrid w:val="0"/>
        <w:spacing w:line="360" w:lineRule="auto"/>
        <w:ind w:right="11" w:firstLine="460" w:firstLineChars="192"/>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6.5除特别指明外，总监理工程师对承包人的任何工作、工程或其采用的材料和设备未提出否定意见的，不应视为已获批准，也不影响总监理工程师在以后拒绝该项工作、工程、材料设备的权利。</w:t>
      </w:r>
    </w:p>
    <w:p w14:paraId="1DC99EC6">
      <w:pPr>
        <w:adjustRightInd w:val="0"/>
        <w:snapToGrid w:val="0"/>
        <w:spacing w:line="360" w:lineRule="auto"/>
        <w:ind w:right="11" w:firstLine="460" w:firstLineChars="192"/>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6.6总监理工程师的指令应该有总监理工程师的签字，并加盖监理单位驻施工场地机构印章。</w:t>
      </w:r>
    </w:p>
    <w:p w14:paraId="31D47B9F">
      <w:pPr>
        <w:adjustRightInd w:val="0"/>
        <w:snapToGrid w:val="0"/>
        <w:spacing w:line="360" w:lineRule="auto"/>
        <w:ind w:firstLine="48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7、项目经理</w:t>
      </w:r>
    </w:p>
    <w:p w14:paraId="49483A34">
      <w:pPr>
        <w:adjustRightInd w:val="0"/>
        <w:snapToGrid w:val="0"/>
        <w:spacing w:line="360" w:lineRule="auto"/>
        <w:ind w:firstLine="48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7.1本工程项目经理</w:t>
      </w:r>
    </w:p>
    <w:p w14:paraId="66A826F4">
      <w:pPr>
        <w:adjustRightInd w:val="0"/>
        <w:snapToGrid w:val="0"/>
        <w:spacing w:line="360" w:lineRule="auto"/>
        <w:ind w:firstLine="48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姓名：       职务：   </w:t>
      </w:r>
    </w:p>
    <w:p w14:paraId="03B81528">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7.3合同通用条款第7.3款所提及的工期顺延情形只适用于一般节点工期。</w:t>
      </w:r>
    </w:p>
    <w:p w14:paraId="6B2D5406">
      <w:pPr>
        <w:adjustRightInd w:val="0"/>
        <w:snapToGrid w:val="0"/>
        <w:spacing w:line="360" w:lineRule="auto"/>
        <w:ind w:firstLine="480"/>
        <w:rPr>
          <w:rFonts w:ascii="宋体" w:hAnsi="宋体"/>
          <w:snapToGrid w:val="0"/>
          <w:color w:val="auto"/>
          <w:kern w:val="0"/>
          <w:sz w:val="24"/>
          <w:highlight w:val="none"/>
        </w:rPr>
      </w:pPr>
      <w:r>
        <w:rPr>
          <w:rFonts w:hint="eastAsia" w:ascii="宋体" w:hAnsi="宋体"/>
          <w:b/>
          <w:bCs/>
          <w:snapToGrid w:val="0"/>
          <w:color w:val="auto"/>
          <w:kern w:val="0"/>
          <w:sz w:val="24"/>
          <w:highlight w:val="none"/>
        </w:rPr>
        <w:t>承包人与发包人一致同意增加7.6至7.9：</w:t>
      </w:r>
    </w:p>
    <w:p w14:paraId="065BE1A9">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7.6现场管理机构</w:t>
      </w:r>
    </w:p>
    <w:p w14:paraId="2A0F1884">
      <w:pPr>
        <w:adjustRightInd w:val="0"/>
        <w:snapToGrid w:val="0"/>
        <w:spacing w:line="360" w:lineRule="auto"/>
        <w:ind w:firstLine="480"/>
        <w:rPr>
          <w:rFonts w:ascii="宋体" w:hAnsi="宋体"/>
          <w:snapToGrid w:val="0"/>
          <w:color w:val="auto"/>
          <w:kern w:val="0"/>
          <w:sz w:val="24"/>
          <w:highlight w:val="none"/>
          <w:u w:val="single"/>
        </w:rPr>
      </w:pPr>
      <w:r>
        <w:rPr>
          <w:rFonts w:hint="eastAsia" w:ascii="宋体" w:hAnsi="宋体"/>
          <w:snapToGrid w:val="0"/>
          <w:color w:val="auto"/>
          <w:kern w:val="0"/>
          <w:sz w:val="24"/>
          <w:highlight w:val="none"/>
          <w:u w:val="single"/>
        </w:rPr>
        <w:t>（1）承包人必须按照投标文件的承诺建立现场管理机构，严格执行《建设工程项目管理规范》（GB/T50326-2017），并积极主动接受建设行政主管部门的监督和检查。</w:t>
      </w:r>
    </w:p>
    <w:p w14:paraId="333CAADD">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（2）现场管理机构各</w:t>
      </w:r>
      <w:r>
        <w:rPr>
          <w:rFonts w:hint="eastAsia" w:ascii="宋体" w:hAnsi="宋体"/>
          <w:bCs/>
          <w:snapToGrid w:val="0"/>
          <w:color w:val="auto"/>
          <w:kern w:val="0"/>
          <w:sz w:val="24"/>
          <w:highlight w:val="none"/>
        </w:rPr>
        <w:t>部</w:t>
      </w:r>
      <w:r>
        <w:rPr>
          <w:rFonts w:hint="eastAsia" w:ascii="宋体" w:hAnsi="宋体"/>
          <w:snapToGrid w:val="0"/>
          <w:color w:val="auto"/>
          <w:kern w:val="0"/>
          <w:sz w:val="24"/>
          <w:highlight w:val="none"/>
        </w:rPr>
        <w:t>主要组织管理人员在开工前必须全部到位，并接受总监理工程师和发包人代表的查验。</w:t>
      </w:r>
    </w:p>
    <w:p w14:paraId="2FBB662E">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承包人委派的现场管理机构各部主要组织管理人员不得有兼职情况存在，并需接受监理单位的监督。</w:t>
      </w:r>
    </w:p>
    <w:p w14:paraId="257E0354">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7.7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即使征得发包人同意更换的，承包人仍应按合同专用条款第38.7（3）款的约定承担违反投标承诺的违约责任，若更换项目经理而未征得发包人同意的，应承担相应违约处罚。</w:t>
      </w:r>
    </w:p>
    <w:p w14:paraId="51FC0ED1">
      <w:pPr>
        <w:adjustRightInd w:val="0"/>
        <w:snapToGrid w:val="0"/>
        <w:spacing w:line="360" w:lineRule="auto"/>
        <w:ind w:firstLine="480"/>
        <w:rPr>
          <w:rFonts w:ascii="宋体" w:hAnsi="宋体"/>
          <w:snapToGrid w:val="0"/>
          <w:color w:val="auto"/>
          <w:kern w:val="0"/>
          <w:sz w:val="24"/>
          <w:highlight w:val="none"/>
        </w:rPr>
      </w:pPr>
      <w:r>
        <w:rPr>
          <w:rFonts w:hint="eastAsia" w:ascii="宋体" w:hAnsi="宋体"/>
          <w:snapToGrid w:val="0"/>
          <w:color w:val="auto"/>
          <w:kern w:val="0"/>
          <w:sz w:val="24"/>
          <w:highlight w:val="none"/>
        </w:rPr>
        <w:t>更换人员必须履行建设行政主管部门规定的人员变更手续，后任人员继续行使前任的职权，履行前任的义务。</w:t>
      </w:r>
    </w:p>
    <w:p w14:paraId="12CC1338">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7.8现场管理机构各部主要组织管理人员的</w:t>
      </w:r>
      <w:r>
        <w:rPr>
          <w:rFonts w:hint="eastAsia" w:ascii="宋体" w:hAnsi="宋体"/>
          <w:iCs/>
          <w:snapToGrid w:val="0"/>
          <w:color w:val="auto"/>
          <w:kern w:val="0"/>
          <w:sz w:val="24"/>
          <w:highlight w:val="none"/>
        </w:rPr>
        <w:t>实际工作能力和工作效果达不到招标文件的明确要求</w:t>
      </w:r>
      <w:r>
        <w:rPr>
          <w:rFonts w:hint="eastAsia" w:ascii="宋体" w:hAnsi="宋体"/>
          <w:snapToGrid w:val="0"/>
          <w:color w:val="auto"/>
          <w:kern w:val="0"/>
          <w:sz w:val="24"/>
          <w:highlight w:val="none"/>
        </w:rPr>
        <w:t>或投标文件的承诺或工作态度存在严重不足，不适应现场工作需要的，发包人有权向承包人提出撤换。承包人可以提出整改意见，如发包人不予接受或认为整改效果不明显的，则承包人必须在7天内无条件撤换，并按合同专用条款第38.7（3）款的约定承担违约责任。所调换来人员的资质、资历、学历、职称、业绩、实际工作能力不低于投标文件中所承诺人员的素质，否则，按合同专用条款第38.7（3）款的约定承担违反投标承诺的违约责任。</w:t>
      </w:r>
    </w:p>
    <w:p w14:paraId="500637D9">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发包人要求承包人撤换不合格人员，如承包人既不立即撤换，也不及时提出整改意见，则视同拒绝执行发包人的指令，承包人需按合同专用条款第38.7（1）款的约定承担违约责任。</w:t>
      </w:r>
    </w:p>
    <w:p w14:paraId="4B45B1E6">
      <w:pPr>
        <w:adjustRightInd w:val="0"/>
        <w:snapToGrid w:val="0"/>
        <w:spacing w:line="360" w:lineRule="auto"/>
        <w:ind w:firstLine="480"/>
        <w:rPr>
          <w:rFonts w:ascii="宋体" w:hAnsi="宋体"/>
          <w:snapToGrid w:val="0"/>
          <w:color w:val="auto"/>
          <w:kern w:val="0"/>
          <w:sz w:val="24"/>
          <w:highlight w:val="none"/>
        </w:rPr>
      </w:pPr>
      <w:r>
        <w:rPr>
          <w:rFonts w:hint="eastAsia" w:ascii="宋体" w:hAnsi="宋体"/>
          <w:snapToGrid w:val="0"/>
          <w:color w:val="auto"/>
          <w:kern w:val="0"/>
          <w:sz w:val="24"/>
          <w:highlight w:val="none"/>
        </w:rPr>
        <w:t>发包人要求承包人以实际工作能力较高的人员调换实际工作能力较低的现场人员、或者承包人主动要求以实际工作能力较高的人员调换实际工作能力较低的现场人员并经总监理工程师及发包人批准且经实践检验证实、或者承包人有合法的理由提出申请并经总监理工程师及发包人批准更换相关人员的，承包人可不承担违约责任。</w:t>
      </w:r>
    </w:p>
    <w:p w14:paraId="76EE771A">
      <w:pPr>
        <w:adjustRightInd w:val="0"/>
        <w:snapToGrid w:val="0"/>
        <w:spacing w:line="360" w:lineRule="auto"/>
        <w:ind w:right="11" w:firstLine="460" w:firstLineChars="192"/>
        <w:outlineLvl w:val="3"/>
        <w:rPr>
          <w:rFonts w:ascii="宋体" w:hAnsi="宋体"/>
          <w:bCs/>
          <w:snapToGrid w:val="0"/>
          <w:color w:val="auto"/>
          <w:kern w:val="0"/>
          <w:sz w:val="24"/>
          <w:highlight w:val="none"/>
        </w:rPr>
      </w:pPr>
      <w:r>
        <w:rPr>
          <w:rFonts w:hint="eastAsia" w:ascii="宋体" w:hAnsi="宋体"/>
          <w:iCs/>
          <w:snapToGrid w:val="0"/>
          <w:color w:val="auto"/>
          <w:kern w:val="0"/>
          <w:sz w:val="24"/>
          <w:highlight w:val="none"/>
        </w:rPr>
        <w:t>7.9</w:t>
      </w:r>
      <w:r>
        <w:rPr>
          <w:rFonts w:hint="eastAsia" w:ascii="宋体" w:hAnsi="宋体"/>
          <w:bCs/>
          <w:snapToGrid w:val="0"/>
          <w:color w:val="auto"/>
          <w:kern w:val="0"/>
          <w:sz w:val="24"/>
          <w:highlight w:val="none"/>
        </w:rPr>
        <w:t>现场管理机构各部主要组织管理人员必须全职在现场办公，不得兼职或者擅自离岗。因特殊情况需短暂离岗的，应当事先报总监理工程师及发包人批准，且须妥善安排工作交接，并按以下约定执行：</w:t>
      </w:r>
    </w:p>
    <w:p w14:paraId="56E164AA">
      <w:pPr>
        <w:adjustRightInd w:val="0"/>
        <w:snapToGrid w:val="0"/>
        <w:spacing w:line="360" w:lineRule="auto"/>
        <w:ind w:right="11" w:firstLine="460" w:firstLineChars="192"/>
        <w:rPr>
          <w:rFonts w:ascii="宋体" w:hAnsi="宋体"/>
          <w:bCs/>
          <w:snapToGrid w:val="0"/>
          <w:color w:val="auto"/>
          <w:kern w:val="0"/>
          <w:sz w:val="24"/>
          <w:highlight w:val="none"/>
        </w:rPr>
      </w:pPr>
      <w:r>
        <w:rPr>
          <w:rFonts w:hint="eastAsia" w:ascii="宋体" w:hAnsi="宋体"/>
          <w:bCs/>
          <w:snapToGrid w:val="0"/>
          <w:color w:val="auto"/>
          <w:kern w:val="0"/>
          <w:sz w:val="24"/>
          <w:highlight w:val="none"/>
        </w:rPr>
        <w:t>（1）离场半天内，须经总监理工程师批准同意；</w:t>
      </w:r>
    </w:p>
    <w:p w14:paraId="170A1C54">
      <w:pPr>
        <w:adjustRightInd w:val="0"/>
        <w:snapToGrid w:val="0"/>
        <w:spacing w:line="360" w:lineRule="auto"/>
        <w:ind w:right="11" w:firstLine="460" w:firstLineChars="192"/>
        <w:rPr>
          <w:rFonts w:ascii="宋体" w:hAnsi="宋体"/>
          <w:bCs/>
          <w:snapToGrid w:val="0"/>
          <w:color w:val="auto"/>
          <w:kern w:val="0"/>
          <w:sz w:val="24"/>
          <w:highlight w:val="none"/>
        </w:rPr>
      </w:pPr>
      <w:r>
        <w:rPr>
          <w:rFonts w:hint="eastAsia" w:ascii="宋体" w:hAnsi="宋体"/>
          <w:bCs/>
          <w:snapToGrid w:val="0"/>
          <w:color w:val="auto"/>
          <w:kern w:val="0"/>
          <w:sz w:val="24"/>
          <w:highlight w:val="none"/>
        </w:rPr>
        <w:t>（2）离场1天内，须经总监理工程师同意，并经发包人代表批准；</w:t>
      </w:r>
    </w:p>
    <w:p w14:paraId="19521892">
      <w:pPr>
        <w:adjustRightInd w:val="0"/>
        <w:snapToGrid w:val="0"/>
        <w:spacing w:line="360" w:lineRule="auto"/>
        <w:ind w:right="11" w:firstLine="460" w:firstLineChars="192"/>
        <w:rPr>
          <w:rFonts w:ascii="宋体" w:hAnsi="宋体"/>
          <w:bCs/>
          <w:snapToGrid w:val="0"/>
          <w:color w:val="auto"/>
          <w:kern w:val="0"/>
          <w:sz w:val="24"/>
          <w:highlight w:val="none"/>
        </w:rPr>
      </w:pPr>
      <w:r>
        <w:rPr>
          <w:rFonts w:hint="eastAsia" w:ascii="宋体" w:hAnsi="宋体"/>
          <w:bCs/>
          <w:snapToGrid w:val="0"/>
          <w:color w:val="auto"/>
          <w:kern w:val="0"/>
          <w:sz w:val="24"/>
          <w:highlight w:val="none"/>
        </w:rPr>
        <w:t>（3）离场2天以上（含2天），须经总监理工程师及发包人代表同意，并经发包人主管部门领导批准；</w:t>
      </w:r>
    </w:p>
    <w:p w14:paraId="1014BED1">
      <w:pPr>
        <w:adjustRightInd w:val="0"/>
        <w:snapToGrid w:val="0"/>
        <w:spacing w:line="360" w:lineRule="auto"/>
        <w:ind w:right="11" w:firstLine="460" w:firstLineChars="192"/>
        <w:rPr>
          <w:rFonts w:ascii="宋体" w:hAnsi="宋体"/>
          <w:bCs/>
          <w:snapToGrid w:val="0"/>
          <w:color w:val="auto"/>
          <w:kern w:val="0"/>
          <w:sz w:val="24"/>
          <w:highlight w:val="none"/>
        </w:rPr>
      </w:pPr>
      <w:r>
        <w:rPr>
          <w:rFonts w:hint="eastAsia" w:ascii="宋体" w:hAnsi="宋体"/>
          <w:bCs/>
          <w:snapToGrid w:val="0"/>
          <w:color w:val="auto"/>
          <w:kern w:val="0"/>
          <w:sz w:val="24"/>
          <w:highlight w:val="none"/>
        </w:rPr>
        <w:t>（4）一个月内累计离场时间不得超过5天（经发包人分管领导批准的除外）；</w:t>
      </w:r>
    </w:p>
    <w:p w14:paraId="67805922">
      <w:pPr>
        <w:adjustRightInd w:val="0"/>
        <w:snapToGrid w:val="0"/>
        <w:spacing w:line="360" w:lineRule="auto"/>
        <w:ind w:right="11"/>
        <w:rPr>
          <w:rFonts w:ascii="宋体" w:hAnsi="宋体"/>
          <w:bCs/>
          <w:snapToGrid w:val="0"/>
          <w:color w:val="auto"/>
          <w:kern w:val="0"/>
          <w:sz w:val="24"/>
          <w:highlight w:val="none"/>
        </w:rPr>
      </w:pPr>
      <w:r>
        <w:rPr>
          <w:rFonts w:hint="eastAsia" w:ascii="宋体" w:hAnsi="宋体"/>
          <w:bCs/>
          <w:snapToGrid w:val="0"/>
          <w:color w:val="auto"/>
          <w:kern w:val="0"/>
          <w:sz w:val="24"/>
          <w:highlight w:val="none"/>
        </w:rPr>
        <w:t xml:space="preserve">    （5）项目经理不论离场多久，均应经发包人分管领导批准。</w:t>
      </w:r>
    </w:p>
    <w:p w14:paraId="19AB0729">
      <w:pPr>
        <w:adjustRightInd w:val="0"/>
        <w:snapToGrid w:val="0"/>
        <w:spacing w:line="360" w:lineRule="auto"/>
        <w:ind w:right="11" w:firstLine="480" w:firstLineChars="200"/>
        <w:rPr>
          <w:rFonts w:ascii="宋体" w:hAnsi="宋体"/>
          <w:iCs/>
          <w:snapToGrid w:val="0"/>
          <w:color w:val="auto"/>
          <w:kern w:val="0"/>
          <w:sz w:val="24"/>
          <w:highlight w:val="none"/>
        </w:rPr>
      </w:pPr>
      <w:r>
        <w:rPr>
          <w:rFonts w:hint="eastAsia" w:ascii="宋体" w:hAnsi="宋体"/>
          <w:iCs/>
          <w:snapToGrid w:val="0"/>
          <w:color w:val="auto"/>
          <w:kern w:val="0"/>
          <w:sz w:val="24"/>
          <w:highlight w:val="none"/>
        </w:rPr>
        <w:t>承包人若违反上述约定，应按照合同专用条款第38.7款的相关约定承担违约责任。</w:t>
      </w:r>
    </w:p>
    <w:p w14:paraId="33BD9769">
      <w:pPr>
        <w:adjustRightInd w:val="0"/>
        <w:snapToGrid w:val="0"/>
        <w:spacing w:line="360" w:lineRule="auto"/>
        <w:ind w:right="11" w:firstLine="480" w:firstLineChars="200"/>
        <w:rPr>
          <w:rFonts w:ascii="宋体" w:hAnsi="宋体"/>
          <w:iCs/>
          <w:snapToGrid w:val="0"/>
          <w:color w:val="auto"/>
          <w:kern w:val="0"/>
          <w:sz w:val="24"/>
          <w:highlight w:val="none"/>
        </w:rPr>
      </w:pPr>
      <w:r>
        <w:rPr>
          <w:rFonts w:hint="eastAsia" w:ascii="宋体" w:hAnsi="宋体"/>
          <w:iCs/>
          <w:snapToGrid w:val="0"/>
          <w:color w:val="auto"/>
          <w:kern w:val="0"/>
          <w:sz w:val="24"/>
          <w:highlight w:val="none"/>
        </w:rPr>
        <w:t>本合同所称现场办公，是指在工程实施过程中，现场管理机构各部主要组织管理人员必须在施工场地全职上班，履行各自的职责。</w:t>
      </w:r>
    </w:p>
    <w:p w14:paraId="685AFE6C">
      <w:pPr>
        <w:adjustRightInd w:val="0"/>
        <w:snapToGrid w:val="0"/>
        <w:spacing w:line="360" w:lineRule="auto"/>
        <w:ind w:right="11" w:firstLine="480" w:firstLineChars="200"/>
        <w:rPr>
          <w:rFonts w:ascii="宋体" w:hAnsi="宋体"/>
          <w:iCs/>
          <w:snapToGrid w:val="0"/>
          <w:color w:val="auto"/>
          <w:kern w:val="0"/>
          <w:sz w:val="24"/>
          <w:highlight w:val="none"/>
        </w:rPr>
      </w:pPr>
      <w:r>
        <w:rPr>
          <w:rFonts w:hint="eastAsia" w:ascii="宋体" w:hAnsi="宋体"/>
          <w:iCs/>
          <w:snapToGrid w:val="0"/>
          <w:color w:val="auto"/>
          <w:kern w:val="0"/>
          <w:sz w:val="24"/>
          <w:highlight w:val="none"/>
        </w:rPr>
        <w:t>现场管理机构各部主要组织管理人员现场办公天数，由总监理工程师及发包人现场管理负责人按实计量。</w:t>
      </w:r>
    </w:p>
    <w:p w14:paraId="42DED87E">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8、发包人工作</w:t>
      </w:r>
    </w:p>
    <w:p w14:paraId="22BF6140">
      <w:pPr>
        <w:adjustRightInd w:val="0"/>
        <w:snapToGrid w:val="0"/>
        <w:spacing w:line="360" w:lineRule="auto"/>
        <w:ind w:right="11" w:firstLine="460" w:firstLineChars="192"/>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8.1发包人应按约定的时间和要求完成以下工作：</w:t>
      </w:r>
    </w:p>
    <w:p w14:paraId="2ACB9221">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（1）施工场地具备施工条件的要求及完成的时间：发包人负责在开工前完成施工场地的征地拆迁工作，具备按设计要求进行施工的条件（合同及招标文件另有约定的除外）。</w:t>
      </w:r>
    </w:p>
    <w:p w14:paraId="2E1A1CC9">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（2）将施工所需的水、电、电讯线路接至施工场地的时间、地点和供应要求：发包人提供水、电驳接点（合同及招标文件另有约定的除外）。</w:t>
      </w:r>
    </w:p>
    <w:p w14:paraId="3DBA38BD">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（3）施工场地与公共道路通道的开通时间和要求：结合现场实际情况考虑。</w:t>
      </w:r>
    </w:p>
    <w:p w14:paraId="13848DCA">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（4）工程地质和地下管线资料的提供时间：开工前提供。</w:t>
      </w:r>
    </w:p>
    <w:p w14:paraId="04F156D6">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（5）由发包人办理的施工所需证件、批件的名称和完成时间：发包人负责办理本工程立项批复、建设用地规划许可证、建设工程规划许可证、报建审核书、建设用地通知书</w:t>
      </w:r>
      <w:r>
        <w:rPr>
          <w:rFonts w:hint="eastAsia" w:ascii="宋体" w:hAnsi="宋体"/>
          <w:bCs/>
          <w:iCs/>
          <w:snapToGrid w:val="0"/>
          <w:color w:val="auto"/>
          <w:kern w:val="0"/>
          <w:sz w:val="24"/>
          <w:highlight w:val="none"/>
        </w:rPr>
        <w:t>。</w:t>
      </w:r>
    </w:p>
    <w:p w14:paraId="0E2ECE21">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（6）水准点与坐标控制点交验要求：发包人负责在施工现场将已施测的水准点高程与平面控制点坐标以书面形式提供给承包人，由承包人做好交验记录。</w:t>
      </w:r>
    </w:p>
    <w:p w14:paraId="0F203F02">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（7）图纸会审和设计交底时间：承包人接到施工图纸后7天内进行。</w:t>
      </w:r>
    </w:p>
    <w:p w14:paraId="782EF76D">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（8）协调施工场地周围地下管线和邻近建筑物、构筑物（含文物保护建筑）、古树名木的保护工作。</w:t>
      </w:r>
    </w:p>
    <w:p w14:paraId="2B51CF1F">
      <w:pPr>
        <w:adjustRightInd w:val="0"/>
        <w:snapToGrid w:val="0"/>
        <w:spacing w:line="360" w:lineRule="auto"/>
        <w:ind w:right="11" w:firstLine="460" w:firstLineChars="192"/>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8.2承包人协助发包人办理的工作：包括但不限于办理施工许可证和工程质量安全监督报建手续等工作。</w:t>
      </w:r>
    </w:p>
    <w:p w14:paraId="37C3C1A4">
      <w:pPr>
        <w:adjustRightInd w:val="0"/>
        <w:snapToGrid w:val="0"/>
        <w:spacing w:line="360" w:lineRule="auto"/>
        <w:ind w:right="11" w:firstLine="460" w:firstLineChars="192"/>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8.3</w:t>
      </w:r>
      <w:r>
        <w:rPr>
          <w:rFonts w:hint="eastAsia" w:ascii="宋体" w:hAnsi="宋体"/>
          <w:snapToGrid w:val="0"/>
          <w:color w:val="auto"/>
          <w:kern w:val="0"/>
          <w:sz w:val="24"/>
          <w:highlight w:val="none"/>
        </w:rPr>
        <w:t>合同通用条款第8.3款所提及的工期顺延情形只适用于一般节点工期。</w:t>
      </w:r>
    </w:p>
    <w:p w14:paraId="20411844">
      <w:pPr>
        <w:adjustRightInd w:val="0"/>
        <w:snapToGrid w:val="0"/>
        <w:spacing w:line="360" w:lineRule="auto"/>
        <w:ind w:right="11" w:firstLine="463" w:firstLineChars="192"/>
        <w:rPr>
          <w:rFonts w:ascii="宋体" w:hAnsi="宋体"/>
          <w:bCs/>
          <w:snapToGrid w:val="0"/>
          <w:color w:val="auto"/>
          <w:kern w:val="0"/>
          <w:sz w:val="24"/>
          <w:highlight w:val="none"/>
        </w:rPr>
      </w:pPr>
      <w:r>
        <w:rPr>
          <w:rFonts w:hint="eastAsia" w:ascii="宋体" w:hAnsi="宋体"/>
          <w:b/>
          <w:snapToGrid w:val="0"/>
          <w:color w:val="auto"/>
          <w:kern w:val="0"/>
          <w:sz w:val="24"/>
          <w:highlight w:val="none"/>
        </w:rPr>
        <w:t>承包人和发包人一致同意增加8.4：</w:t>
      </w:r>
    </w:p>
    <w:p w14:paraId="0FF7DFB1">
      <w:pPr>
        <w:adjustRightInd w:val="0"/>
        <w:snapToGrid w:val="0"/>
        <w:spacing w:line="360" w:lineRule="auto"/>
        <w:ind w:right="11" w:firstLine="460" w:firstLineChars="192"/>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8.4经发包人与承包人双方协商一致，发包人保留下列权利：</w:t>
      </w:r>
    </w:p>
    <w:p w14:paraId="33A673BA">
      <w:pPr>
        <w:adjustRightInd w:val="0"/>
        <w:snapToGrid w:val="0"/>
        <w:spacing w:line="360" w:lineRule="auto"/>
        <w:ind w:right="11" w:firstLine="460" w:firstLineChars="192"/>
        <w:rPr>
          <w:rFonts w:ascii="宋体" w:hAnsi="宋体"/>
          <w:bCs/>
          <w:snapToGrid w:val="0"/>
          <w:color w:val="auto"/>
          <w:kern w:val="0"/>
          <w:sz w:val="24"/>
          <w:highlight w:val="none"/>
        </w:rPr>
      </w:pPr>
      <w:r>
        <w:rPr>
          <w:rFonts w:hint="eastAsia" w:ascii="宋体" w:hAnsi="宋体"/>
          <w:bCs/>
          <w:snapToGrid w:val="0"/>
          <w:color w:val="auto"/>
          <w:kern w:val="0"/>
          <w:sz w:val="24"/>
          <w:highlight w:val="none"/>
        </w:rPr>
        <w:t>（1）对用于本合同工程的材料设备的品质、质量提交质量监督检验机构（包括本合同约定的质量监督检验机构和法律法规规定的质量监督检验机构）审查确认的权利。</w:t>
      </w:r>
    </w:p>
    <w:p w14:paraId="5F633664">
      <w:pPr>
        <w:adjustRightInd w:val="0"/>
        <w:snapToGrid w:val="0"/>
        <w:spacing w:line="360" w:lineRule="auto"/>
        <w:ind w:right="11" w:firstLine="460" w:firstLineChars="192"/>
        <w:rPr>
          <w:rFonts w:ascii="宋体" w:hAnsi="宋体"/>
          <w:bCs/>
          <w:snapToGrid w:val="0"/>
          <w:color w:val="auto"/>
          <w:kern w:val="0"/>
          <w:sz w:val="24"/>
          <w:highlight w:val="none"/>
        </w:rPr>
      </w:pPr>
      <w:r>
        <w:rPr>
          <w:rFonts w:hint="eastAsia" w:ascii="宋体" w:hAnsi="宋体"/>
          <w:bCs/>
          <w:snapToGrid w:val="0"/>
          <w:color w:val="auto"/>
          <w:kern w:val="0"/>
          <w:sz w:val="24"/>
          <w:highlight w:val="none"/>
        </w:rPr>
        <w:t>（2）保留对主要材料设备的分类及采购方式进行调整的权利，承包人不得拒绝或要求调整任何单价及收费，招标文件及本合同另有约定的除外。</w:t>
      </w:r>
    </w:p>
    <w:p w14:paraId="751DBDBF">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9、承包人工作</w:t>
      </w:r>
    </w:p>
    <w:p w14:paraId="606D8E92">
      <w:pPr>
        <w:adjustRightInd w:val="0"/>
        <w:snapToGrid w:val="0"/>
        <w:spacing w:line="360" w:lineRule="auto"/>
        <w:ind w:right="11" w:firstLine="460" w:firstLineChars="192"/>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9.1承包人按合同约定的内容和时间完成以下工作：</w:t>
      </w:r>
    </w:p>
    <w:p w14:paraId="0E7C8FC3">
      <w:pPr>
        <w:adjustRightInd w:val="0"/>
        <w:snapToGrid w:val="0"/>
        <w:spacing w:line="360" w:lineRule="auto"/>
        <w:ind w:right="11" w:firstLine="460" w:firstLineChars="192"/>
        <w:outlineLvl w:val="4"/>
        <w:rPr>
          <w:rFonts w:ascii="宋体" w:hAnsi="宋体"/>
          <w:bCs/>
          <w:snapToGrid w:val="0"/>
          <w:color w:val="auto"/>
          <w:kern w:val="0"/>
          <w:sz w:val="24"/>
          <w:highlight w:val="none"/>
        </w:rPr>
      </w:pPr>
      <w:r>
        <w:rPr>
          <w:rFonts w:hint="eastAsia" w:ascii="宋体" w:hAnsi="宋体"/>
          <w:bCs/>
          <w:snapToGrid w:val="0"/>
          <w:color w:val="auto"/>
          <w:kern w:val="0"/>
          <w:sz w:val="24"/>
          <w:highlight w:val="none"/>
        </w:rPr>
        <w:t>（3）根据工程需要，承包人提供和维修白天或夜间施工使用的照明、围栏设施，并负责安全保卫。若承包人未履行上述义务造成工程、财产、人身损害等，由承包人承担责任及因此所发生的一切费用。</w:t>
      </w:r>
    </w:p>
    <w:p w14:paraId="4D3E2491">
      <w:pPr>
        <w:adjustRightInd w:val="0"/>
        <w:snapToGrid w:val="0"/>
        <w:spacing w:line="360" w:lineRule="auto"/>
        <w:ind w:right="11" w:firstLine="460" w:firstLineChars="192"/>
        <w:outlineLvl w:val="4"/>
        <w:rPr>
          <w:rFonts w:ascii="宋体" w:hAnsi="宋体"/>
          <w:bCs/>
          <w:snapToGrid w:val="0"/>
          <w:color w:val="auto"/>
          <w:kern w:val="0"/>
          <w:sz w:val="24"/>
          <w:highlight w:val="none"/>
        </w:rPr>
      </w:pPr>
      <w:r>
        <w:rPr>
          <w:rFonts w:hint="eastAsia" w:ascii="宋体" w:hAnsi="宋体"/>
          <w:bCs/>
          <w:snapToGrid w:val="0"/>
          <w:color w:val="auto"/>
          <w:kern w:val="0"/>
          <w:sz w:val="24"/>
          <w:highlight w:val="none"/>
        </w:rPr>
        <w:t>（5）</w:t>
      </w:r>
      <w:r>
        <w:rPr>
          <w:rFonts w:hint="eastAsia" w:ascii="宋体" w:hAnsi="宋体"/>
          <w:snapToGrid w:val="0"/>
          <w:color w:val="auto"/>
          <w:kern w:val="0"/>
          <w:sz w:val="24"/>
          <w:highlight w:val="none"/>
        </w:rPr>
        <w:t>遵守政府有关主管部门对施工场地交通、施工噪音以及环境保护和安全生产等的管理规定，</w:t>
      </w:r>
      <w:r>
        <w:rPr>
          <w:rFonts w:hint="eastAsia" w:ascii="宋体" w:hAnsi="宋体"/>
          <w:bCs/>
          <w:snapToGrid w:val="0"/>
          <w:color w:val="auto"/>
          <w:kern w:val="0"/>
          <w:sz w:val="24"/>
          <w:highlight w:val="none"/>
        </w:rPr>
        <w:t>按工程所在地政府主管部门的规定办理并承担由此发生的费用，并在开工后2个月内以书面形式知会发包人。</w:t>
      </w:r>
    </w:p>
    <w:p w14:paraId="60A8F491">
      <w:pPr>
        <w:adjustRightInd w:val="0"/>
        <w:snapToGrid w:val="0"/>
        <w:spacing w:line="360" w:lineRule="auto"/>
        <w:ind w:right="11" w:firstLine="460" w:firstLineChars="192"/>
        <w:outlineLvl w:val="4"/>
        <w:rPr>
          <w:rFonts w:ascii="宋体" w:hAnsi="宋体"/>
          <w:bCs/>
          <w:snapToGrid w:val="0"/>
          <w:color w:val="auto"/>
          <w:kern w:val="0"/>
          <w:sz w:val="24"/>
          <w:highlight w:val="none"/>
        </w:rPr>
      </w:pPr>
      <w:r>
        <w:rPr>
          <w:rFonts w:hint="eastAsia" w:ascii="宋体" w:hAnsi="宋体"/>
          <w:bCs/>
          <w:snapToGrid w:val="0"/>
          <w:color w:val="auto"/>
          <w:kern w:val="0"/>
          <w:sz w:val="24"/>
          <w:highlight w:val="none"/>
        </w:rPr>
        <w:t>（6）未移交后续施工单位或发包人使用前，对已完工工程的保护工作及费用均由承包人负责，发生损坏由承包人自费修复。</w:t>
      </w:r>
    </w:p>
    <w:p w14:paraId="319BFC8A">
      <w:pPr>
        <w:adjustRightInd w:val="0"/>
        <w:snapToGrid w:val="0"/>
        <w:spacing w:line="360" w:lineRule="auto"/>
        <w:ind w:right="11" w:firstLine="460" w:firstLineChars="192"/>
        <w:outlineLvl w:val="4"/>
        <w:rPr>
          <w:rFonts w:ascii="宋体" w:hAnsi="宋体"/>
          <w:bCs/>
          <w:snapToGrid w:val="0"/>
          <w:color w:val="auto"/>
          <w:kern w:val="0"/>
          <w:sz w:val="24"/>
          <w:highlight w:val="none"/>
        </w:rPr>
      </w:pPr>
      <w:r>
        <w:rPr>
          <w:rFonts w:hint="eastAsia" w:ascii="宋体" w:hAnsi="宋体"/>
          <w:bCs/>
          <w:snapToGrid w:val="0"/>
          <w:color w:val="auto"/>
          <w:kern w:val="0"/>
          <w:sz w:val="24"/>
          <w:highlight w:val="none"/>
        </w:rPr>
        <w:t>（7）承包人应对施工场地及周围的地下管线、建筑物、构筑物（含文物保护建筑）、古树名木之状况进行勘察，根据勘察结果确定具体的保护措施并承担有关费用。若</w:t>
      </w:r>
      <w:r>
        <w:rPr>
          <w:rFonts w:hint="eastAsia" w:ascii="宋体" w:hAnsi="宋体"/>
          <w:snapToGrid w:val="0"/>
          <w:color w:val="auto"/>
          <w:kern w:val="0"/>
          <w:sz w:val="24"/>
          <w:highlight w:val="none"/>
        </w:rPr>
        <w:t>发现正常施工措施及现有条件已不能达到保护目的的，承包人应及时报告，经总监理工程师、发包人批准采取特殊保护处理的，发包人承担不包含在招投标内容中的额外保护费用。</w:t>
      </w:r>
    </w:p>
    <w:p w14:paraId="41875B49">
      <w:pPr>
        <w:adjustRightInd w:val="0"/>
        <w:snapToGrid w:val="0"/>
        <w:spacing w:line="360" w:lineRule="auto"/>
        <w:ind w:right="11" w:firstLine="460" w:firstLineChars="192"/>
        <w:rPr>
          <w:rFonts w:ascii="宋体" w:hAnsi="宋体"/>
          <w:bCs/>
          <w:snapToGrid w:val="0"/>
          <w:color w:val="auto"/>
          <w:kern w:val="0"/>
          <w:sz w:val="24"/>
          <w:highlight w:val="none"/>
        </w:rPr>
      </w:pPr>
      <w:r>
        <w:rPr>
          <w:rFonts w:hint="eastAsia" w:ascii="宋体" w:hAnsi="宋体"/>
          <w:bCs/>
          <w:snapToGrid w:val="0"/>
          <w:color w:val="auto"/>
          <w:kern w:val="0"/>
          <w:sz w:val="24"/>
          <w:highlight w:val="none"/>
        </w:rPr>
        <w:t>承包人应对所采取的保护措施进行监测，并应根据监测结果及时反馈信息指导施工，以确保上述受保护物件及作业人员、居民的安全。因承包人原因，受保护物件发生损坏的，由承包人承担责任并负责赔偿。</w:t>
      </w:r>
    </w:p>
    <w:p w14:paraId="17492E65">
      <w:pPr>
        <w:adjustRightInd w:val="0"/>
        <w:snapToGrid w:val="0"/>
        <w:spacing w:line="360" w:lineRule="auto"/>
        <w:ind w:right="11" w:firstLine="460" w:firstLineChars="192"/>
        <w:outlineLvl w:val="4"/>
        <w:rPr>
          <w:rFonts w:ascii="宋体" w:hAnsi="宋体"/>
          <w:bCs/>
          <w:snapToGrid w:val="0"/>
          <w:color w:val="auto"/>
          <w:kern w:val="0"/>
          <w:sz w:val="24"/>
          <w:highlight w:val="none"/>
        </w:rPr>
      </w:pPr>
      <w:r>
        <w:rPr>
          <w:rFonts w:hint="eastAsia" w:ascii="宋体" w:hAnsi="宋体"/>
          <w:bCs/>
          <w:snapToGrid w:val="0"/>
          <w:color w:val="auto"/>
          <w:kern w:val="0"/>
          <w:sz w:val="24"/>
          <w:highlight w:val="none"/>
        </w:rPr>
        <w:t>（8）承包人须按发包人批准的施工组织设计进行施工现场布置、放置材料机械及其他设施，及时将施工垃圾、余泥运出场外，保证施工场地清洁符合环境卫生管理的有关规定，达到合同协议书约定的安全生产及文明施工目标。</w:t>
      </w:r>
    </w:p>
    <w:p w14:paraId="0DC03162">
      <w:pPr>
        <w:adjustRightInd w:val="0"/>
        <w:snapToGrid w:val="0"/>
        <w:spacing w:line="360" w:lineRule="auto"/>
        <w:ind w:right="11" w:firstLine="460" w:firstLineChars="192"/>
        <w:rPr>
          <w:rFonts w:ascii="宋体" w:hAnsi="宋体"/>
          <w:bCs/>
          <w:snapToGrid w:val="0"/>
          <w:color w:val="auto"/>
          <w:kern w:val="0"/>
          <w:sz w:val="24"/>
          <w:highlight w:val="none"/>
        </w:rPr>
      </w:pPr>
      <w:r>
        <w:rPr>
          <w:rFonts w:hint="eastAsia" w:ascii="宋体" w:hAnsi="宋体"/>
          <w:bCs/>
          <w:snapToGrid w:val="0"/>
          <w:color w:val="auto"/>
          <w:kern w:val="0"/>
          <w:sz w:val="24"/>
          <w:highlight w:val="none"/>
        </w:rPr>
        <w:t>施工过程中，承包人应按合同约定及时清理施工垃圾，做到工完料清，并在工程竣工验收后10天内，对施工场地进行全面清理。</w:t>
      </w:r>
    </w:p>
    <w:p w14:paraId="5CD81C0C">
      <w:pPr>
        <w:adjustRightInd w:val="0"/>
        <w:snapToGrid w:val="0"/>
        <w:spacing w:line="360" w:lineRule="auto"/>
        <w:ind w:right="11" w:firstLine="460" w:firstLineChars="192"/>
        <w:outlineLvl w:val="4"/>
        <w:rPr>
          <w:rFonts w:ascii="宋体" w:hAnsi="宋体"/>
          <w:bCs/>
          <w:snapToGrid w:val="0"/>
          <w:color w:val="auto"/>
          <w:kern w:val="0"/>
          <w:sz w:val="24"/>
          <w:highlight w:val="none"/>
        </w:rPr>
      </w:pPr>
      <w:r>
        <w:rPr>
          <w:rFonts w:hint="eastAsia" w:ascii="宋体" w:hAnsi="宋体"/>
          <w:bCs/>
          <w:snapToGrid w:val="0"/>
          <w:color w:val="auto"/>
          <w:kern w:val="0"/>
          <w:sz w:val="24"/>
          <w:highlight w:val="none"/>
        </w:rPr>
        <w:t>（9）承包人应做的其他工作</w:t>
      </w:r>
    </w:p>
    <w:p w14:paraId="60A980C9">
      <w:pPr>
        <w:adjustRightInd w:val="0"/>
        <w:snapToGrid w:val="0"/>
        <w:spacing w:line="360" w:lineRule="auto"/>
        <w:ind w:firstLine="480"/>
        <w:rPr>
          <w:rFonts w:ascii="宋体" w:hAnsi="宋体"/>
          <w:bCs/>
          <w:snapToGrid w:val="0"/>
          <w:color w:val="auto"/>
          <w:kern w:val="0"/>
          <w:sz w:val="24"/>
          <w:highlight w:val="none"/>
        </w:rPr>
      </w:pPr>
      <w:r>
        <w:rPr>
          <w:rFonts w:hint="eastAsia" w:ascii="宋体" w:hAnsi="宋体"/>
          <w:bCs/>
          <w:snapToGrid w:val="0"/>
          <w:color w:val="auto"/>
          <w:kern w:val="0"/>
          <w:sz w:val="24"/>
          <w:highlight w:val="none"/>
        </w:rPr>
        <w:t>1）进场后每月按审定格式申报人材机投入量及实物工程量完成量，以此作为工程款（进度款）支付的依据。</w:t>
      </w:r>
    </w:p>
    <w:p w14:paraId="0CD50819">
      <w:pPr>
        <w:adjustRightInd w:val="0"/>
        <w:snapToGrid w:val="0"/>
        <w:spacing w:line="360" w:lineRule="auto"/>
        <w:ind w:firstLine="480"/>
        <w:rPr>
          <w:rFonts w:ascii="宋体" w:hAnsi="宋体"/>
          <w:snapToGrid w:val="0"/>
          <w:color w:val="auto"/>
          <w:kern w:val="0"/>
          <w:sz w:val="24"/>
          <w:highlight w:val="none"/>
        </w:rPr>
      </w:pPr>
      <w:r>
        <w:rPr>
          <w:rFonts w:hint="eastAsia" w:ascii="宋体" w:hAnsi="宋体"/>
          <w:bCs/>
          <w:snapToGrid w:val="0"/>
          <w:color w:val="auto"/>
          <w:kern w:val="0"/>
          <w:sz w:val="24"/>
          <w:highlight w:val="none"/>
        </w:rPr>
        <w:t>2）</w:t>
      </w:r>
      <w:r>
        <w:rPr>
          <w:rFonts w:hint="eastAsia" w:ascii="宋体" w:hAnsi="宋体"/>
          <w:snapToGrid w:val="0"/>
          <w:color w:val="auto"/>
          <w:kern w:val="0"/>
          <w:sz w:val="24"/>
          <w:highlight w:val="none"/>
        </w:rPr>
        <w:t>保证执行投标文件所承诺的施工组织设计中的资源投入计划，将工程施工所需的机械设备、人员、材料等资源，根据工程进度计划按时、按标准、足额投入；否则，应按</w:t>
      </w:r>
      <w:r>
        <w:rPr>
          <w:rFonts w:hint="eastAsia" w:ascii="宋体" w:hAnsi="宋体"/>
          <w:bCs/>
          <w:snapToGrid w:val="0"/>
          <w:color w:val="auto"/>
          <w:kern w:val="0"/>
          <w:sz w:val="24"/>
          <w:highlight w:val="none"/>
        </w:rPr>
        <w:t>合同专用条款第</w:t>
      </w:r>
      <w:r>
        <w:rPr>
          <w:rFonts w:hint="eastAsia" w:ascii="宋体" w:hAnsi="宋体"/>
          <w:snapToGrid w:val="0"/>
          <w:color w:val="auto"/>
          <w:kern w:val="0"/>
          <w:sz w:val="24"/>
          <w:highlight w:val="none"/>
        </w:rPr>
        <w:t>38.7（3）款的约定承担责任。</w:t>
      </w:r>
    </w:p>
    <w:p w14:paraId="58C57E19">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施工过程中，承包人因特殊原因需变更资源投入计划或者对已投入的资源进行调整的，应当提前7天提出申请，报总监理工程师和发包人批准。</w:t>
      </w:r>
      <w:r>
        <w:rPr>
          <w:rFonts w:hint="eastAsia" w:ascii="宋体" w:hAnsi="宋体"/>
          <w:snapToGrid w:val="0"/>
          <w:color w:val="auto"/>
          <w:kern w:val="0"/>
          <w:sz w:val="24"/>
          <w:highlight w:val="none"/>
        </w:rPr>
        <w:t>允许机械、设备调整的原则为：所调整机械、设备的规格、标准只能比原计划提高，不能降低；数量原则上不允许减少，如确因更换先进设备提高了工效，可考虑在总工作能力不降低的前提下同意调整。</w:t>
      </w:r>
      <w:r>
        <w:rPr>
          <w:rFonts w:hint="eastAsia" w:ascii="宋体" w:hAnsi="宋体"/>
          <w:bCs/>
          <w:snapToGrid w:val="0"/>
          <w:color w:val="auto"/>
          <w:kern w:val="0"/>
          <w:sz w:val="24"/>
          <w:highlight w:val="none"/>
        </w:rPr>
        <w:t>未经发包人许可，承包人开工后已进场的机械设备在</w:t>
      </w:r>
      <w:r>
        <w:rPr>
          <w:rFonts w:hint="eastAsia" w:ascii="宋体" w:hAnsi="宋体"/>
          <w:snapToGrid w:val="0"/>
          <w:color w:val="auto"/>
          <w:kern w:val="0"/>
          <w:sz w:val="24"/>
          <w:highlight w:val="none"/>
        </w:rPr>
        <w:t>任何情况下都</w:t>
      </w:r>
      <w:r>
        <w:rPr>
          <w:rFonts w:hint="eastAsia" w:ascii="宋体" w:hAnsi="宋体"/>
          <w:bCs/>
          <w:snapToGrid w:val="0"/>
          <w:color w:val="auto"/>
          <w:kern w:val="0"/>
          <w:sz w:val="24"/>
          <w:highlight w:val="none"/>
        </w:rPr>
        <w:t>不得在计划使用期间撤出现场。若施工机械、设备在施工过程中发生损坏，承包人必须在5天内修复或更换。</w:t>
      </w:r>
    </w:p>
    <w:p w14:paraId="57CDE2F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因设计变更、施工现场情况变化造成工程内容、工程量变化，须调整机械、设备的规格、数量的，承包人须在变更或变化确定后5天内，提出完整的更新施工方案和资源投入计划，报总监理工程师和发包人批准后实施。</w:t>
      </w:r>
    </w:p>
    <w:p w14:paraId="4E7ED6DA">
      <w:pPr>
        <w:adjustRightInd w:val="0"/>
        <w:snapToGrid w:val="0"/>
        <w:spacing w:line="360" w:lineRule="auto"/>
        <w:ind w:right="11" w:firstLine="460" w:firstLineChars="192"/>
        <w:rPr>
          <w:rFonts w:ascii="宋体" w:hAnsi="宋体"/>
          <w:bCs/>
          <w:snapToGrid w:val="0"/>
          <w:color w:val="auto"/>
          <w:kern w:val="0"/>
          <w:sz w:val="24"/>
          <w:highlight w:val="none"/>
        </w:rPr>
      </w:pPr>
      <w:r>
        <w:rPr>
          <w:rFonts w:hint="eastAsia" w:ascii="宋体" w:hAnsi="宋体"/>
          <w:bCs/>
          <w:snapToGrid w:val="0"/>
          <w:color w:val="auto"/>
          <w:kern w:val="0"/>
          <w:sz w:val="24"/>
          <w:highlight w:val="none"/>
        </w:rPr>
        <w:t>3）对施工图、技术资料认真地复核和检查，有预见性地发现和指正设计缺陷和错误，如出现没有履行以上职责的情况，经核实影响工程进展的，每个点处一次一般违约处罚。同时应提出能实质性地节约资金和缩短工期的建议和措施。</w:t>
      </w:r>
    </w:p>
    <w:p w14:paraId="721682BC">
      <w:pPr>
        <w:adjustRightInd w:val="0"/>
        <w:snapToGrid w:val="0"/>
        <w:spacing w:line="360" w:lineRule="auto"/>
        <w:ind w:right="11" w:firstLine="480" w:firstLineChars="200"/>
        <w:rPr>
          <w:rFonts w:ascii="宋体" w:hAnsi="宋体"/>
          <w:iCs/>
          <w:snapToGrid w:val="0"/>
          <w:color w:val="auto"/>
          <w:kern w:val="0"/>
          <w:sz w:val="24"/>
          <w:highlight w:val="none"/>
        </w:rPr>
      </w:pPr>
      <w:bookmarkStart w:id="5" w:name="_Toc535252420"/>
      <w:bookmarkStart w:id="6" w:name="_Toc519583858"/>
      <w:r>
        <w:rPr>
          <w:rFonts w:hint="eastAsia" w:ascii="宋体" w:hAnsi="宋体"/>
          <w:iCs/>
          <w:snapToGrid w:val="0"/>
          <w:color w:val="auto"/>
          <w:kern w:val="0"/>
          <w:sz w:val="24"/>
          <w:highlight w:val="none"/>
        </w:rPr>
        <w:t>4）</w:t>
      </w:r>
      <w:bookmarkEnd w:id="5"/>
      <w:bookmarkEnd w:id="6"/>
      <w:r>
        <w:rPr>
          <w:rFonts w:hint="eastAsia" w:ascii="宋体" w:hAnsi="宋体"/>
          <w:iCs/>
          <w:snapToGrid w:val="0"/>
          <w:color w:val="auto"/>
          <w:kern w:val="0"/>
          <w:sz w:val="24"/>
          <w:highlight w:val="none"/>
        </w:rPr>
        <w:t>承包人应当清楚地预计到施工期间对外界可能产生的不可避免的干扰，并保证主动努力减少这些干扰对外界的影响，积极主动与外界进行协调。</w:t>
      </w:r>
    </w:p>
    <w:p w14:paraId="3D47E848">
      <w:pPr>
        <w:adjustRightInd w:val="0"/>
        <w:snapToGrid w:val="0"/>
        <w:spacing w:line="360" w:lineRule="auto"/>
        <w:ind w:right="11" w:firstLine="480" w:firstLineChars="200"/>
        <w:rPr>
          <w:rFonts w:ascii="宋体" w:hAnsi="宋体"/>
          <w:iCs/>
          <w:snapToGrid w:val="0"/>
          <w:color w:val="auto"/>
          <w:kern w:val="0"/>
          <w:sz w:val="24"/>
          <w:highlight w:val="none"/>
        </w:rPr>
      </w:pPr>
      <w:r>
        <w:rPr>
          <w:rFonts w:hint="eastAsia" w:ascii="宋体" w:hAnsi="宋体"/>
          <w:iCs/>
          <w:snapToGrid w:val="0"/>
          <w:color w:val="auto"/>
          <w:kern w:val="0"/>
          <w:sz w:val="24"/>
          <w:highlight w:val="none"/>
        </w:rPr>
        <w:t>5）承包人应努力创建节能减排和节约型工地。</w:t>
      </w:r>
    </w:p>
    <w:p w14:paraId="76431E9D">
      <w:pPr>
        <w:adjustRightInd w:val="0"/>
        <w:snapToGrid w:val="0"/>
        <w:spacing w:line="360" w:lineRule="auto"/>
        <w:ind w:right="11" w:firstLine="482" w:firstLineChars="200"/>
        <w:rPr>
          <w:rFonts w:ascii="宋体" w:hAnsi="宋体"/>
          <w:b/>
          <w:iCs/>
          <w:snapToGrid w:val="0"/>
          <w:color w:val="auto"/>
          <w:kern w:val="0"/>
          <w:sz w:val="24"/>
          <w:highlight w:val="none"/>
        </w:rPr>
      </w:pPr>
      <w:r>
        <w:rPr>
          <w:rFonts w:hint="eastAsia" w:ascii="宋体" w:hAnsi="宋体"/>
          <w:b/>
          <w:iCs/>
          <w:snapToGrid w:val="0"/>
          <w:color w:val="auto"/>
          <w:kern w:val="0"/>
          <w:sz w:val="24"/>
          <w:highlight w:val="none"/>
        </w:rPr>
        <w:t>承包人与发包人一致同意增加9.3至9.10：</w:t>
      </w:r>
    </w:p>
    <w:p w14:paraId="64E8EDE3">
      <w:pPr>
        <w:adjustRightInd w:val="0"/>
        <w:snapToGrid w:val="0"/>
        <w:spacing w:line="360" w:lineRule="auto"/>
        <w:ind w:right="11" w:firstLine="480" w:firstLineChars="200"/>
        <w:outlineLvl w:val="4"/>
        <w:rPr>
          <w:rFonts w:ascii="宋体" w:hAnsi="宋体"/>
          <w:bCs/>
          <w:iCs/>
          <w:snapToGrid w:val="0"/>
          <w:color w:val="auto"/>
          <w:kern w:val="0"/>
          <w:sz w:val="24"/>
          <w:highlight w:val="none"/>
        </w:rPr>
      </w:pPr>
      <w:r>
        <w:rPr>
          <w:rFonts w:hint="eastAsia" w:ascii="宋体" w:hAnsi="宋体"/>
          <w:bCs/>
          <w:iCs/>
          <w:snapToGrid w:val="0"/>
          <w:color w:val="auto"/>
          <w:kern w:val="0"/>
          <w:sz w:val="24"/>
          <w:highlight w:val="none"/>
        </w:rPr>
        <w:t>9.3承包人应在签订本合同的同时按招标文件提供的格式与发包人签订《工程质量保修书》、《工程建设廉洁协议书》、《安全生产合同》、《工程结算工作协议书》等文件。</w:t>
      </w:r>
    </w:p>
    <w:p w14:paraId="6C49C071">
      <w:pPr>
        <w:adjustRightInd w:val="0"/>
        <w:snapToGrid w:val="0"/>
        <w:spacing w:line="360" w:lineRule="auto"/>
        <w:ind w:right="11" w:firstLine="480" w:firstLineChars="200"/>
        <w:outlineLvl w:val="3"/>
        <w:rPr>
          <w:rFonts w:ascii="宋体" w:hAnsi="宋体"/>
          <w:snapToGrid w:val="0"/>
          <w:color w:val="auto"/>
          <w:kern w:val="0"/>
          <w:sz w:val="24"/>
          <w:highlight w:val="none"/>
        </w:rPr>
      </w:pPr>
      <w:r>
        <w:rPr>
          <w:rFonts w:hint="eastAsia" w:ascii="宋体" w:hAnsi="宋体"/>
          <w:bCs/>
          <w:iCs/>
          <w:snapToGrid w:val="0"/>
          <w:color w:val="auto"/>
          <w:kern w:val="0"/>
          <w:sz w:val="24"/>
          <w:highlight w:val="none"/>
        </w:rPr>
        <w:t>9.4</w:t>
      </w:r>
      <w:r>
        <w:rPr>
          <w:rFonts w:hint="eastAsia" w:ascii="宋体" w:hAnsi="宋体"/>
          <w:snapToGrid w:val="0"/>
          <w:color w:val="auto"/>
          <w:kern w:val="0"/>
          <w:sz w:val="24"/>
          <w:highlight w:val="none"/>
        </w:rPr>
        <w:t>承包人应当按照国家及广东省、广州市的有关规定和本合同的有关约定加强其参与本工程建设人员（包括施工人员）的管理。</w:t>
      </w:r>
    </w:p>
    <w:p w14:paraId="0655EE74">
      <w:pPr>
        <w:adjustRightInd w:val="0"/>
        <w:snapToGrid w:val="0"/>
        <w:spacing w:line="360" w:lineRule="auto"/>
        <w:ind w:right="11" w:firstLine="480" w:firstLineChars="200"/>
        <w:rPr>
          <w:rFonts w:ascii="宋体" w:hAnsi="宋体"/>
          <w:snapToGrid w:val="0"/>
          <w:color w:val="auto"/>
          <w:kern w:val="0"/>
          <w:sz w:val="24"/>
          <w:highlight w:val="none"/>
        </w:rPr>
      </w:pPr>
      <w:r>
        <w:rPr>
          <w:rFonts w:hint="eastAsia" w:ascii="宋体" w:hAnsi="宋体"/>
          <w:bCs/>
          <w:iCs/>
          <w:snapToGrid w:val="0"/>
          <w:color w:val="auto"/>
          <w:kern w:val="0"/>
          <w:sz w:val="24"/>
          <w:highlight w:val="none"/>
        </w:rPr>
        <w:t>（1）</w:t>
      </w:r>
      <w:r>
        <w:rPr>
          <w:rFonts w:hint="eastAsia" w:ascii="宋体" w:hAnsi="宋体"/>
          <w:snapToGrid w:val="0"/>
          <w:color w:val="auto"/>
          <w:kern w:val="0"/>
          <w:sz w:val="24"/>
          <w:highlight w:val="none"/>
        </w:rPr>
        <w:t>按时足额支付施工人员工资</w:t>
      </w:r>
    </w:p>
    <w:p w14:paraId="1C81BB64">
      <w:pPr>
        <w:adjustRightInd w:val="0"/>
        <w:snapToGrid w:val="0"/>
        <w:spacing w:line="360" w:lineRule="auto"/>
        <w:ind w:right="11"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1）承包人应当根据劳动合同约定的施工人员工资标准等内容，按照依法签订的集体合同或劳动合同约定的日期按月支付工资，并不得低于当地最低工资标准。</w:t>
      </w:r>
    </w:p>
    <w:p w14:paraId="536D8FD0">
      <w:pPr>
        <w:adjustRightInd w:val="0"/>
        <w:snapToGrid w:val="0"/>
        <w:spacing w:line="360" w:lineRule="auto"/>
        <w:ind w:right="11" w:firstLine="480" w:firstLineChars="200"/>
        <w:rPr>
          <w:rFonts w:ascii="宋体" w:hAnsi="宋体"/>
          <w:bCs/>
          <w:iCs/>
          <w:snapToGrid w:val="0"/>
          <w:color w:val="auto"/>
          <w:kern w:val="0"/>
          <w:sz w:val="24"/>
          <w:highlight w:val="none"/>
        </w:rPr>
      </w:pPr>
      <w:r>
        <w:rPr>
          <w:rFonts w:hint="eastAsia" w:ascii="宋体" w:hAnsi="宋体"/>
          <w:bCs/>
          <w:iCs/>
          <w:snapToGrid w:val="0"/>
          <w:color w:val="auto"/>
          <w:kern w:val="0"/>
          <w:sz w:val="24"/>
          <w:highlight w:val="none"/>
        </w:rPr>
        <w:t>2）承包人应每月编制</w:t>
      </w:r>
      <w:r>
        <w:rPr>
          <w:rFonts w:hint="eastAsia" w:ascii="宋体" w:hAnsi="宋体"/>
          <w:snapToGrid w:val="0"/>
          <w:color w:val="auto"/>
          <w:kern w:val="0"/>
          <w:sz w:val="24"/>
          <w:highlight w:val="none"/>
        </w:rPr>
        <w:t>施工人员</w:t>
      </w:r>
      <w:r>
        <w:rPr>
          <w:rFonts w:hint="eastAsia" w:ascii="宋体" w:hAnsi="宋体"/>
          <w:bCs/>
          <w:iCs/>
          <w:snapToGrid w:val="0"/>
          <w:color w:val="auto"/>
          <w:kern w:val="0"/>
          <w:sz w:val="24"/>
          <w:highlight w:val="none"/>
        </w:rPr>
        <w:t>工资支付表，如实记录支付时间、支付对象、支付金额等工资支付情况，并于每月底在其现场管理机构办公场所显眼位置公示，接受监督。</w:t>
      </w:r>
    </w:p>
    <w:p w14:paraId="42758441">
      <w:pPr>
        <w:adjustRightInd w:val="0"/>
        <w:snapToGrid w:val="0"/>
        <w:spacing w:line="360" w:lineRule="auto"/>
        <w:ind w:right="11" w:firstLine="480" w:firstLineChars="200"/>
        <w:rPr>
          <w:rFonts w:ascii="宋体" w:hAnsi="宋体"/>
          <w:bCs/>
          <w:iCs/>
          <w:snapToGrid w:val="0"/>
          <w:color w:val="auto"/>
          <w:kern w:val="0"/>
          <w:sz w:val="24"/>
          <w:highlight w:val="none"/>
        </w:rPr>
      </w:pPr>
      <w:r>
        <w:rPr>
          <w:rFonts w:hint="eastAsia" w:ascii="宋体" w:hAnsi="宋体"/>
          <w:bCs/>
          <w:iCs/>
          <w:snapToGrid w:val="0"/>
          <w:color w:val="auto"/>
          <w:kern w:val="0"/>
          <w:sz w:val="24"/>
          <w:highlight w:val="none"/>
        </w:rPr>
        <w:t>3）承包人应对其专业分包或劳务分包单位工资支付进行监督，督促其依法支付施工人员工资。</w:t>
      </w:r>
    </w:p>
    <w:p w14:paraId="4EF44225">
      <w:pPr>
        <w:adjustRightInd w:val="0"/>
        <w:snapToGrid w:val="0"/>
        <w:spacing w:line="360" w:lineRule="auto"/>
        <w:ind w:right="11" w:firstLine="480" w:firstLineChars="200"/>
        <w:rPr>
          <w:rFonts w:ascii="宋体" w:hAnsi="宋体"/>
          <w:snapToGrid w:val="0"/>
          <w:color w:val="auto"/>
          <w:kern w:val="0"/>
          <w:sz w:val="24"/>
          <w:highlight w:val="none"/>
        </w:rPr>
      </w:pPr>
      <w:r>
        <w:rPr>
          <w:rFonts w:hint="eastAsia" w:ascii="宋体" w:hAnsi="宋体"/>
          <w:bCs/>
          <w:iCs/>
          <w:snapToGrid w:val="0"/>
          <w:color w:val="auto"/>
          <w:kern w:val="0"/>
          <w:sz w:val="24"/>
          <w:highlight w:val="none"/>
        </w:rPr>
        <w:t>4）承包人</w:t>
      </w:r>
      <w:r>
        <w:rPr>
          <w:rFonts w:ascii="宋体" w:hAnsi="宋体"/>
          <w:snapToGrid w:val="0"/>
          <w:color w:val="auto"/>
          <w:kern w:val="0"/>
          <w:sz w:val="24"/>
          <w:highlight w:val="none"/>
        </w:rPr>
        <w:t>不按合同及有关规定按时</w:t>
      </w:r>
      <w:r>
        <w:rPr>
          <w:rFonts w:hint="eastAsia" w:ascii="宋体" w:hAnsi="宋体"/>
          <w:snapToGrid w:val="0"/>
          <w:color w:val="auto"/>
          <w:kern w:val="0"/>
          <w:sz w:val="24"/>
          <w:highlight w:val="none"/>
        </w:rPr>
        <w:t>、</w:t>
      </w:r>
      <w:r>
        <w:rPr>
          <w:rFonts w:ascii="宋体" w:hAnsi="宋体"/>
          <w:snapToGrid w:val="0"/>
          <w:color w:val="auto"/>
          <w:kern w:val="0"/>
          <w:sz w:val="24"/>
          <w:highlight w:val="none"/>
        </w:rPr>
        <w:t>足额支付分包单位合同价款及</w:t>
      </w:r>
      <w:r>
        <w:rPr>
          <w:rFonts w:hint="eastAsia" w:ascii="宋体" w:hAnsi="宋体"/>
          <w:snapToGrid w:val="0"/>
          <w:color w:val="auto"/>
          <w:kern w:val="0"/>
          <w:sz w:val="24"/>
          <w:highlight w:val="none"/>
        </w:rPr>
        <w:t>施工人员</w:t>
      </w:r>
      <w:r>
        <w:rPr>
          <w:rFonts w:ascii="宋体" w:hAnsi="宋体"/>
          <w:snapToGrid w:val="0"/>
          <w:color w:val="auto"/>
          <w:kern w:val="0"/>
          <w:sz w:val="24"/>
          <w:highlight w:val="none"/>
        </w:rPr>
        <w:t>工资而被投诉或上访属实的，</w:t>
      </w:r>
      <w:r>
        <w:rPr>
          <w:rFonts w:hint="eastAsia" w:ascii="宋体" w:hAnsi="宋体"/>
          <w:snapToGrid w:val="0"/>
          <w:color w:val="auto"/>
          <w:kern w:val="0"/>
          <w:sz w:val="24"/>
          <w:highlight w:val="none"/>
        </w:rPr>
        <w:t>发包人</w:t>
      </w:r>
      <w:r>
        <w:rPr>
          <w:rFonts w:ascii="宋体" w:hAnsi="宋体"/>
          <w:snapToGrid w:val="0"/>
          <w:color w:val="auto"/>
          <w:kern w:val="0"/>
          <w:sz w:val="24"/>
          <w:highlight w:val="none"/>
        </w:rPr>
        <w:t>将严格按照合同约定追究其违约责任；如因此致使施工人员集体上访、集聚围阻</w:t>
      </w:r>
      <w:r>
        <w:rPr>
          <w:rFonts w:hint="eastAsia" w:ascii="宋体" w:hAnsi="宋体"/>
          <w:snapToGrid w:val="0"/>
          <w:color w:val="auto"/>
          <w:kern w:val="0"/>
          <w:sz w:val="24"/>
          <w:highlight w:val="none"/>
        </w:rPr>
        <w:t>而</w:t>
      </w:r>
      <w:r>
        <w:rPr>
          <w:rFonts w:ascii="宋体" w:hAnsi="宋体"/>
          <w:snapToGrid w:val="0"/>
          <w:color w:val="auto"/>
          <w:kern w:val="0"/>
          <w:sz w:val="24"/>
          <w:highlight w:val="none"/>
        </w:rPr>
        <w:t>造成</w:t>
      </w:r>
      <w:r>
        <w:rPr>
          <w:rFonts w:hint="eastAsia" w:ascii="宋体" w:hAnsi="宋体"/>
          <w:snapToGrid w:val="0"/>
          <w:color w:val="auto"/>
          <w:kern w:val="0"/>
          <w:sz w:val="24"/>
          <w:highlight w:val="none"/>
        </w:rPr>
        <w:t>社会</w:t>
      </w:r>
      <w:r>
        <w:rPr>
          <w:rFonts w:ascii="宋体" w:hAnsi="宋体"/>
          <w:snapToGrid w:val="0"/>
          <w:color w:val="auto"/>
          <w:kern w:val="0"/>
          <w:sz w:val="24"/>
          <w:highlight w:val="none"/>
        </w:rPr>
        <w:t>不良影响的，</w:t>
      </w:r>
      <w:r>
        <w:rPr>
          <w:rFonts w:hint="eastAsia" w:ascii="宋体" w:hAnsi="宋体"/>
          <w:snapToGrid w:val="0"/>
          <w:color w:val="auto"/>
          <w:kern w:val="0"/>
          <w:sz w:val="24"/>
          <w:highlight w:val="none"/>
        </w:rPr>
        <w:t>发包人</w:t>
      </w:r>
      <w:r>
        <w:rPr>
          <w:rFonts w:ascii="宋体" w:hAnsi="宋体"/>
          <w:snapToGrid w:val="0"/>
          <w:color w:val="auto"/>
          <w:kern w:val="0"/>
          <w:sz w:val="24"/>
          <w:highlight w:val="none"/>
        </w:rPr>
        <w:t>将立即终止与</w:t>
      </w:r>
      <w:r>
        <w:rPr>
          <w:rFonts w:hint="eastAsia" w:ascii="宋体" w:hAnsi="宋体"/>
          <w:bCs/>
          <w:iCs/>
          <w:snapToGrid w:val="0"/>
          <w:color w:val="auto"/>
          <w:kern w:val="0"/>
          <w:sz w:val="24"/>
          <w:highlight w:val="none"/>
        </w:rPr>
        <w:t>承包人</w:t>
      </w:r>
      <w:r>
        <w:rPr>
          <w:rFonts w:ascii="宋体" w:hAnsi="宋体"/>
          <w:snapToGrid w:val="0"/>
          <w:color w:val="auto"/>
          <w:kern w:val="0"/>
          <w:sz w:val="24"/>
          <w:highlight w:val="none"/>
        </w:rPr>
        <w:t>的合同，并上报省、市主管部门建议取消其参加广州地区省、市重大项目的投标资格，并予以公告。如属恶意煽动并造成</w:t>
      </w:r>
      <w:r>
        <w:rPr>
          <w:rFonts w:hint="eastAsia" w:ascii="宋体" w:hAnsi="宋体"/>
          <w:snapToGrid w:val="0"/>
          <w:color w:val="auto"/>
          <w:kern w:val="0"/>
          <w:sz w:val="24"/>
          <w:highlight w:val="none"/>
        </w:rPr>
        <w:t>社会</w:t>
      </w:r>
      <w:r>
        <w:rPr>
          <w:rFonts w:ascii="宋体" w:hAnsi="宋体"/>
          <w:snapToGrid w:val="0"/>
          <w:color w:val="auto"/>
          <w:kern w:val="0"/>
          <w:sz w:val="24"/>
          <w:highlight w:val="none"/>
        </w:rPr>
        <w:t>不良影响的，</w:t>
      </w:r>
      <w:r>
        <w:rPr>
          <w:rFonts w:hint="eastAsia" w:ascii="宋体" w:hAnsi="宋体"/>
          <w:snapToGrid w:val="0"/>
          <w:color w:val="auto"/>
          <w:kern w:val="0"/>
          <w:sz w:val="24"/>
          <w:highlight w:val="none"/>
        </w:rPr>
        <w:t>发包人</w:t>
      </w:r>
      <w:r>
        <w:rPr>
          <w:rFonts w:ascii="宋体" w:hAnsi="宋体"/>
          <w:snapToGrid w:val="0"/>
          <w:color w:val="auto"/>
          <w:kern w:val="0"/>
          <w:sz w:val="24"/>
          <w:highlight w:val="none"/>
        </w:rPr>
        <w:t>将提请司法部门追究其法律责任。</w:t>
      </w:r>
    </w:p>
    <w:p w14:paraId="38B2B986">
      <w:pPr>
        <w:adjustRightInd w:val="0"/>
        <w:snapToGrid w:val="0"/>
        <w:spacing w:line="360" w:lineRule="auto"/>
        <w:ind w:right="11"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由于承包人或其管理的分包单位、劳务合作单位拖欠施工人员工资，致使发包人被投诉或起诉并被判令先行垫付施工人员工资的，发包人除追究承包人和其他相关责任单位的违约责任外，还将在工程结算时按合同专用条款第38.14（2）款的约定扣回相关款项作为补偿。</w:t>
      </w:r>
    </w:p>
    <w:p w14:paraId="0306CAE0">
      <w:pPr>
        <w:adjustRightInd w:val="0"/>
        <w:snapToGrid w:val="0"/>
        <w:spacing w:line="360" w:lineRule="auto"/>
        <w:ind w:right="11"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6）</w:t>
      </w:r>
      <w:r>
        <w:rPr>
          <w:rFonts w:hint="eastAsia" w:ascii="宋体" w:hAnsi="宋体"/>
          <w:bCs/>
          <w:iCs/>
          <w:snapToGrid w:val="0"/>
          <w:color w:val="auto"/>
          <w:kern w:val="0"/>
          <w:sz w:val="24"/>
          <w:highlight w:val="none"/>
        </w:rPr>
        <w:t>承包人必须</w:t>
      </w:r>
      <w:r>
        <w:rPr>
          <w:rFonts w:ascii="宋体" w:hAnsi="宋体"/>
          <w:snapToGrid w:val="0"/>
          <w:color w:val="auto"/>
          <w:kern w:val="0"/>
          <w:sz w:val="24"/>
          <w:highlight w:val="none"/>
        </w:rPr>
        <w:t>以高度负责的态度，对</w:t>
      </w:r>
      <w:r>
        <w:rPr>
          <w:rFonts w:hint="eastAsia" w:ascii="宋体" w:hAnsi="宋体"/>
          <w:snapToGrid w:val="0"/>
          <w:color w:val="auto"/>
          <w:kern w:val="0"/>
          <w:sz w:val="24"/>
          <w:highlight w:val="none"/>
        </w:rPr>
        <w:t>存在可能引发</w:t>
      </w:r>
      <w:r>
        <w:rPr>
          <w:rFonts w:ascii="宋体" w:hAnsi="宋体"/>
          <w:snapToGrid w:val="0"/>
          <w:color w:val="auto"/>
          <w:kern w:val="0"/>
          <w:sz w:val="24"/>
          <w:highlight w:val="none"/>
        </w:rPr>
        <w:t>劳资纠纷的各种因素进行排查，及时</w:t>
      </w:r>
      <w:r>
        <w:rPr>
          <w:rFonts w:hint="eastAsia" w:ascii="宋体" w:hAnsi="宋体"/>
          <w:snapToGrid w:val="0"/>
          <w:color w:val="auto"/>
          <w:kern w:val="0"/>
          <w:sz w:val="24"/>
          <w:highlight w:val="none"/>
        </w:rPr>
        <w:t>化解、</w:t>
      </w:r>
      <w:r>
        <w:rPr>
          <w:rFonts w:ascii="宋体" w:hAnsi="宋体"/>
          <w:snapToGrid w:val="0"/>
          <w:color w:val="auto"/>
          <w:kern w:val="0"/>
          <w:sz w:val="24"/>
          <w:highlight w:val="none"/>
        </w:rPr>
        <w:t>处理可能发生劳资纠纷的不稳定因素；尤其是对恶意煽动施工人员集体上访、集聚围阻的行为，要善于及时发现并敢于揭露</w:t>
      </w:r>
      <w:r>
        <w:rPr>
          <w:rFonts w:hint="eastAsia" w:ascii="宋体" w:hAnsi="宋体"/>
          <w:snapToGrid w:val="0"/>
          <w:color w:val="auto"/>
          <w:kern w:val="0"/>
          <w:sz w:val="24"/>
          <w:highlight w:val="none"/>
        </w:rPr>
        <w:t>、</w:t>
      </w:r>
      <w:r>
        <w:rPr>
          <w:rFonts w:ascii="宋体" w:hAnsi="宋体"/>
          <w:snapToGrid w:val="0"/>
          <w:color w:val="auto"/>
          <w:kern w:val="0"/>
          <w:sz w:val="24"/>
          <w:highlight w:val="none"/>
        </w:rPr>
        <w:t>制止，创造安全、文明、和谐的环境。</w:t>
      </w:r>
    </w:p>
    <w:p w14:paraId="354BD3DD">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7）</w:t>
      </w:r>
      <w:r>
        <w:rPr>
          <w:rFonts w:hint="eastAsia" w:ascii="宋体" w:hAnsi="宋体"/>
          <w:color w:val="auto"/>
          <w:sz w:val="24"/>
          <w:szCs w:val="24"/>
          <w:highlight w:val="none"/>
        </w:rPr>
        <w:t>承包人必须按《广东省建设领域工人工资支付分账管理暂行办法》（</w:t>
      </w:r>
      <w:r>
        <w:rPr>
          <w:rFonts w:ascii="宋体" w:hAnsi="宋体"/>
          <w:color w:val="auto"/>
          <w:sz w:val="24"/>
          <w:szCs w:val="24"/>
          <w:highlight w:val="none"/>
        </w:rPr>
        <w:t>粤人社规〔2015〕3号</w:t>
      </w:r>
      <w:r>
        <w:rPr>
          <w:rFonts w:hint="eastAsia" w:ascii="宋体" w:hAnsi="宋体"/>
          <w:color w:val="auto"/>
          <w:sz w:val="24"/>
          <w:szCs w:val="24"/>
          <w:highlight w:val="none"/>
        </w:rPr>
        <w:t>）</w:t>
      </w:r>
      <w:r>
        <w:rPr>
          <w:rFonts w:hint="eastAsia"/>
          <w:color w:val="auto"/>
          <w:sz w:val="24"/>
          <w:szCs w:val="24"/>
          <w:highlight w:val="none"/>
        </w:rPr>
        <w:t>、《广州市住房和城乡建设局关于在我市房建市政工程贯彻执行省用工实名及工人工资支付专用账户管理办法有关要求的通知》（穗建筑【2019】352号）等相关规定</w:t>
      </w:r>
      <w:r>
        <w:rPr>
          <w:rFonts w:hint="eastAsia" w:ascii="宋体" w:hAnsi="宋体"/>
          <w:color w:val="auto"/>
          <w:sz w:val="24"/>
          <w:szCs w:val="24"/>
          <w:highlight w:val="none"/>
        </w:rPr>
        <w:t>设</w:t>
      </w:r>
      <w:r>
        <w:rPr>
          <w:rFonts w:hint="eastAsia" w:ascii="宋体" w:hAnsi="宋体"/>
          <w:snapToGrid w:val="0"/>
          <w:color w:val="auto"/>
          <w:kern w:val="0"/>
          <w:sz w:val="24"/>
          <w:szCs w:val="24"/>
          <w:highlight w:val="none"/>
        </w:rPr>
        <w:t>立工人工资支付专用账户，通过工人工资支付专用账户，依法按时足额将工人工资直接支付到工人的工资个人账户，并按月将工人工资支付明细表报发包人备案。承包人应当建立用工管理台账，真实、准确记录工人名册、劳动合同、劳务合同、工程进度、工时、劳务承包款和工人工资支付情况等信息，并保存两年以上备查。</w:t>
      </w:r>
    </w:p>
    <w:p w14:paraId="1D4D4316">
      <w:pPr>
        <w:adjustRightInd w:val="0"/>
        <w:snapToGrid w:val="0"/>
        <w:spacing w:line="360" w:lineRule="auto"/>
        <w:ind w:right="11" w:firstLine="480" w:firstLineChars="200"/>
        <w:rPr>
          <w:color w:val="auto"/>
          <w:sz w:val="24"/>
          <w:szCs w:val="24"/>
          <w:highlight w:val="none"/>
        </w:rPr>
      </w:pPr>
      <w:r>
        <w:rPr>
          <w:rFonts w:hint="eastAsia"/>
          <w:color w:val="auto"/>
          <w:sz w:val="24"/>
          <w:szCs w:val="24"/>
          <w:highlight w:val="none"/>
        </w:rPr>
        <w:t>8）发包人对本项目承包人工程款账户进行监管的，承包人应予以配合。承包人依法分包或劳务分包的，承包人应对分包企业及劳务企业的相应账户进行监管，掌握资金流出情况。承包人发现问题的，应当及时向相关行政监督部门报备。</w:t>
      </w:r>
    </w:p>
    <w:p w14:paraId="49D3ED76">
      <w:pPr>
        <w:adjustRightInd w:val="0"/>
        <w:snapToGrid w:val="0"/>
        <w:spacing w:line="360" w:lineRule="auto"/>
        <w:ind w:right="11" w:firstLine="480" w:firstLineChars="200"/>
        <w:rPr>
          <w:rFonts w:ascii="宋体" w:hAnsi="宋体"/>
          <w:bCs/>
          <w:iCs/>
          <w:snapToGrid w:val="0"/>
          <w:color w:val="auto"/>
          <w:kern w:val="0"/>
          <w:sz w:val="24"/>
          <w:highlight w:val="none"/>
        </w:rPr>
      </w:pPr>
      <w:r>
        <w:rPr>
          <w:rFonts w:hint="eastAsia"/>
          <w:bCs/>
          <w:iCs/>
          <w:snapToGrid w:val="0"/>
          <w:color w:val="auto"/>
          <w:kern w:val="0"/>
          <w:sz w:val="24"/>
          <w:highlight w:val="none"/>
        </w:rPr>
        <w:t>（</w:t>
      </w:r>
      <w:r>
        <w:rPr>
          <w:rFonts w:hint="eastAsia" w:ascii="宋体" w:hAnsi="宋体"/>
          <w:bCs/>
          <w:iCs/>
          <w:snapToGrid w:val="0"/>
          <w:color w:val="auto"/>
          <w:kern w:val="0"/>
          <w:sz w:val="24"/>
          <w:highlight w:val="none"/>
        </w:rPr>
        <w:t>2）</w:t>
      </w:r>
      <w:r>
        <w:rPr>
          <w:rFonts w:ascii="宋体" w:hAnsi="宋体"/>
          <w:bCs/>
          <w:iCs/>
          <w:snapToGrid w:val="0"/>
          <w:color w:val="auto"/>
          <w:kern w:val="0"/>
          <w:sz w:val="24"/>
          <w:highlight w:val="none"/>
        </w:rPr>
        <w:t>成立处理劳资纠纷</w:t>
      </w:r>
      <w:r>
        <w:rPr>
          <w:rFonts w:hint="eastAsia" w:ascii="宋体" w:hAnsi="宋体"/>
          <w:bCs/>
          <w:iCs/>
          <w:snapToGrid w:val="0"/>
          <w:color w:val="auto"/>
          <w:kern w:val="0"/>
          <w:sz w:val="24"/>
          <w:highlight w:val="none"/>
        </w:rPr>
        <w:t>的</w:t>
      </w:r>
      <w:r>
        <w:rPr>
          <w:rFonts w:ascii="宋体" w:hAnsi="宋体"/>
          <w:bCs/>
          <w:iCs/>
          <w:snapToGrid w:val="0"/>
          <w:color w:val="auto"/>
          <w:kern w:val="0"/>
          <w:sz w:val="24"/>
          <w:highlight w:val="none"/>
        </w:rPr>
        <w:t>协调机构</w:t>
      </w:r>
    </w:p>
    <w:p w14:paraId="0B96AC0A">
      <w:pPr>
        <w:adjustRightInd w:val="0"/>
        <w:snapToGrid w:val="0"/>
        <w:spacing w:line="360" w:lineRule="auto"/>
        <w:ind w:firstLine="480" w:firstLineChars="200"/>
        <w:rPr>
          <w:rFonts w:ascii="宋体" w:hAnsi="宋体"/>
          <w:bCs/>
          <w:iCs/>
          <w:snapToGrid w:val="0"/>
          <w:color w:val="auto"/>
          <w:kern w:val="0"/>
          <w:sz w:val="24"/>
          <w:highlight w:val="none"/>
        </w:rPr>
      </w:pPr>
      <w:r>
        <w:rPr>
          <w:rFonts w:hint="eastAsia" w:ascii="宋体" w:hAnsi="宋体"/>
          <w:bCs/>
          <w:iCs/>
          <w:snapToGrid w:val="0"/>
          <w:color w:val="auto"/>
          <w:kern w:val="0"/>
          <w:sz w:val="24"/>
          <w:highlight w:val="none"/>
        </w:rPr>
        <w:t>承包人</w:t>
      </w:r>
      <w:r>
        <w:rPr>
          <w:rFonts w:ascii="宋体" w:hAnsi="宋体"/>
          <w:snapToGrid w:val="0"/>
          <w:color w:val="auto"/>
          <w:kern w:val="0"/>
          <w:sz w:val="24"/>
          <w:highlight w:val="none"/>
        </w:rPr>
        <w:t>必须成立处理劳资纠纷</w:t>
      </w:r>
      <w:r>
        <w:rPr>
          <w:rFonts w:hint="eastAsia" w:ascii="宋体" w:hAnsi="宋体"/>
          <w:snapToGrid w:val="0"/>
          <w:color w:val="auto"/>
          <w:kern w:val="0"/>
          <w:sz w:val="24"/>
          <w:highlight w:val="none"/>
        </w:rPr>
        <w:t>的</w:t>
      </w:r>
      <w:r>
        <w:rPr>
          <w:rFonts w:ascii="宋体" w:hAnsi="宋体"/>
          <w:snapToGrid w:val="0"/>
          <w:color w:val="auto"/>
          <w:kern w:val="0"/>
          <w:sz w:val="24"/>
          <w:highlight w:val="none"/>
        </w:rPr>
        <w:t>协调机构，</w:t>
      </w:r>
      <w:r>
        <w:rPr>
          <w:rFonts w:hint="eastAsia" w:ascii="宋体" w:hAnsi="宋体"/>
          <w:bCs/>
          <w:iCs/>
          <w:snapToGrid w:val="0"/>
          <w:color w:val="auto"/>
          <w:kern w:val="0"/>
          <w:sz w:val="24"/>
          <w:highlight w:val="none"/>
        </w:rPr>
        <w:t>承包人主管领导和项目经理要亲自负责，</w:t>
      </w:r>
      <w:r>
        <w:rPr>
          <w:rFonts w:ascii="宋体" w:hAnsi="宋体"/>
          <w:bCs/>
          <w:iCs/>
          <w:snapToGrid w:val="0"/>
          <w:color w:val="auto"/>
          <w:kern w:val="0"/>
          <w:sz w:val="24"/>
          <w:highlight w:val="none"/>
        </w:rPr>
        <w:t>配备专职人员，及时化解</w:t>
      </w:r>
      <w:r>
        <w:rPr>
          <w:rFonts w:hint="eastAsia" w:ascii="宋体" w:hAnsi="宋体"/>
          <w:bCs/>
          <w:iCs/>
          <w:snapToGrid w:val="0"/>
          <w:color w:val="auto"/>
          <w:kern w:val="0"/>
          <w:sz w:val="24"/>
          <w:highlight w:val="none"/>
        </w:rPr>
        <w:t>劳资</w:t>
      </w:r>
      <w:r>
        <w:rPr>
          <w:rFonts w:ascii="宋体" w:hAnsi="宋体"/>
          <w:bCs/>
          <w:iCs/>
          <w:snapToGrid w:val="0"/>
          <w:color w:val="auto"/>
          <w:kern w:val="0"/>
          <w:sz w:val="24"/>
          <w:highlight w:val="none"/>
        </w:rPr>
        <w:t>矛盾及纠纷，</w:t>
      </w:r>
      <w:r>
        <w:rPr>
          <w:rFonts w:hint="eastAsia" w:ascii="宋体" w:hAnsi="宋体"/>
          <w:bCs/>
          <w:iCs/>
          <w:snapToGrid w:val="0"/>
          <w:color w:val="auto"/>
          <w:kern w:val="0"/>
          <w:sz w:val="24"/>
          <w:highlight w:val="none"/>
        </w:rPr>
        <w:t>并</w:t>
      </w:r>
      <w:r>
        <w:rPr>
          <w:rFonts w:ascii="宋体" w:hAnsi="宋体"/>
          <w:bCs/>
          <w:iCs/>
          <w:snapToGrid w:val="0"/>
          <w:color w:val="auto"/>
          <w:kern w:val="0"/>
          <w:sz w:val="24"/>
          <w:highlight w:val="none"/>
        </w:rPr>
        <w:t>及时揭露</w:t>
      </w:r>
      <w:r>
        <w:rPr>
          <w:rFonts w:hint="eastAsia" w:ascii="宋体" w:hAnsi="宋体"/>
          <w:bCs/>
          <w:iCs/>
          <w:snapToGrid w:val="0"/>
          <w:color w:val="auto"/>
          <w:kern w:val="0"/>
          <w:sz w:val="24"/>
          <w:highlight w:val="none"/>
        </w:rPr>
        <w:t>、</w:t>
      </w:r>
      <w:r>
        <w:rPr>
          <w:rFonts w:ascii="宋体" w:hAnsi="宋体"/>
          <w:bCs/>
          <w:iCs/>
          <w:snapToGrid w:val="0"/>
          <w:color w:val="auto"/>
          <w:kern w:val="0"/>
          <w:sz w:val="24"/>
          <w:highlight w:val="none"/>
        </w:rPr>
        <w:t>制止恶意煽动施工人员集体上访、集聚围阻的行为，</w:t>
      </w:r>
      <w:r>
        <w:rPr>
          <w:rFonts w:hint="eastAsia" w:ascii="宋体" w:hAnsi="宋体"/>
          <w:bCs/>
          <w:iCs/>
          <w:snapToGrid w:val="0"/>
          <w:color w:val="auto"/>
          <w:kern w:val="0"/>
          <w:sz w:val="24"/>
          <w:highlight w:val="none"/>
        </w:rPr>
        <w:t>保证在整个工程建设期间不发生施工人员集体上访、集聚围阻等事件。</w:t>
      </w:r>
    </w:p>
    <w:p w14:paraId="1DAB40D5">
      <w:pPr>
        <w:adjustRightInd w:val="0"/>
        <w:snapToGrid w:val="0"/>
        <w:spacing w:line="360" w:lineRule="auto"/>
        <w:ind w:firstLine="480" w:firstLineChars="200"/>
        <w:outlineLvl w:val="3"/>
        <w:rPr>
          <w:rFonts w:ascii="宋体" w:hAnsi="宋体"/>
          <w:snapToGrid w:val="0"/>
          <w:color w:val="auto"/>
          <w:kern w:val="0"/>
          <w:sz w:val="24"/>
          <w:highlight w:val="none"/>
        </w:rPr>
      </w:pPr>
      <w:r>
        <w:rPr>
          <w:rFonts w:hint="eastAsia" w:ascii="宋体" w:hAnsi="宋体"/>
          <w:bCs/>
          <w:iCs/>
          <w:snapToGrid w:val="0"/>
          <w:color w:val="auto"/>
          <w:kern w:val="0"/>
          <w:sz w:val="24"/>
          <w:highlight w:val="none"/>
        </w:rPr>
        <w:t>9.5施工总承包管理单位须按照本合同约定履行施工总承包管理和配合服务，包括但不限于下列工作内容：</w:t>
      </w:r>
    </w:p>
    <w:p w14:paraId="3743A493">
      <w:pPr>
        <w:adjustRightInd w:val="0"/>
        <w:snapToGrid w:val="0"/>
        <w:spacing w:line="360" w:lineRule="auto"/>
        <w:ind w:right="11" w:firstLine="480" w:firstLineChars="200"/>
        <w:rPr>
          <w:rFonts w:ascii="宋体" w:hAnsi="宋体"/>
          <w:bCs/>
          <w:iCs/>
          <w:snapToGrid w:val="0"/>
          <w:color w:val="auto"/>
          <w:kern w:val="0"/>
          <w:sz w:val="24"/>
          <w:highlight w:val="none"/>
        </w:rPr>
      </w:pPr>
      <w:r>
        <w:rPr>
          <w:rFonts w:hint="eastAsia" w:ascii="宋体" w:hAnsi="宋体"/>
          <w:bCs/>
          <w:iCs/>
          <w:snapToGrid w:val="0"/>
          <w:color w:val="auto"/>
          <w:kern w:val="0"/>
          <w:sz w:val="24"/>
          <w:highlight w:val="none"/>
        </w:rPr>
        <w:t>（1）项目进度管理；</w:t>
      </w:r>
    </w:p>
    <w:p w14:paraId="5C19A108">
      <w:pPr>
        <w:adjustRightInd w:val="0"/>
        <w:snapToGrid w:val="0"/>
        <w:spacing w:line="360" w:lineRule="auto"/>
        <w:ind w:right="11" w:firstLine="480" w:firstLineChars="200"/>
        <w:rPr>
          <w:rFonts w:ascii="宋体" w:hAnsi="宋体"/>
          <w:bCs/>
          <w:iCs/>
          <w:snapToGrid w:val="0"/>
          <w:color w:val="auto"/>
          <w:kern w:val="0"/>
          <w:sz w:val="24"/>
          <w:highlight w:val="none"/>
        </w:rPr>
      </w:pPr>
      <w:r>
        <w:rPr>
          <w:rFonts w:hint="eastAsia" w:ascii="宋体" w:hAnsi="宋体"/>
          <w:bCs/>
          <w:iCs/>
          <w:snapToGrid w:val="0"/>
          <w:color w:val="auto"/>
          <w:kern w:val="0"/>
          <w:sz w:val="24"/>
          <w:highlight w:val="none"/>
        </w:rPr>
        <w:t>（2）施工现场临时设施搭建和管理；</w:t>
      </w:r>
    </w:p>
    <w:p w14:paraId="1C0828F3">
      <w:pPr>
        <w:adjustRightInd w:val="0"/>
        <w:snapToGrid w:val="0"/>
        <w:spacing w:line="360" w:lineRule="auto"/>
        <w:ind w:right="11" w:firstLine="480" w:firstLineChars="200"/>
        <w:rPr>
          <w:rFonts w:ascii="宋体" w:hAnsi="宋体"/>
          <w:bCs/>
          <w:iCs/>
          <w:snapToGrid w:val="0"/>
          <w:color w:val="auto"/>
          <w:kern w:val="0"/>
          <w:sz w:val="24"/>
          <w:highlight w:val="none"/>
        </w:rPr>
      </w:pPr>
      <w:r>
        <w:rPr>
          <w:rFonts w:hint="eastAsia" w:ascii="宋体" w:hAnsi="宋体"/>
          <w:bCs/>
          <w:iCs/>
          <w:snapToGrid w:val="0"/>
          <w:color w:val="auto"/>
          <w:kern w:val="0"/>
          <w:sz w:val="24"/>
          <w:highlight w:val="none"/>
        </w:rPr>
        <w:t>（3）文明施工和安全生产管理；</w:t>
      </w:r>
    </w:p>
    <w:p w14:paraId="79F85515">
      <w:pPr>
        <w:adjustRightInd w:val="0"/>
        <w:snapToGrid w:val="0"/>
        <w:spacing w:line="360" w:lineRule="auto"/>
        <w:ind w:right="11" w:firstLine="480" w:firstLineChars="200"/>
        <w:rPr>
          <w:rFonts w:ascii="宋体" w:hAnsi="宋体"/>
          <w:bCs/>
          <w:iCs/>
          <w:snapToGrid w:val="0"/>
          <w:color w:val="auto"/>
          <w:kern w:val="0"/>
          <w:sz w:val="24"/>
          <w:highlight w:val="none"/>
        </w:rPr>
      </w:pPr>
      <w:r>
        <w:rPr>
          <w:rFonts w:hint="eastAsia" w:ascii="宋体" w:hAnsi="宋体"/>
          <w:bCs/>
          <w:iCs/>
          <w:snapToGrid w:val="0"/>
          <w:color w:val="auto"/>
          <w:kern w:val="0"/>
          <w:sz w:val="24"/>
          <w:highlight w:val="none"/>
        </w:rPr>
        <w:t>（4）综合管理；</w:t>
      </w:r>
    </w:p>
    <w:p w14:paraId="101A398E">
      <w:pPr>
        <w:adjustRightInd w:val="0"/>
        <w:snapToGrid w:val="0"/>
        <w:spacing w:line="360" w:lineRule="auto"/>
        <w:ind w:right="11" w:firstLine="480" w:firstLineChars="200"/>
        <w:rPr>
          <w:rFonts w:ascii="宋体" w:hAnsi="宋体"/>
          <w:bCs/>
          <w:iCs/>
          <w:snapToGrid w:val="0"/>
          <w:color w:val="auto"/>
          <w:kern w:val="0"/>
          <w:sz w:val="24"/>
          <w:highlight w:val="none"/>
        </w:rPr>
      </w:pPr>
      <w:r>
        <w:rPr>
          <w:rFonts w:hint="eastAsia" w:ascii="宋体" w:hAnsi="宋体"/>
          <w:bCs/>
          <w:iCs/>
          <w:snapToGrid w:val="0"/>
          <w:color w:val="auto"/>
          <w:kern w:val="0"/>
          <w:sz w:val="24"/>
          <w:highlight w:val="none"/>
        </w:rPr>
        <w:t>（5）成品保护；</w:t>
      </w:r>
    </w:p>
    <w:p w14:paraId="39CAB73E">
      <w:pPr>
        <w:adjustRightInd w:val="0"/>
        <w:snapToGrid w:val="0"/>
        <w:spacing w:line="360" w:lineRule="auto"/>
        <w:ind w:right="11" w:firstLine="480" w:firstLineChars="200"/>
        <w:rPr>
          <w:rFonts w:ascii="宋体" w:hAnsi="宋体"/>
          <w:bCs/>
          <w:iCs/>
          <w:snapToGrid w:val="0"/>
          <w:color w:val="auto"/>
          <w:kern w:val="0"/>
          <w:sz w:val="24"/>
          <w:highlight w:val="none"/>
        </w:rPr>
      </w:pPr>
      <w:r>
        <w:rPr>
          <w:rFonts w:hint="eastAsia" w:ascii="宋体" w:hAnsi="宋体"/>
          <w:bCs/>
          <w:iCs/>
          <w:snapToGrid w:val="0"/>
          <w:color w:val="auto"/>
          <w:kern w:val="0"/>
          <w:sz w:val="24"/>
          <w:highlight w:val="none"/>
        </w:rPr>
        <w:t>（6）设计配合与技术督导配合；</w:t>
      </w:r>
    </w:p>
    <w:p w14:paraId="79DB3994">
      <w:pPr>
        <w:adjustRightInd w:val="0"/>
        <w:snapToGrid w:val="0"/>
        <w:spacing w:line="360" w:lineRule="auto"/>
        <w:ind w:right="11" w:firstLine="480" w:firstLineChars="200"/>
        <w:rPr>
          <w:rFonts w:ascii="宋体" w:hAnsi="宋体"/>
          <w:bCs/>
          <w:iCs/>
          <w:snapToGrid w:val="0"/>
          <w:color w:val="auto"/>
          <w:kern w:val="0"/>
          <w:sz w:val="24"/>
          <w:highlight w:val="none"/>
        </w:rPr>
      </w:pPr>
      <w:r>
        <w:rPr>
          <w:rFonts w:hint="eastAsia" w:ascii="宋体" w:hAnsi="宋体"/>
          <w:bCs/>
          <w:iCs/>
          <w:snapToGrid w:val="0"/>
          <w:color w:val="auto"/>
          <w:kern w:val="0"/>
          <w:sz w:val="24"/>
          <w:highlight w:val="none"/>
        </w:rPr>
        <w:t>（7）竣工验收、竣工资料（含竣工图）管理；</w:t>
      </w:r>
    </w:p>
    <w:p w14:paraId="275B71BC">
      <w:pPr>
        <w:adjustRightInd w:val="0"/>
        <w:snapToGrid w:val="0"/>
        <w:spacing w:line="360" w:lineRule="auto"/>
        <w:ind w:right="11" w:firstLine="480" w:firstLineChars="200"/>
        <w:rPr>
          <w:rFonts w:ascii="宋体" w:hAnsi="宋体"/>
          <w:bCs/>
          <w:iCs/>
          <w:snapToGrid w:val="0"/>
          <w:color w:val="auto"/>
          <w:kern w:val="0"/>
          <w:sz w:val="24"/>
          <w:highlight w:val="none"/>
        </w:rPr>
      </w:pPr>
      <w:r>
        <w:rPr>
          <w:rFonts w:hint="eastAsia" w:ascii="宋体" w:hAnsi="宋体"/>
          <w:bCs/>
          <w:iCs/>
          <w:snapToGrid w:val="0"/>
          <w:color w:val="auto"/>
          <w:kern w:val="0"/>
          <w:sz w:val="24"/>
          <w:highlight w:val="none"/>
        </w:rPr>
        <w:t>（8）对发包人另行发包的专业工程的总承包管理及配合服务；</w:t>
      </w:r>
    </w:p>
    <w:p w14:paraId="44DA7E23">
      <w:pPr>
        <w:adjustRightInd w:val="0"/>
        <w:snapToGrid w:val="0"/>
        <w:spacing w:line="360" w:lineRule="auto"/>
        <w:ind w:right="11" w:firstLine="480" w:firstLineChars="200"/>
        <w:rPr>
          <w:rFonts w:ascii="宋体" w:hAnsi="宋体"/>
          <w:bCs/>
          <w:iCs/>
          <w:snapToGrid w:val="0"/>
          <w:color w:val="auto"/>
          <w:kern w:val="0"/>
          <w:sz w:val="24"/>
          <w:highlight w:val="none"/>
        </w:rPr>
      </w:pPr>
      <w:r>
        <w:rPr>
          <w:rFonts w:hint="eastAsia" w:ascii="宋体" w:hAnsi="宋体"/>
          <w:bCs/>
          <w:iCs/>
          <w:snapToGrid w:val="0"/>
          <w:color w:val="auto"/>
          <w:kern w:val="0"/>
          <w:sz w:val="24"/>
          <w:highlight w:val="none"/>
        </w:rPr>
        <w:t>（9）本合同包含的其他施工总承包管理和配合服务内容；</w:t>
      </w:r>
    </w:p>
    <w:p w14:paraId="03B6755E">
      <w:pPr>
        <w:adjustRightInd w:val="0"/>
        <w:snapToGrid w:val="0"/>
        <w:spacing w:line="360" w:lineRule="auto"/>
        <w:ind w:right="11" w:firstLine="480" w:firstLineChars="200"/>
        <w:rPr>
          <w:rFonts w:ascii="宋体" w:hAnsi="宋体"/>
          <w:bCs/>
          <w:iCs/>
          <w:snapToGrid w:val="0"/>
          <w:color w:val="auto"/>
          <w:kern w:val="0"/>
          <w:sz w:val="24"/>
          <w:highlight w:val="none"/>
        </w:rPr>
      </w:pPr>
      <w:r>
        <w:rPr>
          <w:rFonts w:hint="eastAsia" w:ascii="宋体" w:hAnsi="宋体"/>
          <w:bCs/>
          <w:iCs/>
          <w:snapToGrid w:val="0"/>
          <w:color w:val="auto"/>
          <w:kern w:val="0"/>
          <w:sz w:val="24"/>
          <w:highlight w:val="none"/>
        </w:rPr>
        <w:t>（10）发包人交办的其他任务。</w:t>
      </w:r>
    </w:p>
    <w:p w14:paraId="63EC2AFC">
      <w:pPr>
        <w:adjustRightInd w:val="0"/>
        <w:snapToGrid w:val="0"/>
        <w:spacing w:line="360" w:lineRule="auto"/>
        <w:ind w:right="11" w:firstLine="480" w:firstLineChars="20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9.6承包人须于每月最后一日前向总监理工程师提供综合报表（内容包括但不限于如下计划、报表或报告），经总监理工程师审核，并报发包人批准后实施：</w:t>
      </w:r>
    </w:p>
    <w:p w14:paraId="22EF5884">
      <w:pPr>
        <w:adjustRightInd w:val="0"/>
        <w:snapToGrid w:val="0"/>
        <w:spacing w:line="360" w:lineRule="auto"/>
        <w:ind w:right="11" w:firstLine="460" w:firstLineChars="192"/>
        <w:rPr>
          <w:rFonts w:ascii="宋体" w:hAnsi="宋体"/>
          <w:bCs/>
          <w:snapToGrid w:val="0"/>
          <w:color w:val="auto"/>
          <w:kern w:val="0"/>
          <w:sz w:val="24"/>
          <w:highlight w:val="none"/>
        </w:rPr>
      </w:pPr>
      <w:r>
        <w:rPr>
          <w:rFonts w:hint="eastAsia" w:ascii="宋体" w:hAnsi="宋体"/>
          <w:bCs/>
          <w:snapToGrid w:val="0"/>
          <w:color w:val="auto"/>
          <w:kern w:val="0"/>
          <w:sz w:val="24"/>
          <w:highlight w:val="none"/>
        </w:rPr>
        <w:t>（1）上月工程进度款《资金使用反馈表》（统计时段从上上月25日至上月24日），并提交已支付分包及材料设备供货单位价款凭证复印件，由总监理工程师核实确认资金落实情况并报发包人，以保证承包人将工程进度款专用于本工程。</w:t>
      </w:r>
    </w:p>
    <w:p w14:paraId="30C5CACE">
      <w:pPr>
        <w:adjustRightInd w:val="0"/>
        <w:snapToGrid w:val="0"/>
        <w:spacing w:line="360" w:lineRule="auto"/>
        <w:ind w:right="11" w:firstLine="460" w:firstLineChars="192"/>
        <w:rPr>
          <w:rFonts w:ascii="宋体" w:hAnsi="宋体"/>
          <w:bCs/>
          <w:snapToGrid w:val="0"/>
          <w:color w:val="auto"/>
          <w:kern w:val="0"/>
          <w:sz w:val="24"/>
          <w:highlight w:val="none"/>
        </w:rPr>
      </w:pPr>
      <w:r>
        <w:rPr>
          <w:rFonts w:hint="eastAsia" w:ascii="宋体" w:hAnsi="宋体"/>
          <w:bCs/>
          <w:snapToGrid w:val="0"/>
          <w:color w:val="auto"/>
          <w:kern w:val="0"/>
          <w:sz w:val="24"/>
          <w:highlight w:val="none"/>
        </w:rPr>
        <w:t>（2）当月应完成的工程进度和实际完成进度统计报表，当月完成的工程量申报（要求分细项申报，并含有完成金额），当月工程质量、安全生产、文明施工情况报告，当月工程事故报告（如果发生时，须同时报政府相关部门），当月</w:t>
      </w:r>
      <w:r>
        <w:rPr>
          <w:rFonts w:hint="eastAsia" w:ascii="宋体" w:hAnsi="宋体"/>
          <w:snapToGrid w:val="0"/>
          <w:color w:val="auto"/>
          <w:kern w:val="0"/>
          <w:sz w:val="24"/>
          <w:highlight w:val="none"/>
        </w:rPr>
        <w:t>其总承包管理范围内各专业间的组织管理、协调、配合等方面情况及所出现问题的专项报告</w:t>
      </w:r>
      <w:r>
        <w:rPr>
          <w:rFonts w:hint="eastAsia" w:ascii="宋体" w:hAnsi="宋体"/>
          <w:bCs/>
          <w:snapToGrid w:val="0"/>
          <w:color w:val="auto"/>
          <w:kern w:val="0"/>
          <w:sz w:val="24"/>
          <w:highlight w:val="none"/>
        </w:rPr>
        <w:t>（统计时段从上月25日至当月24日）。</w:t>
      </w:r>
    </w:p>
    <w:p w14:paraId="696DFE6E">
      <w:pPr>
        <w:adjustRightInd w:val="0"/>
        <w:snapToGrid w:val="0"/>
        <w:spacing w:line="360" w:lineRule="auto"/>
        <w:ind w:right="11" w:firstLine="460" w:firstLineChars="192"/>
        <w:rPr>
          <w:rFonts w:ascii="宋体" w:hAnsi="宋体"/>
          <w:bCs/>
          <w:snapToGrid w:val="0"/>
          <w:color w:val="auto"/>
          <w:kern w:val="0"/>
          <w:sz w:val="24"/>
          <w:highlight w:val="none"/>
        </w:rPr>
      </w:pPr>
      <w:r>
        <w:rPr>
          <w:rFonts w:hint="eastAsia" w:ascii="宋体" w:hAnsi="宋体"/>
          <w:bCs/>
          <w:snapToGrid w:val="0"/>
          <w:color w:val="auto"/>
          <w:kern w:val="0"/>
          <w:sz w:val="24"/>
          <w:highlight w:val="none"/>
        </w:rPr>
        <w:t>（3）下月资金使用计划，下月施工进度计划，下月施工拟投入设备、劳动力计划（统计时段从本月25日至下月24日）。</w:t>
      </w:r>
    </w:p>
    <w:p w14:paraId="047CE9AF">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所有计划、报表及报告的具体格式，应按照发包人信息采集办法要求，填报发包人工程管理系统可识别的电子文件。</w:t>
      </w:r>
    </w:p>
    <w:p w14:paraId="01A3D1CD">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9.7分部验收工作计划的提交要求</w:t>
      </w:r>
    </w:p>
    <w:p w14:paraId="22BBDEB6">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承包人须于进场之日起15日内向发包人提交本工程的分部验收工作计划，经发包人审定后执行。如在施工过程中发生设计变更、新增工程等情况导致工程内容发生变化的，承包人应在发包人规定的时间内提交新的分部验收工作计划，经发包人审定后执行。分部验收原则上按分部工程为界面划分，特殊情况下，也可按子分部工程或分项工程为界面来划分。</w:t>
      </w:r>
    </w:p>
    <w:p w14:paraId="255F9A1F">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9.8分段结算工作计划的提交要求</w:t>
      </w:r>
    </w:p>
    <w:p w14:paraId="5BCF5F3F">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承包人须于进场之日起15日内向发包人提交本工程的分段结算工作计划，经发包人审定后执行。如在施工过程中发生设计变更、新增工程等情况导致原分段结算工作计划受影响的，承包人应在发包人规定的时间内提交新的分段结算工作计划，经发包人审定后执行。分段结算的界面划分按以下原则执行：</w:t>
      </w:r>
    </w:p>
    <w:p w14:paraId="54B936E3">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（1）如本工程仅由一个单项工程组成，则分段结算原则上应以单位工程为界面来划分。特殊情况下，经发包人批准的，也可以分部工程为界面来划分。</w:t>
      </w:r>
    </w:p>
    <w:p w14:paraId="31C0D12A">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（2）如本工程由两个或两个以上单项工程组成，则分段结算原则上应以单项工程为界面来划分。特殊情况下，经发包人批准的，也可以各单项工程中的单位工程或分部工程为界面来划分。</w:t>
      </w:r>
    </w:p>
    <w:p w14:paraId="4EDB8CDA">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9.9分段结算资料提交要求（分段结算原则上适用于工期超过1年的项目，具体工作要求按发包人的意见为准）</w:t>
      </w:r>
    </w:p>
    <w:p w14:paraId="4323B8C0">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推行分段结算的工程，承包人应当按审定的分段结算工作计划按时向发包人提交如下分段结算涉及到的资料（包括但不限于）：</w:t>
      </w:r>
    </w:p>
    <w:p w14:paraId="6F501F27">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（1）结算书；</w:t>
      </w:r>
    </w:p>
    <w:p w14:paraId="27FFA480">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（2）工程量计算书（即计算底稿）；</w:t>
      </w:r>
    </w:p>
    <w:p w14:paraId="7302ED69">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（3）钢筋抽料表（建筑、市政、园林景观等工程适用）；</w:t>
      </w:r>
    </w:p>
    <w:p w14:paraId="09AA7063">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（4）图纸会审记录；</w:t>
      </w:r>
    </w:p>
    <w:p w14:paraId="42E785D4">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（5）设计变更单；</w:t>
      </w:r>
    </w:p>
    <w:p w14:paraId="1F281618">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（6）工程洽商记录；</w:t>
      </w:r>
    </w:p>
    <w:p w14:paraId="13CD3121">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（7）总监理工程师通知或发包人施工指令；</w:t>
      </w:r>
    </w:p>
    <w:p w14:paraId="6B6D0CEC">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（8）会议纪要；</w:t>
      </w:r>
    </w:p>
    <w:p w14:paraId="090ED77D">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（9）工程签证；</w:t>
      </w:r>
    </w:p>
    <w:p w14:paraId="6784153C">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（10）材料设备单价呈批审核单；</w:t>
      </w:r>
    </w:p>
    <w:p w14:paraId="46340E14">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（11）综合单价呈批审核单；</w:t>
      </w:r>
    </w:p>
    <w:p w14:paraId="10749686">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（12）发包人供应材料收货验收签收单；</w:t>
      </w:r>
    </w:p>
    <w:p w14:paraId="0B792470">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（13）验收记录或验收报告；</w:t>
      </w:r>
    </w:p>
    <w:p w14:paraId="0E55BC74">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（14）其他分段结算资料；</w:t>
      </w:r>
    </w:p>
    <w:p w14:paraId="1176BC01">
      <w:pPr>
        <w:adjustRightInd w:val="0"/>
        <w:snapToGrid w:val="0"/>
        <w:spacing w:line="360" w:lineRule="auto"/>
        <w:ind w:right="11" w:firstLine="480" w:firstLineChars="20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（15）移交资料签收表。</w:t>
      </w:r>
    </w:p>
    <w:p w14:paraId="186CB022">
      <w:pPr>
        <w:adjustRightInd w:val="0"/>
        <w:snapToGrid w:val="0"/>
        <w:spacing w:line="360" w:lineRule="auto"/>
        <w:ind w:right="11" w:firstLine="480" w:firstLineChars="200"/>
        <w:rPr>
          <w:rFonts w:ascii="宋体" w:hAnsi="宋体"/>
          <w:bCs/>
          <w:snapToGrid w:val="0"/>
          <w:color w:val="auto"/>
          <w:kern w:val="0"/>
          <w:sz w:val="24"/>
          <w:highlight w:val="none"/>
        </w:rPr>
      </w:pPr>
      <w:r>
        <w:rPr>
          <w:rFonts w:ascii="宋体" w:hAnsi="宋体"/>
          <w:bCs/>
          <w:snapToGrid w:val="0"/>
          <w:color w:val="auto"/>
          <w:kern w:val="0"/>
          <w:sz w:val="24"/>
          <w:highlight w:val="none"/>
        </w:rPr>
        <w:t>9.1</w:t>
      </w:r>
      <w:r>
        <w:rPr>
          <w:rFonts w:hint="eastAsia" w:ascii="宋体" w:hAnsi="宋体"/>
          <w:bCs/>
          <w:snapToGrid w:val="0"/>
          <w:color w:val="auto"/>
          <w:kern w:val="0"/>
          <w:sz w:val="24"/>
          <w:highlight w:val="none"/>
        </w:rPr>
        <w:t>0</w:t>
      </w:r>
      <w:r>
        <w:rPr>
          <w:rFonts w:ascii="宋体" w:hAnsi="宋体"/>
          <w:bCs/>
          <w:snapToGrid w:val="0"/>
          <w:color w:val="auto"/>
          <w:kern w:val="0"/>
          <w:sz w:val="24"/>
          <w:highlight w:val="none"/>
        </w:rPr>
        <w:t>为确保本工程按计划顺利完成，从进场施工开始，承包人应负责提供1辆5～12座的小型客车在现场值班，主要用于施工现场项目管理协调、报批报建、现场会议、突发事件应急保障等工作交通需求，使用期限至本工程</w:t>
      </w:r>
      <w:r>
        <w:rPr>
          <w:rFonts w:hint="eastAsia" w:ascii="宋体" w:hAnsi="宋体"/>
          <w:bCs/>
          <w:snapToGrid w:val="0"/>
          <w:color w:val="auto"/>
          <w:kern w:val="0"/>
          <w:sz w:val="24"/>
          <w:highlight w:val="none"/>
        </w:rPr>
        <w:t>竣工验收</w:t>
      </w:r>
      <w:r>
        <w:rPr>
          <w:rFonts w:ascii="宋体" w:hAnsi="宋体"/>
          <w:bCs/>
          <w:snapToGrid w:val="0"/>
          <w:color w:val="auto"/>
          <w:kern w:val="0"/>
          <w:sz w:val="24"/>
          <w:highlight w:val="none"/>
        </w:rPr>
        <w:t>。相应费用由承包人综合考虑在合同总价中，发包人不另行支付费用。如承包人未按要求配备工程保障用车导致施工现场项目管理协调、报批报建、现场会议、突发事件应急保障等工作未能及时开展，则在未提供工程保障用车期间按1万元/月的标准在合同价款中进行扣减。</w:t>
      </w:r>
    </w:p>
    <w:p w14:paraId="06316641">
      <w:pPr>
        <w:pStyle w:val="7"/>
        <w:rPr>
          <w:color w:val="auto"/>
          <w:highlight w:val="none"/>
        </w:rPr>
      </w:pPr>
    </w:p>
    <w:p w14:paraId="539C4B7F">
      <w:pPr>
        <w:adjustRightInd w:val="0"/>
        <w:snapToGrid w:val="0"/>
        <w:spacing w:line="360" w:lineRule="auto"/>
        <w:ind w:right="11"/>
        <w:outlineLvl w:val="1"/>
        <w:rPr>
          <w:rFonts w:ascii="宋体" w:hAnsi="宋体"/>
          <w:b/>
          <w:bCs/>
          <w:snapToGrid w:val="0"/>
          <w:color w:val="auto"/>
          <w:kern w:val="0"/>
          <w:sz w:val="28"/>
          <w:szCs w:val="28"/>
          <w:highlight w:val="none"/>
        </w:rPr>
      </w:pPr>
      <w:r>
        <w:rPr>
          <w:rFonts w:hint="eastAsia" w:ascii="宋体" w:hAnsi="宋体"/>
          <w:b/>
          <w:bCs/>
          <w:snapToGrid w:val="0"/>
          <w:color w:val="auto"/>
          <w:kern w:val="0"/>
          <w:sz w:val="28"/>
          <w:szCs w:val="28"/>
          <w:highlight w:val="none"/>
        </w:rPr>
        <w:t>三、施工组织设计和工期</w:t>
      </w:r>
    </w:p>
    <w:p w14:paraId="0E7D7DCC">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10.进度计划</w:t>
      </w:r>
    </w:p>
    <w:p w14:paraId="411E55AD">
      <w:pPr>
        <w:adjustRightInd w:val="0"/>
        <w:snapToGrid w:val="0"/>
        <w:spacing w:line="360" w:lineRule="auto"/>
        <w:ind w:right="11" w:firstLine="460" w:firstLineChars="192"/>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10.1计划的提交和确认</w:t>
      </w:r>
    </w:p>
    <w:p w14:paraId="5192697A">
      <w:pPr>
        <w:adjustRightInd w:val="0"/>
        <w:snapToGrid w:val="0"/>
        <w:spacing w:line="360" w:lineRule="auto"/>
        <w:ind w:right="11" w:firstLine="460" w:firstLineChars="192"/>
        <w:outlineLvl w:val="4"/>
        <w:rPr>
          <w:rFonts w:ascii="宋体" w:hAnsi="宋体"/>
          <w:bCs/>
          <w:snapToGrid w:val="0"/>
          <w:color w:val="auto"/>
          <w:kern w:val="0"/>
          <w:sz w:val="24"/>
          <w:highlight w:val="none"/>
        </w:rPr>
      </w:pPr>
      <w:r>
        <w:rPr>
          <w:rFonts w:hint="eastAsia" w:ascii="宋体" w:hAnsi="宋体"/>
          <w:bCs/>
          <w:snapToGrid w:val="0"/>
          <w:color w:val="auto"/>
          <w:kern w:val="0"/>
          <w:sz w:val="24"/>
          <w:highlight w:val="none"/>
        </w:rPr>
        <w:t>（1）承包人应于收到总监理工程师的进场通知后7天内向总监理工程师提交项目及单位工程的施工组织设计与进度计划。</w:t>
      </w:r>
    </w:p>
    <w:p w14:paraId="5EBDB760">
      <w:pPr>
        <w:adjustRightInd w:val="0"/>
        <w:snapToGrid w:val="0"/>
        <w:spacing w:line="360" w:lineRule="auto"/>
        <w:ind w:firstLine="480"/>
        <w:rPr>
          <w:rFonts w:ascii="宋体" w:hAnsi="宋体"/>
          <w:snapToGrid w:val="0"/>
          <w:color w:val="auto"/>
          <w:kern w:val="0"/>
          <w:sz w:val="24"/>
          <w:highlight w:val="none"/>
        </w:rPr>
      </w:pPr>
      <w:r>
        <w:rPr>
          <w:rFonts w:hint="eastAsia" w:ascii="宋体" w:hAnsi="宋体"/>
          <w:snapToGrid w:val="0"/>
          <w:color w:val="auto"/>
          <w:kern w:val="0"/>
          <w:sz w:val="24"/>
          <w:highlight w:val="none"/>
        </w:rPr>
        <w:t>承包人提交的施工组织设计应当载明如下内容</w:t>
      </w:r>
      <w:r>
        <w:rPr>
          <w:rFonts w:hint="eastAsia" w:ascii="宋体" w:hAnsi="宋体"/>
          <w:bCs/>
          <w:snapToGrid w:val="0"/>
          <w:color w:val="auto"/>
          <w:kern w:val="0"/>
          <w:sz w:val="24"/>
          <w:highlight w:val="none"/>
        </w:rPr>
        <w:t>（包括但不限于）</w:t>
      </w:r>
      <w:r>
        <w:rPr>
          <w:rFonts w:hint="eastAsia" w:ascii="宋体" w:hAnsi="宋体"/>
          <w:snapToGrid w:val="0"/>
          <w:color w:val="auto"/>
          <w:kern w:val="0"/>
          <w:sz w:val="24"/>
          <w:highlight w:val="none"/>
        </w:rPr>
        <w:t>：</w:t>
      </w:r>
    </w:p>
    <w:p w14:paraId="445C7EF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1）各分部分项工程完整的施工方案；</w:t>
      </w:r>
    </w:p>
    <w:p w14:paraId="3134E27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2）施工资源投入计划，包括：机械设备进场计划、工程材料和物料进场及仓储计划、施工人员进场计划等；</w:t>
      </w:r>
    </w:p>
    <w:p w14:paraId="405D057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3）施工现场平面布置图（包括施工道路平面图、各种临时设施、施工用水、监控设施、施工机具、材料构配件存放位置）；</w:t>
      </w:r>
    </w:p>
    <w:p w14:paraId="5111D80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4）季节性施工措施；</w:t>
      </w:r>
    </w:p>
    <w:p w14:paraId="6928E62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5）地下管线及其他地下设施的处理措施；</w:t>
      </w:r>
    </w:p>
    <w:p w14:paraId="152BF34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6）保证工期、质量的措施；</w:t>
      </w:r>
    </w:p>
    <w:p w14:paraId="394B0B7C">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7）保证安全生产、文明施工、减少扰民，且满足环境保护要求的措施；</w:t>
      </w:r>
    </w:p>
    <w:p w14:paraId="3426FC7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8）妥善处理与相邻施工作业现场关系的措施；</w:t>
      </w:r>
    </w:p>
    <w:p w14:paraId="0C0044A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9）其他与工程施工有关的管理方案、措施。</w:t>
      </w:r>
    </w:p>
    <w:p w14:paraId="63D68E18">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bCs/>
          <w:snapToGrid w:val="0"/>
          <w:color w:val="auto"/>
          <w:kern w:val="0"/>
          <w:sz w:val="24"/>
          <w:highlight w:val="none"/>
        </w:rPr>
        <w:t>承包人编制的</w:t>
      </w:r>
      <w:r>
        <w:rPr>
          <w:rFonts w:hint="eastAsia" w:ascii="宋体" w:hAnsi="宋体"/>
          <w:snapToGrid w:val="0"/>
          <w:color w:val="auto"/>
          <w:kern w:val="0"/>
          <w:sz w:val="24"/>
          <w:highlight w:val="none"/>
        </w:rPr>
        <w:t>工程进度计划内容应全面详实，且应针对施工总承包范围内的各专业平行分包工程及建筑工程的全部或分项施工作业和特点提出施工方法、施工穿插顺序及时间安排，并在各节点位置标注相应的工程量、资金使用计划、人力机械组织及材料消耗量。</w:t>
      </w:r>
    </w:p>
    <w:p w14:paraId="42300857">
      <w:pPr>
        <w:adjustRightInd w:val="0"/>
        <w:snapToGrid w:val="0"/>
        <w:spacing w:line="360" w:lineRule="auto"/>
        <w:ind w:right="11" w:firstLine="460" w:firstLineChars="192"/>
        <w:outlineLvl w:val="4"/>
        <w:rPr>
          <w:rFonts w:ascii="宋体" w:hAnsi="宋体"/>
          <w:bCs/>
          <w:snapToGrid w:val="0"/>
          <w:color w:val="auto"/>
          <w:kern w:val="0"/>
          <w:sz w:val="24"/>
          <w:highlight w:val="none"/>
        </w:rPr>
      </w:pPr>
      <w:r>
        <w:rPr>
          <w:rFonts w:hint="eastAsia" w:ascii="宋体" w:hAnsi="宋体"/>
          <w:bCs/>
          <w:snapToGrid w:val="0"/>
          <w:color w:val="auto"/>
          <w:kern w:val="0"/>
          <w:sz w:val="24"/>
          <w:highlight w:val="none"/>
        </w:rPr>
        <w:t>（2）总监理工程师和发包人在接到承包人提交的施工组织设计和工程进度计划后7天内予以确认或提出修改意见（总监理工程师在4天内审核并签署意见，发包人在3天内审核并签署意见）。逾期既不确认，也不提出书面意见的视为同意，但如遇到重大或技术复杂、难度大的施工方案（如深基坑支护及高支模等施工方案），则应按政府有关规定召开专家评审会评审。</w:t>
      </w:r>
    </w:p>
    <w:p w14:paraId="707B85EE">
      <w:pPr>
        <w:adjustRightInd w:val="0"/>
        <w:snapToGrid w:val="0"/>
        <w:spacing w:line="360" w:lineRule="auto"/>
        <w:ind w:right="11" w:firstLine="463" w:firstLineChars="192"/>
        <w:rPr>
          <w:rFonts w:ascii="宋体" w:hAnsi="宋体"/>
          <w:snapToGrid w:val="0"/>
          <w:color w:val="auto"/>
          <w:kern w:val="0"/>
          <w:sz w:val="24"/>
          <w:highlight w:val="none"/>
        </w:rPr>
      </w:pPr>
      <w:r>
        <w:rPr>
          <w:rFonts w:hint="eastAsia" w:ascii="宋体" w:hAnsi="宋体"/>
          <w:b/>
          <w:snapToGrid w:val="0"/>
          <w:color w:val="auto"/>
          <w:kern w:val="0"/>
          <w:sz w:val="24"/>
          <w:highlight w:val="none"/>
        </w:rPr>
        <w:t>承包人和发包人一致同意增加10.4：</w:t>
      </w:r>
    </w:p>
    <w:p w14:paraId="19E8A352">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10.4计划的执行</w:t>
      </w:r>
    </w:p>
    <w:p w14:paraId="7EE7021A">
      <w:pPr>
        <w:adjustRightInd w:val="0"/>
        <w:snapToGrid w:val="0"/>
        <w:spacing w:line="360" w:lineRule="auto"/>
        <w:ind w:firstLine="480" w:firstLineChars="200"/>
        <w:outlineLvl w:val="4"/>
        <w:rPr>
          <w:rFonts w:ascii="宋体" w:hAnsi="宋体"/>
          <w:snapToGrid w:val="0"/>
          <w:color w:val="auto"/>
          <w:kern w:val="0"/>
          <w:sz w:val="24"/>
          <w:highlight w:val="none"/>
        </w:rPr>
      </w:pPr>
      <w:r>
        <w:rPr>
          <w:rFonts w:hint="eastAsia" w:ascii="宋体" w:hAnsi="宋体"/>
          <w:snapToGrid w:val="0"/>
          <w:color w:val="auto"/>
          <w:kern w:val="0"/>
          <w:sz w:val="24"/>
          <w:highlight w:val="none"/>
        </w:rPr>
        <w:t>（1）承包人应当加强计划管理，严格按照总监理工程师确认的工程进度计划组织施工，并接受总监理工程师对工程进度的检查、监督。</w:t>
      </w:r>
    </w:p>
    <w:p w14:paraId="0B43BE53">
      <w:pPr>
        <w:adjustRightInd w:val="0"/>
        <w:snapToGrid w:val="0"/>
        <w:spacing w:line="360" w:lineRule="auto"/>
        <w:ind w:firstLine="480" w:firstLineChars="200"/>
        <w:outlineLvl w:val="4"/>
        <w:rPr>
          <w:rFonts w:ascii="宋体" w:hAnsi="宋体"/>
          <w:snapToGrid w:val="0"/>
          <w:color w:val="auto"/>
          <w:kern w:val="0"/>
          <w:sz w:val="24"/>
          <w:highlight w:val="none"/>
        </w:rPr>
      </w:pPr>
      <w:r>
        <w:rPr>
          <w:rFonts w:hint="eastAsia" w:ascii="宋体" w:hAnsi="宋体"/>
          <w:snapToGrid w:val="0"/>
          <w:color w:val="auto"/>
          <w:kern w:val="0"/>
          <w:sz w:val="24"/>
          <w:highlight w:val="none"/>
        </w:rPr>
        <w:t>（2）为便于总监理工程师掌握和控制工期，承包人应于每月底向总监理工程师填报当月工程进度计划完成情况（没完成计划的必须说明原因），</w:t>
      </w:r>
      <w:r>
        <w:rPr>
          <w:rFonts w:hint="eastAsia" w:ascii="宋体" w:hAnsi="宋体"/>
          <w:bCs/>
          <w:snapToGrid w:val="0"/>
          <w:color w:val="auto"/>
          <w:kern w:val="0"/>
          <w:sz w:val="24"/>
          <w:highlight w:val="none"/>
        </w:rPr>
        <w:t>并在此基础上更新工程进度计划、</w:t>
      </w:r>
      <w:r>
        <w:rPr>
          <w:rFonts w:hint="eastAsia" w:ascii="宋体" w:hAnsi="宋体"/>
          <w:snapToGrid w:val="0"/>
          <w:color w:val="auto"/>
          <w:kern w:val="0"/>
          <w:sz w:val="24"/>
          <w:highlight w:val="none"/>
        </w:rPr>
        <w:t>资金计划和其他工作计划。总监理工程师在接到报告后应当予以确认或提出书面意见，承包人必须按照总监理工程师的确认或者书面意见执行。</w:t>
      </w:r>
    </w:p>
    <w:p w14:paraId="5777DAD6">
      <w:pPr>
        <w:adjustRightInd w:val="0"/>
        <w:snapToGrid w:val="0"/>
        <w:spacing w:line="360" w:lineRule="auto"/>
        <w:ind w:firstLine="480" w:firstLineChars="200"/>
        <w:outlineLvl w:val="4"/>
        <w:rPr>
          <w:rFonts w:ascii="宋体" w:hAnsi="宋体"/>
          <w:snapToGrid w:val="0"/>
          <w:color w:val="auto"/>
          <w:kern w:val="0"/>
          <w:sz w:val="24"/>
          <w:highlight w:val="none"/>
        </w:rPr>
      </w:pPr>
      <w:r>
        <w:rPr>
          <w:rFonts w:hint="eastAsia" w:ascii="宋体" w:hAnsi="宋体"/>
          <w:snapToGrid w:val="0"/>
          <w:color w:val="auto"/>
          <w:kern w:val="0"/>
          <w:sz w:val="24"/>
          <w:highlight w:val="none"/>
        </w:rPr>
        <w:t>（3）总监理工程师认为本工程或其中任何部分工程进度滞后而不能按预定工期完工，应将此情况通知承包人。承包人应据此修改工程进度计划，采取总监理工程师同意的必要措施加快工程进度，属承包人原因造成的，则承包人无权要求发包人支付任何附加费用。如承包人未能在总监理工程师发布指令</w:t>
      </w:r>
      <w:r>
        <w:rPr>
          <w:rFonts w:hint="eastAsia" w:ascii="宋体" w:hAnsi="宋体"/>
          <w:iCs/>
          <w:snapToGrid w:val="0"/>
          <w:color w:val="auto"/>
          <w:kern w:val="0"/>
          <w:sz w:val="24"/>
          <w:highlight w:val="none"/>
        </w:rPr>
        <w:t>后10天内采取有效措施，工程进度仍然无明显改</w:t>
      </w:r>
      <w:r>
        <w:rPr>
          <w:rFonts w:hint="eastAsia" w:ascii="宋体" w:hAnsi="宋体"/>
          <w:snapToGrid w:val="0"/>
          <w:color w:val="auto"/>
          <w:kern w:val="0"/>
          <w:sz w:val="24"/>
          <w:highlight w:val="none"/>
        </w:rPr>
        <w:t>进，发包人有权部分或全部解除合同，将未完工程另行发包给其他有能力的施工单位；承包人必须无条件服从，由此所造成的损失全部由承包人承担。</w:t>
      </w:r>
    </w:p>
    <w:p w14:paraId="7EE4210B">
      <w:pPr>
        <w:adjustRightInd w:val="0"/>
        <w:snapToGrid w:val="0"/>
        <w:spacing w:line="360" w:lineRule="auto"/>
        <w:ind w:firstLine="482" w:firstLineChars="200"/>
        <w:rPr>
          <w:rFonts w:ascii="宋体" w:hAnsi="宋体"/>
          <w:snapToGrid w:val="0"/>
          <w:color w:val="auto"/>
          <w:kern w:val="0"/>
          <w:sz w:val="24"/>
          <w:highlight w:val="none"/>
        </w:rPr>
      </w:pPr>
      <w:r>
        <w:rPr>
          <w:rFonts w:hint="eastAsia"/>
          <w:b/>
          <w:snapToGrid w:val="0"/>
          <w:color w:val="auto"/>
          <w:kern w:val="0"/>
          <w:sz w:val="24"/>
          <w:highlight w:val="none"/>
        </w:rPr>
        <w:t>承包人和发包人一致同意不适用合同通用条款第11条的约定，代之以：</w:t>
      </w:r>
    </w:p>
    <w:p w14:paraId="16ACC95A">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11、开工及延期开工</w:t>
      </w:r>
    </w:p>
    <w:p w14:paraId="5167BBF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承包人必须在收到发包人进场通知的次日进入施工场地，做好施工准备工作，尽快开工。在工程已具备开工条件，但因</w:t>
      </w:r>
      <w:r>
        <w:rPr>
          <w:rFonts w:hint="eastAsia" w:ascii="宋体" w:hAnsi="宋体"/>
          <w:bCs/>
          <w:snapToGrid w:val="0"/>
          <w:color w:val="auto"/>
          <w:kern w:val="0"/>
          <w:sz w:val="24"/>
          <w:highlight w:val="none"/>
        </w:rPr>
        <w:t>承包人自身的原因（包括但不限于项目经理及现场管理机构其他人员尚未到位）而无法实际开工</w:t>
      </w:r>
      <w:r>
        <w:rPr>
          <w:rFonts w:hint="eastAsia" w:ascii="宋体" w:hAnsi="宋体"/>
          <w:snapToGrid w:val="0"/>
          <w:color w:val="auto"/>
          <w:kern w:val="0"/>
          <w:sz w:val="24"/>
          <w:highlight w:val="none"/>
        </w:rPr>
        <w:t>的，经发包人书面同意，总监理工程师可以签发开工令，工期开始正式计算，但现场不允许开工；再由总监理工程师发出停工令，待承包人准备妥当后才批准复工。由此产生的工期延误等损失由承包人承担，并按照合同专用条款第38.8款的有关约定处理。</w:t>
      </w:r>
      <w:r>
        <w:rPr>
          <w:rFonts w:hint="eastAsia" w:ascii="宋体" w:hAnsi="宋体" w:cs="宋体"/>
          <w:color w:val="auto"/>
          <w:kern w:val="0"/>
          <w:sz w:val="24"/>
          <w:highlight w:val="none"/>
        </w:rPr>
        <w:t>因发包人原因不能按协议书日期开工，总监理工程师应通知承包人推迟开工日期，经监理单位、发包人确认后，工期可相应顺延。</w:t>
      </w:r>
    </w:p>
    <w:p w14:paraId="75E0B688">
      <w:pPr>
        <w:adjustRightInd w:val="0"/>
        <w:snapToGrid w:val="0"/>
        <w:spacing w:line="360" w:lineRule="auto"/>
        <w:ind w:right="11" w:firstLine="482" w:firstLineChars="200"/>
        <w:rPr>
          <w:rFonts w:ascii="宋体" w:hAnsi="宋体"/>
          <w:b/>
          <w:snapToGrid w:val="0"/>
          <w:color w:val="auto"/>
          <w:kern w:val="0"/>
          <w:sz w:val="24"/>
          <w:highlight w:val="none"/>
        </w:rPr>
      </w:pPr>
      <w:r>
        <w:rPr>
          <w:rFonts w:hint="eastAsia" w:ascii="宋体" w:hAnsi="宋体"/>
          <w:b/>
          <w:snapToGrid w:val="0"/>
          <w:color w:val="auto"/>
          <w:kern w:val="0"/>
          <w:sz w:val="24"/>
          <w:highlight w:val="none"/>
        </w:rPr>
        <w:t>承包人和发包人一致同意不适用合同通用条款第12条的约定，代之以：</w:t>
      </w:r>
    </w:p>
    <w:p w14:paraId="61F07A0D">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12.暂停施工</w:t>
      </w:r>
    </w:p>
    <w:p w14:paraId="3CC5B4B3">
      <w:pPr>
        <w:adjustRightInd w:val="0"/>
        <w:snapToGrid w:val="0"/>
        <w:spacing w:line="360" w:lineRule="auto"/>
        <w:ind w:firstLine="480" w:firstLineChars="200"/>
        <w:outlineLvl w:val="3"/>
        <w:rPr>
          <w:rFonts w:ascii="宋体" w:hAnsi="宋体"/>
          <w:snapToGrid w:val="0"/>
          <w:color w:val="auto"/>
          <w:kern w:val="0"/>
          <w:sz w:val="24"/>
          <w:highlight w:val="none"/>
        </w:rPr>
      </w:pPr>
      <w:r>
        <w:rPr>
          <w:rFonts w:hint="eastAsia" w:ascii="宋体" w:hAnsi="宋体"/>
          <w:bCs/>
          <w:snapToGrid w:val="0"/>
          <w:color w:val="auto"/>
          <w:kern w:val="0"/>
          <w:sz w:val="24"/>
          <w:highlight w:val="none"/>
        </w:rPr>
        <w:t>12.1</w:t>
      </w:r>
      <w:r>
        <w:rPr>
          <w:rFonts w:hint="eastAsia" w:ascii="宋体" w:hAnsi="宋体"/>
          <w:snapToGrid w:val="0"/>
          <w:color w:val="auto"/>
          <w:kern w:val="0"/>
          <w:sz w:val="24"/>
          <w:highlight w:val="none"/>
        </w:rPr>
        <w:t>因下列原因，总监理工程师报经发包人同意，可通知承包人暂停施工：</w:t>
      </w:r>
    </w:p>
    <w:p w14:paraId="63C02B16">
      <w:pPr>
        <w:adjustRightInd w:val="0"/>
        <w:snapToGrid w:val="0"/>
        <w:spacing w:line="360" w:lineRule="auto"/>
        <w:ind w:left="420"/>
        <w:rPr>
          <w:rFonts w:ascii="宋体" w:hAnsi="宋体"/>
          <w:snapToGrid w:val="0"/>
          <w:color w:val="auto"/>
          <w:kern w:val="0"/>
          <w:sz w:val="24"/>
          <w:highlight w:val="none"/>
        </w:rPr>
      </w:pPr>
      <w:r>
        <w:rPr>
          <w:rFonts w:hint="eastAsia" w:ascii="宋体" w:hAnsi="宋体"/>
          <w:snapToGrid w:val="0"/>
          <w:color w:val="auto"/>
          <w:kern w:val="0"/>
          <w:sz w:val="24"/>
          <w:highlight w:val="none"/>
        </w:rPr>
        <w:t>（1）工程设计发生重大变更；</w:t>
      </w:r>
    </w:p>
    <w:p w14:paraId="1508CB80">
      <w:pPr>
        <w:adjustRightInd w:val="0"/>
        <w:snapToGrid w:val="0"/>
        <w:spacing w:line="360" w:lineRule="auto"/>
        <w:ind w:left="420"/>
        <w:rPr>
          <w:rFonts w:ascii="宋体" w:hAnsi="宋体"/>
          <w:snapToGrid w:val="0"/>
          <w:color w:val="auto"/>
          <w:kern w:val="0"/>
          <w:sz w:val="24"/>
          <w:highlight w:val="none"/>
        </w:rPr>
      </w:pPr>
      <w:r>
        <w:rPr>
          <w:rFonts w:hint="eastAsia" w:ascii="宋体" w:hAnsi="宋体"/>
          <w:snapToGrid w:val="0"/>
          <w:color w:val="auto"/>
          <w:kern w:val="0"/>
          <w:sz w:val="24"/>
          <w:highlight w:val="none"/>
        </w:rPr>
        <w:t>（2）不可抗力；</w:t>
      </w:r>
    </w:p>
    <w:p w14:paraId="19786D89">
      <w:pPr>
        <w:adjustRightInd w:val="0"/>
        <w:snapToGrid w:val="0"/>
        <w:spacing w:line="360" w:lineRule="auto"/>
        <w:ind w:left="420"/>
        <w:rPr>
          <w:rFonts w:ascii="宋体" w:hAnsi="宋体"/>
          <w:snapToGrid w:val="0"/>
          <w:color w:val="auto"/>
          <w:kern w:val="0"/>
          <w:sz w:val="24"/>
          <w:highlight w:val="none"/>
        </w:rPr>
      </w:pPr>
      <w:r>
        <w:rPr>
          <w:rFonts w:hint="eastAsia" w:ascii="宋体" w:hAnsi="宋体"/>
          <w:snapToGrid w:val="0"/>
          <w:color w:val="auto"/>
          <w:kern w:val="0"/>
          <w:sz w:val="24"/>
          <w:highlight w:val="none"/>
        </w:rPr>
        <w:t>（3）质量事故；</w:t>
      </w:r>
    </w:p>
    <w:p w14:paraId="44080F35">
      <w:pPr>
        <w:adjustRightInd w:val="0"/>
        <w:snapToGrid w:val="0"/>
        <w:spacing w:line="360" w:lineRule="auto"/>
        <w:ind w:left="420"/>
        <w:rPr>
          <w:rFonts w:ascii="宋体" w:hAnsi="宋体"/>
          <w:snapToGrid w:val="0"/>
          <w:color w:val="auto"/>
          <w:kern w:val="0"/>
          <w:sz w:val="24"/>
          <w:highlight w:val="none"/>
        </w:rPr>
      </w:pPr>
      <w:r>
        <w:rPr>
          <w:rFonts w:hint="eastAsia" w:ascii="宋体" w:hAnsi="宋体"/>
          <w:snapToGrid w:val="0"/>
          <w:color w:val="auto"/>
          <w:kern w:val="0"/>
          <w:sz w:val="24"/>
          <w:highlight w:val="none"/>
        </w:rPr>
        <w:t>（4）安全生产事故。</w:t>
      </w:r>
    </w:p>
    <w:p w14:paraId="78C00D83">
      <w:pPr>
        <w:adjustRightInd w:val="0"/>
        <w:snapToGrid w:val="0"/>
        <w:spacing w:line="360" w:lineRule="auto"/>
        <w:ind w:firstLine="480" w:firstLineChars="200"/>
        <w:rPr>
          <w:rFonts w:ascii="宋体" w:hAnsi="宋体"/>
          <w:snapToGrid w:val="0"/>
          <w:color w:val="auto"/>
          <w:kern w:val="0"/>
          <w:sz w:val="24"/>
          <w:highlight w:val="none"/>
          <w:shd w:val="clear" w:color="auto" w:fill="999999"/>
        </w:rPr>
      </w:pPr>
      <w:r>
        <w:rPr>
          <w:rFonts w:hint="eastAsia" w:ascii="宋体" w:hAnsi="宋体"/>
          <w:snapToGrid w:val="0"/>
          <w:color w:val="auto"/>
          <w:kern w:val="0"/>
          <w:sz w:val="24"/>
          <w:highlight w:val="none"/>
        </w:rPr>
        <w:t>因发生上述（1）、（2）项原因而暂停施工的，工期调整适用合同专用条款第13条的有关约定；因发生上述第（3）、（4）项原因而暂停施工的，工期不予顺延，承包人必须承担由此发生的费用，并按合同专用条款第38.10款、第38.11款的约定向发包人承担违约责任。</w:t>
      </w:r>
    </w:p>
    <w:p w14:paraId="5E8A6E9A">
      <w:pPr>
        <w:adjustRightInd w:val="0"/>
        <w:snapToGrid w:val="0"/>
        <w:spacing w:line="360" w:lineRule="auto"/>
        <w:ind w:firstLine="480" w:firstLineChars="200"/>
        <w:rPr>
          <w:rFonts w:ascii="宋体" w:hAnsi="宋体"/>
          <w:snapToGrid w:val="0"/>
          <w:color w:val="auto"/>
          <w:kern w:val="0"/>
          <w:sz w:val="24"/>
          <w:highlight w:val="none"/>
          <w:shd w:val="clear" w:color="auto" w:fill="999999"/>
        </w:rPr>
      </w:pPr>
      <w:r>
        <w:rPr>
          <w:rFonts w:hint="eastAsia" w:ascii="宋体" w:hAnsi="宋体"/>
          <w:snapToGrid w:val="0"/>
          <w:color w:val="auto"/>
          <w:kern w:val="0"/>
          <w:sz w:val="24"/>
          <w:highlight w:val="none"/>
        </w:rPr>
        <w:t>承包人不得以与发包人有争议或争议未解决为由而单方面停工，否则，按照合同专用条款第38.8（2）款的约定承担违约责任。</w:t>
      </w:r>
    </w:p>
    <w:p w14:paraId="6CD04CAA">
      <w:pPr>
        <w:adjustRightInd w:val="0"/>
        <w:snapToGrid w:val="0"/>
        <w:spacing w:line="360" w:lineRule="auto"/>
        <w:ind w:firstLine="480" w:firstLineChars="200"/>
        <w:outlineLvl w:val="3"/>
        <w:rPr>
          <w:rFonts w:ascii="宋体" w:hAnsi="宋体"/>
          <w:snapToGrid w:val="0"/>
          <w:color w:val="auto"/>
          <w:kern w:val="0"/>
          <w:sz w:val="24"/>
          <w:highlight w:val="none"/>
          <w:shd w:val="clear" w:color="auto" w:fill="999999"/>
        </w:rPr>
      </w:pPr>
      <w:r>
        <w:rPr>
          <w:rFonts w:hint="eastAsia" w:ascii="宋体" w:hAnsi="宋体"/>
          <w:snapToGrid w:val="0"/>
          <w:color w:val="auto"/>
          <w:kern w:val="0"/>
          <w:sz w:val="24"/>
          <w:highlight w:val="none"/>
        </w:rPr>
        <w:t>12.2为了保证工程质量安全，凡出现下列情况之一（不限于此）的，总监理工程师有权下达停工令，责令承包人停工整改，由此造成的损失由承包人自行负责，造成工期延误的由承包人按合同专用条款第38.8款的有关约定承担违约责任：</w:t>
      </w:r>
    </w:p>
    <w:p w14:paraId="5B38290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（1）拒绝监理等单位管理；</w:t>
      </w:r>
    </w:p>
    <w:p w14:paraId="5199FF6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（2）施工组织设计（方案）未获总监理工程师批准而进行施工；</w:t>
      </w:r>
    </w:p>
    <w:p w14:paraId="68D6F2F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（3）未经监理单位检验而进行下一道工序作业；</w:t>
      </w:r>
    </w:p>
    <w:p w14:paraId="15EEA5B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（4）擅自采用未经监理单位及发包人认可或批准的材料，或者使用的原材料、构配件不合格或未经检查确认，或者擅自采用未经认可的代用材料；</w:t>
      </w:r>
    </w:p>
    <w:p w14:paraId="163AFC3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（5）擅自变更设计图纸的要求；</w:t>
      </w:r>
    </w:p>
    <w:p w14:paraId="75AE5DF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（6）转包工程；</w:t>
      </w:r>
    </w:p>
    <w:p w14:paraId="44B6EDF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（7）擅自让未经发包人批准的分包单位进场作业；</w:t>
      </w:r>
    </w:p>
    <w:p w14:paraId="00ED7A2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（8）存在安全隐患，未按监理单位要求及时进行整改；</w:t>
      </w:r>
    </w:p>
    <w:p w14:paraId="4678EA1A">
      <w:pPr>
        <w:adjustRightInd w:val="0"/>
        <w:snapToGrid w:val="0"/>
        <w:spacing w:line="480" w:lineRule="exact"/>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（9）未按双方约定的要求上报所需的资料。</w:t>
      </w:r>
    </w:p>
    <w:p w14:paraId="0F3643ED">
      <w:pPr>
        <w:spacing w:line="480" w:lineRule="exact"/>
        <w:ind w:firstLine="720" w:firstLineChars="300"/>
        <w:rPr>
          <w:rFonts w:ascii="宋体" w:hAnsi="宋体"/>
          <w:snapToGrid w:val="0"/>
          <w:color w:val="auto"/>
          <w:kern w:val="0"/>
          <w:sz w:val="24"/>
          <w:highlight w:val="none"/>
        </w:rPr>
      </w:pPr>
      <w:r>
        <w:rPr>
          <w:rFonts w:hint="eastAsia" w:ascii="宋体" w:hAnsi="宋体"/>
          <w:snapToGrid w:val="0"/>
          <w:color w:val="auto"/>
          <w:kern w:val="0"/>
          <w:sz w:val="24"/>
          <w:highlight w:val="none"/>
        </w:rPr>
        <w:t>12.3承包人在监理工程师发出开工令之前的现场施工准备工作，不计算任何停工、窝工损失补偿费。施工期间，非承包人原因导致停工的，在监理工程师发出停工令3天内，承包人应向监理工程师提交停工期间的人员、设备安排计划，经监理工程师、发包人批准后实施，并作为停工结算的依据。</w:t>
      </w:r>
    </w:p>
    <w:p w14:paraId="549E040F">
      <w:pPr>
        <w:adjustRightInd w:val="0"/>
        <w:snapToGrid w:val="0"/>
        <w:spacing w:line="480" w:lineRule="exact"/>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承包人未按批准的停工期间的施工组织方案（含工作计划）投入人员、设备的，或承包人在经批准的停工期间施工组织设计（含工作计划）之外额外投入人员、设备不计算停工、窝工费用。</w:t>
      </w:r>
    </w:p>
    <w:p w14:paraId="17C01432">
      <w:pPr>
        <w:adjustRightInd w:val="0"/>
        <w:snapToGrid w:val="0"/>
        <w:spacing w:line="480" w:lineRule="exact"/>
        <w:ind w:firstLine="480" w:firstLineChars="200"/>
        <w:rPr>
          <w:rFonts w:ascii="宋体" w:hAnsi="宋体"/>
          <w:snapToGrid w:val="0"/>
          <w:color w:val="auto"/>
          <w:kern w:val="0"/>
          <w:sz w:val="24"/>
          <w:highlight w:val="none"/>
        </w:rPr>
      </w:pPr>
      <w:r>
        <w:rPr>
          <w:rFonts w:hint="eastAsia" w:ascii="宋体" w:hAnsi="宋体" w:cs="宋体"/>
          <w:color w:val="auto"/>
          <w:kern w:val="0"/>
          <w:sz w:val="24"/>
          <w:highlight w:val="none"/>
        </w:rPr>
        <w:t>由于政府部门举行特殊活动引致停工的，因停工产生的费用不得向发包人索赔。因此导致一次性停工超过二天以上的，工期顺延。</w:t>
      </w:r>
    </w:p>
    <w:p w14:paraId="70DFFD5C">
      <w:pPr>
        <w:adjustRightInd w:val="0"/>
        <w:snapToGrid w:val="0"/>
        <w:spacing w:line="360" w:lineRule="auto"/>
        <w:ind w:right="11" w:firstLine="482" w:firstLineChars="200"/>
        <w:rPr>
          <w:rFonts w:ascii="宋体" w:hAnsi="宋体"/>
          <w:b/>
          <w:snapToGrid w:val="0"/>
          <w:color w:val="auto"/>
          <w:kern w:val="0"/>
          <w:sz w:val="24"/>
          <w:highlight w:val="none"/>
        </w:rPr>
      </w:pPr>
      <w:r>
        <w:rPr>
          <w:rFonts w:hint="eastAsia" w:ascii="宋体" w:hAnsi="宋体"/>
          <w:b/>
          <w:snapToGrid w:val="0"/>
          <w:color w:val="auto"/>
          <w:kern w:val="0"/>
          <w:sz w:val="24"/>
          <w:highlight w:val="none"/>
        </w:rPr>
        <w:t>承包人和发包人一致同意不适用合同通用条款第13条的约定，代之以：</w:t>
      </w:r>
    </w:p>
    <w:p w14:paraId="4A753576">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13.工期延误</w:t>
      </w:r>
    </w:p>
    <w:p w14:paraId="362BD2E0">
      <w:pPr>
        <w:adjustRightInd w:val="0"/>
        <w:snapToGrid w:val="0"/>
        <w:spacing w:line="360" w:lineRule="auto"/>
        <w:ind w:right="11" w:firstLine="460" w:firstLineChars="192"/>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13.1工期控制与调整</w:t>
      </w:r>
    </w:p>
    <w:p w14:paraId="25FA9055">
      <w:pPr>
        <w:adjustRightInd w:val="0"/>
        <w:snapToGrid w:val="0"/>
        <w:spacing w:line="360" w:lineRule="auto"/>
        <w:ind w:right="11"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（1）本工程工期分为关键节点工期和一般节点工期两类，承包人必须在施工组织设计文件中分专业详细区分和列明本工程</w:t>
      </w:r>
      <w:r>
        <w:rPr>
          <w:rFonts w:hint="eastAsia" w:ascii="宋体" w:hAnsi="宋体"/>
          <w:bCs/>
          <w:snapToGrid w:val="0"/>
          <w:color w:val="auto"/>
          <w:kern w:val="0"/>
          <w:sz w:val="24"/>
          <w:highlight w:val="none"/>
        </w:rPr>
        <w:t>总体及各单体工程</w:t>
      </w:r>
      <w:r>
        <w:rPr>
          <w:rFonts w:hint="eastAsia" w:ascii="宋体" w:hAnsi="宋体"/>
          <w:snapToGrid w:val="0"/>
          <w:color w:val="auto"/>
          <w:kern w:val="0"/>
          <w:sz w:val="24"/>
          <w:highlight w:val="none"/>
        </w:rPr>
        <w:t>的关键节点工期和一般节点工期，并报总监理工程师和发包人批准后实施。</w:t>
      </w:r>
    </w:p>
    <w:p w14:paraId="27664F8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工期调整的原则：对于承包人原因造成的工期延误，工期一概不得顺延；对于非承包人原因造成的工期延误，一般节点工期可以相应顺延，但该项顺延以不对关键节点工期和总工期构成不利影响为限。关键节点工期一般不予调整，承包人应当采取合理有效的赶工措施予以消化，而且这些合理有效的赶工措施费已包括在投标总报价中，发包人不予补偿。</w:t>
      </w:r>
    </w:p>
    <w:p w14:paraId="5BD795F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在特殊情况下，关键节点工期确需调整的，承包人必须重新编制总工期控制计划和关键节点工期调整计划并报请总监理工程师和发包人审核。经总监理工程师、发包人审核，确认承包人编制的关键节点工期调整计划已符合要求，且已采取了合理的赶工措施足以确保工程按期竣工的，应当同意工期调整。</w:t>
      </w:r>
      <w:r>
        <w:rPr>
          <w:rFonts w:hint="eastAsia" w:ascii="宋体" w:hAnsi="宋体"/>
          <w:bCs/>
          <w:snapToGrid w:val="0"/>
          <w:color w:val="auto"/>
          <w:kern w:val="0"/>
          <w:sz w:val="24"/>
          <w:highlight w:val="none"/>
        </w:rPr>
        <w:t>承包人必须按照调整后的总工期控制计划和关键节点工期计划执行。</w:t>
      </w:r>
    </w:p>
    <w:p w14:paraId="0309FE58">
      <w:pPr>
        <w:adjustRightInd w:val="0"/>
        <w:snapToGrid w:val="0"/>
        <w:spacing w:line="360" w:lineRule="auto"/>
        <w:ind w:right="11" w:firstLine="460" w:firstLineChars="192"/>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13</w:t>
      </w:r>
      <w:r>
        <w:rPr>
          <w:rFonts w:ascii="宋体" w:hAnsi="宋体"/>
          <w:bCs/>
          <w:snapToGrid w:val="0"/>
          <w:color w:val="auto"/>
          <w:kern w:val="0"/>
          <w:sz w:val="24"/>
          <w:highlight w:val="none"/>
        </w:rPr>
        <w:t>.</w:t>
      </w:r>
      <w:r>
        <w:rPr>
          <w:rFonts w:hint="eastAsia" w:ascii="宋体" w:hAnsi="宋体"/>
          <w:bCs/>
          <w:snapToGrid w:val="0"/>
          <w:color w:val="auto"/>
          <w:kern w:val="0"/>
          <w:sz w:val="24"/>
          <w:highlight w:val="none"/>
        </w:rPr>
        <w:t>2工期延误的原因及其处理</w:t>
      </w:r>
    </w:p>
    <w:p w14:paraId="2310B3E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bCs/>
          <w:snapToGrid w:val="0"/>
          <w:color w:val="auto"/>
          <w:kern w:val="0"/>
          <w:sz w:val="24"/>
          <w:highlight w:val="none"/>
        </w:rPr>
        <w:t>（1）</w:t>
      </w:r>
      <w:r>
        <w:rPr>
          <w:rFonts w:hint="eastAsia" w:ascii="宋体" w:hAnsi="宋体"/>
          <w:snapToGrid w:val="0"/>
          <w:color w:val="auto"/>
          <w:kern w:val="0"/>
          <w:sz w:val="24"/>
          <w:highlight w:val="none"/>
        </w:rPr>
        <w:t>非承包人原因造成的工期延误，是指有确凿证据证实因下列原因而直接造成承包人的原定工期计划延误：</w:t>
      </w:r>
    </w:p>
    <w:p w14:paraId="64F9071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1）不可抗力；</w:t>
      </w:r>
    </w:p>
    <w:p w14:paraId="15AAAEE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2）工程设计有重大变更或重大失误，并经总监理工程师确认会造成工期延误的；</w:t>
      </w:r>
    </w:p>
    <w:p w14:paraId="2D78DB2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3）发包人延期交付施工场地；</w:t>
      </w:r>
    </w:p>
    <w:p w14:paraId="2EB80AA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4）施工图纸供应时间影响工期进度，并经总监理工程师确认的；</w:t>
      </w:r>
    </w:p>
    <w:p w14:paraId="39C2EAD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5）发包人</w:t>
      </w:r>
      <w:r>
        <w:rPr>
          <w:rFonts w:hint="eastAsia" w:ascii="宋体" w:hAnsi="宋体"/>
          <w:iCs/>
          <w:snapToGrid w:val="0"/>
          <w:color w:val="auto"/>
          <w:kern w:val="0"/>
          <w:sz w:val="24"/>
          <w:highlight w:val="none"/>
        </w:rPr>
        <w:t>不按合同约定</w:t>
      </w:r>
      <w:r>
        <w:rPr>
          <w:rFonts w:hint="eastAsia" w:ascii="宋体" w:hAnsi="宋体"/>
          <w:snapToGrid w:val="0"/>
          <w:color w:val="auto"/>
          <w:kern w:val="0"/>
          <w:sz w:val="24"/>
          <w:highlight w:val="none"/>
        </w:rPr>
        <w:t>支付工程款而影响工期进度，并经总监理工程师确认的；</w:t>
      </w:r>
    </w:p>
    <w:p w14:paraId="2B49A91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6）发包人指令（非承包人原因）引起的停工；</w:t>
      </w:r>
    </w:p>
    <w:p w14:paraId="6FA48B2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7）发包人其他违约行为造成工期延误并经总监理工程师确认的。</w:t>
      </w:r>
    </w:p>
    <w:p w14:paraId="412B5730">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除上述原因之外，其他所有工期延误均为承包人原因造成的延误。</w:t>
      </w:r>
    </w:p>
    <w:p w14:paraId="255553C9">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bCs/>
          <w:snapToGrid w:val="0"/>
          <w:color w:val="auto"/>
          <w:kern w:val="0"/>
          <w:sz w:val="24"/>
          <w:highlight w:val="none"/>
        </w:rPr>
        <w:t>（2）</w:t>
      </w:r>
      <w:r>
        <w:rPr>
          <w:rFonts w:hint="eastAsia" w:ascii="宋体" w:hAnsi="宋体"/>
          <w:snapToGrid w:val="0"/>
          <w:color w:val="auto"/>
          <w:kern w:val="0"/>
          <w:sz w:val="24"/>
          <w:highlight w:val="none"/>
        </w:rPr>
        <w:t>因承包人原因造成的工期延误，工期一概不得顺延。承包人还应当按照合同专用条款第38.8款的有关约定承担违约责任。</w:t>
      </w:r>
    </w:p>
    <w:p w14:paraId="5AE74030">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（3）因承包人对</w:t>
      </w:r>
      <w:r>
        <w:rPr>
          <w:rFonts w:hint="eastAsia" w:ascii="宋体" w:hAnsi="宋体"/>
          <w:bCs/>
          <w:snapToGrid w:val="0"/>
          <w:color w:val="auto"/>
          <w:kern w:val="0"/>
          <w:sz w:val="24"/>
          <w:highlight w:val="none"/>
        </w:rPr>
        <w:t>现场组织管理不力或未能提供协调、配合服务，以致专业工程的进度影响工期，承包人不得以此为由提出延长工期的要求。</w:t>
      </w:r>
    </w:p>
    <w:p w14:paraId="32F04D66">
      <w:pPr>
        <w:adjustRightInd w:val="0"/>
        <w:snapToGrid w:val="0"/>
        <w:spacing w:line="360" w:lineRule="auto"/>
        <w:ind w:firstLine="480" w:firstLineChars="200"/>
        <w:outlineLvl w:val="3"/>
        <w:rPr>
          <w:rFonts w:ascii="宋体" w:hAnsi="宋体"/>
          <w:snapToGrid w:val="0"/>
          <w:color w:val="auto"/>
          <w:kern w:val="0"/>
          <w:sz w:val="24"/>
          <w:highlight w:val="none"/>
        </w:rPr>
      </w:pPr>
      <w:r>
        <w:rPr>
          <w:rFonts w:ascii="宋体" w:hAnsi="宋体"/>
          <w:bCs/>
          <w:snapToGrid w:val="0"/>
          <w:color w:val="auto"/>
          <w:kern w:val="0"/>
          <w:sz w:val="24"/>
          <w:highlight w:val="none"/>
        </w:rPr>
        <w:t>1</w:t>
      </w:r>
      <w:r>
        <w:rPr>
          <w:rFonts w:hint="eastAsia" w:ascii="宋体" w:hAnsi="宋体"/>
          <w:bCs/>
          <w:snapToGrid w:val="0"/>
          <w:color w:val="auto"/>
          <w:kern w:val="0"/>
          <w:sz w:val="24"/>
          <w:highlight w:val="none"/>
        </w:rPr>
        <w:t>3</w:t>
      </w:r>
      <w:r>
        <w:rPr>
          <w:rFonts w:ascii="宋体" w:hAnsi="宋体"/>
          <w:bCs/>
          <w:snapToGrid w:val="0"/>
          <w:color w:val="auto"/>
          <w:kern w:val="0"/>
          <w:sz w:val="24"/>
          <w:highlight w:val="none"/>
        </w:rPr>
        <w:t>.</w:t>
      </w:r>
      <w:r>
        <w:rPr>
          <w:rFonts w:hint="eastAsia" w:ascii="宋体" w:hAnsi="宋体"/>
          <w:bCs/>
          <w:snapToGrid w:val="0"/>
          <w:color w:val="auto"/>
          <w:kern w:val="0"/>
          <w:sz w:val="24"/>
          <w:highlight w:val="none"/>
        </w:rPr>
        <w:t>3</w:t>
      </w:r>
      <w:r>
        <w:rPr>
          <w:rFonts w:hint="eastAsia" w:ascii="宋体" w:hAnsi="宋体"/>
          <w:snapToGrid w:val="0"/>
          <w:color w:val="auto"/>
          <w:kern w:val="0"/>
          <w:sz w:val="24"/>
          <w:highlight w:val="none"/>
        </w:rPr>
        <w:t>非因承包人原因造成关键节点工期延误，一次性延误</w:t>
      </w:r>
      <w:r>
        <w:rPr>
          <w:rFonts w:hint="eastAsia" w:ascii="宋体" w:hAnsi="宋体"/>
          <w:iCs/>
          <w:snapToGrid w:val="0"/>
          <w:color w:val="auto"/>
          <w:kern w:val="0"/>
          <w:sz w:val="24"/>
          <w:highlight w:val="none"/>
        </w:rPr>
        <w:t>不满10</w:t>
      </w:r>
      <w:r>
        <w:rPr>
          <w:rFonts w:hint="eastAsia" w:ascii="宋体" w:hAnsi="宋体"/>
          <w:snapToGrid w:val="0"/>
          <w:color w:val="auto"/>
          <w:kern w:val="0"/>
          <w:sz w:val="24"/>
          <w:highlight w:val="none"/>
        </w:rPr>
        <w:t>天的，工期不予顺延，由承包人采取措施自行消化；一次性延</w:t>
      </w:r>
      <w:r>
        <w:rPr>
          <w:rFonts w:hint="eastAsia" w:ascii="宋体" w:hAnsi="宋体"/>
          <w:iCs/>
          <w:snapToGrid w:val="0"/>
          <w:color w:val="auto"/>
          <w:kern w:val="0"/>
          <w:sz w:val="24"/>
          <w:highlight w:val="none"/>
        </w:rPr>
        <w:t>误达到10天不满20天的</w:t>
      </w:r>
      <w:r>
        <w:rPr>
          <w:rFonts w:hint="eastAsia" w:ascii="宋体" w:hAnsi="宋体"/>
          <w:snapToGrid w:val="0"/>
          <w:color w:val="auto"/>
          <w:kern w:val="0"/>
          <w:sz w:val="24"/>
          <w:highlight w:val="none"/>
        </w:rPr>
        <w:t>，该节点工期可顺延5天，承包人应采取措施在下一个节点工期内消化；一次</w:t>
      </w:r>
      <w:r>
        <w:rPr>
          <w:rFonts w:hint="eastAsia" w:ascii="宋体" w:hAnsi="宋体"/>
          <w:iCs/>
          <w:snapToGrid w:val="0"/>
          <w:color w:val="auto"/>
          <w:kern w:val="0"/>
          <w:sz w:val="24"/>
          <w:highlight w:val="none"/>
        </w:rPr>
        <w:t>性延误达到20天不满30天的</w:t>
      </w:r>
      <w:r>
        <w:rPr>
          <w:rFonts w:hint="eastAsia" w:ascii="宋体" w:hAnsi="宋体"/>
          <w:snapToGrid w:val="0"/>
          <w:color w:val="auto"/>
          <w:kern w:val="0"/>
          <w:sz w:val="24"/>
          <w:highlight w:val="none"/>
        </w:rPr>
        <w:t>，节点工期可顺延</w:t>
      </w:r>
      <w:r>
        <w:rPr>
          <w:rFonts w:hint="eastAsia" w:ascii="宋体" w:hAnsi="宋体"/>
          <w:iCs/>
          <w:snapToGrid w:val="0"/>
          <w:color w:val="auto"/>
          <w:kern w:val="0"/>
          <w:sz w:val="24"/>
          <w:highlight w:val="none"/>
        </w:rPr>
        <w:t>10</w:t>
      </w:r>
      <w:r>
        <w:rPr>
          <w:rFonts w:hint="eastAsia" w:ascii="宋体" w:hAnsi="宋体"/>
          <w:snapToGrid w:val="0"/>
          <w:color w:val="auto"/>
          <w:kern w:val="0"/>
          <w:sz w:val="24"/>
          <w:highlight w:val="none"/>
        </w:rPr>
        <w:t>天，但承包人必须在总工期内采取措施消化被延误工期（此延误发生在最后一个节点工期内的除外）；一次性延误达到30天以上的，工期可以顺延15天（经发包人特别批准的除外）。</w:t>
      </w:r>
    </w:p>
    <w:p w14:paraId="33D14FB5">
      <w:pPr>
        <w:adjustRightInd w:val="0"/>
        <w:snapToGrid w:val="0"/>
        <w:spacing w:line="360" w:lineRule="auto"/>
        <w:ind w:right="11" w:firstLine="460" w:firstLineChars="192"/>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13.4对于非因承包人原因发生的工期延误，承包人应当在工期延误发生后7天内就延误的内容和因此发生的经济支出向发包人提出书面报告；逾期不报告的，发包人不予确认。发包人代表在收到报告后10天内予以确认、答复，逾期不予答复的，承包人即可视为</w:t>
      </w:r>
      <w:r>
        <w:rPr>
          <w:rFonts w:hint="eastAsia" w:ascii="宋体" w:hAnsi="宋体" w:cs="宋体"/>
          <w:color w:val="auto"/>
          <w:kern w:val="0"/>
          <w:sz w:val="24"/>
          <w:highlight w:val="none"/>
        </w:rPr>
        <w:t>书面报告</w:t>
      </w:r>
      <w:r>
        <w:rPr>
          <w:rFonts w:hint="eastAsia" w:ascii="宋体" w:hAnsi="宋体"/>
          <w:bCs/>
          <w:snapToGrid w:val="0"/>
          <w:color w:val="auto"/>
          <w:kern w:val="0"/>
          <w:sz w:val="24"/>
          <w:highlight w:val="none"/>
        </w:rPr>
        <w:t>已被确认。</w:t>
      </w:r>
    </w:p>
    <w:p w14:paraId="7AA9471A">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14.工程竣工</w:t>
      </w:r>
    </w:p>
    <w:p w14:paraId="3ECE3129">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14.1承包人必须采取一切有效措施保证按照合同协议书约定或者</w:t>
      </w:r>
      <w:r>
        <w:rPr>
          <w:rFonts w:hint="eastAsia" w:ascii="宋体" w:hAnsi="宋体"/>
          <w:bCs/>
          <w:snapToGrid w:val="0"/>
          <w:color w:val="auto"/>
          <w:kern w:val="0"/>
          <w:sz w:val="24"/>
          <w:highlight w:val="none"/>
        </w:rPr>
        <w:t>发包人根据工程实施情况调整</w:t>
      </w:r>
      <w:r>
        <w:rPr>
          <w:rFonts w:hint="eastAsia" w:ascii="宋体" w:hAnsi="宋体"/>
          <w:snapToGrid w:val="0"/>
          <w:color w:val="auto"/>
          <w:kern w:val="0"/>
          <w:sz w:val="24"/>
          <w:highlight w:val="none"/>
        </w:rPr>
        <w:t>的竣工日期竣工，不得延误，除非发生了以下情形：</w:t>
      </w:r>
    </w:p>
    <w:p w14:paraId="51B696E8">
      <w:pPr>
        <w:adjustRightInd w:val="0"/>
        <w:snapToGrid w:val="0"/>
        <w:spacing w:line="360" w:lineRule="auto"/>
        <w:ind w:left="461" w:right="11"/>
        <w:rPr>
          <w:rFonts w:ascii="宋体" w:hAnsi="宋体"/>
          <w:snapToGrid w:val="0"/>
          <w:color w:val="auto"/>
          <w:kern w:val="0"/>
          <w:sz w:val="24"/>
          <w:highlight w:val="none"/>
        </w:rPr>
      </w:pPr>
      <w:r>
        <w:rPr>
          <w:rFonts w:hint="eastAsia" w:ascii="宋体" w:hAnsi="宋体"/>
          <w:snapToGrid w:val="0"/>
          <w:color w:val="auto"/>
          <w:kern w:val="0"/>
          <w:sz w:val="24"/>
          <w:highlight w:val="none"/>
        </w:rPr>
        <w:t>（1）政府对本工程建设项目作出停建、缓建的决定；</w:t>
      </w:r>
    </w:p>
    <w:p w14:paraId="4A76D44C">
      <w:pPr>
        <w:adjustRightInd w:val="0"/>
        <w:snapToGrid w:val="0"/>
        <w:spacing w:line="360" w:lineRule="auto"/>
        <w:ind w:left="461" w:right="11"/>
        <w:rPr>
          <w:rFonts w:ascii="宋体" w:hAnsi="宋体"/>
          <w:snapToGrid w:val="0"/>
          <w:color w:val="auto"/>
          <w:kern w:val="0"/>
          <w:sz w:val="24"/>
          <w:highlight w:val="none"/>
        </w:rPr>
      </w:pPr>
      <w:r>
        <w:rPr>
          <w:rFonts w:hint="eastAsia" w:ascii="宋体" w:hAnsi="宋体"/>
          <w:snapToGrid w:val="0"/>
          <w:color w:val="auto"/>
          <w:kern w:val="0"/>
          <w:sz w:val="24"/>
          <w:highlight w:val="none"/>
        </w:rPr>
        <w:t>（2）重大设计变更导致本工程在规划、使用、功能方面有重大调整；</w:t>
      </w:r>
    </w:p>
    <w:p w14:paraId="475C77E6">
      <w:pPr>
        <w:adjustRightInd w:val="0"/>
        <w:snapToGrid w:val="0"/>
        <w:spacing w:line="360" w:lineRule="auto"/>
        <w:ind w:left="461" w:right="11"/>
        <w:rPr>
          <w:rFonts w:ascii="宋体" w:hAnsi="宋体"/>
          <w:snapToGrid w:val="0"/>
          <w:color w:val="auto"/>
          <w:kern w:val="0"/>
          <w:sz w:val="24"/>
          <w:highlight w:val="none"/>
        </w:rPr>
      </w:pPr>
      <w:r>
        <w:rPr>
          <w:rFonts w:hint="eastAsia" w:ascii="宋体" w:hAnsi="宋体"/>
          <w:snapToGrid w:val="0"/>
          <w:color w:val="auto"/>
          <w:kern w:val="0"/>
          <w:sz w:val="24"/>
          <w:highlight w:val="none"/>
        </w:rPr>
        <w:t>（3）非因承包人原因造成关键节点工期延误达到30天以上；</w:t>
      </w:r>
    </w:p>
    <w:p w14:paraId="0565806C">
      <w:pPr>
        <w:adjustRightInd w:val="0"/>
        <w:snapToGrid w:val="0"/>
        <w:spacing w:line="360" w:lineRule="auto"/>
        <w:ind w:left="461" w:right="11"/>
        <w:rPr>
          <w:rFonts w:ascii="宋体" w:hAnsi="宋体"/>
          <w:snapToGrid w:val="0"/>
          <w:color w:val="auto"/>
          <w:kern w:val="0"/>
          <w:sz w:val="24"/>
          <w:highlight w:val="none"/>
        </w:rPr>
      </w:pPr>
      <w:r>
        <w:rPr>
          <w:rFonts w:hint="eastAsia" w:ascii="宋体" w:hAnsi="宋体"/>
          <w:snapToGrid w:val="0"/>
          <w:color w:val="auto"/>
          <w:kern w:val="0"/>
          <w:sz w:val="24"/>
          <w:highlight w:val="none"/>
        </w:rPr>
        <w:t>（4）其他非因承包人原因造成的竣工日期延误。</w:t>
      </w:r>
    </w:p>
    <w:p w14:paraId="2A7EFE10">
      <w:pPr>
        <w:adjustRightInd w:val="0"/>
        <w:snapToGrid w:val="0"/>
        <w:spacing w:line="360" w:lineRule="auto"/>
        <w:ind w:right="11"/>
        <w:rPr>
          <w:rFonts w:ascii="宋体" w:hAnsi="宋体"/>
          <w:bCs/>
          <w:snapToGrid w:val="0"/>
          <w:color w:val="auto"/>
          <w:kern w:val="0"/>
          <w:sz w:val="24"/>
          <w:highlight w:val="none"/>
        </w:rPr>
      </w:pPr>
    </w:p>
    <w:p w14:paraId="6939161A">
      <w:pPr>
        <w:adjustRightInd w:val="0"/>
        <w:snapToGrid w:val="0"/>
        <w:spacing w:line="360" w:lineRule="auto"/>
        <w:ind w:right="11"/>
        <w:outlineLvl w:val="1"/>
        <w:rPr>
          <w:rFonts w:ascii="宋体" w:hAnsi="宋体"/>
          <w:b/>
          <w:bCs/>
          <w:snapToGrid w:val="0"/>
          <w:color w:val="auto"/>
          <w:kern w:val="0"/>
          <w:sz w:val="28"/>
          <w:szCs w:val="28"/>
          <w:highlight w:val="none"/>
        </w:rPr>
      </w:pPr>
      <w:r>
        <w:rPr>
          <w:rFonts w:hint="eastAsia" w:ascii="宋体" w:hAnsi="宋体"/>
          <w:b/>
          <w:bCs/>
          <w:snapToGrid w:val="0"/>
          <w:color w:val="auto"/>
          <w:kern w:val="0"/>
          <w:sz w:val="28"/>
          <w:szCs w:val="28"/>
          <w:highlight w:val="none"/>
        </w:rPr>
        <w:t>四、质量与检验</w:t>
      </w:r>
    </w:p>
    <w:p w14:paraId="2020D8ED">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ascii="宋体" w:hAnsi="宋体"/>
          <w:b/>
          <w:snapToGrid w:val="0"/>
          <w:color w:val="auto"/>
          <w:kern w:val="0"/>
          <w:sz w:val="24"/>
          <w:highlight w:val="none"/>
        </w:rPr>
        <w:t>1</w:t>
      </w:r>
      <w:r>
        <w:rPr>
          <w:rFonts w:hint="eastAsia" w:ascii="宋体" w:hAnsi="宋体"/>
          <w:b/>
          <w:snapToGrid w:val="0"/>
          <w:color w:val="auto"/>
          <w:kern w:val="0"/>
          <w:sz w:val="24"/>
          <w:highlight w:val="none"/>
        </w:rPr>
        <w:t>5.工程质量</w:t>
      </w:r>
    </w:p>
    <w:p w14:paraId="29491177">
      <w:pPr>
        <w:adjustRightInd w:val="0"/>
        <w:snapToGrid w:val="0"/>
        <w:spacing w:line="360" w:lineRule="auto"/>
        <w:ind w:firstLine="420" w:firstLineChars="175"/>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15.1工程质量标准</w:t>
      </w:r>
    </w:p>
    <w:p w14:paraId="5F3823E3">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（1）本合同工程质量标准按合同协议书第4条的约定执行。</w:t>
      </w:r>
    </w:p>
    <w:p w14:paraId="53FEC166">
      <w:pPr>
        <w:adjustRightInd w:val="0"/>
        <w:snapToGrid w:val="0"/>
        <w:spacing w:line="360" w:lineRule="auto"/>
        <w:ind w:right="11" w:firstLine="460" w:firstLineChars="192"/>
        <w:rPr>
          <w:rFonts w:ascii="宋体" w:hAnsi="宋体"/>
          <w:bCs/>
          <w:snapToGrid w:val="0"/>
          <w:color w:val="auto"/>
          <w:kern w:val="0"/>
          <w:sz w:val="24"/>
          <w:highlight w:val="none"/>
        </w:rPr>
      </w:pPr>
      <w:r>
        <w:rPr>
          <w:rFonts w:hint="eastAsia" w:ascii="宋体" w:hAnsi="宋体"/>
          <w:bCs/>
          <w:snapToGrid w:val="0"/>
          <w:color w:val="auto"/>
          <w:kern w:val="0"/>
          <w:sz w:val="24"/>
          <w:highlight w:val="none"/>
        </w:rPr>
        <w:t>（2）承包人必须确保工程一次验收合格。因承包人原因致使工程未一次验收合格的，由承包人按照合同专用条款第38.10（2）款的约定承担违约责任；因此导致工程不能按计划工期办理竣工验收的，由承包人按照合同专用条款第38.8（5）款的约定承担违约责任。</w:t>
      </w:r>
    </w:p>
    <w:p w14:paraId="4C10988B">
      <w:pPr>
        <w:adjustRightInd w:val="0"/>
        <w:snapToGrid w:val="0"/>
        <w:spacing w:line="360" w:lineRule="auto"/>
        <w:ind w:right="11" w:firstLine="460" w:firstLineChars="192"/>
        <w:rPr>
          <w:rFonts w:ascii="宋体" w:hAnsi="宋体"/>
          <w:bCs/>
          <w:snapToGrid w:val="0"/>
          <w:color w:val="auto"/>
          <w:kern w:val="0"/>
          <w:sz w:val="24"/>
          <w:highlight w:val="none"/>
        </w:rPr>
      </w:pPr>
      <w:r>
        <w:rPr>
          <w:rFonts w:hint="eastAsia" w:ascii="宋体" w:hAnsi="宋体"/>
          <w:bCs/>
          <w:snapToGrid w:val="0"/>
          <w:color w:val="auto"/>
          <w:kern w:val="0"/>
          <w:sz w:val="24"/>
          <w:highlight w:val="none"/>
        </w:rPr>
        <w:t>（3）本工程推行分段结算，为配合分段结算工作，本工程的分部验收工作应按经发包人审定的分部验收工作计划执行。</w:t>
      </w:r>
    </w:p>
    <w:p w14:paraId="798B3949">
      <w:pPr>
        <w:adjustRightInd w:val="0"/>
        <w:snapToGrid w:val="0"/>
        <w:spacing w:line="360" w:lineRule="auto"/>
        <w:ind w:right="11" w:firstLine="460" w:firstLineChars="192"/>
        <w:outlineLvl w:val="3"/>
        <w:rPr>
          <w:rFonts w:ascii="宋体" w:hAnsi="宋体"/>
          <w:bCs/>
          <w:snapToGrid w:val="0"/>
          <w:color w:val="auto"/>
          <w:kern w:val="0"/>
          <w:sz w:val="24"/>
          <w:highlight w:val="none"/>
        </w:rPr>
      </w:pPr>
      <w:r>
        <w:rPr>
          <w:rFonts w:ascii="宋体" w:hAnsi="宋体"/>
          <w:bCs/>
          <w:snapToGrid w:val="0"/>
          <w:color w:val="auto"/>
          <w:kern w:val="0"/>
          <w:sz w:val="24"/>
          <w:highlight w:val="none"/>
        </w:rPr>
        <w:t>1</w:t>
      </w:r>
      <w:r>
        <w:rPr>
          <w:rFonts w:hint="eastAsia" w:ascii="宋体" w:hAnsi="宋体"/>
          <w:bCs/>
          <w:snapToGrid w:val="0"/>
          <w:color w:val="auto"/>
          <w:kern w:val="0"/>
          <w:sz w:val="24"/>
          <w:highlight w:val="none"/>
        </w:rPr>
        <w:t>5</w:t>
      </w:r>
      <w:r>
        <w:rPr>
          <w:rFonts w:ascii="宋体" w:hAnsi="宋体"/>
          <w:bCs/>
          <w:snapToGrid w:val="0"/>
          <w:color w:val="auto"/>
          <w:kern w:val="0"/>
          <w:sz w:val="24"/>
          <w:highlight w:val="none"/>
        </w:rPr>
        <w:t>.2</w:t>
      </w:r>
      <w:r>
        <w:rPr>
          <w:rFonts w:hint="eastAsia" w:ascii="宋体" w:hAnsi="宋体"/>
          <w:bCs/>
          <w:snapToGrid w:val="0"/>
          <w:color w:val="auto"/>
          <w:kern w:val="0"/>
          <w:sz w:val="24"/>
          <w:highlight w:val="none"/>
        </w:rPr>
        <w:t>工程质量争议与鉴定</w:t>
      </w:r>
    </w:p>
    <w:p w14:paraId="148FD1C5">
      <w:pPr>
        <w:adjustRightInd w:val="0"/>
        <w:snapToGrid w:val="0"/>
        <w:spacing w:line="360" w:lineRule="auto"/>
        <w:ind w:right="11" w:firstLine="460" w:firstLineChars="192"/>
        <w:rPr>
          <w:rFonts w:ascii="宋体" w:hAnsi="宋体"/>
          <w:bCs/>
          <w:snapToGrid w:val="0"/>
          <w:color w:val="auto"/>
          <w:kern w:val="0"/>
          <w:sz w:val="24"/>
          <w:highlight w:val="none"/>
        </w:rPr>
      </w:pPr>
      <w:r>
        <w:rPr>
          <w:rFonts w:hint="eastAsia" w:ascii="宋体" w:hAnsi="宋体"/>
          <w:bCs/>
          <w:snapToGrid w:val="0"/>
          <w:color w:val="auto"/>
          <w:kern w:val="0"/>
          <w:sz w:val="24"/>
          <w:highlight w:val="none"/>
        </w:rPr>
        <w:t>双方一致同意，对于本合同履行过程中的工程质量争议，由工程所在地负责工程质量监督的政府主管机构或部门依据《建筑工程施工质量验收统一标准》（GB50300-2013）（如有新版本，则按最新版本执行）系列各专业验收规范及设计文件等进行鉴定并按鉴定结论及有关规定承担责任。</w:t>
      </w:r>
    </w:p>
    <w:p w14:paraId="0BA88463">
      <w:pPr>
        <w:adjustRightInd w:val="0"/>
        <w:snapToGrid w:val="0"/>
        <w:spacing w:line="360" w:lineRule="auto"/>
        <w:ind w:firstLine="482" w:firstLineChars="200"/>
        <w:rPr>
          <w:rFonts w:ascii="宋体" w:hAnsi="宋体"/>
          <w:snapToGrid w:val="0"/>
          <w:color w:val="auto"/>
          <w:kern w:val="0"/>
          <w:sz w:val="24"/>
          <w:highlight w:val="none"/>
        </w:rPr>
      </w:pPr>
      <w:r>
        <w:rPr>
          <w:rFonts w:hint="eastAsia" w:ascii="宋体" w:hAnsi="宋体"/>
          <w:b/>
          <w:snapToGrid w:val="0"/>
          <w:color w:val="auto"/>
          <w:kern w:val="0"/>
          <w:sz w:val="24"/>
          <w:highlight w:val="none"/>
        </w:rPr>
        <w:t>承包人和发包人一致同意增加15.3：</w:t>
      </w:r>
    </w:p>
    <w:p w14:paraId="3799354A">
      <w:pPr>
        <w:adjustRightInd w:val="0"/>
        <w:snapToGrid w:val="0"/>
        <w:spacing w:line="360" w:lineRule="auto"/>
        <w:ind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15.3工程质量保证体系</w:t>
      </w:r>
    </w:p>
    <w:p w14:paraId="76F1BE24">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cs="宋体"/>
          <w:color w:val="auto"/>
          <w:kern w:val="0"/>
          <w:sz w:val="24"/>
          <w:szCs w:val="24"/>
          <w:highlight w:val="none"/>
          <w:u w:val="single"/>
        </w:rPr>
        <w:t>承包人应当完善质量管理制度，建立质量控制流程，进行全面质量管理（TQC），以《质量管理体系标准要求》（GB/T19000-2016）为标准，建立并保持一个有效的工程质量管理体系。为此，承包人必须做到（不限于）：</w:t>
      </w:r>
    </w:p>
    <w:p w14:paraId="59B1AF1F">
      <w:pPr>
        <w:adjustRightInd w:val="0"/>
        <w:snapToGrid w:val="0"/>
        <w:spacing w:line="360" w:lineRule="auto"/>
        <w:ind w:firstLine="480"/>
        <w:rPr>
          <w:rFonts w:ascii="宋体" w:hAnsi="宋体"/>
          <w:snapToGrid w:val="0"/>
          <w:color w:val="auto"/>
          <w:kern w:val="0"/>
          <w:sz w:val="24"/>
          <w:highlight w:val="none"/>
        </w:rPr>
      </w:pPr>
      <w:r>
        <w:rPr>
          <w:rFonts w:hint="eastAsia" w:ascii="宋体" w:hAnsi="宋体"/>
          <w:snapToGrid w:val="0"/>
          <w:color w:val="auto"/>
          <w:kern w:val="0"/>
          <w:sz w:val="24"/>
          <w:highlight w:val="none"/>
        </w:rPr>
        <w:t>（1）建立完整的质量保证体系，委派专人负责工程质量管理，现场管理机构、工区（段）设有专职质检人员，班组设质检员，必须附有项目架构人员名单，各类人员必须持有上岗资格证，于本合同签订后5天内将上述人员报总监理工程师备查。承包人还应建立并完善各项目质量管理检查制度及企业质量管理文件等。</w:t>
      </w:r>
      <w:r>
        <w:rPr>
          <w:rFonts w:hint="eastAsia" w:ascii="宋体" w:hAnsi="宋体"/>
          <w:bCs/>
          <w:snapToGrid w:val="0"/>
          <w:color w:val="auto"/>
          <w:kern w:val="0"/>
          <w:sz w:val="24"/>
          <w:highlight w:val="none"/>
        </w:rPr>
        <w:t>同时，承包人应积极配合工程质量第三方检测工作，并积极采用新材料、新工艺、新技术。</w:t>
      </w:r>
    </w:p>
    <w:p w14:paraId="352CBCA7">
      <w:pPr>
        <w:adjustRightInd w:val="0"/>
        <w:snapToGrid w:val="0"/>
        <w:spacing w:line="360" w:lineRule="auto"/>
        <w:ind w:firstLine="480"/>
        <w:rPr>
          <w:rFonts w:ascii="宋体" w:hAnsi="宋体"/>
          <w:snapToGrid w:val="0"/>
          <w:color w:val="auto"/>
          <w:kern w:val="0"/>
          <w:sz w:val="24"/>
          <w:highlight w:val="none"/>
        </w:rPr>
      </w:pPr>
      <w:r>
        <w:rPr>
          <w:rFonts w:hint="eastAsia" w:ascii="宋体" w:hAnsi="宋体"/>
          <w:snapToGrid w:val="0"/>
          <w:color w:val="auto"/>
          <w:kern w:val="0"/>
          <w:sz w:val="24"/>
          <w:highlight w:val="none"/>
        </w:rPr>
        <w:t>（2）承包人提交总监理工程师批准的施工组织设计或者施工方案必须附有完备的工程质量保证措施，包括：工程质量预控措施，</w:t>
      </w:r>
      <w:r>
        <w:rPr>
          <w:rFonts w:hint="eastAsia" w:ascii="宋体" w:hAnsi="宋体"/>
          <w:iCs/>
          <w:snapToGrid w:val="0"/>
          <w:color w:val="auto"/>
          <w:kern w:val="0"/>
          <w:sz w:val="24"/>
          <w:highlight w:val="none"/>
        </w:rPr>
        <w:t>工序质量控制点，</w:t>
      </w:r>
      <w:r>
        <w:rPr>
          <w:rFonts w:hint="eastAsia" w:ascii="宋体" w:hAnsi="宋体"/>
          <w:snapToGrid w:val="0"/>
          <w:color w:val="auto"/>
          <w:kern w:val="0"/>
          <w:sz w:val="24"/>
          <w:highlight w:val="none"/>
        </w:rPr>
        <w:t>工程的标准工艺流程图和技术、组织措施，工程各分部、分项的关键工序、特殊工序控制、样板间制度等，以及重点分部（项）工程的施工方法，材料、制品试件取样及送检试验的方法或检测方案，成品保护的措施和方法，质量报表和质量事故的报告制度，等等。</w:t>
      </w:r>
    </w:p>
    <w:p w14:paraId="45568782">
      <w:pPr>
        <w:adjustRightInd w:val="0"/>
        <w:snapToGrid w:val="0"/>
        <w:spacing w:line="360" w:lineRule="auto"/>
        <w:ind w:firstLine="480"/>
        <w:rPr>
          <w:rFonts w:ascii="宋体" w:hAnsi="宋体"/>
          <w:snapToGrid w:val="0"/>
          <w:color w:val="auto"/>
          <w:kern w:val="0"/>
          <w:sz w:val="24"/>
          <w:highlight w:val="none"/>
        </w:rPr>
      </w:pPr>
      <w:r>
        <w:rPr>
          <w:rFonts w:hint="eastAsia" w:ascii="宋体" w:hAnsi="宋体"/>
          <w:snapToGrid w:val="0"/>
          <w:color w:val="auto"/>
          <w:kern w:val="0"/>
          <w:sz w:val="24"/>
          <w:highlight w:val="none"/>
        </w:rPr>
        <w:t>（3）单项工程开工前，承包人必须按要求对工人进行技术交底，组织学习有关规程、标准、规范和工艺要求（规程包括但不限于施工企业标准和作业指导书），在施工中必须按规程及工艺进行操作。</w:t>
      </w:r>
    </w:p>
    <w:p w14:paraId="1D6A4CE3">
      <w:pPr>
        <w:adjustRightInd w:val="0"/>
        <w:snapToGrid w:val="0"/>
        <w:spacing w:line="360" w:lineRule="auto"/>
        <w:ind w:firstLine="480"/>
        <w:rPr>
          <w:rFonts w:ascii="宋体" w:hAnsi="宋体"/>
          <w:snapToGrid w:val="0"/>
          <w:color w:val="auto"/>
          <w:kern w:val="0"/>
          <w:sz w:val="24"/>
          <w:highlight w:val="none"/>
        </w:rPr>
      </w:pPr>
      <w:r>
        <w:rPr>
          <w:rFonts w:hint="eastAsia" w:ascii="宋体" w:hAnsi="宋体"/>
          <w:snapToGrid w:val="0"/>
          <w:color w:val="auto"/>
          <w:kern w:val="0"/>
          <w:sz w:val="24"/>
          <w:highlight w:val="none"/>
        </w:rPr>
        <w:t>（4）单项工程和重要部位必须遵循先试验后铺开施工的程序，开工前承包人应熟悉施工图纸会审和设计变更内容并完成施工组织设计和必要的施工准备，送总监理工程师审查批准后方可进行试验性施工，完工后由总监理工程师检验，符合要求后才能铺开施工或者批量生产。</w:t>
      </w:r>
    </w:p>
    <w:p w14:paraId="4CBA09AA">
      <w:pPr>
        <w:adjustRightInd w:val="0"/>
        <w:snapToGrid w:val="0"/>
        <w:spacing w:line="360" w:lineRule="auto"/>
        <w:ind w:firstLine="480"/>
        <w:rPr>
          <w:rFonts w:ascii="宋体" w:hAnsi="宋体"/>
          <w:snapToGrid w:val="0"/>
          <w:color w:val="auto"/>
          <w:kern w:val="0"/>
          <w:sz w:val="24"/>
          <w:highlight w:val="none"/>
        </w:rPr>
      </w:pPr>
      <w:r>
        <w:rPr>
          <w:rFonts w:hint="eastAsia" w:ascii="宋体" w:hAnsi="宋体"/>
          <w:snapToGrid w:val="0"/>
          <w:color w:val="auto"/>
          <w:kern w:val="0"/>
          <w:sz w:val="24"/>
          <w:highlight w:val="none"/>
        </w:rPr>
        <w:t>（5）按照《关于加强房屋建筑和市政基础设施工程混凝土试件标准养护管理的通知》（穗建质[2011]941号）的要求，在建房屋建筑和市政基础设施工程，现场有混凝土结构施工部位的，必须在施工现场建立混凝土试件标准养护室或放置标准养护箱。</w:t>
      </w:r>
    </w:p>
    <w:p w14:paraId="53E36BE9">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16.检查和返工</w:t>
      </w:r>
    </w:p>
    <w:p w14:paraId="574F9399">
      <w:pPr>
        <w:adjustRightInd w:val="0"/>
        <w:snapToGrid w:val="0"/>
        <w:spacing w:line="360" w:lineRule="auto"/>
        <w:ind w:firstLine="482" w:firstLineChars="200"/>
        <w:rPr>
          <w:rFonts w:ascii="宋体" w:hAnsi="宋体"/>
          <w:b/>
          <w:snapToGrid w:val="0"/>
          <w:color w:val="auto"/>
          <w:kern w:val="0"/>
          <w:sz w:val="24"/>
          <w:highlight w:val="none"/>
        </w:rPr>
      </w:pPr>
      <w:r>
        <w:rPr>
          <w:rFonts w:hint="eastAsia" w:ascii="宋体" w:hAnsi="宋体"/>
          <w:b/>
          <w:snapToGrid w:val="0"/>
          <w:color w:val="auto"/>
          <w:kern w:val="0"/>
          <w:sz w:val="24"/>
          <w:highlight w:val="none"/>
        </w:rPr>
        <w:t>承包人和发包人一致同意增加16.5至16.10：</w:t>
      </w:r>
    </w:p>
    <w:p w14:paraId="3210166D">
      <w:pPr>
        <w:adjustRightInd w:val="0"/>
        <w:snapToGrid w:val="0"/>
        <w:spacing w:line="360" w:lineRule="auto"/>
        <w:ind w:firstLine="480" w:firstLineChars="20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16.5对承包人采购的工程材料、设备及采用的工艺的查验</w:t>
      </w:r>
    </w:p>
    <w:p w14:paraId="0BE189D7">
      <w:pPr>
        <w:adjustRightInd w:val="0"/>
        <w:snapToGrid w:val="0"/>
        <w:spacing w:line="360" w:lineRule="auto"/>
        <w:ind w:firstLine="480"/>
        <w:outlineLvl w:val="4"/>
        <w:rPr>
          <w:rFonts w:ascii="宋体" w:hAnsi="宋体"/>
          <w:snapToGrid w:val="0"/>
          <w:color w:val="auto"/>
          <w:kern w:val="0"/>
          <w:sz w:val="24"/>
          <w:highlight w:val="none"/>
        </w:rPr>
      </w:pPr>
      <w:r>
        <w:rPr>
          <w:rFonts w:hint="eastAsia" w:ascii="宋体" w:hAnsi="宋体"/>
          <w:snapToGrid w:val="0"/>
          <w:color w:val="auto"/>
          <w:kern w:val="0"/>
          <w:sz w:val="24"/>
          <w:highlight w:val="none"/>
        </w:rPr>
        <w:t>（1）实施工程的一切材料、设备及工艺，都必须符合工程设计及技术标准、规范的要求，并应当在用于工程之前经过检验或试验，不合格的不得使用。承包人要建立检验、试验制度，随时按总监理工程师的要求，在材料、设备的制造、加工或制配地点，或施工场地进行检验或试验，并应提供一切正常需要的手段，在材料、设备及工艺用于工程之前提供样品、样件，按照总监理工程师的选择和要求进行检验或试验。</w:t>
      </w:r>
    </w:p>
    <w:p w14:paraId="3C2724A1">
      <w:pPr>
        <w:adjustRightInd w:val="0"/>
        <w:snapToGrid w:val="0"/>
        <w:spacing w:line="360" w:lineRule="auto"/>
        <w:ind w:firstLine="480" w:firstLineChars="200"/>
        <w:outlineLvl w:val="4"/>
        <w:rPr>
          <w:rFonts w:ascii="宋体" w:hAnsi="宋体"/>
          <w:snapToGrid w:val="0"/>
          <w:color w:val="auto"/>
          <w:kern w:val="0"/>
          <w:sz w:val="24"/>
          <w:highlight w:val="none"/>
        </w:rPr>
      </w:pPr>
      <w:r>
        <w:rPr>
          <w:rFonts w:hint="eastAsia" w:ascii="宋体" w:hAnsi="宋体"/>
          <w:snapToGrid w:val="0"/>
          <w:color w:val="auto"/>
          <w:kern w:val="0"/>
          <w:sz w:val="24"/>
          <w:highlight w:val="none"/>
        </w:rPr>
        <w:t>（2）总监理工程师有权在施工场地、库房以及为工程生产、加工、制配材料、设备的地点（无论这些地点是否属于承包人管辖）检查和检验按合同提供的材料、设备。承包人应为总监理工程师的检查和检验提供一切便利，包括提供人员和设备、材料等。总监理工程师的检查结果证明该材料、设备不符合合同要求的，必须拒绝这些材料、设备的使用，立即通知承包人并说明拒绝的理由。承包人在接到总监理工程师的通知后必须立即更换被拒绝的材料、设备。承包人拒不执行上述指令的，则发包人有权雇佣他人代为实施，由此产生的相关费用由承包人承担。</w:t>
      </w:r>
    </w:p>
    <w:p w14:paraId="2174A8EF">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bCs/>
          <w:snapToGrid w:val="0"/>
          <w:color w:val="auto"/>
          <w:kern w:val="0"/>
          <w:sz w:val="24"/>
          <w:highlight w:val="none"/>
        </w:rPr>
        <w:t>发包人和总监理工程师认为有必要的，有权对已检查、检验过的材料、设备进行重复检查、检验，承包人应遵照执行。重复检查、检验的程序和内容适用前述约定。</w:t>
      </w:r>
    </w:p>
    <w:p w14:paraId="114CA934">
      <w:pPr>
        <w:adjustRightInd w:val="0"/>
        <w:snapToGrid w:val="0"/>
        <w:spacing w:line="360" w:lineRule="auto"/>
        <w:ind w:firstLine="420"/>
        <w:outlineLvl w:val="4"/>
        <w:rPr>
          <w:rFonts w:ascii="宋体" w:hAnsi="宋体"/>
          <w:iCs/>
          <w:snapToGrid w:val="0"/>
          <w:color w:val="auto"/>
          <w:kern w:val="0"/>
          <w:sz w:val="24"/>
          <w:highlight w:val="none"/>
        </w:rPr>
      </w:pPr>
      <w:r>
        <w:rPr>
          <w:rFonts w:hint="eastAsia" w:ascii="宋体" w:hAnsi="宋体"/>
          <w:bCs/>
          <w:snapToGrid w:val="0"/>
          <w:color w:val="auto"/>
          <w:kern w:val="0"/>
          <w:sz w:val="24"/>
          <w:highlight w:val="none"/>
        </w:rPr>
        <w:t>（3）</w:t>
      </w:r>
      <w:r>
        <w:rPr>
          <w:rFonts w:hint="eastAsia" w:ascii="宋体" w:hAnsi="宋体"/>
          <w:snapToGrid w:val="0"/>
          <w:color w:val="auto"/>
          <w:kern w:val="0"/>
          <w:sz w:val="24"/>
          <w:highlight w:val="none"/>
        </w:rPr>
        <w:t>在施工过程中，总监理工程师有权随时对工程材料、设备的使用进行抽查，包括成品、半成品、器具、设备、附件、小五金等。抽查范围、比例、数量、批次及检查深度可比国家</w:t>
      </w:r>
      <w:r>
        <w:rPr>
          <w:rFonts w:hint="eastAsia" w:ascii="宋体" w:hAnsi="宋体"/>
          <w:iCs/>
          <w:snapToGrid w:val="0"/>
          <w:color w:val="auto"/>
          <w:kern w:val="0"/>
          <w:sz w:val="24"/>
          <w:highlight w:val="none"/>
        </w:rPr>
        <w:t>现行施工质量验收规范和</w:t>
      </w:r>
      <w:r>
        <w:rPr>
          <w:rFonts w:hint="eastAsia" w:ascii="宋体" w:hAnsi="宋体"/>
          <w:snapToGrid w:val="0"/>
          <w:color w:val="auto"/>
          <w:kern w:val="0"/>
          <w:sz w:val="24"/>
          <w:highlight w:val="none"/>
        </w:rPr>
        <w:t>相关规定有所提高。</w:t>
      </w:r>
    </w:p>
    <w:p w14:paraId="3884D206">
      <w:pPr>
        <w:adjustRightInd w:val="0"/>
        <w:snapToGrid w:val="0"/>
        <w:spacing w:line="360" w:lineRule="auto"/>
        <w:ind w:firstLine="420"/>
        <w:rPr>
          <w:rFonts w:ascii="宋体" w:hAnsi="宋体"/>
          <w:snapToGrid w:val="0"/>
          <w:color w:val="auto"/>
          <w:kern w:val="0"/>
          <w:sz w:val="24"/>
          <w:highlight w:val="none"/>
        </w:rPr>
      </w:pPr>
      <w:r>
        <w:rPr>
          <w:rFonts w:hint="eastAsia" w:ascii="宋体" w:hAnsi="宋体"/>
          <w:snapToGrid w:val="0"/>
          <w:color w:val="auto"/>
          <w:kern w:val="0"/>
          <w:sz w:val="24"/>
          <w:highlight w:val="none"/>
        </w:rPr>
        <w:t>工程材料、设备的质量依据下列顺序之标准认定（排序在前者优先）：</w:t>
      </w:r>
    </w:p>
    <w:p w14:paraId="3E73032C">
      <w:pPr>
        <w:adjustRightInd w:val="0"/>
        <w:snapToGrid w:val="0"/>
        <w:spacing w:line="360" w:lineRule="auto"/>
        <w:ind w:firstLine="420"/>
        <w:rPr>
          <w:rFonts w:ascii="宋体" w:hAnsi="宋体"/>
          <w:snapToGrid w:val="0"/>
          <w:color w:val="auto"/>
          <w:kern w:val="0"/>
          <w:sz w:val="24"/>
          <w:highlight w:val="none"/>
        </w:rPr>
      </w:pPr>
      <w:r>
        <w:rPr>
          <w:rFonts w:hint="eastAsia" w:ascii="宋体" w:hAnsi="宋体"/>
          <w:snapToGrid w:val="0"/>
          <w:color w:val="auto"/>
          <w:kern w:val="0"/>
          <w:sz w:val="24"/>
          <w:highlight w:val="none"/>
        </w:rPr>
        <w:t>1）本工程设计图纸规定的设计标准和发包人制定的材料标准及技术要求[不符合下列第4）项标准要求的除外]；</w:t>
      </w:r>
    </w:p>
    <w:p w14:paraId="034A6100">
      <w:pPr>
        <w:adjustRightInd w:val="0"/>
        <w:snapToGrid w:val="0"/>
        <w:spacing w:line="360" w:lineRule="auto"/>
        <w:ind w:firstLine="420"/>
        <w:rPr>
          <w:rFonts w:ascii="宋体" w:hAnsi="宋体"/>
          <w:iCs/>
          <w:snapToGrid w:val="0"/>
          <w:color w:val="auto"/>
          <w:kern w:val="0"/>
          <w:sz w:val="24"/>
          <w:highlight w:val="none"/>
        </w:rPr>
      </w:pPr>
      <w:r>
        <w:rPr>
          <w:rFonts w:hint="eastAsia" w:ascii="宋体" w:hAnsi="宋体"/>
          <w:iCs/>
          <w:snapToGrid w:val="0"/>
          <w:color w:val="auto"/>
          <w:kern w:val="0"/>
          <w:sz w:val="24"/>
          <w:highlight w:val="none"/>
        </w:rPr>
        <w:t>2）招投标时确定的规格、技术指标、质量标准、品牌等</w:t>
      </w:r>
      <w:r>
        <w:rPr>
          <w:rFonts w:hint="eastAsia" w:ascii="宋体" w:hAnsi="宋体"/>
          <w:snapToGrid w:val="0"/>
          <w:color w:val="auto"/>
          <w:kern w:val="0"/>
          <w:sz w:val="24"/>
          <w:highlight w:val="none"/>
        </w:rPr>
        <w:t>[不符合下列第4）项标准要求的除外]</w:t>
      </w:r>
      <w:r>
        <w:rPr>
          <w:rFonts w:hint="eastAsia" w:ascii="宋体" w:hAnsi="宋体"/>
          <w:iCs/>
          <w:snapToGrid w:val="0"/>
          <w:color w:val="auto"/>
          <w:kern w:val="0"/>
          <w:sz w:val="24"/>
          <w:highlight w:val="none"/>
        </w:rPr>
        <w:t>；</w:t>
      </w:r>
    </w:p>
    <w:p w14:paraId="6E5A654A">
      <w:pPr>
        <w:adjustRightInd w:val="0"/>
        <w:snapToGrid w:val="0"/>
        <w:spacing w:line="360" w:lineRule="auto"/>
        <w:ind w:firstLine="420"/>
        <w:rPr>
          <w:rFonts w:ascii="宋体" w:hAnsi="宋体"/>
          <w:iCs/>
          <w:snapToGrid w:val="0"/>
          <w:color w:val="auto"/>
          <w:kern w:val="0"/>
          <w:sz w:val="24"/>
          <w:highlight w:val="none"/>
        </w:rPr>
      </w:pPr>
      <w:r>
        <w:rPr>
          <w:rFonts w:hint="eastAsia" w:ascii="宋体" w:hAnsi="宋体"/>
          <w:iCs/>
          <w:snapToGrid w:val="0"/>
          <w:color w:val="auto"/>
          <w:kern w:val="0"/>
          <w:sz w:val="24"/>
          <w:highlight w:val="none"/>
        </w:rPr>
        <w:t>3）经设计单位、监理单位、承包人、发包人共同认定的产品封样、样板（包括样板房等）</w:t>
      </w:r>
      <w:r>
        <w:rPr>
          <w:rFonts w:hint="eastAsia" w:ascii="宋体" w:hAnsi="宋体"/>
          <w:snapToGrid w:val="0"/>
          <w:color w:val="auto"/>
          <w:kern w:val="0"/>
          <w:sz w:val="24"/>
          <w:highlight w:val="none"/>
        </w:rPr>
        <w:t>[不符合下列第4）项标准要求的除外]</w:t>
      </w:r>
      <w:r>
        <w:rPr>
          <w:rFonts w:hint="eastAsia" w:ascii="宋体" w:hAnsi="宋体"/>
          <w:iCs/>
          <w:snapToGrid w:val="0"/>
          <w:color w:val="auto"/>
          <w:kern w:val="0"/>
          <w:sz w:val="24"/>
          <w:highlight w:val="none"/>
        </w:rPr>
        <w:t>；</w:t>
      </w:r>
    </w:p>
    <w:p w14:paraId="4A8D932E">
      <w:pPr>
        <w:adjustRightInd w:val="0"/>
        <w:snapToGrid w:val="0"/>
        <w:spacing w:line="360" w:lineRule="auto"/>
        <w:ind w:firstLine="420"/>
        <w:rPr>
          <w:rFonts w:ascii="宋体" w:hAnsi="宋体"/>
          <w:snapToGrid w:val="0"/>
          <w:color w:val="auto"/>
          <w:kern w:val="0"/>
          <w:sz w:val="24"/>
          <w:highlight w:val="none"/>
        </w:rPr>
      </w:pPr>
      <w:r>
        <w:rPr>
          <w:rFonts w:hint="eastAsia" w:ascii="宋体" w:hAnsi="宋体"/>
          <w:snapToGrid w:val="0"/>
          <w:color w:val="auto"/>
          <w:kern w:val="0"/>
          <w:sz w:val="24"/>
          <w:highlight w:val="none"/>
        </w:rPr>
        <w:t>4）国家或行业强制执行的技术标准、技术规范。</w:t>
      </w:r>
    </w:p>
    <w:p w14:paraId="32613FA2">
      <w:pPr>
        <w:adjustRightInd w:val="0"/>
        <w:snapToGrid w:val="0"/>
        <w:spacing w:line="360" w:lineRule="auto"/>
        <w:ind w:firstLine="420"/>
        <w:rPr>
          <w:rFonts w:ascii="宋体" w:hAnsi="宋体"/>
          <w:snapToGrid w:val="0"/>
          <w:color w:val="auto"/>
          <w:kern w:val="0"/>
          <w:sz w:val="24"/>
          <w:highlight w:val="none"/>
        </w:rPr>
      </w:pPr>
      <w:r>
        <w:rPr>
          <w:rFonts w:hint="eastAsia" w:ascii="宋体" w:hAnsi="宋体"/>
          <w:snapToGrid w:val="0"/>
          <w:color w:val="auto"/>
          <w:kern w:val="0"/>
          <w:sz w:val="24"/>
          <w:highlight w:val="none"/>
        </w:rPr>
        <w:t>工程材料、设备的抽查、检验结果与前款约定不符的，总监理工程师必须扩大对该批材料的抽查范围、增加数量抽检，同时，涉及工程结构安全和使用功能的检测必须委托有资质的第三方检测试验单位进行检测试验并执行《建筑节能工程施工质量验收规范》（GB50411-2007）、《广东省建筑节能工程施工质量验收规范》（DBJ15-65-2009）。承包人必须在发包人或监理单位书面通知的限期内将不符合要求的材料、设备全部无条件拆除、更换，并运出施工现场，由此所造成的工期延误、费用增加等一切损失均由承包人承担；同时，承包人还应当按照合同专用条款第38.9（1）款的约定承担违约责任。</w:t>
      </w:r>
    </w:p>
    <w:p w14:paraId="23C9A929">
      <w:pPr>
        <w:adjustRightInd w:val="0"/>
        <w:snapToGrid w:val="0"/>
        <w:spacing w:line="360" w:lineRule="auto"/>
        <w:ind w:right="11" w:firstLine="460" w:firstLineChars="192"/>
        <w:outlineLvl w:val="4"/>
        <w:rPr>
          <w:rFonts w:ascii="宋体" w:hAnsi="宋体"/>
          <w:bCs/>
          <w:snapToGrid w:val="0"/>
          <w:color w:val="auto"/>
          <w:kern w:val="0"/>
          <w:sz w:val="24"/>
          <w:highlight w:val="none"/>
        </w:rPr>
      </w:pPr>
      <w:r>
        <w:rPr>
          <w:rFonts w:hint="eastAsia" w:ascii="宋体" w:hAnsi="宋体"/>
          <w:iCs/>
          <w:snapToGrid w:val="0"/>
          <w:color w:val="auto"/>
          <w:kern w:val="0"/>
          <w:sz w:val="24"/>
          <w:highlight w:val="none"/>
        </w:rPr>
        <w:t>（4）总监理工程师对材料、设备或工程进行检查、检验的费用由承包人负担。总监理工程师或发包人进</w:t>
      </w:r>
      <w:r>
        <w:rPr>
          <w:rFonts w:hint="eastAsia" w:ascii="宋体" w:hAnsi="宋体"/>
          <w:snapToGrid w:val="0"/>
          <w:color w:val="auto"/>
          <w:kern w:val="0"/>
          <w:sz w:val="24"/>
          <w:highlight w:val="none"/>
        </w:rPr>
        <w:t>行</w:t>
      </w:r>
      <w:r>
        <w:rPr>
          <w:rFonts w:hint="eastAsia" w:ascii="宋体" w:hAnsi="宋体"/>
          <w:bCs/>
          <w:snapToGrid w:val="0"/>
          <w:color w:val="auto"/>
          <w:kern w:val="0"/>
          <w:sz w:val="24"/>
          <w:highlight w:val="none"/>
        </w:rPr>
        <w:t>重复检查、检验的，检查、检验的结果证明材料、设备或工程不符合合同、技术规范要求的，费用由承包人承担；符合合同、招标文件、技术规范要求的，费用由发包人承担。</w:t>
      </w:r>
    </w:p>
    <w:p w14:paraId="3642E92E">
      <w:pPr>
        <w:adjustRightInd w:val="0"/>
        <w:snapToGrid w:val="0"/>
        <w:spacing w:line="360" w:lineRule="auto"/>
        <w:ind w:firstLine="420"/>
        <w:outlineLvl w:val="3"/>
        <w:rPr>
          <w:rFonts w:ascii="宋体" w:hAnsi="宋体"/>
          <w:bCs/>
          <w:snapToGrid w:val="0"/>
          <w:color w:val="auto"/>
          <w:kern w:val="0"/>
          <w:sz w:val="24"/>
          <w:highlight w:val="none"/>
        </w:rPr>
      </w:pPr>
      <w:r>
        <w:rPr>
          <w:rFonts w:ascii="宋体" w:hAnsi="宋体"/>
          <w:bCs/>
          <w:snapToGrid w:val="0"/>
          <w:color w:val="auto"/>
          <w:kern w:val="0"/>
          <w:sz w:val="24"/>
          <w:highlight w:val="none"/>
        </w:rPr>
        <w:t>1</w:t>
      </w:r>
      <w:r>
        <w:rPr>
          <w:rFonts w:hint="eastAsia" w:ascii="宋体" w:hAnsi="宋体"/>
          <w:bCs/>
          <w:snapToGrid w:val="0"/>
          <w:color w:val="auto"/>
          <w:kern w:val="0"/>
          <w:sz w:val="24"/>
          <w:highlight w:val="none"/>
        </w:rPr>
        <w:t>6</w:t>
      </w:r>
      <w:r>
        <w:rPr>
          <w:rFonts w:ascii="宋体" w:hAnsi="宋体"/>
          <w:bCs/>
          <w:snapToGrid w:val="0"/>
          <w:color w:val="auto"/>
          <w:kern w:val="0"/>
          <w:sz w:val="24"/>
          <w:highlight w:val="none"/>
        </w:rPr>
        <w:t>.</w:t>
      </w:r>
      <w:r>
        <w:rPr>
          <w:rFonts w:hint="eastAsia" w:ascii="宋体" w:hAnsi="宋体"/>
          <w:bCs/>
          <w:snapToGrid w:val="0"/>
          <w:color w:val="auto"/>
          <w:kern w:val="0"/>
          <w:sz w:val="24"/>
          <w:highlight w:val="none"/>
        </w:rPr>
        <w:t>6承包人应当</w:t>
      </w:r>
      <w:r>
        <w:rPr>
          <w:rFonts w:hint="eastAsia" w:ascii="宋体" w:hAnsi="宋体"/>
          <w:snapToGrid w:val="0"/>
          <w:color w:val="auto"/>
          <w:kern w:val="0"/>
          <w:sz w:val="24"/>
          <w:highlight w:val="none"/>
        </w:rPr>
        <w:t>按照发包人、总监理工程师及有关规范要求，对施工各工序报验检查的质量控制点，先自检后报请总监理工程师复检。总监理工程师在接到承包人的自检结果后，应当及时复检。经复检发现存在质量问题的，则该工序质量为不合格，承包人必须全部返工，</w:t>
      </w:r>
      <w:r>
        <w:rPr>
          <w:rFonts w:hint="eastAsia" w:ascii="宋体" w:hAnsi="宋体"/>
          <w:bCs/>
          <w:snapToGrid w:val="0"/>
          <w:color w:val="auto"/>
          <w:kern w:val="0"/>
          <w:sz w:val="24"/>
          <w:highlight w:val="none"/>
        </w:rPr>
        <w:t>由此所产生的工期延误和费用增加等全部损失由承包人承担，并由承包人按照</w:t>
      </w:r>
      <w:r>
        <w:rPr>
          <w:rFonts w:hint="eastAsia" w:ascii="宋体" w:hAnsi="宋体"/>
          <w:snapToGrid w:val="0"/>
          <w:color w:val="auto"/>
          <w:kern w:val="0"/>
          <w:sz w:val="24"/>
          <w:highlight w:val="none"/>
        </w:rPr>
        <w:t>合同专用条款第38</w:t>
      </w:r>
      <w:r>
        <w:rPr>
          <w:rFonts w:hint="eastAsia" w:ascii="宋体" w:hAnsi="宋体"/>
          <w:bCs/>
          <w:snapToGrid w:val="0"/>
          <w:color w:val="auto"/>
          <w:kern w:val="0"/>
          <w:sz w:val="24"/>
          <w:highlight w:val="none"/>
        </w:rPr>
        <w:t>.10（1）款的约定承担违约责任。</w:t>
      </w:r>
    </w:p>
    <w:p w14:paraId="68614F9A">
      <w:pPr>
        <w:adjustRightInd w:val="0"/>
        <w:snapToGrid w:val="0"/>
        <w:spacing w:line="360" w:lineRule="auto"/>
        <w:ind w:right="11" w:firstLine="460" w:firstLineChars="192"/>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16.7总监理工程师发现工程存在重大质量问题时，必须立即下达停工整改令。承包人必须在5天内提出书面整改措施，经总监理工程师和发包人批准后实施整改，由此所产生的工期延误和费用增加等全部损失，由承包人承担。承包人拒绝整改的，发包人有权暂停拨付工程款，并将未完工程另行发包。</w:t>
      </w:r>
    </w:p>
    <w:p w14:paraId="6CF47520">
      <w:pPr>
        <w:adjustRightInd w:val="0"/>
        <w:snapToGrid w:val="0"/>
        <w:spacing w:line="360" w:lineRule="auto"/>
        <w:ind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16.8承包人承诺：无论总监理工程师对工程是否进行并通过了各项检验，均不解除承包人对其承包的工程的质量所负的任何责任，除非质量问题是由于非承包人责任原因引起，而此类质量问题承包人须及时通知总监理工程师。在采用承包人设计的施工图施工和由承包人自行采购的材料、设备时，设计和制造所引起的质量责任由承包人承担。</w:t>
      </w:r>
    </w:p>
    <w:p w14:paraId="4D6D31E5">
      <w:pPr>
        <w:adjustRightInd w:val="0"/>
        <w:snapToGrid w:val="0"/>
        <w:spacing w:line="360" w:lineRule="auto"/>
        <w:ind w:firstLine="480"/>
        <w:outlineLvl w:val="3"/>
        <w:rPr>
          <w:rFonts w:ascii="宋体" w:hAnsi="宋体"/>
          <w:snapToGrid w:val="0"/>
          <w:color w:val="auto"/>
          <w:kern w:val="0"/>
          <w:sz w:val="24"/>
          <w:highlight w:val="none"/>
        </w:rPr>
      </w:pPr>
      <w:r>
        <w:rPr>
          <w:rFonts w:ascii="宋体" w:hAnsi="宋体"/>
          <w:snapToGrid w:val="0"/>
          <w:color w:val="auto"/>
          <w:kern w:val="0"/>
          <w:sz w:val="24"/>
          <w:highlight w:val="none"/>
        </w:rPr>
        <w:t>1</w:t>
      </w:r>
      <w:r>
        <w:rPr>
          <w:rFonts w:hint="eastAsia" w:ascii="宋体" w:hAnsi="宋体"/>
          <w:snapToGrid w:val="0"/>
          <w:color w:val="auto"/>
          <w:kern w:val="0"/>
          <w:sz w:val="24"/>
          <w:highlight w:val="none"/>
        </w:rPr>
        <w:t>6</w:t>
      </w:r>
      <w:r>
        <w:rPr>
          <w:rFonts w:ascii="宋体" w:hAnsi="宋体"/>
          <w:snapToGrid w:val="0"/>
          <w:color w:val="auto"/>
          <w:kern w:val="0"/>
          <w:sz w:val="24"/>
          <w:highlight w:val="none"/>
        </w:rPr>
        <w:t>.</w:t>
      </w:r>
      <w:r>
        <w:rPr>
          <w:rFonts w:hint="eastAsia" w:ascii="宋体" w:hAnsi="宋体"/>
          <w:snapToGrid w:val="0"/>
          <w:color w:val="auto"/>
          <w:kern w:val="0"/>
          <w:sz w:val="24"/>
          <w:highlight w:val="none"/>
        </w:rPr>
        <w:t>9承包人承诺：无论工程材料是采用甲招乙供、甲管乙供，还是乙供，均由承包人承担工程全面质量的责任。承包人应对各种材料按规范进行检查验收，拒绝不符合要求的材料用于工程。无论何种原因，出现不合格材料用于工程的情况，均由承包人承担应有的责任。</w:t>
      </w:r>
    </w:p>
    <w:p w14:paraId="1B1E83A4">
      <w:pPr>
        <w:adjustRightInd w:val="0"/>
        <w:snapToGrid w:val="0"/>
        <w:spacing w:line="360" w:lineRule="auto"/>
        <w:ind w:firstLine="48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16.10承包人应保证按照国家、地方、行业的有关规定，准确、及时做好日常工程技术资料的记录、整理和归档工作，保证记录中原始数据的真实性和及时性，监理单位或发包人有权抽查承包人日常工程技术资料的整理工作，若发现未按照规定及时做好资料整理工作，每发现三次，则由承包人按照合同专用条款第38.15款的约定承担违约责任。若发现原始记录数据不存在、不真实、不完整，经监理单位确认，发包人有权拒绝相应部分工程的工程量计量与支付，并视情节轻重，由承包人按照合同专用条款第38.15款的约定承担违约责任。</w:t>
      </w:r>
    </w:p>
    <w:p w14:paraId="0934B1D1">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17.隐蔽工程和中间验收</w:t>
      </w:r>
    </w:p>
    <w:p w14:paraId="7ED611DB">
      <w:pPr>
        <w:adjustRightInd w:val="0"/>
        <w:snapToGrid w:val="0"/>
        <w:spacing w:line="360" w:lineRule="auto"/>
        <w:ind w:right="11" w:firstLine="460" w:firstLineChars="192"/>
        <w:outlineLvl w:val="3"/>
        <w:rPr>
          <w:rFonts w:ascii="宋体" w:hAnsi="宋体"/>
          <w:bCs/>
          <w:iCs/>
          <w:snapToGrid w:val="0"/>
          <w:color w:val="auto"/>
          <w:kern w:val="0"/>
          <w:sz w:val="24"/>
          <w:highlight w:val="none"/>
        </w:rPr>
      </w:pPr>
      <w:r>
        <w:rPr>
          <w:rFonts w:hint="eastAsia" w:ascii="宋体" w:hAnsi="宋体"/>
          <w:bCs/>
          <w:snapToGrid w:val="0"/>
          <w:color w:val="auto"/>
          <w:kern w:val="0"/>
          <w:sz w:val="24"/>
          <w:highlight w:val="none"/>
        </w:rPr>
        <w:t>17.1双方约定，中间验收部位按穗建监字（2001）068号文执行，验收程序按合同通用条款第17条执行。验收人员组成：发包人、监理单位、承包</w:t>
      </w:r>
      <w:r>
        <w:rPr>
          <w:rFonts w:hint="eastAsia" w:ascii="宋体" w:hAnsi="宋体"/>
          <w:bCs/>
          <w:iCs/>
          <w:snapToGrid w:val="0"/>
          <w:color w:val="auto"/>
          <w:kern w:val="0"/>
          <w:sz w:val="24"/>
          <w:highlight w:val="none"/>
        </w:rPr>
        <w:t>人及其他有关单位。</w:t>
      </w:r>
    </w:p>
    <w:p w14:paraId="7756E928">
      <w:pPr>
        <w:adjustRightInd w:val="0"/>
        <w:snapToGrid w:val="0"/>
        <w:spacing w:line="360" w:lineRule="auto"/>
        <w:ind w:right="11" w:firstLine="463" w:firstLineChars="192"/>
        <w:rPr>
          <w:rFonts w:ascii="宋体" w:hAnsi="宋体"/>
          <w:bCs/>
          <w:snapToGrid w:val="0"/>
          <w:color w:val="auto"/>
          <w:kern w:val="0"/>
          <w:sz w:val="24"/>
          <w:highlight w:val="none"/>
        </w:rPr>
      </w:pPr>
      <w:r>
        <w:rPr>
          <w:rFonts w:hint="eastAsia" w:ascii="宋体" w:hAnsi="宋体"/>
          <w:b/>
          <w:snapToGrid w:val="0"/>
          <w:color w:val="auto"/>
          <w:kern w:val="0"/>
          <w:sz w:val="24"/>
          <w:highlight w:val="none"/>
        </w:rPr>
        <w:t>承包人和发包人一致同意增加17.4、17.5：</w:t>
      </w:r>
    </w:p>
    <w:p w14:paraId="2F55822A">
      <w:pPr>
        <w:adjustRightInd w:val="0"/>
        <w:snapToGrid w:val="0"/>
        <w:spacing w:line="360" w:lineRule="auto"/>
        <w:ind w:right="11" w:firstLine="460" w:firstLineChars="192"/>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17.4</w:t>
      </w:r>
      <w:r>
        <w:rPr>
          <w:rFonts w:hint="eastAsia" w:ascii="宋体" w:hAnsi="宋体"/>
          <w:snapToGrid w:val="0"/>
          <w:color w:val="auto"/>
          <w:kern w:val="0"/>
          <w:sz w:val="24"/>
          <w:highlight w:val="none"/>
        </w:rPr>
        <w:t>隐蔽工程或中间验收部位未经专业监理工程师验收合格，不得隐蔽或继续施工，否则该部分工程被视为不合格，</w:t>
      </w:r>
      <w:r>
        <w:rPr>
          <w:rFonts w:hint="eastAsia" w:ascii="宋体" w:hAnsi="宋体"/>
          <w:bCs/>
          <w:snapToGrid w:val="0"/>
          <w:color w:val="auto"/>
          <w:kern w:val="0"/>
          <w:sz w:val="24"/>
          <w:highlight w:val="none"/>
        </w:rPr>
        <w:t>由此所产生的返工费用由承包人承担。</w:t>
      </w:r>
    </w:p>
    <w:p w14:paraId="557A324A">
      <w:pPr>
        <w:adjustRightInd w:val="0"/>
        <w:snapToGrid w:val="0"/>
        <w:spacing w:line="360" w:lineRule="auto"/>
        <w:ind w:right="11"/>
        <w:rPr>
          <w:rFonts w:ascii="宋体" w:hAnsi="宋体"/>
          <w:b/>
          <w:bCs/>
          <w:snapToGrid w:val="0"/>
          <w:color w:val="auto"/>
          <w:kern w:val="0"/>
          <w:sz w:val="28"/>
          <w:szCs w:val="28"/>
          <w:highlight w:val="none"/>
        </w:rPr>
      </w:pPr>
    </w:p>
    <w:p w14:paraId="78D790F5">
      <w:pPr>
        <w:adjustRightInd w:val="0"/>
        <w:snapToGrid w:val="0"/>
        <w:spacing w:line="360" w:lineRule="auto"/>
        <w:ind w:right="11"/>
        <w:outlineLvl w:val="1"/>
        <w:rPr>
          <w:rFonts w:ascii="宋体" w:hAnsi="宋体"/>
          <w:b/>
          <w:bCs/>
          <w:snapToGrid w:val="0"/>
          <w:color w:val="auto"/>
          <w:kern w:val="0"/>
          <w:sz w:val="28"/>
          <w:szCs w:val="28"/>
          <w:highlight w:val="none"/>
        </w:rPr>
      </w:pPr>
      <w:r>
        <w:rPr>
          <w:rFonts w:hint="eastAsia" w:ascii="宋体" w:hAnsi="宋体"/>
          <w:b/>
          <w:bCs/>
          <w:snapToGrid w:val="0"/>
          <w:color w:val="auto"/>
          <w:kern w:val="0"/>
          <w:sz w:val="28"/>
          <w:szCs w:val="28"/>
          <w:highlight w:val="none"/>
        </w:rPr>
        <w:t>五、安全文明施工</w:t>
      </w:r>
    </w:p>
    <w:p w14:paraId="4F29CA0E">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20.施工场地的占用与管理</w:t>
      </w:r>
    </w:p>
    <w:p w14:paraId="41053191">
      <w:pPr>
        <w:adjustRightInd w:val="0"/>
        <w:snapToGrid w:val="0"/>
        <w:spacing w:line="360" w:lineRule="auto"/>
        <w:ind w:firstLine="480" w:firstLineChars="200"/>
        <w:outlineLvl w:val="3"/>
        <w:rPr>
          <w:rFonts w:ascii="宋体" w:hAnsi="宋体"/>
          <w:snapToGrid w:val="0"/>
          <w:color w:val="auto"/>
          <w:kern w:val="0"/>
          <w:sz w:val="24"/>
          <w:highlight w:val="none"/>
        </w:rPr>
      </w:pPr>
      <w:r>
        <w:rPr>
          <w:rFonts w:hint="eastAsia" w:ascii="宋体" w:hAnsi="宋体"/>
          <w:bCs/>
          <w:snapToGrid w:val="0"/>
          <w:color w:val="auto"/>
          <w:kern w:val="0"/>
          <w:sz w:val="24"/>
          <w:highlight w:val="none"/>
        </w:rPr>
        <w:t>20.2</w:t>
      </w:r>
      <w:r>
        <w:rPr>
          <w:rFonts w:hint="eastAsia" w:ascii="宋体" w:hAnsi="宋体"/>
          <w:snapToGrid w:val="0"/>
          <w:color w:val="auto"/>
          <w:kern w:val="0"/>
          <w:sz w:val="24"/>
          <w:highlight w:val="none"/>
        </w:rPr>
        <w:t>在工程实施期间，施工场地一经移交给承包人，承包人即对施工场地负有全过程、全面的管理责任，必须对施工场地范围内的治安秩序、安全保卫、环境卫生以及周围房屋、市政设施等全面负责，对施工场地范围内的交通道路、用水、用电、场地内的施工协调负责。承包人需对其施工场地布置、人员的管理、交通组织制订详细的方案，对施工时段作出合理安排，必须采用全封闭施工方案，确保不对周边环境、道路、行人和相邻施工现场造成不利影响，不得干扰周围居民的正常生活。</w:t>
      </w:r>
    </w:p>
    <w:p w14:paraId="6F83EC0E">
      <w:pPr>
        <w:adjustRightInd w:val="0"/>
        <w:snapToGrid w:val="0"/>
        <w:spacing w:line="360" w:lineRule="auto"/>
        <w:ind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20.3承包人必须在工程竣工初验后</w:t>
      </w:r>
      <w:r>
        <w:rPr>
          <w:rFonts w:ascii="宋体" w:hAnsi="宋体"/>
          <w:snapToGrid w:val="0"/>
          <w:color w:val="auto"/>
          <w:kern w:val="0"/>
          <w:sz w:val="24"/>
          <w:highlight w:val="none"/>
        </w:rPr>
        <w:t>30</w:t>
      </w:r>
      <w:r>
        <w:rPr>
          <w:rFonts w:hint="eastAsia" w:ascii="宋体" w:hAnsi="宋体"/>
          <w:snapToGrid w:val="0"/>
          <w:color w:val="auto"/>
          <w:kern w:val="0"/>
          <w:sz w:val="24"/>
          <w:highlight w:val="none"/>
        </w:rPr>
        <w:t>天内或发包人规定的时间内（发包人将提前通知承包人），无条件清退所有施工场地。拒不清退的，发包人除向承包人收取租金（租金为每天人民币1元</w:t>
      </w:r>
      <w:r>
        <w:rPr>
          <w:rFonts w:ascii="宋体" w:hAnsi="宋体"/>
          <w:snapToGrid w:val="0"/>
          <w:color w:val="auto"/>
          <w:kern w:val="0"/>
          <w:sz w:val="24"/>
          <w:highlight w:val="none"/>
        </w:rPr>
        <w:t>/m</w:t>
      </w:r>
      <w:r>
        <w:rPr>
          <w:rFonts w:ascii="宋体" w:hAnsi="宋体"/>
          <w:snapToGrid w:val="0"/>
          <w:color w:val="auto"/>
          <w:kern w:val="0"/>
          <w:sz w:val="24"/>
          <w:highlight w:val="none"/>
          <w:vertAlign w:val="superscript"/>
        </w:rPr>
        <w:t>2</w:t>
      </w:r>
      <w:r>
        <w:rPr>
          <w:rFonts w:hint="eastAsia" w:ascii="宋体" w:hAnsi="宋体"/>
          <w:snapToGrid w:val="0"/>
          <w:color w:val="auto"/>
          <w:kern w:val="0"/>
          <w:sz w:val="24"/>
          <w:highlight w:val="none"/>
        </w:rPr>
        <w:t>）外，还有权暂停计价支付、工程结算、工程验收等工作，并由承包人承担由此而产生的一切后果（包括发包人因此而被第三方索赔所产生的损失）。</w:t>
      </w:r>
    </w:p>
    <w:p w14:paraId="6AFB770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对于临时房屋及设施，发包人认为有必要保留的，承包人在清退场地时应无条件保持完好并移交给发包人使用，并不得提出任何费用要求及其他要求。</w:t>
      </w:r>
    </w:p>
    <w:p w14:paraId="3BA54040">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20.4承包人必须服从政府主管部门的执法检查和处罚，并按照检查结果进行整改。</w:t>
      </w:r>
    </w:p>
    <w:p w14:paraId="34128A44">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21.安全施工与检查</w:t>
      </w:r>
    </w:p>
    <w:p w14:paraId="48A16953">
      <w:pPr>
        <w:adjustRightInd w:val="0"/>
        <w:snapToGrid w:val="0"/>
        <w:spacing w:line="360" w:lineRule="auto"/>
        <w:ind w:right="11" w:firstLine="460" w:firstLineChars="192"/>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21</w:t>
      </w:r>
      <w:r>
        <w:rPr>
          <w:rFonts w:ascii="宋体" w:hAnsi="宋体"/>
          <w:bCs/>
          <w:snapToGrid w:val="0"/>
          <w:color w:val="auto"/>
          <w:kern w:val="0"/>
          <w:sz w:val="24"/>
          <w:highlight w:val="none"/>
        </w:rPr>
        <w:t>.</w:t>
      </w:r>
      <w:r>
        <w:rPr>
          <w:rFonts w:hint="eastAsia" w:ascii="宋体" w:hAnsi="宋体"/>
          <w:bCs/>
          <w:snapToGrid w:val="0"/>
          <w:color w:val="auto"/>
          <w:kern w:val="0"/>
          <w:sz w:val="24"/>
          <w:highlight w:val="none"/>
        </w:rPr>
        <w:t>1</w:t>
      </w:r>
      <w:r>
        <w:rPr>
          <w:rFonts w:hint="eastAsia" w:ascii="宋体" w:hAnsi="宋体"/>
          <w:snapToGrid w:val="0"/>
          <w:color w:val="auto"/>
          <w:kern w:val="0"/>
          <w:sz w:val="24"/>
          <w:highlight w:val="none"/>
        </w:rPr>
        <w:t>承包人应建立健全建筑施工</w:t>
      </w:r>
      <w:r>
        <w:rPr>
          <w:rFonts w:hint="eastAsia" w:ascii="宋体" w:hAnsi="宋体"/>
          <w:bCs/>
          <w:snapToGrid w:val="0"/>
          <w:color w:val="auto"/>
          <w:kern w:val="0"/>
          <w:sz w:val="24"/>
          <w:highlight w:val="none"/>
        </w:rPr>
        <w:t>安全生产组织机构和</w:t>
      </w:r>
      <w:r>
        <w:rPr>
          <w:rFonts w:hint="eastAsia" w:ascii="宋体" w:hAnsi="宋体"/>
          <w:snapToGrid w:val="0"/>
          <w:color w:val="auto"/>
          <w:kern w:val="0"/>
          <w:sz w:val="24"/>
          <w:highlight w:val="none"/>
        </w:rPr>
        <w:t>安全保证体系，</w:t>
      </w:r>
      <w:r>
        <w:rPr>
          <w:rFonts w:hint="eastAsia" w:ascii="宋体" w:hAnsi="宋体"/>
          <w:bCs/>
          <w:snapToGrid w:val="0"/>
          <w:color w:val="auto"/>
          <w:kern w:val="0"/>
          <w:sz w:val="24"/>
          <w:highlight w:val="none"/>
        </w:rPr>
        <w:t>落实安全生产责任制，</w:t>
      </w:r>
      <w:r>
        <w:rPr>
          <w:rFonts w:hint="eastAsia" w:ascii="宋体" w:hAnsi="宋体"/>
          <w:snapToGrid w:val="0"/>
          <w:color w:val="auto"/>
          <w:kern w:val="0"/>
          <w:sz w:val="24"/>
          <w:highlight w:val="none"/>
        </w:rPr>
        <w:t>按照工程建设安全生产的有关管理规定，采取相应措施，负责现场全部作业的安全，并对此承担全部责任。</w:t>
      </w:r>
    </w:p>
    <w:p w14:paraId="736DCB1D">
      <w:pPr>
        <w:adjustRightInd w:val="0"/>
        <w:snapToGrid w:val="0"/>
        <w:spacing w:line="360" w:lineRule="auto"/>
        <w:ind w:firstLine="480" w:firstLineChars="20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21</w:t>
      </w:r>
      <w:r>
        <w:rPr>
          <w:rFonts w:ascii="宋体" w:hAnsi="宋体"/>
          <w:bCs/>
          <w:snapToGrid w:val="0"/>
          <w:color w:val="auto"/>
          <w:kern w:val="0"/>
          <w:sz w:val="24"/>
          <w:highlight w:val="none"/>
        </w:rPr>
        <w:t>.</w:t>
      </w:r>
      <w:r>
        <w:rPr>
          <w:rFonts w:hint="eastAsia" w:ascii="宋体" w:hAnsi="宋体"/>
          <w:bCs/>
          <w:snapToGrid w:val="0"/>
          <w:color w:val="auto"/>
          <w:kern w:val="0"/>
          <w:sz w:val="24"/>
          <w:highlight w:val="none"/>
        </w:rPr>
        <w:t>2</w:t>
      </w:r>
      <w:r>
        <w:rPr>
          <w:rFonts w:hint="eastAsia" w:ascii="宋体" w:hAnsi="宋体"/>
          <w:snapToGrid w:val="0"/>
          <w:color w:val="auto"/>
          <w:kern w:val="0"/>
          <w:sz w:val="24"/>
          <w:highlight w:val="none"/>
        </w:rPr>
        <w:t>承包人在施工中必须制定定期检查制度并配合业主的安全检查，加强对自身及其总承包管理范围内各专业单位在安全施工方面的检查、监督管理；若被发现存在严重安全隐患的，应按照合同专用条款第38.11（1）、（2）款的约定承担违约责任。</w:t>
      </w:r>
    </w:p>
    <w:p w14:paraId="0A60749A">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22.安全防护</w:t>
      </w:r>
    </w:p>
    <w:p w14:paraId="1158CB60">
      <w:pPr>
        <w:adjustRightInd w:val="0"/>
        <w:snapToGrid w:val="0"/>
        <w:spacing w:line="360" w:lineRule="auto"/>
        <w:ind w:right="11" w:firstLine="463" w:firstLineChars="192"/>
        <w:rPr>
          <w:rFonts w:ascii="宋体" w:hAnsi="宋体"/>
          <w:bCs/>
          <w:snapToGrid w:val="0"/>
          <w:color w:val="auto"/>
          <w:kern w:val="0"/>
          <w:sz w:val="24"/>
          <w:highlight w:val="none"/>
        </w:rPr>
      </w:pPr>
      <w:r>
        <w:rPr>
          <w:rFonts w:hint="eastAsia" w:ascii="宋体" w:hAnsi="宋体"/>
          <w:b/>
          <w:snapToGrid w:val="0"/>
          <w:color w:val="auto"/>
          <w:kern w:val="0"/>
          <w:sz w:val="24"/>
          <w:highlight w:val="none"/>
        </w:rPr>
        <w:t>承包人和发包人一致同意增加22.3、22.4：</w:t>
      </w:r>
    </w:p>
    <w:p w14:paraId="7A596919">
      <w:pPr>
        <w:adjustRightInd w:val="0"/>
        <w:snapToGrid w:val="0"/>
        <w:spacing w:line="360" w:lineRule="auto"/>
        <w:ind w:firstLine="48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22.3本工程的绿色施工安全防护措施费包括但不限于合同通用条款第22.1款、第22.2款所列明的费用，所有绿色施工安全防护措施费已包含在合同价款之中。</w:t>
      </w:r>
    </w:p>
    <w:p w14:paraId="3F67888E">
      <w:pPr>
        <w:adjustRightInd w:val="0"/>
        <w:snapToGrid w:val="0"/>
        <w:spacing w:line="360" w:lineRule="auto"/>
        <w:ind w:firstLine="48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22.4措施项目的实施要求须满足《建筑施工安全检查标准》（JGJ59-2011）、《建设工程施工现场环境与卫生标准》（JGJ146-2013）、广东省建设厅转发建设部关于印发《建筑工程安全防护、文明施工措施费用及使用管理规定》的通知（粤建管字[2005]116号）、关于印发《广东省建设厅建筑工程安全防护、文明施工措施费用管理办法》的通知（粤建管字[2007]39号）、关于印发《广州市建设工程现场文明施工管理办法》的通知（穗建质[2008]937号）、《关于印发&lt;广州市建设工程施工现场消防安全管理规定&gt;的通知》（穗建质[2011]617号）、《广州市建设工程文明施工管理规定》（广州市政府2011年第62号令）、《广州市建设工程绿色施工围蔽指导图集（V1.0 试行版）》的通知（穗建质〔2018〕1953 号）、《广州市住房和城乡建设委员会关于实施</w:t>
      </w:r>
      <w:r>
        <w:rPr>
          <w:rFonts w:ascii="宋体" w:hAnsi="宋体"/>
          <w:bCs/>
          <w:snapToGrid w:val="0"/>
          <w:color w:val="auto"/>
          <w:kern w:val="0"/>
          <w:sz w:val="24"/>
          <w:highlight w:val="none"/>
        </w:rPr>
        <w:t>&lt;</w:t>
      </w:r>
      <w:r>
        <w:rPr>
          <w:rFonts w:hint="eastAsia" w:ascii="宋体" w:hAnsi="宋体"/>
          <w:bCs/>
          <w:snapToGrid w:val="0"/>
          <w:color w:val="auto"/>
          <w:kern w:val="0"/>
          <w:sz w:val="24"/>
          <w:highlight w:val="none"/>
        </w:rPr>
        <w:t>广州市建设工程绿色施工围蔽指导图集（</w:t>
      </w:r>
      <w:r>
        <w:rPr>
          <w:rFonts w:ascii="宋体" w:hAnsi="宋体"/>
          <w:bCs/>
          <w:snapToGrid w:val="0"/>
          <w:color w:val="auto"/>
          <w:kern w:val="0"/>
          <w:sz w:val="24"/>
          <w:highlight w:val="none"/>
        </w:rPr>
        <w:t>V1.0试行版）&gt;</w:t>
      </w:r>
      <w:r>
        <w:rPr>
          <w:rFonts w:hint="eastAsia" w:ascii="宋体" w:hAnsi="宋体"/>
          <w:bCs/>
          <w:snapToGrid w:val="0"/>
          <w:color w:val="auto"/>
          <w:kern w:val="0"/>
          <w:sz w:val="24"/>
          <w:highlight w:val="none"/>
        </w:rPr>
        <w:t>的补充通知》（穗建质〔</w:t>
      </w:r>
      <w:r>
        <w:rPr>
          <w:rFonts w:ascii="宋体" w:hAnsi="宋体"/>
          <w:bCs/>
          <w:snapToGrid w:val="0"/>
          <w:color w:val="auto"/>
          <w:kern w:val="0"/>
          <w:sz w:val="24"/>
          <w:highlight w:val="none"/>
        </w:rPr>
        <w:t>2018〕2281号）、</w:t>
      </w:r>
      <w:r>
        <w:rPr>
          <w:rFonts w:hint="eastAsia" w:ascii="宋体" w:hAnsi="宋体"/>
          <w:bCs/>
          <w:snapToGrid w:val="0"/>
          <w:color w:val="auto"/>
          <w:kern w:val="0"/>
          <w:sz w:val="24"/>
          <w:highlight w:val="none"/>
        </w:rPr>
        <w:t>《广州市提升建设工程安全文明施工管理水平的工作指引》（穗建质[2017]815号）、《广东省建设工程施工扬尘污染防治管理办法（试行）》（粤办函〔2017〕708号）、《危险性较大的分部分项工程安全管理规定》(中华人民共和国住房和城乡建设部令第37号)、《关于加强建设工程安全生产管理 落实建设各方主体责任的暂行规定》（穗建规字〔2017〕21号）、《广东省住房和城乡建设厅关于采取切实措施坚决遏制施工扬尘污染的紧急通知》（粤建电发〔2018〕20号）和《广州市住房和城乡建设委员会关于印发建设工程扬尘防治“6个100%”管理标准细化措施的通知》（穗建质〔2018〕1394号）、《广州市住房和城乡建设局等6部委关于印发广州市建设工程绿色施工围蔽指导图集（V2.0）的通知》（穗建质〔2020〕1号）。执行《危险性较大的分部分项工程安全管理规定》(中华人民共和国住房和城乡建设部令第37号)和《广州市住房和城乡建设局关于印发加强建设工程安全生产管理落实建设各方主体责任的暂行规定的通知》穗建规字〔2020〕34号及发包人制定的相关规定的要求，并应当做到：</w:t>
      </w:r>
    </w:p>
    <w:p w14:paraId="0A5D12F0">
      <w:pPr>
        <w:adjustRightInd w:val="0"/>
        <w:snapToGrid w:val="0"/>
        <w:spacing w:line="360" w:lineRule="auto"/>
        <w:ind w:firstLine="480"/>
        <w:rPr>
          <w:rFonts w:ascii="宋体" w:hAnsi="宋体"/>
          <w:bCs/>
          <w:snapToGrid w:val="0"/>
          <w:color w:val="auto"/>
          <w:kern w:val="0"/>
          <w:sz w:val="24"/>
          <w:highlight w:val="none"/>
        </w:rPr>
      </w:pPr>
      <w:r>
        <w:rPr>
          <w:rFonts w:hint="eastAsia" w:ascii="宋体" w:hAnsi="宋体"/>
          <w:bCs/>
          <w:snapToGrid w:val="0"/>
          <w:color w:val="auto"/>
          <w:kern w:val="0"/>
          <w:sz w:val="24"/>
          <w:highlight w:val="none"/>
        </w:rPr>
        <w:t>（1）加强对职业健康安全应急预案、安全技术方案的审查管理工作。</w:t>
      </w:r>
    </w:p>
    <w:p w14:paraId="542C8789">
      <w:pPr>
        <w:adjustRightInd w:val="0"/>
        <w:snapToGrid w:val="0"/>
        <w:spacing w:line="360" w:lineRule="auto"/>
        <w:ind w:firstLine="480"/>
        <w:rPr>
          <w:rFonts w:ascii="宋体" w:hAnsi="宋体"/>
          <w:snapToGrid w:val="0"/>
          <w:color w:val="auto"/>
          <w:kern w:val="0"/>
          <w:sz w:val="24"/>
          <w:highlight w:val="none"/>
        </w:rPr>
      </w:pPr>
      <w:r>
        <w:rPr>
          <w:rFonts w:hint="eastAsia" w:ascii="宋体" w:hAnsi="宋体"/>
          <w:bCs/>
          <w:snapToGrid w:val="0"/>
          <w:color w:val="auto"/>
          <w:kern w:val="0"/>
          <w:sz w:val="24"/>
          <w:highlight w:val="none"/>
        </w:rPr>
        <w:t>（2）保护所有在现场人员的安全，保护其管辖范围内的现场以及尚未完</w:t>
      </w:r>
      <w:r>
        <w:rPr>
          <w:rFonts w:hint="eastAsia" w:ascii="宋体" w:hAnsi="宋体"/>
          <w:snapToGrid w:val="0"/>
          <w:color w:val="auto"/>
          <w:kern w:val="0"/>
          <w:sz w:val="24"/>
          <w:highlight w:val="none"/>
        </w:rPr>
        <w:t>工的和发包人尚未占用的工程处于良好的安全状态。</w:t>
      </w:r>
    </w:p>
    <w:p w14:paraId="51F03518">
      <w:pPr>
        <w:adjustRightInd w:val="0"/>
        <w:snapToGrid w:val="0"/>
        <w:spacing w:line="360" w:lineRule="auto"/>
        <w:ind w:right="11" w:firstLine="460" w:firstLineChars="192"/>
        <w:rPr>
          <w:rFonts w:ascii="宋体" w:hAnsi="宋体"/>
          <w:bCs/>
          <w:snapToGrid w:val="0"/>
          <w:color w:val="auto"/>
          <w:kern w:val="0"/>
          <w:sz w:val="24"/>
          <w:highlight w:val="none"/>
        </w:rPr>
      </w:pPr>
      <w:r>
        <w:rPr>
          <w:rFonts w:hint="eastAsia" w:ascii="宋体" w:hAnsi="宋体"/>
          <w:snapToGrid w:val="0"/>
          <w:color w:val="auto"/>
          <w:kern w:val="0"/>
          <w:sz w:val="24"/>
          <w:highlight w:val="none"/>
        </w:rPr>
        <w:t>（3）在需要的时间和地点，根据总监理工程师、发包人或者当地政府的要求，提供和维持所有的照明灯光、护板、围墙、栅栏、警告信号标志和值班人员，对工程进行保护和为公众提供安全和方便。</w:t>
      </w:r>
    </w:p>
    <w:p w14:paraId="2104B209">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4）承包人应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新型冠状病毒等）时，承包人必须遵守并执行省市卫生部门为处理和控制上述传染病而制定的规章、命令和要求，迅速向发包人和工程所在地疾病控制中心报告。</w:t>
      </w:r>
    </w:p>
    <w:p w14:paraId="3457C2E6">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ascii="宋体" w:hAnsi="宋体"/>
          <w:b/>
          <w:snapToGrid w:val="0"/>
          <w:color w:val="auto"/>
          <w:kern w:val="0"/>
          <w:sz w:val="24"/>
          <w:highlight w:val="none"/>
        </w:rPr>
        <w:t>2</w:t>
      </w:r>
      <w:r>
        <w:rPr>
          <w:rFonts w:hint="eastAsia" w:ascii="宋体" w:hAnsi="宋体"/>
          <w:b/>
          <w:snapToGrid w:val="0"/>
          <w:color w:val="auto"/>
          <w:kern w:val="0"/>
          <w:sz w:val="24"/>
          <w:highlight w:val="none"/>
        </w:rPr>
        <w:t>3.事故处理</w:t>
      </w:r>
    </w:p>
    <w:p w14:paraId="21EBC529">
      <w:pPr>
        <w:adjustRightInd w:val="0"/>
        <w:snapToGrid w:val="0"/>
        <w:spacing w:line="360" w:lineRule="auto"/>
        <w:ind w:right="11" w:firstLine="463" w:firstLineChars="192"/>
        <w:rPr>
          <w:rFonts w:ascii="宋体" w:hAnsi="宋体"/>
          <w:bCs/>
          <w:snapToGrid w:val="0"/>
          <w:color w:val="auto"/>
          <w:kern w:val="0"/>
          <w:sz w:val="24"/>
          <w:highlight w:val="none"/>
        </w:rPr>
      </w:pPr>
      <w:r>
        <w:rPr>
          <w:rFonts w:hint="eastAsia" w:ascii="宋体" w:hAnsi="宋体"/>
          <w:b/>
          <w:snapToGrid w:val="0"/>
          <w:color w:val="auto"/>
          <w:kern w:val="0"/>
          <w:sz w:val="24"/>
          <w:highlight w:val="none"/>
        </w:rPr>
        <w:t>承包人和发包人一致同意增加23.3、23.4：</w:t>
      </w:r>
    </w:p>
    <w:p w14:paraId="0776D4D7">
      <w:pPr>
        <w:adjustRightInd w:val="0"/>
        <w:snapToGrid w:val="0"/>
        <w:spacing w:line="360" w:lineRule="auto"/>
        <w:ind w:right="11"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23</w:t>
      </w:r>
      <w:r>
        <w:rPr>
          <w:rFonts w:ascii="宋体" w:hAnsi="宋体"/>
          <w:snapToGrid w:val="0"/>
          <w:color w:val="auto"/>
          <w:kern w:val="0"/>
          <w:sz w:val="24"/>
          <w:highlight w:val="none"/>
        </w:rPr>
        <w:t>.</w:t>
      </w:r>
      <w:r>
        <w:rPr>
          <w:rFonts w:hint="eastAsia" w:ascii="宋体" w:hAnsi="宋体"/>
          <w:snapToGrid w:val="0"/>
          <w:color w:val="auto"/>
          <w:kern w:val="0"/>
          <w:sz w:val="24"/>
          <w:highlight w:val="none"/>
        </w:rPr>
        <w:t>3因承包人责任过失造成安全事故的，除按照国家规定由行政主管部门给予承包人处罚外，承包人还应负责赔偿发包人的损失，并按照合同专用条款第38.11（3）款的约定承担违约责任。</w:t>
      </w:r>
    </w:p>
    <w:p w14:paraId="18B0DBE6">
      <w:pPr>
        <w:pStyle w:val="25"/>
        <w:adjustRightInd w:val="0"/>
        <w:snapToGrid w:val="0"/>
        <w:spacing w:line="360" w:lineRule="auto"/>
        <w:ind w:firstLine="480"/>
        <w:outlineLvl w:val="3"/>
        <w:rPr>
          <w:rFonts w:hAnsi="宋体"/>
          <w:snapToGrid w:val="0"/>
          <w:color w:val="auto"/>
          <w:kern w:val="0"/>
          <w:sz w:val="24"/>
          <w:szCs w:val="24"/>
          <w:highlight w:val="none"/>
        </w:rPr>
      </w:pPr>
      <w:r>
        <w:rPr>
          <w:rFonts w:hint="eastAsia" w:hAnsi="宋体"/>
          <w:snapToGrid w:val="0"/>
          <w:color w:val="auto"/>
          <w:kern w:val="0"/>
          <w:sz w:val="24"/>
          <w:szCs w:val="24"/>
          <w:highlight w:val="none"/>
        </w:rPr>
        <w:t>23.4承包人应保证发包人免于受到或承担应由承包人负责的因承包人现场施工所引起的或与之有关的索赔、诉讼以及其他开支；若有证据证实发包人因此发生了索赔、诉讼以及其他开支，承包人必须在接到发包人通知后三天内据实补偿发包人因此所受到的损失或者由发包人在承包人工程款项中予以扣除。</w:t>
      </w:r>
    </w:p>
    <w:p w14:paraId="6F27B5E6">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24.文明施工与环境保护</w:t>
      </w:r>
    </w:p>
    <w:p w14:paraId="28AE90FB">
      <w:pPr>
        <w:adjustRightInd w:val="0"/>
        <w:snapToGrid w:val="0"/>
        <w:spacing w:line="360" w:lineRule="auto"/>
        <w:ind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24.1承包人应严格落实文明施工措施，否则按合同专用条款第38.12款的约定承担违约责任。</w:t>
      </w:r>
    </w:p>
    <w:p w14:paraId="2C25DC9D">
      <w:pPr>
        <w:adjustRightInd w:val="0"/>
        <w:snapToGrid w:val="0"/>
        <w:spacing w:line="360" w:lineRule="auto"/>
        <w:ind w:right="11" w:firstLine="460" w:firstLineChars="192"/>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24.2</w:t>
      </w:r>
      <w:r>
        <w:rPr>
          <w:rFonts w:hint="eastAsia" w:ascii="宋体" w:hAnsi="宋体"/>
          <w:snapToGrid w:val="0"/>
          <w:color w:val="auto"/>
          <w:kern w:val="0"/>
          <w:sz w:val="24"/>
          <w:highlight w:val="none"/>
        </w:rPr>
        <w:t>承包人应在进入现场前提交施工期间的环境保护方案一式四份，经总监理工程师批准后实施。环境保护方案必须包括：施工现场所必须的照明灯光、护板、围护、栅栏、警告标志和值班人员名单，以及建筑垃圾、施工和生活污水、噪音、粉尘的处理排放方案。在实施过程中所采用的材料、设备等应使总监理工程师和发包人满意。</w:t>
      </w:r>
    </w:p>
    <w:p w14:paraId="33A3827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承包人应在现场布置足量洒水车，消除扬尘，并使总监理工程师和发包人满意。</w:t>
      </w:r>
    </w:p>
    <w:p w14:paraId="2E398EB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对于承包人施工过程中造成的环境污染问题，经发包人或者总监理工程师指出后，承包人未能在24小时之内采取整治措施，或者所采取的整治措施未能有效消除污染的，发包人可以自行或者委托他人代为整治，由此所产生的一切损失、费用均由承包人承担。</w:t>
      </w:r>
    </w:p>
    <w:p w14:paraId="32106290">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对于发包人直接发包的专业承包单位在施工过程中造成的环境污染（包括文明施工混乱），承包人必须配合发包人及监理单位，督促该专业承包单位立即采取整治措施，如果该专业承包单位不服从承包人的整治要求，承包人必须自行组织及时完成环境污染的整治工作并向总监理工程师及发包人书面汇报其过程及效果，由此产生的费用经总监理工程师及发包人审核确认，从该专业承包单位的工程款项中扣除，由发包人将该笔款项直接支付给承包人。由于承包人管理督促不力或漠视不理，以致专业承包单位未能及时整治或不进行整治而造成的一切损失均由承包人承担，同时承包人还必须按合同专用条款第38.12款[</w:t>
      </w:r>
      <w:r>
        <w:rPr>
          <w:rFonts w:hint="eastAsia" w:ascii="宋体" w:hAnsi="宋体"/>
          <w:bCs/>
          <w:snapToGrid w:val="0"/>
          <w:color w:val="auto"/>
          <w:kern w:val="0"/>
          <w:szCs w:val="21"/>
          <w:highlight w:val="none"/>
          <w:bdr w:val="single" w:color="auto" w:sz="4" w:space="0"/>
        </w:rPr>
        <w:t>√</w:t>
      </w:r>
      <w:r>
        <w:rPr>
          <w:rFonts w:hint="eastAsia" w:ascii="宋体" w:hAnsi="宋体"/>
          <w:snapToGrid w:val="0"/>
          <w:color w:val="auto"/>
          <w:kern w:val="0"/>
          <w:sz w:val="24"/>
          <w:highlight w:val="none"/>
        </w:rPr>
        <w:t>和第38.7（6）款]的约定承担相应的违约责任。</w:t>
      </w:r>
    </w:p>
    <w:p w14:paraId="4033F072">
      <w:pPr>
        <w:adjustRightInd w:val="0"/>
        <w:snapToGrid w:val="0"/>
        <w:spacing w:line="360" w:lineRule="auto"/>
        <w:ind w:right="11" w:firstLine="463" w:firstLineChars="192"/>
        <w:rPr>
          <w:rFonts w:ascii="宋体" w:hAnsi="宋体"/>
          <w:bCs/>
          <w:snapToGrid w:val="0"/>
          <w:color w:val="auto"/>
          <w:kern w:val="0"/>
          <w:sz w:val="24"/>
          <w:highlight w:val="none"/>
        </w:rPr>
      </w:pPr>
      <w:r>
        <w:rPr>
          <w:rFonts w:hint="eastAsia" w:ascii="宋体" w:hAnsi="宋体"/>
          <w:b/>
          <w:snapToGrid w:val="0"/>
          <w:color w:val="auto"/>
          <w:kern w:val="0"/>
          <w:sz w:val="24"/>
          <w:highlight w:val="none"/>
        </w:rPr>
        <w:t>承包人和发包人一致同意增加24.3：</w:t>
      </w:r>
    </w:p>
    <w:p w14:paraId="4E6D0730">
      <w:pPr>
        <w:adjustRightInd w:val="0"/>
        <w:snapToGrid w:val="0"/>
        <w:spacing w:line="360" w:lineRule="auto"/>
        <w:ind w:right="11" w:firstLine="460" w:firstLineChars="192"/>
        <w:outlineLvl w:val="3"/>
        <w:rPr>
          <w:rFonts w:ascii="宋体" w:hAnsi="宋体"/>
          <w:bCs/>
          <w:iCs/>
          <w:snapToGrid w:val="0"/>
          <w:color w:val="auto"/>
          <w:kern w:val="0"/>
          <w:sz w:val="24"/>
          <w:highlight w:val="none"/>
        </w:rPr>
      </w:pPr>
      <w:r>
        <w:rPr>
          <w:rFonts w:hint="eastAsia" w:ascii="宋体" w:hAnsi="宋体"/>
          <w:bCs/>
          <w:snapToGrid w:val="0"/>
          <w:color w:val="auto"/>
          <w:kern w:val="0"/>
          <w:sz w:val="24"/>
          <w:highlight w:val="none"/>
        </w:rPr>
        <w:t>24.3</w:t>
      </w:r>
      <w:r>
        <w:rPr>
          <w:rFonts w:hint="eastAsia" w:ascii="宋体" w:hAnsi="宋体"/>
          <w:bCs/>
          <w:iCs/>
          <w:snapToGrid w:val="0"/>
          <w:color w:val="auto"/>
          <w:kern w:val="0"/>
          <w:sz w:val="24"/>
          <w:highlight w:val="none"/>
        </w:rPr>
        <w:t>承包人承诺：所有施工的安全设施、机具以及围网、护栏、临边防护、施工通道等全部按发包人的要求统一标准、统一标识。安全防护、文明施工的内容按中标后承包人向发包人提交且经发包人批准的详细的施工组织设计实施，但安全防护、文明施工的投标总报价不变。</w:t>
      </w:r>
    </w:p>
    <w:p w14:paraId="2C5FB327">
      <w:pPr>
        <w:pStyle w:val="25"/>
        <w:adjustRightInd w:val="0"/>
        <w:snapToGrid w:val="0"/>
        <w:spacing w:line="360" w:lineRule="auto"/>
        <w:ind w:firstLine="465"/>
        <w:rPr>
          <w:snapToGrid w:val="0"/>
          <w:color w:val="auto"/>
          <w:kern w:val="0"/>
          <w:sz w:val="24"/>
          <w:szCs w:val="24"/>
          <w:highlight w:val="none"/>
        </w:rPr>
      </w:pPr>
      <w:r>
        <w:rPr>
          <w:rFonts w:hint="eastAsia"/>
          <w:snapToGrid w:val="0"/>
          <w:color w:val="auto"/>
          <w:kern w:val="0"/>
          <w:sz w:val="24"/>
          <w:szCs w:val="24"/>
          <w:highlight w:val="none"/>
        </w:rPr>
        <w:t>在合同工期内，发包人、总监理工程师对承包人的安全文明施工及环境保护措施进行定期检查，并按招标文件规定的项目和款项执行奖罚。</w:t>
      </w:r>
    </w:p>
    <w:p w14:paraId="5761B6F6">
      <w:pPr>
        <w:pStyle w:val="25"/>
        <w:adjustRightInd w:val="0"/>
        <w:snapToGrid w:val="0"/>
        <w:spacing w:line="360" w:lineRule="auto"/>
        <w:rPr>
          <w:snapToGrid w:val="0"/>
          <w:color w:val="auto"/>
          <w:kern w:val="0"/>
          <w:highlight w:val="none"/>
        </w:rPr>
      </w:pPr>
    </w:p>
    <w:p w14:paraId="4F6398E0">
      <w:pPr>
        <w:adjustRightInd w:val="0"/>
        <w:snapToGrid w:val="0"/>
        <w:spacing w:line="360" w:lineRule="auto"/>
        <w:ind w:right="11"/>
        <w:outlineLvl w:val="1"/>
        <w:rPr>
          <w:rFonts w:ascii="宋体" w:hAnsi="宋体"/>
          <w:b/>
          <w:bCs/>
          <w:snapToGrid w:val="0"/>
          <w:color w:val="auto"/>
          <w:kern w:val="0"/>
          <w:sz w:val="28"/>
          <w:szCs w:val="28"/>
          <w:highlight w:val="none"/>
        </w:rPr>
      </w:pPr>
      <w:r>
        <w:rPr>
          <w:rFonts w:hint="eastAsia" w:ascii="宋体" w:hAnsi="宋体"/>
          <w:b/>
          <w:bCs/>
          <w:snapToGrid w:val="0"/>
          <w:color w:val="auto"/>
          <w:kern w:val="0"/>
          <w:sz w:val="28"/>
          <w:szCs w:val="28"/>
          <w:highlight w:val="none"/>
        </w:rPr>
        <w:t>六、合同价款与支付</w:t>
      </w:r>
    </w:p>
    <w:p w14:paraId="00B43130">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25.合同价款及调整</w:t>
      </w:r>
    </w:p>
    <w:p w14:paraId="562A17CD">
      <w:pPr>
        <w:autoSpaceDE w:val="0"/>
        <w:autoSpaceDN w:val="0"/>
        <w:adjustRightInd w:val="0"/>
        <w:snapToGrid w:val="0"/>
        <w:spacing w:line="360" w:lineRule="auto"/>
        <w:ind w:right="11" w:firstLine="461"/>
        <w:outlineLvl w:val="3"/>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25</w:t>
      </w:r>
      <w:r>
        <w:rPr>
          <w:rFonts w:ascii="宋体" w:hAnsi="宋体" w:cs="宋体"/>
          <w:snapToGrid w:val="0"/>
          <w:color w:val="auto"/>
          <w:kern w:val="0"/>
          <w:sz w:val="24"/>
          <w:highlight w:val="none"/>
          <w:lang w:val="zh-CN"/>
        </w:rPr>
        <w:t>.1</w:t>
      </w:r>
      <w:r>
        <w:rPr>
          <w:rFonts w:hint="eastAsia" w:ascii="宋体" w:hAnsi="宋体" w:cs="宋体"/>
          <w:snapToGrid w:val="0"/>
          <w:color w:val="auto"/>
          <w:kern w:val="0"/>
          <w:sz w:val="24"/>
          <w:highlight w:val="none"/>
          <w:lang w:val="zh-CN"/>
        </w:rPr>
        <w:t>合同价款按照合同协议书第6条和本条第25.2款的约定执行。</w:t>
      </w:r>
    </w:p>
    <w:p w14:paraId="307DC4D8">
      <w:pPr>
        <w:autoSpaceDE w:val="0"/>
        <w:autoSpaceDN w:val="0"/>
        <w:adjustRightInd w:val="0"/>
        <w:snapToGrid w:val="0"/>
        <w:spacing w:line="360" w:lineRule="auto"/>
        <w:ind w:right="11" w:firstLine="461"/>
        <w:outlineLvl w:val="3"/>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25.2</w:t>
      </w:r>
      <w:r>
        <w:rPr>
          <w:rFonts w:hint="eastAsia" w:ascii="宋体" w:hAnsi="宋体" w:cs="宋体"/>
          <w:snapToGrid w:val="0"/>
          <w:color w:val="auto"/>
          <w:kern w:val="0"/>
          <w:sz w:val="24"/>
          <w:highlight w:val="none"/>
          <w:lang w:val="zh-CN"/>
        </w:rPr>
        <w:t>确定合同价款的方式</w:t>
      </w:r>
      <w:r>
        <w:rPr>
          <w:rFonts w:hint="eastAsia" w:ascii="宋体" w:hAnsi="宋体" w:cs="宋体"/>
          <w:snapToGrid w:val="0"/>
          <w:color w:val="auto"/>
          <w:kern w:val="0"/>
          <w:sz w:val="24"/>
          <w:highlight w:val="none"/>
        </w:rPr>
        <w:t>：</w:t>
      </w:r>
    </w:p>
    <w:p w14:paraId="2609AEBC">
      <w:pPr>
        <w:adjustRightInd w:val="0"/>
        <w:snapToGrid w:val="0"/>
        <w:spacing w:line="360" w:lineRule="auto"/>
        <w:ind w:right="11" w:firstLine="480" w:firstLineChars="200"/>
        <w:rPr>
          <w:rFonts w:ascii="宋体" w:hAnsi="宋体" w:cs="宋体"/>
          <w:bCs/>
          <w:color w:val="auto"/>
          <w:sz w:val="24"/>
          <w:highlight w:val="none"/>
          <w:u w:val="single"/>
        </w:rPr>
      </w:pPr>
      <w:r>
        <w:rPr>
          <w:rFonts w:hint="eastAsia" w:ascii="宋体" w:hAnsi="宋体" w:cs="宋体"/>
          <w:snapToGrid w:val="0"/>
          <w:color w:val="auto"/>
          <w:kern w:val="0"/>
          <w:sz w:val="24"/>
          <w:highlight w:val="none"/>
          <w:lang w:val="zh-CN"/>
        </w:rPr>
        <w:t>采用合同协议书第2.3款约</w:t>
      </w:r>
      <w:r>
        <w:rPr>
          <w:rFonts w:hint="eastAsia" w:ascii="宋体" w:hAnsi="宋体"/>
          <w:bCs/>
          <w:snapToGrid w:val="0"/>
          <w:color w:val="auto"/>
          <w:kern w:val="0"/>
          <w:sz w:val="24"/>
          <w:highlight w:val="none"/>
          <w:lang w:val="zh-CN"/>
        </w:rPr>
        <w:t>定的</w:t>
      </w:r>
      <w:r>
        <w:rPr>
          <w:rFonts w:hint="eastAsia" w:ascii="宋体" w:hAnsi="宋体"/>
          <w:bCs/>
          <w:snapToGrid w:val="0"/>
          <w:color w:val="auto"/>
          <w:kern w:val="0"/>
          <w:sz w:val="24"/>
          <w:highlight w:val="none"/>
          <w:u w:val="single"/>
          <w:lang w:val="zh-CN"/>
        </w:rPr>
        <w:t>工程量清单和单价措施项目综合单价包干，总价措施项目费包干</w:t>
      </w:r>
      <w:r>
        <w:rPr>
          <w:rFonts w:hint="eastAsia" w:ascii="宋体" w:hAnsi="宋体"/>
          <w:bCs/>
          <w:snapToGrid w:val="0"/>
          <w:color w:val="auto"/>
          <w:kern w:val="0"/>
          <w:sz w:val="24"/>
          <w:highlight w:val="none"/>
          <w:u w:val="single"/>
        </w:rPr>
        <w:t>。</w:t>
      </w:r>
      <w:r>
        <w:rPr>
          <w:rFonts w:hint="eastAsia" w:ascii="宋体" w:hAnsi="宋体"/>
          <w:bCs/>
          <w:snapToGrid w:val="0"/>
          <w:color w:val="auto"/>
          <w:kern w:val="0"/>
          <w:sz w:val="24"/>
          <w:highlight w:val="none"/>
          <w:u w:val="single"/>
          <w:lang w:val="zh-CN"/>
        </w:rPr>
        <w:t>施工便道费用在已在系数计取的绿色施工安全防护措施费中综合考虑。</w:t>
      </w:r>
      <w:r>
        <w:rPr>
          <w:rFonts w:hint="eastAsia" w:ascii="宋体" w:hAnsi="宋体"/>
          <w:bCs/>
          <w:snapToGrid w:val="0"/>
          <w:color w:val="auto"/>
          <w:kern w:val="0"/>
          <w:sz w:val="24"/>
          <w:highlight w:val="none"/>
          <w:u w:val="single"/>
        </w:rPr>
        <w:t>本项目施工总承包管理配合费已包含在本合同价款中，发包人不再另行支付。且不因施工期间人工、材料及机械价格变化、施工条件、工程规模的变化和政府造价管理部门调整各项收费等而调整，</w:t>
      </w:r>
      <w:r>
        <w:rPr>
          <w:rFonts w:hint="eastAsia" w:ascii="宋体" w:hAnsi="宋体" w:cs="宋体"/>
          <w:bCs/>
          <w:color w:val="auto"/>
          <w:sz w:val="24"/>
          <w:highlight w:val="none"/>
          <w:u w:val="single"/>
        </w:rPr>
        <w:t>最终结算以有权审核的终审部门审定结果为准。</w:t>
      </w:r>
    </w:p>
    <w:p w14:paraId="3BD8335B">
      <w:pPr>
        <w:spacing w:line="360" w:lineRule="auto"/>
        <w:ind w:firstLine="480" w:firstLineChars="200"/>
        <w:rPr>
          <w:rFonts w:ascii="宋体" w:hAnsi="宋体"/>
          <w:bCs/>
          <w:iCs/>
          <w:snapToGrid w:val="0"/>
          <w:color w:val="auto"/>
          <w:kern w:val="0"/>
          <w:sz w:val="24"/>
          <w:highlight w:val="none"/>
        </w:rPr>
      </w:pPr>
      <w:r>
        <w:rPr>
          <w:rFonts w:hint="eastAsia" w:ascii="宋体" w:hAnsi="宋体"/>
          <w:bCs/>
          <w:iCs/>
          <w:snapToGrid w:val="0"/>
          <w:color w:val="auto"/>
          <w:kern w:val="0"/>
          <w:sz w:val="24"/>
          <w:highlight w:val="none"/>
        </w:rPr>
        <w:t>合同价款及竣工结算采用定额、工料机价格取定及取费标准具体如下：</w:t>
      </w:r>
    </w:p>
    <w:p w14:paraId="41D9CBC9">
      <w:pPr>
        <w:spacing w:line="360" w:lineRule="auto"/>
        <w:ind w:firstLine="480" w:firstLineChars="200"/>
        <w:rPr>
          <w:rFonts w:ascii="宋体" w:hAnsi="宋体"/>
          <w:bCs/>
          <w:iCs/>
          <w:snapToGrid w:val="0"/>
          <w:color w:val="auto"/>
          <w:kern w:val="0"/>
          <w:sz w:val="24"/>
          <w:highlight w:val="none"/>
        </w:rPr>
      </w:pPr>
      <w:r>
        <w:rPr>
          <w:rFonts w:hint="eastAsia" w:ascii="宋体" w:hAnsi="宋体"/>
          <w:bCs/>
          <w:iCs/>
          <w:snapToGrid w:val="0"/>
          <w:color w:val="auto"/>
          <w:kern w:val="0"/>
          <w:sz w:val="24"/>
          <w:highlight w:val="none"/>
        </w:rPr>
        <w:t>1.采用定额</w:t>
      </w:r>
    </w:p>
    <w:p w14:paraId="4BC4C516">
      <w:pPr>
        <w:spacing w:line="360" w:lineRule="auto"/>
        <w:ind w:firstLine="480" w:firstLineChars="200"/>
        <w:rPr>
          <w:rFonts w:ascii="宋体" w:hAnsi="宋体"/>
          <w:bCs/>
          <w:iCs/>
          <w:snapToGrid w:val="0"/>
          <w:color w:val="auto"/>
          <w:kern w:val="0"/>
          <w:sz w:val="24"/>
          <w:highlight w:val="none"/>
        </w:rPr>
      </w:pPr>
      <w:r>
        <w:rPr>
          <w:rFonts w:hint="eastAsia" w:ascii="宋体" w:hAnsi="宋体"/>
          <w:bCs/>
          <w:iCs/>
          <w:snapToGrid w:val="0"/>
          <w:color w:val="auto"/>
          <w:kern w:val="0"/>
          <w:sz w:val="24"/>
          <w:highlight w:val="none"/>
        </w:rPr>
        <w:t>执行《广东省建设工程计价依据(2018)》(粤建市【2019】6号)，包括《广东省建筑与装饰工程综合定额（2018）》、《广东省通用安装工程综合定额(2018)》、《广东省建设工程施工机具台班费用编制规则（2018）》、《广东省市政工程工程综合定额（2018）》《广东省园林绿化工程综合定额（2018）》﹔若符合修缮工程套用规定的则按《广东省房屋建筑和市政修缮工程综合定额（2012)》执行。当上述定额有造价管理部门对局部定额子目勘误的则按勘误后的定额子目执行;当上述定额子目有缺项则参考相关定额消耗量(按就低不就高原则）编制补充定额子目。</w:t>
      </w:r>
    </w:p>
    <w:p w14:paraId="2FD205DD">
      <w:pPr>
        <w:spacing w:line="360" w:lineRule="auto"/>
        <w:ind w:firstLine="480" w:firstLineChars="200"/>
        <w:rPr>
          <w:rFonts w:ascii="宋体" w:hAnsi="宋体"/>
          <w:bCs/>
          <w:iCs/>
          <w:snapToGrid w:val="0"/>
          <w:color w:val="auto"/>
          <w:kern w:val="0"/>
          <w:sz w:val="24"/>
          <w:highlight w:val="none"/>
        </w:rPr>
      </w:pPr>
      <w:r>
        <w:rPr>
          <w:rFonts w:hint="eastAsia" w:ascii="宋体" w:hAnsi="宋体"/>
          <w:bCs/>
          <w:iCs/>
          <w:snapToGrid w:val="0"/>
          <w:color w:val="auto"/>
          <w:kern w:val="0"/>
          <w:sz w:val="24"/>
          <w:highlight w:val="none"/>
        </w:rPr>
        <w:t>2.工程量计算规则:按本合同约定所采用对应专业定额规定的工程量计算规则计算。</w:t>
      </w:r>
    </w:p>
    <w:p w14:paraId="0F72E840">
      <w:pPr>
        <w:spacing w:line="360" w:lineRule="auto"/>
        <w:ind w:firstLine="480" w:firstLineChars="200"/>
        <w:rPr>
          <w:rFonts w:ascii="宋体" w:hAnsi="宋体"/>
          <w:bCs/>
          <w:iCs/>
          <w:snapToGrid w:val="0"/>
          <w:color w:val="auto"/>
          <w:kern w:val="0"/>
          <w:sz w:val="24"/>
          <w:highlight w:val="none"/>
        </w:rPr>
      </w:pPr>
      <w:r>
        <w:rPr>
          <w:rFonts w:hint="eastAsia" w:ascii="宋体" w:hAnsi="宋体"/>
          <w:bCs/>
          <w:iCs/>
          <w:snapToGrid w:val="0"/>
          <w:color w:val="auto"/>
          <w:kern w:val="0"/>
          <w:sz w:val="24"/>
          <w:highlight w:val="none"/>
        </w:rPr>
        <w:t>3.措施项目费和其他项目费计算规定:措施项目费和其他项目费按系数计算的，竣工结算按合同签订时广州市建设工程造价管理站发布的文件规定计算。措施项目费和其他项目费需计算工程量并套用定额的，当能按竣工图计算工程量的则依据竣工图计算，当不能按竣工图计算工程量的则按经发包人、监理单位审批的施工组织设计或施工方案计算。</w:t>
      </w:r>
    </w:p>
    <w:p w14:paraId="12347436">
      <w:pPr>
        <w:spacing w:line="360" w:lineRule="auto"/>
        <w:ind w:firstLine="480" w:firstLineChars="200"/>
        <w:rPr>
          <w:rFonts w:ascii="宋体" w:hAnsi="宋体"/>
          <w:bCs/>
          <w:iCs/>
          <w:snapToGrid w:val="0"/>
          <w:color w:val="auto"/>
          <w:kern w:val="0"/>
          <w:sz w:val="24"/>
          <w:highlight w:val="none"/>
        </w:rPr>
      </w:pPr>
      <w:r>
        <w:rPr>
          <w:rFonts w:hint="eastAsia" w:ascii="宋体" w:hAnsi="宋体"/>
          <w:bCs/>
          <w:iCs/>
          <w:snapToGrid w:val="0"/>
          <w:color w:val="auto"/>
          <w:kern w:val="0"/>
          <w:sz w:val="24"/>
          <w:highlight w:val="none"/>
        </w:rPr>
        <w:t>4.人工、材料、机械价格取定：按广州市造价管理站</w:t>
      </w:r>
      <w:r>
        <w:rPr>
          <w:rFonts w:hint="eastAsia" w:ascii="宋体" w:hAnsi="宋体"/>
          <w:bCs/>
          <w:iCs/>
          <w:snapToGrid w:val="0"/>
          <w:color w:val="auto"/>
          <w:kern w:val="0"/>
          <w:sz w:val="24"/>
          <w:highlight w:val="none"/>
          <w:lang w:val="en-US" w:eastAsia="zh-CN"/>
        </w:rPr>
        <w:t>2024</w:t>
      </w:r>
      <w:r>
        <w:rPr>
          <w:rFonts w:hint="eastAsia" w:ascii="宋体" w:hAnsi="宋体"/>
          <w:bCs/>
          <w:iCs/>
          <w:snapToGrid w:val="0"/>
          <w:color w:val="auto"/>
          <w:kern w:val="0"/>
          <w:sz w:val="24"/>
          <w:highlight w:val="none"/>
        </w:rPr>
        <w:t>年</w:t>
      </w:r>
      <w:r>
        <w:rPr>
          <w:rFonts w:hint="eastAsia" w:ascii="宋体" w:hAnsi="宋体"/>
          <w:bCs/>
          <w:iCs/>
          <w:snapToGrid w:val="0"/>
          <w:color w:val="auto"/>
          <w:kern w:val="0"/>
          <w:sz w:val="24"/>
          <w:highlight w:val="none"/>
          <w:lang w:val="en-US" w:eastAsia="zh-CN"/>
        </w:rPr>
        <w:t>9</w:t>
      </w:r>
      <w:r>
        <w:rPr>
          <w:rFonts w:hint="eastAsia" w:ascii="宋体" w:hAnsi="宋体"/>
          <w:bCs/>
          <w:iCs/>
          <w:snapToGrid w:val="0"/>
          <w:color w:val="auto"/>
          <w:kern w:val="0"/>
          <w:sz w:val="24"/>
          <w:highlight w:val="none"/>
        </w:rPr>
        <w:t>月《广州市工程造价信息》(以下简称“信息价”，即本合同全文“信息价”均指《广州市工程造价信息》）的人工、机械单价取定。</w:t>
      </w:r>
    </w:p>
    <w:p w14:paraId="6D3CD314">
      <w:pPr>
        <w:spacing w:line="360" w:lineRule="auto"/>
        <w:ind w:firstLine="480" w:firstLineChars="200"/>
        <w:rPr>
          <w:rFonts w:ascii="宋体" w:hAnsi="宋体"/>
          <w:bCs/>
          <w:iCs/>
          <w:snapToGrid w:val="0"/>
          <w:color w:val="auto"/>
          <w:kern w:val="0"/>
          <w:sz w:val="24"/>
          <w:highlight w:val="none"/>
        </w:rPr>
      </w:pPr>
      <w:r>
        <w:rPr>
          <w:rFonts w:hint="eastAsia" w:ascii="宋体" w:hAnsi="宋体"/>
          <w:bCs/>
          <w:iCs/>
          <w:snapToGrid w:val="0"/>
          <w:color w:val="auto"/>
          <w:kern w:val="0"/>
          <w:sz w:val="24"/>
          <w:highlight w:val="none"/>
        </w:rPr>
        <w:t>材料单价取定:按广州市造价管理站202</w:t>
      </w:r>
      <w:r>
        <w:rPr>
          <w:rFonts w:hint="eastAsia" w:ascii="宋体" w:hAnsi="宋体"/>
          <w:bCs/>
          <w:iCs/>
          <w:snapToGrid w:val="0"/>
          <w:color w:val="auto"/>
          <w:kern w:val="0"/>
          <w:sz w:val="24"/>
          <w:highlight w:val="none"/>
          <w:lang w:val="en-US" w:eastAsia="zh-CN"/>
        </w:rPr>
        <w:t>4</w:t>
      </w:r>
      <w:r>
        <w:rPr>
          <w:rFonts w:hint="eastAsia" w:ascii="宋体" w:hAnsi="宋体"/>
          <w:bCs/>
          <w:iCs/>
          <w:snapToGrid w:val="0"/>
          <w:color w:val="auto"/>
          <w:kern w:val="0"/>
          <w:sz w:val="24"/>
          <w:highlight w:val="none"/>
        </w:rPr>
        <w:t>年</w:t>
      </w:r>
      <w:r>
        <w:rPr>
          <w:rFonts w:hint="eastAsia" w:ascii="宋体" w:hAnsi="宋体"/>
          <w:bCs/>
          <w:iCs/>
          <w:snapToGrid w:val="0"/>
          <w:color w:val="auto"/>
          <w:kern w:val="0"/>
          <w:sz w:val="24"/>
          <w:highlight w:val="none"/>
          <w:lang w:val="en-US" w:eastAsia="zh-CN"/>
        </w:rPr>
        <w:t>9</w:t>
      </w:r>
      <w:r>
        <w:rPr>
          <w:rFonts w:hint="eastAsia" w:ascii="宋体" w:hAnsi="宋体"/>
          <w:bCs/>
          <w:iCs/>
          <w:snapToGrid w:val="0"/>
          <w:color w:val="auto"/>
          <w:kern w:val="0"/>
          <w:sz w:val="24"/>
          <w:highlight w:val="none"/>
        </w:rPr>
        <w:t>月《广州地区建设工程常用材料综合价格》计算，《广州地区建设工程常用材料综合价格》没有的材料单价，则参照广州市造价管理站项目建设202</w:t>
      </w:r>
      <w:r>
        <w:rPr>
          <w:rFonts w:hint="eastAsia" w:ascii="宋体" w:hAnsi="宋体"/>
          <w:bCs/>
          <w:iCs/>
          <w:snapToGrid w:val="0"/>
          <w:color w:val="auto"/>
          <w:kern w:val="0"/>
          <w:sz w:val="24"/>
          <w:highlight w:val="none"/>
          <w:lang w:val="en-US" w:eastAsia="zh-CN"/>
        </w:rPr>
        <w:t>4</w:t>
      </w:r>
      <w:r>
        <w:rPr>
          <w:rFonts w:hint="eastAsia" w:ascii="宋体" w:hAnsi="宋体"/>
          <w:bCs/>
          <w:iCs/>
          <w:snapToGrid w:val="0"/>
          <w:color w:val="auto"/>
          <w:kern w:val="0"/>
          <w:sz w:val="24"/>
          <w:highlight w:val="none"/>
        </w:rPr>
        <w:t>年</w:t>
      </w:r>
      <w:r>
        <w:rPr>
          <w:rFonts w:hint="eastAsia" w:ascii="宋体" w:hAnsi="宋体"/>
          <w:bCs/>
          <w:iCs/>
          <w:snapToGrid w:val="0"/>
          <w:color w:val="auto"/>
          <w:kern w:val="0"/>
          <w:sz w:val="24"/>
          <w:highlight w:val="none"/>
          <w:lang w:val="en-US" w:eastAsia="zh-CN"/>
        </w:rPr>
        <w:t>第三季度</w:t>
      </w:r>
      <w:r>
        <w:rPr>
          <w:rFonts w:hint="eastAsia" w:ascii="宋体" w:hAnsi="宋体"/>
          <w:bCs/>
          <w:iCs/>
          <w:snapToGrid w:val="0"/>
          <w:color w:val="auto"/>
          <w:kern w:val="0"/>
          <w:sz w:val="24"/>
          <w:highlight w:val="none"/>
        </w:rPr>
        <w:t>《广州地区建设工程材料(设备）厂商价格信息》并</w:t>
      </w:r>
      <w:r>
        <w:rPr>
          <w:rFonts w:hint="eastAsia" w:ascii="宋体" w:hAnsi="宋体"/>
          <w:bCs/>
          <w:iCs/>
          <w:snapToGrid w:val="0"/>
          <w:color w:val="auto"/>
          <w:kern w:val="0"/>
          <w:sz w:val="24"/>
          <w:highlight w:val="none"/>
          <w:lang w:eastAsia="zh-CN"/>
        </w:rPr>
        <w:t>下浮</w:t>
      </w:r>
      <w:r>
        <w:rPr>
          <w:rFonts w:hint="eastAsia" w:ascii="宋体" w:hAnsi="宋体"/>
          <w:bCs/>
          <w:iCs/>
          <w:snapToGrid w:val="0"/>
          <w:color w:val="auto"/>
          <w:kern w:val="0"/>
          <w:sz w:val="24"/>
          <w:highlight w:val="none"/>
          <w:lang w:val="en-US" w:eastAsia="zh-CN"/>
        </w:rPr>
        <w:t>20%执行</w:t>
      </w:r>
      <w:r>
        <w:rPr>
          <w:rFonts w:hint="eastAsia" w:ascii="宋体" w:hAnsi="宋体"/>
          <w:bCs/>
          <w:iCs/>
          <w:snapToGrid w:val="0"/>
          <w:color w:val="auto"/>
          <w:kern w:val="0"/>
          <w:sz w:val="24"/>
          <w:highlight w:val="none"/>
        </w:rPr>
        <w:t>;对《广州地区建设工程材料（设备）厂商价格信息》仍然没有的材料单价，则由承包人提出适当的材料单价，经发包人</w:t>
      </w:r>
      <w:r>
        <w:rPr>
          <w:rFonts w:hint="eastAsia" w:ascii="宋体" w:hAnsi="宋体"/>
          <w:bCs/>
          <w:iCs/>
          <w:snapToGrid w:val="0"/>
          <w:color w:val="auto"/>
          <w:kern w:val="0"/>
          <w:sz w:val="24"/>
          <w:highlight w:val="none"/>
          <w:lang w:eastAsia="zh-CN"/>
        </w:rPr>
        <w:t>、</w:t>
      </w:r>
      <w:r>
        <w:rPr>
          <w:rFonts w:hint="eastAsia" w:ascii="宋体" w:hAnsi="宋体"/>
          <w:bCs/>
          <w:iCs/>
          <w:snapToGrid w:val="0"/>
          <w:color w:val="auto"/>
          <w:kern w:val="0"/>
          <w:sz w:val="24"/>
          <w:highlight w:val="none"/>
        </w:rPr>
        <w:t>监理单位</w:t>
      </w:r>
      <w:r>
        <w:rPr>
          <w:rFonts w:hint="eastAsia" w:ascii="宋体" w:hAnsi="宋体"/>
          <w:bCs/>
          <w:iCs/>
          <w:snapToGrid w:val="0"/>
          <w:color w:val="auto"/>
          <w:kern w:val="0"/>
          <w:sz w:val="24"/>
          <w:highlight w:val="none"/>
          <w:lang w:eastAsia="zh-CN"/>
        </w:rPr>
        <w:t>及造价咨询单位</w:t>
      </w:r>
      <w:r>
        <w:rPr>
          <w:rFonts w:hint="eastAsia" w:ascii="宋体" w:hAnsi="宋体"/>
          <w:bCs/>
          <w:iCs/>
          <w:snapToGrid w:val="0"/>
          <w:color w:val="auto"/>
          <w:kern w:val="0"/>
          <w:sz w:val="24"/>
          <w:highlight w:val="none"/>
        </w:rPr>
        <w:t>确认后执行。</w:t>
      </w:r>
    </w:p>
    <w:p w14:paraId="5D2F298F">
      <w:pPr>
        <w:spacing w:line="360" w:lineRule="auto"/>
        <w:ind w:firstLine="480" w:firstLineChars="200"/>
        <w:rPr>
          <w:rFonts w:ascii="宋体" w:hAnsi="宋体"/>
          <w:bCs/>
          <w:iCs/>
          <w:snapToGrid w:val="0"/>
          <w:color w:val="auto"/>
          <w:kern w:val="0"/>
          <w:sz w:val="24"/>
          <w:highlight w:val="none"/>
        </w:rPr>
      </w:pPr>
      <w:r>
        <w:rPr>
          <w:rFonts w:hint="eastAsia" w:ascii="宋体" w:hAnsi="宋体"/>
          <w:bCs/>
          <w:iCs/>
          <w:snapToGrid w:val="0"/>
          <w:color w:val="auto"/>
          <w:kern w:val="0"/>
          <w:sz w:val="24"/>
          <w:highlight w:val="none"/>
        </w:rPr>
        <w:t>5.询价定价原则：由发包人与承包人通过询价、比选三家以上材料价格，结合合理的市场价格水平协商确定。如发承包双方对市场价存在较大争议或因实际情况报价单位不足三家的材料，发包人有权要求承包人提供施工当期的材料价格发票、采购合同等作为材料价格结算依据。本合同计价原则以有权审核部门评审的原则为准。</w:t>
      </w:r>
    </w:p>
    <w:p w14:paraId="27D368B1">
      <w:pPr>
        <w:autoSpaceDE w:val="0"/>
        <w:autoSpaceDN w:val="0"/>
        <w:adjustRightInd w:val="0"/>
        <w:snapToGrid w:val="0"/>
        <w:spacing w:line="360" w:lineRule="auto"/>
        <w:ind w:right="11" w:firstLine="461"/>
        <w:rPr>
          <w:rFonts w:ascii="宋体" w:hAnsi="宋体"/>
          <w:b/>
          <w:snapToGrid w:val="0"/>
          <w:color w:val="auto"/>
          <w:kern w:val="0"/>
          <w:sz w:val="24"/>
          <w:highlight w:val="none"/>
        </w:rPr>
      </w:pPr>
      <w:r>
        <w:rPr>
          <w:rFonts w:hint="eastAsia" w:ascii="宋体" w:hAnsi="宋体"/>
          <w:b/>
          <w:snapToGrid w:val="0"/>
          <w:color w:val="auto"/>
          <w:kern w:val="0"/>
          <w:sz w:val="24"/>
          <w:highlight w:val="none"/>
        </w:rPr>
        <w:t>承包人与发包人一致同意不适用合同通用条款第25.3、25.4款的约定，代之以：</w:t>
      </w:r>
    </w:p>
    <w:p w14:paraId="6D91A3AB">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ascii="宋体" w:hAnsi="宋体"/>
          <w:snapToGrid w:val="0"/>
          <w:color w:val="auto"/>
          <w:kern w:val="0"/>
          <w:sz w:val="24"/>
          <w:highlight w:val="none"/>
        </w:rPr>
        <w:t>2</w:t>
      </w:r>
      <w:r>
        <w:rPr>
          <w:rFonts w:hint="eastAsia" w:ascii="宋体" w:hAnsi="宋体"/>
          <w:snapToGrid w:val="0"/>
          <w:color w:val="auto"/>
          <w:kern w:val="0"/>
          <w:sz w:val="24"/>
          <w:highlight w:val="none"/>
        </w:rPr>
        <w:t>5</w:t>
      </w:r>
      <w:r>
        <w:rPr>
          <w:rFonts w:ascii="宋体" w:hAnsi="宋体"/>
          <w:snapToGrid w:val="0"/>
          <w:color w:val="auto"/>
          <w:kern w:val="0"/>
          <w:sz w:val="24"/>
          <w:highlight w:val="none"/>
        </w:rPr>
        <w:t>.</w:t>
      </w:r>
      <w:r>
        <w:rPr>
          <w:rFonts w:hint="eastAsia" w:ascii="宋体" w:hAnsi="宋体"/>
          <w:snapToGrid w:val="0"/>
          <w:color w:val="auto"/>
          <w:kern w:val="0"/>
          <w:sz w:val="24"/>
          <w:highlight w:val="none"/>
        </w:rPr>
        <w:t>3综合单价包干的合同价款的调整</w:t>
      </w:r>
    </w:p>
    <w:p w14:paraId="7A3E4BCF">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合同价款的调整按照如下约定执行：</w:t>
      </w:r>
    </w:p>
    <w:p w14:paraId="68FED3A8">
      <w:pPr>
        <w:adjustRightInd w:val="0"/>
        <w:snapToGrid w:val="0"/>
        <w:spacing w:line="360" w:lineRule="auto"/>
        <w:ind w:right="11" w:firstLine="403" w:firstLineChars="192"/>
        <w:rPr>
          <w:rFonts w:ascii="宋体" w:hAnsi="宋体"/>
          <w:snapToGrid w:val="0"/>
          <w:color w:val="auto"/>
          <w:kern w:val="0"/>
          <w:sz w:val="24"/>
          <w:highlight w:val="none"/>
        </w:rPr>
      </w:pPr>
      <w:r>
        <w:rPr>
          <w:rFonts w:hint="eastAsia" w:ascii="宋体" w:hAnsi="宋体"/>
          <w:bCs/>
          <w:snapToGrid w:val="0"/>
          <w:color w:val="auto"/>
          <w:kern w:val="0"/>
          <w:szCs w:val="21"/>
          <w:highlight w:val="none"/>
          <w:bdr w:val="single" w:color="auto" w:sz="4" w:space="0"/>
        </w:rPr>
        <w:t>√</w:t>
      </w:r>
      <w:r>
        <w:rPr>
          <w:rFonts w:hint="eastAsia" w:ascii="宋体" w:hAnsi="宋体"/>
          <w:snapToGrid w:val="0"/>
          <w:color w:val="auto"/>
          <w:kern w:val="0"/>
          <w:sz w:val="24"/>
          <w:highlight w:val="none"/>
        </w:rPr>
        <w:t>（1）合同价款的调整。当发生下列情况时，可对合同价款进行调整：</w:t>
      </w:r>
    </w:p>
    <w:p w14:paraId="69E6882E">
      <w:pPr>
        <w:adjustRightInd w:val="0"/>
        <w:snapToGrid w:val="0"/>
        <w:spacing w:line="360" w:lineRule="auto"/>
        <w:ind w:right="11" w:firstLine="403" w:firstLineChars="192"/>
        <w:rPr>
          <w:rFonts w:ascii="宋体" w:hAnsi="宋体"/>
          <w:snapToGrid w:val="0"/>
          <w:color w:val="auto"/>
          <w:kern w:val="0"/>
          <w:sz w:val="24"/>
          <w:highlight w:val="none"/>
        </w:rPr>
      </w:pPr>
      <w:r>
        <w:rPr>
          <w:rFonts w:hint="eastAsia" w:ascii="宋体" w:hAnsi="宋体"/>
          <w:bCs/>
          <w:snapToGrid w:val="0"/>
          <w:color w:val="auto"/>
          <w:kern w:val="0"/>
          <w:szCs w:val="21"/>
          <w:highlight w:val="none"/>
          <w:bdr w:val="single" w:color="auto" w:sz="4" w:space="0"/>
        </w:rPr>
        <w:t>√</w:t>
      </w:r>
      <w:r>
        <w:rPr>
          <w:rFonts w:hint="eastAsia" w:ascii="宋体" w:hAnsi="宋体"/>
          <w:snapToGrid w:val="0"/>
          <w:color w:val="auto"/>
          <w:kern w:val="0"/>
          <w:sz w:val="24"/>
          <w:highlight w:val="none"/>
        </w:rPr>
        <w:t xml:space="preserve"> 1）发包人及监理单位共同确认的工程量增减。</w:t>
      </w:r>
    </w:p>
    <w:p w14:paraId="7C97AFD3">
      <w:pPr>
        <w:adjustRightInd w:val="0"/>
        <w:snapToGrid w:val="0"/>
        <w:spacing w:line="360" w:lineRule="auto"/>
        <w:ind w:right="11" w:firstLine="403" w:firstLineChars="192"/>
        <w:rPr>
          <w:rFonts w:ascii="宋体" w:hAnsi="宋体"/>
          <w:snapToGrid w:val="0"/>
          <w:color w:val="auto"/>
          <w:kern w:val="0"/>
          <w:sz w:val="24"/>
          <w:highlight w:val="none"/>
        </w:rPr>
      </w:pPr>
      <w:r>
        <w:rPr>
          <w:rFonts w:hint="eastAsia" w:ascii="宋体" w:hAnsi="宋体"/>
          <w:bCs/>
          <w:snapToGrid w:val="0"/>
          <w:color w:val="auto"/>
          <w:kern w:val="0"/>
          <w:szCs w:val="21"/>
          <w:highlight w:val="none"/>
          <w:bdr w:val="single" w:color="auto" w:sz="4" w:space="0"/>
        </w:rPr>
        <w:t>√</w:t>
      </w:r>
      <w:r>
        <w:rPr>
          <w:rFonts w:hint="eastAsia" w:ascii="宋体" w:hAnsi="宋体"/>
          <w:snapToGrid w:val="0"/>
          <w:color w:val="auto"/>
          <w:kern w:val="0"/>
          <w:sz w:val="24"/>
          <w:highlight w:val="none"/>
        </w:rPr>
        <w:t xml:space="preserve"> 2）发包人及监理单位共同确认的变更工程和新增工程。</w:t>
      </w:r>
    </w:p>
    <w:p w14:paraId="01604F0C">
      <w:pPr>
        <w:adjustRightInd w:val="0"/>
        <w:snapToGrid w:val="0"/>
        <w:spacing w:line="360" w:lineRule="auto"/>
        <w:ind w:right="11" w:firstLine="403" w:firstLineChars="192"/>
        <w:rPr>
          <w:rFonts w:ascii="宋体" w:hAnsi="宋体"/>
          <w:snapToGrid w:val="0"/>
          <w:color w:val="auto"/>
          <w:kern w:val="0"/>
          <w:sz w:val="24"/>
          <w:highlight w:val="none"/>
        </w:rPr>
      </w:pPr>
      <w:r>
        <w:rPr>
          <w:rFonts w:hint="eastAsia" w:ascii="宋体" w:hAnsi="宋体"/>
          <w:bCs/>
          <w:snapToGrid w:val="0"/>
          <w:color w:val="auto"/>
          <w:kern w:val="0"/>
          <w:szCs w:val="21"/>
          <w:highlight w:val="none"/>
          <w:bdr w:val="single" w:color="auto" w:sz="4" w:space="0"/>
        </w:rPr>
        <w:t>√</w:t>
      </w:r>
      <w:r>
        <w:rPr>
          <w:rFonts w:hint="eastAsia" w:ascii="宋体" w:hAnsi="宋体"/>
          <w:snapToGrid w:val="0"/>
          <w:color w:val="auto"/>
          <w:kern w:val="0"/>
          <w:sz w:val="24"/>
          <w:highlight w:val="none"/>
        </w:rPr>
        <w:t>（2）所有变更工程和新增工程的单价或价格，均按照合同专用条款第33条执行。</w:t>
      </w:r>
    </w:p>
    <w:p w14:paraId="407CCD29">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ascii="宋体" w:hAnsi="宋体"/>
          <w:snapToGrid w:val="0"/>
          <w:color w:val="auto"/>
          <w:kern w:val="0"/>
          <w:sz w:val="24"/>
          <w:highlight w:val="none"/>
        </w:rPr>
        <w:t>2</w:t>
      </w:r>
      <w:r>
        <w:rPr>
          <w:rFonts w:hint="eastAsia" w:ascii="宋体" w:hAnsi="宋体"/>
          <w:snapToGrid w:val="0"/>
          <w:color w:val="auto"/>
          <w:kern w:val="0"/>
          <w:sz w:val="24"/>
          <w:highlight w:val="none"/>
        </w:rPr>
        <w:t>5</w:t>
      </w:r>
      <w:r>
        <w:rPr>
          <w:rFonts w:ascii="宋体" w:hAnsi="宋体"/>
          <w:snapToGrid w:val="0"/>
          <w:color w:val="auto"/>
          <w:kern w:val="0"/>
          <w:sz w:val="24"/>
          <w:highlight w:val="none"/>
        </w:rPr>
        <w:t>.</w:t>
      </w:r>
      <w:r>
        <w:rPr>
          <w:rFonts w:hint="eastAsia" w:ascii="宋体" w:hAnsi="宋体"/>
          <w:snapToGrid w:val="0"/>
          <w:color w:val="auto"/>
          <w:kern w:val="0"/>
          <w:sz w:val="24"/>
          <w:highlight w:val="none"/>
        </w:rPr>
        <w:t>4承包人应在本条第</w:t>
      </w:r>
      <w:r>
        <w:rPr>
          <w:rFonts w:ascii="宋体" w:hAnsi="宋体"/>
          <w:snapToGrid w:val="0"/>
          <w:color w:val="auto"/>
          <w:kern w:val="0"/>
          <w:sz w:val="24"/>
          <w:highlight w:val="none"/>
        </w:rPr>
        <w:t>2</w:t>
      </w:r>
      <w:r>
        <w:rPr>
          <w:rFonts w:hint="eastAsia" w:ascii="宋体" w:hAnsi="宋体"/>
          <w:snapToGrid w:val="0"/>
          <w:color w:val="auto"/>
          <w:kern w:val="0"/>
          <w:sz w:val="24"/>
          <w:highlight w:val="none"/>
        </w:rPr>
        <w:t>5</w:t>
      </w:r>
      <w:r>
        <w:rPr>
          <w:rFonts w:ascii="宋体" w:hAnsi="宋体"/>
          <w:snapToGrid w:val="0"/>
          <w:color w:val="auto"/>
          <w:kern w:val="0"/>
          <w:sz w:val="24"/>
          <w:highlight w:val="none"/>
        </w:rPr>
        <w:t>.</w:t>
      </w:r>
      <w:r>
        <w:rPr>
          <w:rFonts w:hint="eastAsia" w:ascii="宋体" w:hAnsi="宋体"/>
          <w:snapToGrid w:val="0"/>
          <w:color w:val="auto"/>
          <w:kern w:val="0"/>
          <w:sz w:val="24"/>
          <w:highlight w:val="none"/>
        </w:rPr>
        <w:t>3（1）款情况发生后5天内将调整原因、金额以书面形式通知监理单位，经监理单位和发包人批准后作为调整合同价款及拨付工程进度款的依据，</w:t>
      </w:r>
      <w:r>
        <w:rPr>
          <w:rFonts w:hint="eastAsia" w:ascii="宋体" w:hAnsi="宋体"/>
          <w:bCs/>
          <w:iCs/>
          <w:snapToGrid w:val="0"/>
          <w:color w:val="auto"/>
          <w:kern w:val="0"/>
          <w:sz w:val="24"/>
          <w:highlight w:val="none"/>
        </w:rPr>
        <w:t>以有权审核部门评审的原则为准</w:t>
      </w:r>
      <w:r>
        <w:rPr>
          <w:rFonts w:hint="eastAsia" w:ascii="宋体" w:hAnsi="宋体"/>
          <w:snapToGrid w:val="0"/>
          <w:color w:val="auto"/>
          <w:kern w:val="0"/>
          <w:sz w:val="24"/>
          <w:highlight w:val="none"/>
        </w:rPr>
        <w:t>。监理单位收到后5-10天内审核并签署意见，发包人在10-20天内审定并批准执行。</w:t>
      </w:r>
    </w:p>
    <w:p w14:paraId="581C8BF1">
      <w:pPr>
        <w:adjustRightInd w:val="0"/>
        <w:snapToGrid w:val="0"/>
        <w:spacing w:line="360" w:lineRule="auto"/>
        <w:ind w:right="11" w:firstLine="463" w:firstLineChars="192"/>
        <w:rPr>
          <w:rFonts w:ascii="宋体" w:hAnsi="宋体"/>
          <w:snapToGrid w:val="0"/>
          <w:color w:val="auto"/>
          <w:kern w:val="0"/>
          <w:sz w:val="24"/>
          <w:highlight w:val="none"/>
        </w:rPr>
      </w:pPr>
      <w:r>
        <w:rPr>
          <w:rFonts w:hint="eastAsia" w:ascii="宋体" w:hAnsi="宋体"/>
          <w:b/>
          <w:snapToGrid w:val="0"/>
          <w:color w:val="auto"/>
          <w:kern w:val="0"/>
          <w:sz w:val="24"/>
          <w:highlight w:val="none"/>
        </w:rPr>
        <w:t>承包人与发包人一致同意增加25.5至25.11：</w:t>
      </w:r>
    </w:p>
    <w:p w14:paraId="4EB35057">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ascii="宋体" w:hAnsi="宋体"/>
          <w:snapToGrid w:val="0"/>
          <w:color w:val="auto"/>
          <w:kern w:val="0"/>
          <w:sz w:val="24"/>
          <w:highlight w:val="none"/>
        </w:rPr>
        <w:t>2</w:t>
      </w:r>
      <w:r>
        <w:rPr>
          <w:rFonts w:hint="eastAsia" w:ascii="宋体" w:hAnsi="宋体"/>
          <w:snapToGrid w:val="0"/>
          <w:color w:val="auto"/>
          <w:kern w:val="0"/>
          <w:sz w:val="24"/>
          <w:highlight w:val="none"/>
        </w:rPr>
        <w:t>5</w:t>
      </w:r>
      <w:r>
        <w:rPr>
          <w:rFonts w:ascii="宋体" w:hAnsi="宋体"/>
          <w:snapToGrid w:val="0"/>
          <w:color w:val="auto"/>
          <w:kern w:val="0"/>
          <w:sz w:val="24"/>
          <w:highlight w:val="none"/>
        </w:rPr>
        <w:t>.</w:t>
      </w:r>
      <w:r>
        <w:rPr>
          <w:rFonts w:hint="eastAsia" w:ascii="宋体" w:hAnsi="宋体"/>
          <w:snapToGrid w:val="0"/>
          <w:color w:val="auto"/>
          <w:kern w:val="0"/>
          <w:sz w:val="24"/>
          <w:highlight w:val="none"/>
        </w:rPr>
        <w:t>5工程签证的计价</w:t>
      </w:r>
    </w:p>
    <w:p w14:paraId="6A77627F">
      <w:pPr>
        <w:adjustRightInd w:val="0"/>
        <w:snapToGrid w:val="0"/>
        <w:spacing w:line="360" w:lineRule="auto"/>
        <w:ind w:right="11" w:firstLine="480" w:firstLineChars="200"/>
        <w:rPr>
          <w:rFonts w:ascii="宋体" w:hAnsi="宋体" w:cs="宋体"/>
          <w:bCs/>
          <w:color w:val="auto"/>
          <w:sz w:val="24"/>
          <w:highlight w:val="none"/>
          <w:u w:val="single"/>
        </w:rPr>
      </w:pPr>
      <w:r>
        <w:rPr>
          <w:rFonts w:hint="eastAsia" w:ascii="宋体" w:hAnsi="宋体"/>
          <w:snapToGrid w:val="0"/>
          <w:color w:val="auto"/>
          <w:kern w:val="0"/>
          <w:sz w:val="24"/>
          <w:highlight w:val="none"/>
        </w:rPr>
        <w:t>当发包人书面指令必须进行工程签证时，所有工程签证必须在发生后2天内经发包人和监理单位现场核实计量后签字并盖章确认，签证资料需包含施工前、施工中、施工后三组同一视角的影像照片。承包人根据工程签证确认的工程量5天内编制预算报监理单位审核，监理单位5天内提出造价审核意见报发包人，并由发包人5天内完成复审后签字盖章确认。凡是没有经过发包人和监理单位签字并盖章确认的工程签证，其增加的费用不予确认。结算时工程签证的计价以有权结算终审部门的审定为准。</w:t>
      </w:r>
    </w:p>
    <w:p w14:paraId="0A4AF044">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25.6承包人承诺：所有变更工程和新增工程引起的计价、计量调整、报批和审批过程，均不得影响变更的执行，承包人不得以此为理由公开或变相拖延或延误新增或变更工程的实施，否则，承包人须承担由此造成的发包人经济损失及工期延误的责任，且须按合同专用条款第38.7、38.8款承担违约责任。</w:t>
      </w:r>
    </w:p>
    <w:p w14:paraId="0534F14D">
      <w:pPr>
        <w:pStyle w:val="43"/>
        <w:adjustRightInd w:val="0"/>
        <w:snapToGrid w:val="0"/>
        <w:spacing w:before="0" w:beforeAutospacing="0" w:after="0" w:afterAutospacing="0" w:line="360" w:lineRule="auto"/>
        <w:ind w:firstLine="480" w:firstLineChars="200"/>
        <w:outlineLvl w:val="3"/>
        <w:rPr>
          <w:snapToGrid w:val="0"/>
          <w:color w:val="auto"/>
          <w:highlight w:val="none"/>
        </w:rPr>
      </w:pPr>
      <w:r>
        <w:rPr>
          <w:rFonts w:hint="eastAsia"/>
          <w:snapToGrid w:val="0"/>
          <w:color w:val="auto"/>
          <w:highlight w:val="none"/>
        </w:rPr>
        <w:t>25.7承包人承诺：在整个合同执行期间发包人如发现有招标文件规定的不合理投标报价的，发包人有权按有关规定和合同约定进行调整，同时书面通知承包人，并以此作为结算依据。</w:t>
      </w:r>
    </w:p>
    <w:p w14:paraId="2D3821DC">
      <w:pPr>
        <w:pStyle w:val="43"/>
        <w:adjustRightInd w:val="0"/>
        <w:snapToGrid w:val="0"/>
        <w:spacing w:before="0" w:beforeAutospacing="0" w:after="0" w:afterAutospacing="0" w:line="360" w:lineRule="auto"/>
        <w:ind w:firstLine="480" w:firstLineChars="200"/>
        <w:outlineLvl w:val="3"/>
        <w:rPr>
          <w:snapToGrid w:val="0"/>
          <w:color w:val="auto"/>
          <w:highlight w:val="none"/>
        </w:rPr>
      </w:pPr>
      <w:r>
        <w:rPr>
          <w:rFonts w:hint="eastAsia"/>
          <w:snapToGrid w:val="0"/>
          <w:color w:val="auto"/>
          <w:highlight w:val="none"/>
        </w:rPr>
        <w:t>25.8本项目执行国家和省有关计价规范（《建设工程工程量清单计价规范（GB50500-2013）》）</w:t>
      </w:r>
      <w:r>
        <w:rPr>
          <w:rFonts w:hint="eastAsia" w:cs="宋体"/>
          <w:snapToGrid w:val="0"/>
          <w:color w:val="auto"/>
          <w:highlight w:val="none"/>
        </w:rPr>
        <w:t>、《住房和城乡建设部办公厅关于重新调整建设工程计价依据增值税税率的通知》（建办标函</w:t>
      </w:r>
      <w:r>
        <w:rPr>
          <w:rFonts w:cs="宋体"/>
          <w:snapToGrid w:val="0"/>
          <w:color w:val="auto"/>
          <w:highlight w:val="none"/>
        </w:rPr>
        <w:t>[2019]193号）</w:t>
      </w:r>
      <w:r>
        <w:rPr>
          <w:rFonts w:hint="eastAsia" w:cs="宋体"/>
          <w:snapToGrid w:val="0"/>
          <w:color w:val="auto"/>
          <w:highlight w:val="none"/>
        </w:rPr>
        <w:t>、</w:t>
      </w:r>
      <w:r>
        <w:rPr>
          <w:rFonts w:hint="eastAsia"/>
          <w:color w:val="auto"/>
          <w:highlight w:val="none"/>
        </w:rPr>
        <w:t>广东省住房和城乡建设厅关于调整广东省建设工程计价依据增值税税率的通知（粤建标函【2019】819号</w:t>
      </w:r>
      <w:r>
        <w:rPr>
          <w:rFonts w:hint="eastAsia"/>
          <w:snapToGrid w:val="0"/>
          <w:color w:val="auto"/>
          <w:highlight w:val="none"/>
        </w:rPr>
        <w:t>。</w:t>
      </w:r>
    </w:p>
    <w:p w14:paraId="4F6B7AF6">
      <w:pPr>
        <w:pStyle w:val="43"/>
        <w:adjustRightInd w:val="0"/>
        <w:snapToGrid w:val="0"/>
        <w:spacing w:before="0" w:beforeAutospacing="0" w:after="0" w:afterAutospacing="0" w:line="360" w:lineRule="auto"/>
        <w:ind w:firstLine="480" w:firstLineChars="200"/>
        <w:outlineLvl w:val="3"/>
        <w:rPr>
          <w:snapToGrid w:val="0"/>
          <w:color w:val="auto"/>
          <w:highlight w:val="none"/>
        </w:rPr>
      </w:pPr>
      <w:r>
        <w:rPr>
          <w:rFonts w:hint="eastAsia"/>
          <w:snapToGrid w:val="0"/>
          <w:color w:val="auto"/>
          <w:highlight w:val="none"/>
        </w:rPr>
        <w:t>25.9合价项目的投入若能满足施工组织和验收要求，则按合同全额支付和结算（招标人统一调配的除外）；若不能满足施工组织和验收要求且经整改10天仍不满足要求的，则由发包人有权另行委托队伍施工，所发生的费用不管有无超过合同中该项目的合价，均全部由承包人负责并在其结算中扣除；经整改后仍不满足要求，此类事件每发生一次，结算时在项目总措施项目费中扣除人民币伍万元。</w:t>
      </w:r>
    </w:p>
    <w:p w14:paraId="38445070">
      <w:pPr>
        <w:pStyle w:val="43"/>
        <w:adjustRightInd w:val="0"/>
        <w:snapToGrid w:val="0"/>
        <w:spacing w:before="0" w:beforeAutospacing="0" w:after="0" w:afterAutospacing="0" w:line="360" w:lineRule="auto"/>
        <w:ind w:firstLine="480" w:firstLineChars="200"/>
        <w:outlineLvl w:val="3"/>
        <w:rPr>
          <w:snapToGrid w:val="0"/>
          <w:color w:val="auto"/>
          <w:highlight w:val="none"/>
        </w:rPr>
      </w:pPr>
      <w:r>
        <w:rPr>
          <w:snapToGrid w:val="0"/>
          <w:color w:val="auto"/>
          <w:highlight w:val="none"/>
        </w:rPr>
        <w:t>25.10非承包人原因引起的分部分项工程量变化，其综合单价的调整原则：</w:t>
      </w:r>
    </w:p>
    <w:p w14:paraId="10ACA687">
      <w:pPr>
        <w:pStyle w:val="355"/>
        <w:adjustRightInd w:val="0"/>
        <w:snapToGrid w:val="0"/>
        <w:spacing w:before="0" w:beforeAutospacing="0" w:after="0" w:afterAutospacing="0" w:line="360" w:lineRule="auto"/>
        <w:ind w:firstLine="480" w:firstLineChars="200"/>
        <w:outlineLvl w:val="3"/>
        <w:rPr>
          <w:rFonts w:hint="eastAsia"/>
          <w:snapToGrid w:val="0"/>
          <w:color w:val="auto"/>
          <w:highlight w:val="none"/>
        </w:rPr>
      </w:pPr>
      <w:r>
        <w:rPr>
          <w:snapToGrid w:val="0"/>
          <w:color w:val="auto"/>
          <w:highlight w:val="none"/>
        </w:rPr>
        <w:t>（1）对任一分部分项工程的清单项目，如结算工程量与招标工程量相比变化幅度在10%以内时，其综合单价不做调整，执行原有合同综合单价。</w:t>
      </w:r>
    </w:p>
    <w:p w14:paraId="3E9B072D">
      <w:pPr>
        <w:pStyle w:val="355"/>
        <w:adjustRightInd w:val="0"/>
        <w:snapToGrid w:val="0"/>
        <w:spacing w:before="0" w:beforeAutospacing="0" w:after="0" w:afterAutospacing="0" w:line="360" w:lineRule="auto"/>
        <w:ind w:firstLine="480" w:firstLineChars="200"/>
        <w:outlineLvl w:val="3"/>
        <w:rPr>
          <w:rFonts w:hint="eastAsia" w:eastAsia="宋体"/>
          <w:snapToGrid w:val="0"/>
          <w:color w:val="auto"/>
          <w:highlight w:val="none"/>
          <w:lang w:eastAsia="zh-CN"/>
        </w:rPr>
      </w:pPr>
      <w:r>
        <w:rPr>
          <w:snapToGrid w:val="0"/>
          <w:color w:val="auto"/>
          <w:highlight w:val="none"/>
        </w:rPr>
        <w:t>（</w:t>
      </w:r>
      <w:r>
        <w:rPr>
          <w:rFonts w:hint="eastAsia"/>
          <w:snapToGrid w:val="0"/>
          <w:color w:val="auto"/>
          <w:highlight w:val="none"/>
        </w:rPr>
        <w:t>2</w:t>
      </w:r>
      <w:r>
        <w:rPr>
          <w:snapToGrid w:val="0"/>
          <w:color w:val="auto"/>
          <w:highlight w:val="none"/>
        </w:rPr>
        <w:t>）</w:t>
      </w:r>
      <w:r>
        <w:rPr>
          <w:rFonts w:hint="eastAsia"/>
          <w:snapToGrid w:val="0"/>
          <w:color w:val="auto"/>
          <w:highlight w:val="none"/>
        </w:rPr>
        <w:t>对任一分部分项工程的清单项目，如结算工程量与招标工程量相比变化幅度在10%以外，且该清单项目原综合单价＞(1+100%)×基准价（基准价指以合同约定的合同外新增项目计价规定核算的综合单价，下同），对超过招标工程量10%以外部分（如超过11%，只对1%的部分进行调整）其综合单价按基准价进行调整和结算。该清单项目原综合单价</w:t>
      </w:r>
      <w:r>
        <w:rPr>
          <w:rFonts w:hint="eastAsia"/>
          <w:snapToGrid w:val="0"/>
          <w:color w:val="auto"/>
          <w:highlight w:val="none"/>
          <w:lang w:eastAsia="zh-CN"/>
        </w:rPr>
        <w:t>＜基准价的不做调整</w:t>
      </w:r>
      <w:r>
        <w:rPr>
          <w:snapToGrid w:val="0"/>
          <w:color w:val="auto"/>
          <w:highlight w:val="none"/>
        </w:rPr>
        <w:t>，执行原有合同综合单价</w:t>
      </w:r>
      <w:r>
        <w:rPr>
          <w:rFonts w:hint="eastAsia"/>
          <w:snapToGrid w:val="0"/>
          <w:color w:val="auto"/>
          <w:highlight w:val="none"/>
          <w:lang w:eastAsia="zh-CN"/>
        </w:rPr>
        <w:t>。</w:t>
      </w:r>
    </w:p>
    <w:p w14:paraId="7EE792E5">
      <w:pPr>
        <w:pStyle w:val="43"/>
        <w:adjustRightInd w:val="0"/>
        <w:snapToGrid w:val="0"/>
        <w:spacing w:before="0" w:beforeAutospacing="0" w:after="0" w:afterAutospacing="0" w:line="360" w:lineRule="auto"/>
        <w:ind w:firstLine="480" w:firstLineChars="200"/>
        <w:outlineLvl w:val="3"/>
        <w:rPr>
          <w:bCs/>
          <w:snapToGrid w:val="0"/>
          <w:color w:val="auto"/>
          <w:highlight w:val="none"/>
        </w:rPr>
      </w:pPr>
      <w:r>
        <w:rPr>
          <w:rFonts w:hint="eastAsia"/>
          <w:snapToGrid w:val="0"/>
          <w:color w:val="auto"/>
          <w:highlight w:val="none"/>
        </w:rPr>
        <w:t>25.11投标文件有漏项的，在签订合同时，漏项项目清单工程量以招标工程量清单和清单修正项为依据计列，漏项项目综合单价按该【前3名中标候选人】相应投标单价平均值计列，形成漏项项目工程量清单作为合同附件；在工程结算时，按施工实际工程数量减漏项项目招标工程数量计算增减工程量，增减工程量乘以上述综合单价作为漏项项目结算款。</w:t>
      </w:r>
    </w:p>
    <w:p w14:paraId="0EC57C44">
      <w:pPr>
        <w:adjustRightInd w:val="0"/>
        <w:snapToGrid w:val="0"/>
        <w:spacing w:line="360" w:lineRule="auto"/>
        <w:ind w:right="11" w:firstLine="482" w:firstLineChars="200"/>
        <w:rPr>
          <w:rFonts w:ascii="宋体" w:hAnsi="宋体"/>
          <w:b/>
          <w:snapToGrid w:val="0"/>
          <w:color w:val="auto"/>
          <w:kern w:val="0"/>
          <w:sz w:val="24"/>
          <w:highlight w:val="none"/>
        </w:rPr>
      </w:pPr>
      <w:r>
        <w:rPr>
          <w:rFonts w:hint="eastAsia" w:ascii="宋体" w:hAnsi="宋体"/>
          <w:b/>
          <w:snapToGrid w:val="0"/>
          <w:color w:val="auto"/>
          <w:kern w:val="0"/>
          <w:sz w:val="24"/>
          <w:highlight w:val="none"/>
        </w:rPr>
        <w:t>承包人与发包人一致同意不适用合同通用条款第26条的约定，代之以：</w:t>
      </w:r>
    </w:p>
    <w:p w14:paraId="6910CF4A">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26、工程预付款</w:t>
      </w:r>
    </w:p>
    <w:p w14:paraId="322FA076">
      <w:pPr>
        <w:pStyle w:val="43"/>
        <w:adjustRightInd w:val="0"/>
        <w:snapToGrid w:val="0"/>
        <w:spacing w:before="0" w:beforeAutospacing="0" w:after="0" w:afterAutospacing="0" w:line="360" w:lineRule="auto"/>
        <w:ind w:firstLine="480" w:firstLineChars="200"/>
        <w:outlineLvl w:val="3"/>
        <w:rPr>
          <w:snapToGrid w:val="0"/>
          <w:color w:val="auto"/>
          <w:highlight w:val="none"/>
        </w:rPr>
      </w:pPr>
      <w:r>
        <w:rPr>
          <w:rFonts w:hint="eastAsia"/>
          <w:snapToGrid w:val="0"/>
          <w:color w:val="auto"/>
          <w:highlight w:val="none"/>
        </w:rPr>
        <w:t>26.1本工程预付款为合同价（扣除暂列金和暂估价）的</w:t>
      </w:r>
      <w:r>
        <w:rPr>
          <w:rFonts w:hint="eastAsia"/>
          <w:snapToGrid w:val="0"/>
          <w:color w:val="auto"/>
          <w:highlight w:val="none"/>
          <w:lang w:val="en-US" w:eastAsia="zh-CN"/>
        </w:rPr>
        <w:t>30</w:t>
      </w:r>
      <w:r>
        <w:rPr>
          <w:snapToGrid w:val="0"/>
          <w:color w:val="auto"/>
          <w:highlight w:val="none"/>
        </w:rPr>
        <w:t>%</w:t>
      </w:r>
      <w:r>
        <w:rPr>
          <w:rFonts w:hint="eastAsia"/>
          <w:snapToGrid w:val="0"/>
          <w:color w:val="auto"/>
          <w:highlight w:val="none"/>
        </w:rPr>
        <w:t>。</w:t>
      </w:r>
      <w:r>
        <w:rPr>
          <w:rFonts w:hint="eastAsia"/>
          <w:snapToGrid w:val="0"/>
          <w:color w:val="auto"/>
          <w:highlight w:val="none"/>
          <w:lang w:eastAsia="zh-CN"/>
        </w:rPr>
        <w:t>发包人根据财政资金到位情况分期分批支付，同时预留不少于预付款</w:t>
      </w:r>
      <w:r>
        <w:rPr>
          <w:rFonts w:hint="eastAsia"/>
          <w:snapToGrid w:val="0"/>
          <w:color w:val="auto"/>
          <w:highlight w:val="none"/>
          <w:lang w:val="en-US" w:eastAsia="zh-CN"/>
        </w:rPr>
        <w:t>1%的金额作为工人工资专户资金</w:t>
      </w:r>
      <w:r>
        <w:rPr>
          <w:rFonts w:hint="eastAsia"/>
          <w:snapToGrid w:val="0"/>
          <w:color w:val="auto"/>
          <w:highlight w:val="none"/>
          <w:lang w:eastAsia="zh-CN"/>
        </w:rPr>
        <w:t>。</w:t>
      </w:r>
      <w:r>
        <w:rPr>
          <w:rFonts w:hint="eastAsia"/>
          <w:snapToGrid w:val="0"/>
          <w:color w:val="auto"/>
          <w:highlight w:val="none"/>
        </w:rPr>
        <w:t>承包</w:t>
      </w:r>
      <w:r>
        <w:rPr>
          <w:rFonts w:hint="eastAsia"/>
          <w:snapToGrid w:val="0"/>
          <w:color w:val="auto"/>
          <w:highlight w:val="none"/>
        </w:rPr>
        <w:t>人按招标文件及合同专用条款第44条的要求提交履约银行保函且本合同签订后，承包人提交工程预付款申请资料，</w:t>
      </w:r>
      <w:r>
        <w:rPr>
          <w:rFonts w:hint="eastAsia"/>
          <w:snapToGrid w:val="0"/>
          <w:color w:val="auto"/>
          <w:szCs w:val="21"/>
          <w:highlight w:val="none"/>
        </w:rPr>
        <w:t>发包人收到上述完整资料在本项目财政资金拨付到账后</w:t>
      </w:r>
      <w:r>
        <w:rPr>
          <w:snapToGrid w:val="0"/>
          <w:color w:val="auto"/>
          <w:szCs w:val="21"/>
          <w:highlight w:val="none"/>
        </w:rPr>
        <w:t>14天内向承包人支付工程预付款，</w:t>
      </w:r>
      <w:r>
        <w:rPr>
          <w:rFonts w:hint="eastAsia"/>
          <w:snapToGrid w:val="0"/>
          <w:color w:val="auto"/>
          <w:highlight w:val="none"/>
        </w:rPr>
        <w:t>并从工程预付款中扣除已含在合同价款中但由发包人预交的款项及承包人的相关人员（包括项目经理、安全负责人）现场组织实施管理费的</w:t>
      </w:r>
      <w:r>
        <w:rPr>
          <w:snapToGrid w:val="0"/>
          <w:color w:val="auto"/>
          <w:highlight w:val="none"/>
        </w:rPr>
        <w:t>50%</w:t>
      </w:r>
      <w:r>
        <w:rPr>
          <w:rFonts w:hint="eastAsia"/>
          <w:snapToGrid w:val="0"/>
          <w:color w:val="auto"/>
          <w:szCs w:val="21"/>
          <w:highlight w:val="none"/>
        </w:rPr>
        <w:t>即</w:t>
      </w:r>
      <w:r>
        <w:rPr>
          <w:rFonts w:hint="eastAsia"/>
          <w:snapToGrid w:val="0"/>
          <w:color w:val="auto"/>
          <w:szCs w:val="21"/>
          <w:highlight w:val="none"/>
          <w:lang w:val="en-US" w:eastAsia="zh-CN"/>
        </w:rPr>
        <w:t>30</w:t>
      </w:r>
      <w:r>
        <w:rPr>
          <w:rFonts w:hint="eastAsia"/>
          <w:snapToGrid w:val="0"/>
          <w:color w:val="auto"/>
          <w:szCs w:val="21"/>
          <w:highlight w:val="none"/>
        </w:rPr>
        <w:t>0万（60个月*</w:t>
      </w:r>
      <w:r>
        <w:rPr>
          <w:rFonts w:hint="eastAsia"/>
          <w:snapToGrid w:val="0"/>
          <w:color w:val="auto"/>
          <w:szCs w:val="21"/>
          <w:highlight w:val="none"/>
          <w:lang w:val="en-US" w:eastAsia="zh-CN"/>
        </w:rPr>
        <w:t>10</w:t>
      </w:r>
      <w:r>
        <w:rPr>
          <w:rFonts w:hint="eastAsia"/>
          <w:snapToGrid w:val="0"/>
          <w:color w:val="auto"/>
          <w:szCs w:val="21"/>
          <w:highlight w:val="none"/>
        </w:rPr>
        <w:t>万/月*0.5=</w:t>
      </w:r>
      <w:r>
        <w:rPr>
          <w:rFonts w:hint="eastAsia"/>
          <w:snapToGrid w:val="0"/>
          <w:color w:val="auto"/>
          <w:szCs w:val="21"/>
          <w:highlight w:val="none"/>
          <w:lang w:val="en-US" w:eastAsia="zh-CN"/>
        </w:rPr>
        <w:t>300</w:t>
      </w:r>
      <w:r>
        <w:rPr>
          <w:rFonts w:hint="eastAsia"/>
          <w:snapToGrid w:val="0"/>
          <w:color w:val="auto"/>
          <w:szCs w:val="21"/>
          <w:highlight w:val="none"/>
        </w:rPr>
        <w:t>万），</w:t>
      </w:r>
      <w:r>
        <w:rPr>
          <w:rFonts w:hint="eastAsia"/>
          <w:snapToGrid w:val="0"/>
          <w:color w:val="auto"/>
          <w:szCs w:val="21"/>
          <w:highlight w:val="none"/>
        </w:rPr>
        <w:t>剩余</w:t>
      </w:r>
      <w:r>
        <w:rPr>
          <w:rFonts w:hint="eastAsia"/>
          <w:snapToGrid w:val="0"/>
          <w:color w:val="auto"/>
          <w:szCs w:val="21"/>
          <w:highlight w:val="none"/>
          <w:lang w:val="en-US" w:eastAsia="zh-CN"/>
        </w:rPr>
        <w:t>300</w:t>
      </w:r>
      <w:r>
        <w:rPr>
          <w:rFonts w:hint="eastAsia"/>
          <w:snapToGrid w:val="0"/>
          <w:color w:val="auto"/>
          <w:szCs w:val="21"/>
          <w:highlight w:val="none"/>
        </w:rPr>
        <w:t>万按</w:t>
      </w:r>
      <w:r>
        <w:rPr>
          <w:rFonts w:hint="eastAsia"/>
          <w:snapToGrid w:val="0"/>
          <w:color w:val="auto"/>
          <w:szCs w:val="21"/>
          <w:highlight w:val="none"/>
          <w:lang w:val="en-US" w:eastAsia="zh-CN"/>
        </w:rPr>
        <w:t>5</w:t>
      </w:r>
      <w:r>
        <w:rPr>
          <w:rFonts w:hint="eastAsia"/>
          <w:snapToGrid w:val="0"/>
          <w:color w:val="auto"/>
          <w:szCs w:val="21"/>
          <w:highlight w:val="none"/>
        </w:rPr>
        <w:t>万/月在进度款中根据每月考勤情况支付</w:t>
      </w:r>
      <w:r>
        <w:rPr>
          <w:rFonts w:hint="eastAsia"/>
          <w:snapToGrid w:val="0"/>
          <w:color w:val="auto"/>
          <w:highlight w:val="none"/>
        </w:rPr>
        <w:t>现场组织实施管理费</w:t>
      </w:r>
      <w:r>
        <w:rPr>
          <w:rFonts w:hint="eastAsia"/>
          <w:snapToGrid w:val="0"/>
          <w:color w:val="auto"/>
          <w:szCs w:val="21"/>
          <w:highlight w:val="none"/>
        </w:rPr>
        <w:t>。</w:t>
      </w:r>
      <w:r>
        <w:rPr>
          <w:rFonts w:hint="eastAsia"/>
          <w:b/>
          <w:snapToGrid w:val="0"/>
          <w:color w:val="auto"/>
          <w:highlight w:val="none"/>
        </w:rPr>
        <w:t>建筑业职工工伤保险费已包含在工程预付款中，发包人不另行支付。</w:t>
      </w:r>
    </w:p>
    <w:p w14:paraId="11C0F985">
      <w:pPr>
        <w:pStyle w:val="43"/>
        <w:adjustRightInd w:val="0"/>
        <w:snapToGrid w:val="0"/>
        <w:spacing w:before="0" w:beforeAutospacing="0" w:after="0" w:afterAutospacing="0" w:line="360" w:lineRule="auto"/>
        <w:ind w:firstLine="480" w:firstLineChars="200"/>
        <w:outlineLvl w:val="3"/>
        <w:rPr>
          <w:rFonts w:hint="eastAsia" w:ascii="宋体" w:hAnsi="宋体" w:eastAsia="宋体" w:cs="Times New Roman"/>
          <w:snapToGrid w:val="0"/>
          <w:color w:val="auto"/>
          <w:kern w:val="0"/>
          <w:sz w:val="24"/>
          <w:szCs w:val="24"/>
          <w:highlight w:val="none"/>
          <w:lang w:val="en-US" w:eastAsia="zh-CN" w:bidi="ar-SA"/>
        </w:rPr>
      </w:pPr>
      <w:r>
        <w:rPr>
          <w:rFonts w:hint="eastAsia" w:ascii="宋体" w:hAnsi="宋体" w:eastAsia="宋体" w:cs="Times New Roman"/>
          <w:snapToGrid w:val="0"/>
          <w:color w:val="auto"/>
          <w:kern w:val="0"/>
          <w:sz w:val="24"/>
          <w:szCs w:val="24"/>
          <w:highlight w:val="none"/>
          <w:lang w:val="en-US" w:eastAsia="zh-CN" w:bidi="ar-SA"/>
        </w:rPr>
        <w:t>预付款从工程进度款中分期全部扣回，扣回的时间和比例为：当分部分项工程量清单项目工程进度款、预付款累计金额达到分部分项工程量清单计价的30%（含本数）时，开始在下一次分部分项工程量清单项目工程进度款中扣回预付并在分部分项工程量清单项目工程进度款、预付款累计金额达到分部分项工程量清单计价的50%（含本数）以前全部扣回预付款。本合同另有约定的，从其约定。</w:t>
      </w:r>
    </w:p>
    <w:p w14:paraId="4078C3A9">
      <w:pPr>
        <w:pStyle w:val="25"/>
        <w:adjustRightInd w:val="0"/>
        <w:snapToGrid w:val="0"/>
        <w:spacing w:line="360" w:lineRule="auto"/>
        <w:ind w:firstLine="480" w:firstLineChars="200"/>
        <w:outlineLvl w:val="3"/>
        <w:rPr>
          <w:rFonts w:hAnsi="宋体"/>
          <w:snapToGrid w:val="0"/>
          <w:color w:val="auto"/>
          <w:kern w:val="0"/>
          <w:sz w:val="24"/>
          <w:szCs w:val="24"/>
          <w:highlight w:val="none"/>
        </w:rPr>
      </w:pPr>
      <w:r>
        <w:rPr>
          <w:rFonts w:hint="eastAsia" w:hAnsi="宋体"/>
          <w:snapToGrid w:val="0"/>
          <w:color w:val="auto"/>
          <w:kern w:val="0"/>
          <w:sz w:val="24"/>
          <w:szCs w:val="24"/>
          <w:highlight w:val="none"/>
        </w:rPr>
        <w:t>26.2若本工程含有甲招乙供材料设备，承包人应严格按照本合同、招标文件及与甲招乙供材料设备供应商所签合同的约定及时审核、申请支付甲招乙供材料设备预付款，并在银行的监控下，按照发包人的要求直接将甲招乙供材料设备款项按合同专用条款第30.7（8）款的约定支付给材料设备供应商，否则应按合同专用条款第38.15款承担违约责任。</w:t>
      </w:r>
    </w:p>
    <w:p w14:paraId="77FB117D">
      <w:pPr>
        <w:pStyle w:val="25"/>
        <w:adjustRightInd w:val="0"/>
        <w:snapToGrid w:val="0"/>
        <w:spacing w:line="360" w:lineRule="auto"/>
        <w:ind w:firstLine="465"/>
        <w:outlineLvl w:val="3"/>
        <w:rPr>
          <w:rFonts w:hAnsi="宋体"/>
          <w:b/>
          <w:snapToGrid w:val="0"/>
          <w:color w:val="auto"/>
          <w:kern w:val="0"/>
          <w:sz w:val="24"/>
          <w:szCs w:val="24"/>
          <w:highlight w:val="none"/>
        </w:rPr>
      </w:pPr>
      <w:r>
        <w:rPr>
          <w:rFonts w:hint="eastAsia" w:hAnsi="宋体"/>
          <w:snapToGrid w:val="0"/>
          <w:color w:val="auto"/>
          <w:kern w:val="0"/>
          <w:sz w:val="24"/>
          <w:szCs w:val="24"/>
          <w:highlight w:val="none"/>
        </w:rPr>
        <w:t>26.3如本工程含有甲管乙供材料设备，承包人应严格按照本合同、</w:t>
      </w:r>
      <w:r>
        <w:rPr>
          <w:rFonts w:hint="eastAsia"/>
          <w:snapToGrid w:val="0"/>
          <w:color w:val="auto"/>
          <w:sz w:val="24"/>
          <w:szCs w:val="24"/>
          <w:highlight w:val="none"/>
        </w:rPr>
        <w:t>招标文件或</w:t>
      </w:r>
      <w:r>
        <w:rPr>
          <w:rFonts w:hint="eastAsia" w:hAnsi="宋体"/>
          <w:snapToGrid w:val="0"/>
          <w:color w:val="auto"/>
          <w:kern w:val="0"/>
          <w:sz w:val="24"/>
          <w:szCs w:val="24"/>
          <w:highlight w:val="none"/>
        </w:rPr>
        <w:t>公开择优竞价文件及与甲管乙供材料设备供应商所签合同的约定及时审核、申请支付甲管乙供材料设备预付款，且在收到发包人支付的款项后三个工作日内将该款项支付给甲管乙供材料设备供应商，并在下一次申请付款时向发包人提交本次支付凭证复印件作为支持材料，否则应按合同专用条款第38.15款承担违约责任。</w:t>
      </w:r>
    </w:p>
    <w:p w14:paraId="6EDD5420">
      <w:pPr>
        <w:pStyle w:val="25"/>
        <w:adjustRightInd w:val="0"/>
        <w:snapToGrid w:val="0"/>
        <w:spacing w:line="360" w:lineRule="auto"/>
        <w:ind w:firstLine="480" w:firstLineChars="200"/>
        <w:outlineLvl w:val="3"/>
        <w:rPr>
          <w:rFonts w:hAnsi="宋体"/>
          <w:snapToGrid w:val="0"/>
          <w:color w:val="auto"/>
          <w:kern w:val="0"/>
          <w:sz w:val="24"/>
          <w:szCs w:val="24"/>
          <w:highlight w:val="none"/>
        </w:rPr>
      </w:pPr>
      <w:r>
        <w:rPr>
          <w:rFonts w:hint="eastAsia" w:hAnsi="宋体"/>
          <w:snapToGrid w:val="0"/>
          <w:color w:val="auto"/>
          <w:kern w:val="0"/>
          <w:sz w:val="24"/>
          <w:szCs w:val="24"/>
          <w:highlight w:val="none"/>
        </w:rPr>
        <w:t>26.4承包人应将预付款专用于实施本工程所需的施工机械、材料设备及人员费用，并向总监理工程师提交发票或其他证明文件的副本以证明预付款确实专款专用，否则应按合同专用条款第</w:t>
      </w:r>
      <w:r>
        <w:rPr>
          <w:rFonts w:hAnsi="宋体"/>
          <w:snapToGrid w:val="0"/>
          <w:color w:val="auto"/>
          <w:kern w:val="0"/>
          <w:sz w:val="24"/>
          <w:szCs w:val="24"/>
          <w:highlight w:val="none"/>
        </w:rPr>
        <w:t>38.15款</w:t>
      </w:r>
      <w:r>
        <w:rPr>
          <w:rFonts w:hint="eastAsia" w:hAnsi="宋体"/>
          <w:snapToGrid w:val="0"/>
          <w:color w:val="auto"/>
          <w:kern w:val="0"/>
          <w:sz w:val="24"/>
          <w:szCs w:val="24"/>
          <w:highlight w:val="none"/>
        </w:rPr>
        <w:t>承担违约责任。</w:t>
      </w:r>
    </w:p>
    <w:p w14:paraId="627265A2">
      <w:pPr>
        <w:pStyle w:val="25"/>
        <w:adjustRightInd w:val="0"/>
        <w:snapToGrid w:val="0"/>
        <w:spacing w:line="360" w:lineRule="auto"/>
        <w:ind w:left="120" w:leftChars="57" w:firstLine="360" w:firstLineChars="150"/>
        <w:outlineLvl w:val="3"/>
        <w:rPr>
          <w:rFonts w:hAnsi="宋体"/>
          <w:snapToGrid w:val="0"/>
          <w:color w:val="auto"/>
          <w:kern w:val="0"/>
          <w:sz w:val="24"/>
          <w:szCs w:val="24"/>
          <w:highlight w:val="none"/>
        </w:rPr>
      </w:pPr>
      <w:r>
        <w:rPr>
          <w:rFonts w:hAnsi="宋体" w:cs="宋体"/>
          <w:color w:val="auto"/>
          <w:kern w:val="0"/>
          <w:sz w:val="24"/>
          <w:szCs w:val="24"/>
          <w:highlight w:val="none"/>
        </w:rPr>
        <w:t>26.5</w:t>
      </w:r>
      <w:r>
        <w:rPr>
          <w:rFonts w:hint="eastAsia" w:hAnsi="宋体" w:cs="宋体"/>
          <w:color w:val="auto"/>
          <w:kern w:val="0"/>
          <w:sz w:val="24"/>
          <w:szCs w:val="24"/>
          <w:highlight w:val="none"/>
        </w:rPr>
        <w:t>承包人必须积极进行工程预付款的申领工作。工程预付款申领工作的时间节点（包括合同签订、预付款发票提交等）要求，发包人将在发放中标通知书同时告知承包人。因承包人未按发包人要求开展工程预付款申领工作导致发包人未能完成资金拨付计划的，发包人有权要求其承担</w:t>
      </w:r>
      <w:r>
        <w:rPr>
          <w:rFonts w:hAnsi="宋体" w:cs="宋体"/>
          <w:color w:val="auto"/>
          <w:kern w:val="0"/>
          <w:sz w:val="24"/>
          <w:szCs w:val="24"/>
          <w:highlight w:val="none"/>
        </w:rPr>
        <w:t>1次严重违约责任。</w:t>
      </w:r>
    </w:p>
    <w:p w14:paraId="458EB7AF">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27.工程量的确认</w:t>
      </w:r>
    </w:p>
    <w:p w14:paraId="4147A0AE">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27.1承包人每次申请工程进度款时应提交已完工程进度款申请报表。</w:t>
      </w:r>
    </w:p>
    <w:p w14:paraId="0257372F">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已完工程进度款申请报表的提交应按发包人工程项目信息管理系统的要求执行。</w:t>
      </w:r>
    </w:p>
    <w:p w14:paraId="6A892A65">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27.3不予计量的情况：</w:t>
      </w:r>
    </w:p>
    <w:p w14:paraId="60ECBE57">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（1）隐蔽工程无验收记录表，无清晰影像资料记录；</w:t>
      </w:r>
    </w:p>
    <w:p w14:paraId="6634AA34">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（2）工程量无现场复尺清晰影像资料的；</w:t>
      </w:r>
    </w:p>
    <w:p w14:paraId="5A08B576">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（3）施工图之外的工作量；</w:t>
      </w:r>
    </w:p>
    <w:p w14:paraId="60715A4E">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（4）因承包人责任而增加的工作量；</w:t>
      </w:r>
    </w:p>
    <w:p w14:paraId="528642CF">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（5）未经发包人批准的分包单位施工的工程；</w:t>
      </w:r>
    </w:p>
    <w:p w14:paraId="52C5AFD6">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（6）不符合合同约定或设计要求的工程。</w:t>
      </w:r>
    </w:p>
    <w:p w14:paraId="3BC671C9">
      <w:pPr>
        <w:adjustRightInd w:val="0"/>
        <w:snapToGrid w:val="0"/>
        <w:spacing w:line="360" w:lineRule="auto"/>
        <w:ind w:right="11" w:firstLine="463" w:firstLineChars="192"/>
        <w:rPr>
          <w:rFonts w:ascii="宋体" w:hAnsi="宋体"/>
          <w:bCs/>
          <w:snapToGrid w:val="0"/>
          <w:color w:val="auto"/>
          <w:kern w:val="0"/>
          <w:sz w:val="24"/>
          <w:highlight w:val="none"/>
        </w:rPr>
      </w:pPr>
      <w:r>
        <w:rPr>
          <w:rFonts w:hint="eastAsia" w:ascii="宋体" w:hAnsi="宋体"/>
          <w:b/>
          <w:snapToGrid w:val="0"/>
          <w:color w:val="auto"/>
          <w:kern w:val="0"/>
          <w:sz w:val="24"/>
          <w:highlight w:val="none"/>
        </w:rPr>
        <w:t>承包人和发包人一致同意增加27.4、27.5：</w:t>
      </w:r>
    </w:p>
    <w:p w14:paraId="39FFCF15">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27.4除另有特别说明外，总监理工程师应根据合同的约定和批准的施工图纸、设计变更图纸通过计量来核实并确认已完工程的价值。当总监理工程师要求对工程的任一部分或若干部分进行计量时，总监理工程师应当书面通知承包人，承包人应按通知要求立即前往协助监理单位从事上述计量工作，并提供此计量所需的一切详实资料。承包人未能按要求时间前往参加计量并提供详实资料，则由总监理工程师进行的或由其批准的计量应直接被认为是对这一部分工程的正确计量。</w:t>
      </w:r>
    </w:p>
    <w:p w14:paraId="1FED3BBE">
      <w:pPr>
        <w:adjustRightInd w:val="0"/>
        <w:snapToGrid w:val="0"/>
        <w:spacing w:line="360" w:lineRule="auto"/>
        <w:ind w:right="11" w:firstLine="480" w:firstLineChars="200"/>
        <w:outlineLvl w:val="3"/>
        <w:rPr>
          <w:rFonts w:ascii="宋体" w:hAnsi="宋体"/>
          <w:b/>
          <w:snapToGrid w:val="0"/>
          <w:color w:val="auto"/>
          <w:kern w:val="0"/>
          <w:sz w:val="24"/>
          <w:highlight w:val="none"/>
        </w:rPr>
      </w:pPr>
      <w:r>
        <w:rPr>
          <w:rFonts w:hint="eastAsia" w:ascii="宋体" w:hAnsi="宋体"/>
          <w:snapToGrid w:val="0"/>
          <w:color w:val="auto"/>
          <w:kern w:val="0"/>
          <w:sz w:val="24"/>
          <w:highlight w:val="none"/>
        </w:rPr>
        <w:t>27.5工程的计量应以合同约定为准，双方另有约定的除外。</w:t>
      </w:r>
    </w:p>
    <w:p w14:paraId="06F208CE">
      <w:pPr>
        <w:adjustRightInd w:val="0"/>
        <w:snapToGrid w:val="0"/>
        <w:spacing w:line="360" w:lineRule="auto"/>
        <w:ind w:right="11" w:firstLine="482" w:firstLineChars="200"/>
        <w:rPr>
          <w:rFonts w:ascii="宋体" w:hAnsi="宋体"/>
          <w:b/>
          <w:snapToGrid w:val="0"/>
          <w:color w:val="auto"/>
          <w:kern w:val="0"/>
          <w:sz w:val="24"/>
          <w:highlight w:val="none"/>
        </w:rPr>
      </w:pPr>
      <w:r>
        <w:rPr>
          <w:rFonts w:hint="eastAsia" w:ascii="宋体" w:hAnsi="宋体"/>
          <w:b/>
          <w:snapToGrid w:val="0"/>
          <w:color w:val="auto"/>
          <w:kern w:val="0"/>
          <w:sz w:val="24"/>
          <w:highlight w:val="none"/>
        </w:rPr>
        <w:t>承包人与发包人一致同意不适用合同通用条款第28条的约定，代之以：</w:t>
      </w:r>
    </w:p>
    <w:p w14:paraId="5B7BA7D2">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28.工程款（进度款）支付</w:t>
      </w:r>
    </w:p>
    <w:p w14:paraId="639A1A1A">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ascii="宋体" w:hAnsi="宋体"/>
          <w:snapToGrid w:val="0"/>
          <w:color w:val="auto"/>
          <w:kern w:val="0"/>
          <w:sz w:val="24"/>
          <w:highlight w:val="none"/>
        </w:rPr>
        <w:t>28.1</w:t>
      </w:r>
      <w:r>
        <w:rPr>
          <w:rFonts w:hint="eastAsia" w:ascii="宋体" w:hAnsi="宋体"/>
          <w:snapToGrid w:val="0"/>
          <w:color w:val="auto"/>
          <w:kern w:val="0"/>
          <w:sz w:val="24"/>
          <w:highlight w:val="none"/>
        </w:rPr>
        <w:t>双方约定的工程进度款支付</w:t>
      </w:r>
      <w:r>
        <w:rPr>
          <w:rFonts w:hint="eastAsia" w:ascii="宋体" w:hAnsi="宋体" w:cs="宋体"/>
          <w:snapToGrid w:val="0"/>
          <w:color w:val="auto"/>
          <w:kern w:val="0"/>
          <w:sz w:val="24"/>
          <w:highlight w:val="none"/>
          <w:lang w:val="zh-CN"/>
        </w:rPr>
        <w:t>基本原则</w:t>
      </w:r>
    </w:p>
    <w:p w14:paraId="40E7F6B4">
      <w:pPr>
        <w:adjustRightInd w:val="0"/>
        <w:snapToGrid w:val="0"/>
        <w:spacing w:line="360" w:lineRule="auto"/>
        <w:ind w:right="11"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按月支付。进度款严格按照财政部《基本建设财务管理规定》、《越秀区基本建设项目财政性资金集中支付暂行办法》、市建委《关于印发&lt;广州市城建投资项目计划和资金管理工作指引（2012版）&gt;的通知》等有关规定办理。工程进度款的拨付，根据进度支付，承包人的工作量报表和计量支付证书经现场监理工程师确认后，发包人按照合同支付当期进度款。</w:t>
      </w:r>
    </w:p>
    <w:p w14:paraId="6FBDD765">
      <w:pPr>
        <w:adjustRightInd w:val="0"/>
        <w:snapToGrid w:val="0"/>
        <w:spacing w:line="360" w:lineRule="auto"/>
        <w:ind w:firstLine="480" w:firstLineChars="200"/>
        <w:rPr>
          <w:snapToGrid w:val="0"/>
          <w:color w:val="auto"/>
          <w:kern w:val="0"/>
          <w:sz w:val="24"/>
          <w:highlight w:val="none"/>
        </w:rPr>
      </w:pPr>
      <w:r>
        <w:rPr>
          <w:rFonts w:hint="eastAsia" w:ascii="宋体" w:hAnsi="宋体"/>
          <w:snapToGrid w:val="0"/>
          <w:color w:val="auto"/>
          <w:kern w:val="0"/>
          <w:sz w:val="24"/>
          <w:highlight w:val="none"/>
        </w:rPr>
        <w:t>（2）</w:t>
      </w:r>
      <w:r>
        <w:rPr>
          <w:rFonts w:hint="eastAsia"/>
          <w:snapToGrid w:val="0"/>
          <w:color w:val="auto"/>
          <w:kern w:val="0"/>
          <w:sz w:val="24"/>
          <w:highlight w:val="none"/>
        </w:rPr>
        <w:t>任何项目的计量与支付必须按合同约定的技术条件、发包人批准的施工图有关要求及规定完成，包括合同约定的与项目计量有关且必须完成的责任和义务。</w:t>
      </w:r>
    </w:p>
    <w:p w14:paraId="77A859F8">
      <w:pPr>
        <w:adjustRightInd w:val="0"/>
        <w:snapToGrid w:val="0"/>
        <w:spacing w:line="360" w:lineRule="auto"/>
        <w:ind w:firstLine="480" w:firstLineChars="200"/>
        <w:rPr>
          <w:snapToGrid w:val="0"/>
          <w:color w:val="auto"/>
          <w:kern w:val="0"/>
          <w:sz w:val="24"/>
          <w:highlight w:val="none"/>
        </w:rPr>
      </w:pPr>
      <w:r>
        <w:rPr>
          <w:rFonts w:hint="eastAsia" w:ascii="宋体" w:hAnsi="宋体"/>
          <w:snapToGrid w:val="0"/>
          <w:color w:val="auto"/>
          <w:kern w:val="0"/>
          <w:sz w:val="24"/>
          <w:highlight w:val="none"/>
        </w:rPr>
        <w:t>（3）已</w:t>
      </w:r>
      <w:r>
        <w:rPr>
          <w:rFonts w:hint="eastAsia"/>
          <w:snapToGrid w:val="0"/>
          <w:color w:val="auto"/>
          <w:kern w:val="0"/>
          <w:sz w:val="24"/>
          <w:highlight w:val="none"/>
        </w:rPr>
        <w:t>完工项目的计量与支付需得到总监理工程师和发包人的认可。如承包人的工作不能使总监理工程师和发包人满意（如：质量不合格，工程进度缓慢，施工总承包管理和配合服务不到位或有其他方面违反合同的行为等），总监理工程师和发包人有权拒绝计量与支付。</w:t>
      </w:r>
    </w:p>
    <w:p w14:paraId="738CCD80">
      <w:pPr>
        <w:adjustRightInd w:val="0"/>
        <w:snapToGrid w:val="0"/>
        <w:spacing w:line="360" w:lineRule="auto"/>
        <w:ind w:right="11"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（4）承包人在申请支付</w:t>
      </w:r>
      <w:r>
        <w:rPr>
          <w:rFonts w:hint="eastAsia" w:ascii="宋体" w:hAnsi="宋体"/>
          <w:iCs/>
          <w:snapToGrid w:val="0"/>
          <w:color w:val="auto"/>
          <w:kern w:val="0"/>
          <w:sz w:val="24"/>
          <w:highlight w:val="none"/>
        </w:rPr>
        <w:t>各次月</w:t>
      </w:r>
      <w:r>
        <w:rPr>
          <w:rFonts w:hint="eastAsia" w:ascii="宋体" w:hAnsi="宋体"/>
          <w:snapToGrid w:val="0"/>
          <w:color w:val="auto"/>
          <w:kern w:val="0"/>
          <w:sz w:val="24"/>
          <w:highlight w:val="none"/>
        </w:rPr>
        <w:t>工程进度款</w:t>
      </w:r>
      <w:r>
        <w:rPr>
          <w:rFonts w:hint="eastAsia" w:ascii="宋体" w:hAnsi="宋体"/>
          <w:iCs/>
          <w:snapToGrid w:val="0"/>
          <w:color w:val="auto"/>
          <w:kern w:val="0"/>
          <w:sz w:val="24"/>
          <w:highlight w:val="none"/>
        </w:rPr>
        <w:t>时应连同其负责管理的甲招乙供、甲管乙供材料设备供货单位及分包单位（如有）的</w:t>
      </w:r>
      <w:r>
        <w:rPr>
          <w:rFonts w:hint="eastAsia" w:ascii="宋体" w:hAnsi="宋体"/>
          <w:snapToGrid w:val="0"/>
          <w:color w:val="auto"/>
          <w:kern w:val="0"/>
          <w:sz w:val="24"/>
          <w:highlight w:val="none"/>
        </w:rPr>
        <w:t>工程进度款</w:t>
      </w:r>
      <w:r>
        <w:rPr>
          <w:rFonts w:hint="eastAsia" w:ascii="宋体" w:hAnsi="宋体"/>
          <w:iCs/>
          <w:snapToGrid w:val="0"/>
          <w:color w:val="auto"/>
          <w:kern w:val="0"/>
          <w:sz w:val="24"/>
          <w:highlight w:val="none"/>
        </w:rPr>
        <w:t>一并申报，</w:t>
      </w:r>
      <w:r>
        <w:rPr>
          <w:rFonts w:hint="eastAsia" w:ascii="宋体" w:hAnsi="宋体"/>
          <w:bCs/>
          <w:snapToGrid w:val="0"/>
          <w:color w:val="auto"/>
          <w:kern w:val="0"/>
          <w:sz w:val="24"/>
          <w:highlight w:val="none"/>
        </w:rPr>
        <w:t>并附上其上一次已支付上述单位价款凭证的复印件作为支持材料</w:t>
      </w:r>
      <w:r>
        <w:rPr>
          <w:rFonts w:hint="eastAsia" w:ascii="宋体" w:hAnsi="宋体"/>
          <w:snapToGrid w:val="0"/>
          <w:color w:val="auto"/>
          <w:kern w:val="0"/>
          <w:sz w:val="24"/>
          <w:highlight w:val="none"/>
        </w:rPr>
        <w:t>。</w:t>
      </w:r>
    </w:p>
    <w:p w14:paraId="0B632511">
      <w:pPr>
        <w:adjustRightInd w:val="0"/>
        <w:snapToGrid w:val="0"/>
        <w:spacing w:line="360" w:lineRule="auto"/>
        <w:ind w:right="11"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（5）月工程进度款支付中，支付至当月工程进度款总额的80%，直至所扣留的金额达到本合同价款的20%为止。</w:t>
      </w:r>
    </w:p>
    <w:p w14:paraId="26931F34">
      <w:pPr>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w:t>
      </w:r>
      <w:r>
        <w:rPr>
          <w:rFonts w:hint="eastAsia" w:ascii="宋体" w:hAnsi="宋体" w:cs="宋体"/>
          <w:snapToGrid w:val="0"/>
          <w:color w:val="auto"/>
          <w:kern w:val="0"/>
          <w:sz w:val="24"/>
          <w:highlight w:val="none"/>
        </w:rPr>
        <w:t>6</w:t>
      </w:r>
      <w:r>
        <w:rPr>
          <w:rFonts w:hint="eastAsia" w:ascii="宋体" w:hAnsi="宋体" w:cs="宋体"/>
          <w:snapToGrid w:val="0"/>
          <w:color w:val="auto"/>
          <w:kern w:val="0"/>
          <w:sz w:val="24"/>
          <w:highlight w:val="none"/>
          <w:lang w:val="zh-CN"/>
        </w:rPr>
        <w:t>）当所有款项累计支付达到本合同价款（不含暂列金额；不含原清单减少或未实施内容；）的</w:t>
      </w:r>
      <w:r>
        <w:rPr>
          <w:rFonts w:hint="eastAsia" w:ascii="宋体" w:hAnsi="宋体" w:cs="宋体"/>
          <w:snapToGrid w:val="0"/>
          <w:color w:val="auto"/>
          <w:kern w:val="0"/>
          <w:sz w:val="24"/>
          <w:highlight w:val="none"/>
          <w:shd w:val="pct10" w:color="auto" w:fill="FFFFFF"/>
          <w:lang w:val="zh-CN"/>
        </w:rPr>
        <w:t>80%</w:t>
      </w:r>
      <w:r>
        <w:rPr>
          <w:rFonts w:hint="eastAsia" w:ascii="宋体" w:hAnsi="宋体" w:cs="宋体"/>
          <w:snapToGrid w:val="0"/>
          <w:color w:val="auto"/>
          <w:kern w:val="0"/>
          <w:sz w:val="24"/>
          <w:highlight w:val="none"/>
          <w:lang w:val="zh-CN"/>
        </w:rPr>
        <w:t>时，暂停支付除暂列金额外的所有款项。暂列金额的支付按合同专用条款第28.2（3）款的约定执行。</w:t>
      </w:r>
    </w:p>
    <w:p w14:paraId="2718ECA3">
      <w:pPr>
        <w:autoSpaceDE w:val="0"/>
        <w:autoSpaceDN w:val="0"/>
        <w:adjustRightInd w:val="0"/>
        <w:snapToGrid w:val="0"/>
        <w:spacing w:line="360" w:lineRule="auto"/>
        <w:ind w:right="11" w:firstLine="48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w:t>
      </w:r>
      <w:r>
        <w:rPr>
          <w:rFonts w:hint="eastAsia" w:ascii="宋体" w:hAnsi="宋体" w:cs="宋体"/>
          <w:snapToGrid w:val="0"/>
          <w:color w:val="auto"/>
          <w:kern w:val="0"/>
          <w:sz w:val="24"/>
          <w:highlight w:val="none"/>
        </w:rPr>
        <w:t>7</w:t>
      </w:r>
      <w:r>
        <w:rPr>
          <w:rFonts w:hint="eastAsia" w:ascii="宋体" w:hAnsi="宋体" w:cs="宋体"/>
          <w:snapToGrid w:val="0"/>
          <w:color w:val="auto"/>
          <w:kern w:val="0"/>
          <w:sz w:val="24"/>
          <w:highlight w:val="none"/>
          <w:lang w:val="zh-CN"/>
        </w:rPr>
        <w:t>）本合同约定的工程全部完工且由承包人完成建设工程涉及到的工程质量验收、档案验收、供电验收、环保验收、消防验收、人防验收、联合验收等，并取得相关验收主管部门出具的验收认可文件或者准许使用文件后，通过发包人组织的工程竣工验收。工程完工后，报送结算资料到越秀区相关部门审核，发包人累计支付至实际完成工作量的80%，并且不超过合同价扣除未发生的暂列金、暂估价后的80%；若工程结算送审额小于合同价的，则按不超过结算送审额的80%拨付进度款。</w:t>
      </w:r>
    </w:p>
    <w:p w14:paraId="5C75E687">
      <w:pPr>
        <w:autoSpaceDE w:val="0"/>
        <w:autoSpaceDN w:val="0"/>
        <w:adjustRightInd w:val="0"/>
        <w:snapToGrid w:val="0"/>
        <w:spacing w:line="360" w:lineRule="auto"/>
        <w:ind w:right="11" w:firstLine="461"/>
        <w:rPr>
          <w:rFonts w:cs="宋体"/>
          <w:color w:val="auto"/>
          <w:sz w:val="24"/>
          <w:szCs w:val="24"/>
          <w:highlight w:val="none"/>
        </w:rPr>
      </w:pPr>
      <w:r>
        <w:rPr>
          <w:rFonts w:hint="eastAsia" w:cs="宋体"/>
          <w:color w:val="auto"/>
          <w:sz w:val="24"/>
          <w:szCs w:val="24"/>
          <w:highlight w:val="none"/>
        </w:rPr>
        <w:t>（8）本合同工程结算</w:t>
      </w:r>
      <w:r>
        <w:rPr>
          <w:rFonts w:hint="eastAsia" w:cs="宋体"/>
          <w:color w:val="auto"/>
          <w:sz w:val="24"/>
          <w:szCs w:val="24"/>
          <w:highlight w:val="none"/>
          <w:lang w:eastAsia="zh-CN"/>
        </w:rPr>
        <w:t>以发包人委托的造价咨询单位审核价作为结算送审价，</w:t>
      </w:r>
      <w:r>
        <w:rPr>
          <w:rFonts w:hint="eastAsia" w:cs="宋体"/>
          <w:color w:val="auto"/>
          <w:sz w:val="24"/>
          <w:szCs w:val="24"/>
          <w:highlight w:val="none"/>
        </w:rPr>
        <w:t>经有权结算终审部门定审、承包人按合同专用条款第35条约定完整移交工程且不发生合同专用条款第38.10（3）、（4）、（</w:t>
      </w:r>
      <w:r>
        <w:rPr>
          <w:rFonts w:cs="宋体"/>
          <w:color w:val="auto"/>
          <w:sz w:val="24"/>
          <w:szCs w:val="24"/>
          <w:highlight w:val="none"/>
        </w:rPr>
        <w:t>5</w:t>
      </w:r>
      <w:r>
        <w:rPr>
          <w:rFonts w:hint="eastAsia" w:cs="宋体"/>
          <w:color w:val="auto"/>
          <w:sz w:val="24"/>
          <w:szCs w:val="24"/>
          <w:highlight w:val="none"/>
        </w:rPr>
        <w:t>）、</w:t>
      </w:r>
      <w:r>
        <w:rPr>
          <w:rFonts w:cs="宋体"/>
          <w:color w:val="auto"/>
          <w:sz w:val="24"/>
          <w:szCs w:val="24"/>
          <w:highlight w:val="none"/>
        </w:rPr>
        <w:t>38.11</w:t>
      </w:r>
      <w:r>
        <w:rPr>
          <w:rFonts w:hint="eastAsia" w:cs="宋体"/>
          <w:color w:val="auto"/>
          <w:sz w:val="24"/>
          <w:szCs w:val="24"/>
          <w:highlight w:val="none"/>
        </w:rPr>
        <w:t>（</w:t>
      </w:r>
      <w:r>
        <w:rPr>
          <w:rFonts w:cs="宋体"/>
          <w:color w:val="auto"/>
          <w:sz w:val="24"/>
          <w:szCs w:val="24"/>
          <w:highlight w:val="none"/>
        </w:rPr>
        <w:t>4</w:t>
      </w:r>
      <w:r>
        <w:rPr>
          <w:rFonts w:hint="eastAsia" w:cs="宋体"/>
          <w:color w:val="auto"/>
          <w:sz w:val="24"/>
          <w:szCs w:val="24"/>
          <w:highlight w:val="none"/>
        </w:rPr>
        <w:t>）款的违约情形的，发包人累计支付至本合同结算定审金额的</w:t>
      </w:r>
      <w:r>
        <w:rPr>
          <w:rFonts w:hint="eastAsia" w:cs="宋体"/>
          <w:color w:val="auto"/>
          <w:sz w:val="24"/>
          <w:szCs w:val="24"/>
          <w:highlight w:val="none"/>
          <w:u w:val="single"/>
        </w:rPr>
        <w:t>97%</w:t>
      </w:r>
      <w:r>
        <w:rPr>
          <w:rFonts w:hint="eastAsia" w:cs="宋体"/>
          <w:color w:val="auto"/>
          <w:sz w:val="24"/>
          <w:szCs w:val="24"/>
          <w:highlight w:val="none"/>
        </w:rPr>
        <w:t>，留下本合同结算定审金额的</w:t>
      </w:r>
      <w:r>
        <w:rPr>
          <w:rFonts w:hint="eastAsia" w:cs="宋体"/>
          <w:color w:val="auto"/>
          <w:sz w:val="24"/>
          <w:szCs w:val="24"/>
          <w:highlight w:val="none"/>
          <w:u w:val="single"/>
        </w:rPr>
        <w:t>3%</w:t>
      </w:r>
      <w:r>
        <w:rPr>
          <w:rFonts w:hint="eastAsia" w:cs="宋体"/>
          <w:color w:val="auto"/>
          <w:sz w:val="24"/>
          <w:szCs w:val="24"/>
          <w:highlight w:val="none"/>
        </w:rPr>
        <w:t>作为工程</w:t>
      </w:r>
      <w:r>
        <w:rPr>
          <w:rFonts w:hint="eastAsia" w:cs="宋体"/>
          <w:color w:val="auto"/>
          <w:sz w:val="24"/>
          <w:szCs w:val="24"/>
          <w:highlight w:val="none"/>
          <w:u w:val="single"/>
        </w:rPr>
        <w:t>质量保证金</w:t>
      </w:r>
      <w:r>
        <w:rPr>
          <w:rFonts w:hint="eastAsia" w:cs="宋体"/>
          <w:color w:val="auto"/>
          <w:sz w:val="24"/>
          <w:szCs w:val="24"/>
          <w:highlight w:val="none"/>
        </w:rPr>
        <w:t>并按如下约定方式支付：</w:t>
      </w:r>
    </w:p>
    <w:p w14:paraId="725D6385">
      <w:pPr>
        <w:adjustRightInd w:val="0"/>
        <w:snapToGrid w:val="0"/>
        <w:spacing w:line="300" w:lineRule="auto"/>
        <w:ind w:firstLine="480" w:firstLineChars="200"/>
        <w:rPr>
          <w:rFonts w:cs="宋体"/>
          <w:color w:val="auto"/>
          <w:sz w:val="24"/>
          <w:szCs w:val="24"/>
          <w:highlight w:val="none"/>
        </w:rPr>
      </w:pPr>
      <w:r>
        <w:rPr>
          <w:rFonts w:hint="eastAsia" w:cs="宋体"/>
          <w:color w:val="auto"/>
          <w:sz w:val="24"/>
          <w:szCs w:val="24"/>
          <w:highlight w:val="none"/>
        </w:rPr>
        <w:t>1）缺陷责任期内，由承包人原因造成的缺陷，承包人应负责维修，并承担鉴定及维修费用；如承包人不维修也不承担费用，发包人可按合同约定扣除工程质量保证金，并由承包人承担违约责任；承包人维修并承担相应费用后，不免除承担对工程损失的赔偿责任。</w:t>
      </w:r>
    </w:p>
    <w:p w14:paraId="79CF16AB">
      <w:pPr>
        <w:adjustRightInd w:val="0"/>
        <w:snapToGrid w:val="0"/>
        <w:spacing w:line="300" w:lineRule="auto"/>
        <w:ind w:firstLine="480" w:firstLineChars="200"/>
        <w:rPr>
          <w:rFonts w:cs="宋体"/>
          <w:color w:val="auto"/>
          <w:sz w:val="24"/>
          <w:szCs w:val="24"/>
          <w:highlight w:val="none"/>
        </w:rPr>
      </w:pPr>
      <w:r>
        <w:rPr>
          <w:rFonts w:hint="eastAsia" w:cs="宋体"/>
          <w:color w:val="auto"/>
          <w:sz w:val="24"/>
          <w:szCs w:val="24"/>
          <w:highlight w:val="none"/>
        </w:rPr>
        <w:t>2）本工程若涉及防水工程的，工程竣工验收合格后满2年，且承包人在工程缺陷责任期内未出现承包人防水工程质量缺陷原因造成的渗水、漏水或其他违约情形，发包人应在收到承包人的款项申请手续且扣除应扣款项后14天内将工程质量保证金（本合同结算定审金额的3%）无息支付给承包人。承包人承诺按照本合同约定的质量标准和目标，确保防水工程质量。在缺陷责任期内，如出现因防水工程质量问题导致建筑物渗水、漏水的，经维修后同一部位再次发生渗漏的，或渗漏水严重造成业主单位（或使用单位）损失的，均视为承包人对该承诺的违反，每出现一次，承包人应按合同约定承担一次严重违约责任，并赔偿业主单位（或使用单位）的损失，并重新计算防水工程质保期。同时，承包人同意在缺陷责任期届满时发包人有权仅退还质量保证金的50%，剩余50%的质量保证金在防水工程质保期（5年）届满后再退还。</w:t>
      </w:r>
    </w:p>
    <w:p w14:paraId="4E98145E">
      <w:pPr>
        <w:autoSpaceDE w:val="0"/>
        <w:autoSpaceDN w:val="0"/>
        <w:adjustRightInd w:val="0"/>
        <w:snapToGrid w:val="0"/>
        <w:spacing w:line="360" w:lineRule="auto"/>
        <w:ind w:right="11" w:firstLine="461"/>
        <w:rPr>
          <w:rFonts w:ascii="宋体" w:hAnsi="宋体" w:cs="宋体"/>
          <w:snapToGrid w:val="0"/>
          <w:color w:val="auto"/>
          <w:kern w:val="0"/>
          <w:sz w:val="24"/>
          <w:szCs w:val="24"/>
          <w:highlight w:val="none"/>
        </w:rPr>
      </w:pPr>
      <w:r>
        <w:rPr>
          <w:rFonts w:hint="eastAsia" w:cs="宋体"/>
          <w:color w:val="auto"/>
          <w:sz w:val="24"/>
          <w:szCs w:val="24"/>
          <w:highlight w:val="none"/>
        </w:rPr>
        <w:t>结清工程尾款不豁免承包人继续按照本合同（含合同附件）约定应承担的保修责任。</w:t>
      </w:r>
    </w:p>
    <w:p w14:paraId="011C9887">
      <w:pPr>
        <w:adjustRightInd w:val="0"/>
        <w:snapToGrid w:val="0"/>
        <w:spacing w:line="360" w:lineRule="auto"/>
        <w:ind w:right="11" w:firstLine="480" w:firstLineChars="200"/>
        <w:rPr>
          <w:color w:val="auto"/>
          <w:sz w:val="24"/>
          <w:szCs w:val="24"/>
          <w:highlight w:val="none"/>
          <w:shd w:val="clear" w:color="auto" w:fill="FFFF00"/>
        </w:rPr>
      </w:pPr>
      <w:r>
        <w:rPr>
          <w:rFonts w:hint="eastAsia"/>
          <w:color w:val="auto"/>
          <w:sz w:val="24"/>
          <w:szCs w:val="24"/>
          <w:highlight w:val="none"/>
        </w:rPr>
        <w:t>（9）发包人已支付的累计金额大于本合同结算定审金额的</w:t>
      </w:r>
      <w:r>
        <w:rPr>
          <w:rFonts w:hint="eastAsia"/>
          <w:color w:val="auto"/>
          <w:sz w:val="24"/>
          <w:szCs w:val="24"/>
          <w:highlight w:val="none"/>
          <w:u w:val="single"/>
        </w:rPr>
        <w:t>97%</w:t>
      </w:r>
      <w:r>
        <w:rPr>
          <w:rFonts w:hint="eastAsia"/>
          <w:color w:val="auto"/>
          <w:sz w:val="24"/>
          <w:szCs w:val="24"/>
          <w:highlight w:val="none"/>
        </w:rPr>
        <w:t>的，承包人应在工程结算定审之日起15日内向发包人返还多收的款项；否则，发包人有权向承包人追索，承包人应足额返还多收的款项外，若逾期返还的每日需按合同价万分之五的标准向发包人支付违约金。</w:t>
      </w:r>
    </w:p>
    <w:p w14:paraId="4E84D8FC">
      <w:pPr>
        <w:adjustRightInd w:val="0"/>
        <w:snapToGrid w:val="0"/>
        <w:spacing w:line="360" w:lineRule="auto"/>
        <w:ind w:right="11" w:firstLine="480" w:firstLineChars="200"/>
        <w:rPr>
          <w:rFonts w:hint="eastAsia"/>
          <w:color w:val="auto"/>
          <w:sz w:val="24"/>
          <w:szCs w:val="24"/>
          <w:highlight w:val="none"/>
        </w:rPr>
      </w:pPr>
      <w:r>
        <w:rPr>
          <w:rFonts w:hint="eastAsia"/>
          <w:color w:val="auto"/>
          <w:sz w:val="24"/>
          <w:szCs w:val="24"/>
          <w:highlight w:val="none"/>
        </w:rPr>
        <w:t>（</w:t>
      </w:r>
      <w:r>
        <w:rPr>
          <w:color w:val="auto"/>
          <w:sz w:val="24"/>
          <w:szCs w:val="24"/>
          <w:highlight w:val="none"/>
        </w:rPr>
        <w:t>10</w:t>
      </w:r>
      <w:r>
        <w:rPr>
          <w:rFonts w:hint="eastAsia"/>
          <w:color w:val="auto"/>
          <w:sz w:val="24"/>
          <w:szCs w:val="24"/>
          <w:highlight w:val="none"/>
        </w:rPr>
        <w:t>）发包人在支付每期工程进度款时，如发现承包人存在欠缴违约金情形的，则发包人有权暂停支付承包人当期申请支付的进度款，直至承包人缴清违约金为止。</w:t>
      </w:r>
    </w:p>
    <w:p w14:paraId="1CD82AB6">
      <w:pPr>
        <w:adjustRightInd w:val="0"/>
        <w:snapToGrid w:val="0"/>
        <w:spacing w:line="360" w:lineRule="auto"/>
        <w:ind w:right="11" w:firstLine="480" w:firstLineChars="200"/>
        <w:rPr>
          <w:rFonts w:ascii="Times New Roman" w:hAnsi="Times New Roman"/>
          <w:snapToGrid/>
          <w:color w:val="auto"/>
          <w:kern w:val="2"/>
          <w:sz w:val="24"/>
          <w:szCs w:val="24"/>
          <w:highlight w:val="none"/>
        </w:rPr>
      </w:pPr>
      <w:r>
        <w:rPr>
          <w:rFonts w:hint="eastAsia"/>
          <w:color w:val="auto"/>
          <w:sz w:val="24"/>
          <w:szCs w:val="24"/>
          <w:highlight w:val="none"/>
        </w:rPr>
        <w:t>（11）发包人在把工程进度款资料提交给有权审核的财审部门，视作已支付当期的工程进度款。</w:t>
      </w:r>
    </w:p>
    <w:p w14:paraId="7CB9B01F">
      <w:pPr>
        <w:autoSpaceDE w:val="0"/>
        <w:autoSpaceDN w:val="0"/>
        <w:adjustRightInd w:val="0"/>
        <w:snapToGrid w:val="0"/>
        <w:spacing w:line="360" w:lineRule="auto"/>
        <w:ind w:right="11" w:firstLine="480"/>
        <w:outlineLvl w:val="3"/>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28.2</w:t>
      </w:r>
      <w:r>
        <w:rPr>
          <w:rFonts w:hint="eastAsia" w:ascii="宋体" w:hAnsi="宋体"/>
          <w:snapToGrid w:val="0"/>
          <w:color w:val="auto"/>
          <w:kern w:val="0"/>
          <w:sz w:val="24"/>
          <w:highlight w:val="none"/>
        </w:rPr>
        <w:t>双方约定的工程进度款支付方式</w:t>
      </w:r>
    </w:p>
    <w:p w14:paraId="1B52E71A">
      <w:pPr>
        <w:autoSpaceDE w:val="0"/>
        <w:autoSpaceDN w:val="0"/>
        <w:adjustRightInd w:val="0"/>
        <w:snapToGrid w:val="0"/>
        <w:spacing w:line="360" w:lineRule="auto"/>
        <w:ind w:right="11" w:firstLine="480"/>
        <w:outlineLvl w:val="4"/>
        <w:rPr>
          <w:rFonts w:ascii="宋体" w:hAnsi="宋体" w:cs="宋体"/>
          <w:bCs/>
          <w:snapToGrid w:val="0"/>
          <w:color w:val="auto"/>
          <w:kern w:val="0"/>
          <w:sz w:val="24"/>
          <w:highlight w:val="none"/>
          <w:lang w:val="zh-CN"/>
        </w:rPr>
      </w:pPr>
      <w:r>
        <w:rPr>
          <w:rFonts w:hint="eastAsia" w:ascii="宋体" w:hAnsi="宋体" w:cs="宋体"/>
          <w:bCs/>
          <w:snapToGrid w:val="0"/>
          <w:color w:val="auto"/>
          <w:kern w:val="0"/>
          <w:sz w:val="24"/>
          <w:highlight w:val="none"/>
          <w:lang w:val="zh-CN"/>
        </w:rPr>
        <w:t>（1）分部分项工程量清单项目</w:t>
      </w:r>
      <w:r>
        <w:rPr>
          <w:rFonts w:hint="eastAsia" w:ascii="宋体" w:hAnsi="宋体"/>
          <w:snapToGrid w:val="0"/>
          <w:color w:val="auto"/>
          <w:kern w:val="0"/>
          <w:sz w:val="24"/>
          <w:highlight w:val="none"/>
        </w:rPr>
        <w:t>工程进度款的支付方式</w:t>
      </w:r>
    </w:p>
    <w:p w14:paraId="450F7D98">
      <w:pPr>
        <w:adjustRightInd w:val="0"/>
        <w:snapToGrid w:val="0"/>
        <w:spacing w:line="360" w:lineRule="auto"/>
        <w:ind w:right="11" w:firstLine="420" w:firstLineChars="200"/>
        <w:outlineLvl w:val="5"/>
        <w:rPr>
          <w:rFonts w:ascii="宋体" w:hAnsi="宋体"/>
          <w:b/>
          <w:iCs/>
          <w:snapToGrid w:val="0"/>
          <w:color w:val="auto"/>
          <w:kern w:val="0"/>
          <w:sz w:val="24"/>
          <w:highlight w:val="none"/>
        </w:rPr>
      </w:pPr>
      <w:r>
        <w:rPr>
          <w:rFonts w:hint="eastAsia" w:ascii="宋体" w:hAnsi="宋体"/>
          <w:bCs/>
          <w:snapToGrid w:val="0"/>
          <w:color w:val="auto"/>
          <w:kern w:val="0"/>
          <w:szCs w:val="21"/>
          <w:highlight w:val="none"/>
          <w:bdr w:val="single" w:color="auto" w:sz="4" w:space="0"/>
        </w:rPr>
        <w:t>√</w:t>
      </w:r>
      <w:r>
        <w:rPr>
          <w:rFonts w:hint="eastAsia" w:ascii="宋体" w:hAnsi="宋体"/>
          <w:b/>
          <w:iCs/>
          <w:snapToGrid w:val="0"/>
          <w:color w:val="auto"/>
          <w:kern w:val="0"/>
          <w:sz w:val="24"/>
          <w:highlight w:val="none"/>
        </w:rPr>
        <w:t xml:space="preserve"> 房屋建筑、装饰装修、机电安装及市政施工，园林绿化景观工程项目等项目：</w:t>
      </w:r>
    </w:p>
    <w:p w14:paraId="2B1E7656">
      <w:pPr>
        <w:adjustRightInd w:val="0"/>
        <w:snapToGrid w:val="0"/>
        <w:spacing w:line="360" w:lineRule="auto"/>
        <w:ind w:right="11" w:firstLine="480" w:firstLineChars="200"/>
        <w:rPr>
          <w:rFonts w:ascii="宋体" w:hAnsi="宋体"/>
          <w:iCs/>
          <w:snapToGrid w:val="0"/>
          <w:color w:val="auto"/>
          <w:kern w:val="0"/>
          <w:sz w:val="24"/>
          <w:highlight w:val="none"/>
        </w:rPr>
      </w:pPr>
      <w:r>
        <w:rPr>
          <w:rFonts w:hint="eastAsia" w:ascii="宋体" w:hAnsi="宋体"/>
          <w:snapToGrid w:val="0"/>
          <w:color w:val="auto"/>
          <w:kern w:val="0"/>
          <w:sz w:val="24"/>
          <w:highlight w:val="none"/>
        </w:rPr>
        <w:t>1）工程进度款以监理单位审核计量和发包人审定确认为准。承包人进场开工后，应依据每日申报的实物工程量完成统计报表在每月最后一日前统计上月25日至本月24日所发生的工作量，按工程量清单单价和取费标准，计算出已完工程价款，按规定格式编制工程进度款支付申请单报监理单位核实确认，并附上隐蔽工程验收记录作为支持材料。监理单位收到后，应在5-10天内审核并签署意见后报发包人，发包人在10天内审批完毕，</w:t>
      </w:r>
      <w:r>
        <w:rPr>
          <w:rFonts w:hint="eastAsia" w:ascii="宋体" w:hAnsi="宋体"/>
          <w:iCs/>
          <w:snapToGrid w:val="0"/>
          <w:color w:val="auto"/>
          <w:kern w:val="0"/>
          <w:sz w:val="24"/>
          <w:highlight w:val="none"/>
        </w:rPr>
        <w:t>并报政府有关部门办理统一拨付。</w:t>
      </w:r>
    </w:p>
    <w:p w14:paraId="59460079">
      <w:pPr>
        <w:adjustRightInd w:val="0"/>
        <w:snapToGrid w:val="0"/>
        <w:spacing w:line="360" w:lineRule="auto"/>
        <w:ind w:right="11"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2）工程进度款计算公式（</w:t>
      </w:r>
      <w:r>
        <w:rPr>
          <w:rFonts w:hint="eastAsia" w:hAnsi="宋体"/>
          <w:snapToGrid w:val="0"/>
          <w:color w:val="auto"/>
          <w:kern w:val="0"/>
          <w:sz w:val="24"/>
          <w:szCs w:val="24"/>
          <w:highlight w:val="none"/>
        </w:rPr>
        <w:t>本合同另有约定的，从其约定</w:t>
      </w:r>
      <w:r>
        <w:rPr>
          <w:rFonts w:hint="eastAsia" w:ascii="宋体" w:hAnsi="宋体"/>
          <w:snapToGrid w:val="0"/>
          <w:color w:val="auto"/>
          <w:kern w:val="0"/>
          <w:sz w:val="24"/>
          <w:highlight w:val="none"/>
        </w:rPr>
        <w:t>）</w:t>
      </w:r>
    </w:p>
    <w:p w14:paraId="501BF54A">
      <w:pPr>
        <w:adjustRightInd w:val="0"/>
        <w:snapToGrid w:val="0"/>
        <w:spacing w:line="360" w:lineRule="auto"/>
        <w:ind w:right="11" w:firstLine="480" w:firstLineChars="200"/>
        <w:rPr>
          <w:rFonts w:hint="eastAsia"/>
          <w:color w:val="auto"/>
          <w:sz w:val="24"/>
          <w:szCs w:val="24"/>
          <w:highlight w:val="none"/>
        </w:rPr>
      </w:pPr>
      <w:r>
        <w:rPr>
          <w:rFonts w:hint="eastAsia"/>
          <w:color w:val="auto"/>
          <w:sz w:val="24"/>
          <w:szCs w:val="24"/>
          <w:highlight w:val="none"/>
        </w:rPr>
        <w:t>① 当期实际完成的工程进度款、已支付款（含预付款及由发包人预交的款项）累计总数＜分部分项工程量清单计价×</w:t>
      </w:r>
      <w:r>
        <w:rPr>
          <w:rFonts w:hint="eastAsia"/>
          <w:color w:val="auto"/>
          <w:sz w:val="24"/>
          <w:szCs w:val="24"/>
          <w:highlight w:val="none"/>
          <w:lang w:val="en-US" w:eastAsia="zh-CN"/>
        </w:rPr>
        <w:t>30</w:t>
      </w:r>
      <w:r>
        <w:rPr>
          <w:rFonts w:hint="eastAsia"/>
          <w:color w:val="auto"/>
          <w:sz w:val="24"/>
          <w:szCs w:val="24"/>
          <w:highlight w:val="none"/>
        </w:rPr>
        <w:t>%时</w:t>
      </w:r>
    </w:p>
    <w:p w14:paraId="6A0BD7CA">
      <w:pPr>
        <w:adjustRightInd w:val="0"/>
        <w:snapToGrid w:val="0"/>
        <w:spacing w:line="360" w:lineRule="auto"/>
        <w:ind w:right="11" w:firstLine="480" w:firstLineChars="200"/>
        <w:rPr>
          <w:rFonts w:hint="eastAsia"/>
          <w:color w:val="auto"/>
          <w:sz w:val="24"/>
          <w:szCs w:val="24"/>
          <w:highlight w:val="none"/>
        </w:rPr>
      </w:pPr>
      <w:r>
        <w:rPr>
          <w:rFonts w:hint="eastAsia"/>
          <w:color w:val="auto"/>
          <w:sz w:val="24"/>
          <w:szCs w:val="24"/>
          <w:highlight w:val="none"/>
        </w:rPr>
        <w:t>当期可支付工程进度款＝承包人当期实际完成的工程进度款×80%</w:t>
      </w:r>
    </w:p>
    <w:p w14:paraId="2F5F8E6B">
      <w:pPr>
        <w:adjustRightInd w:val="0"/>
        <w:snapToGrid w:val="0"/>
        <w:spacing w:line="360" w:lineRule="auto"/>
        <w:ind w:right="11" w:firstLine="480" w:firstLineChars="200"/>
        <w:rPr>
          <w:rFonts w:hint="eastAsia"/>
          <w:color w:val="auto"/>
          <w:sz w:val="24"/>
          <w:szCs w:val="24"/>
          <w:highlight w:val="none"/>
        </w:rPr>
      </w:pPr>
      <w:r>
        <w:rPr>
          <w:rFonts w:hint="eastAsia"/>
          <w:color w:val="auto"/>
          <w:sz w:val="24"/>
          <w:szCs w:val="24"/>
          <w:highlight w:val="none"/>
        </w:rPr>
        <w:t>② 当期实际完成的工程进度款、已支付款（含预付款及由发包人预交的款项）累计总数≥分部分项工程量清单计价×</w:t>
      </w:r>
      <w:r>
        <w:rPr>
          <w:rFonts w:hint="eastAsia"/>
          <w:color w:val="auto"/>
          <w:sz w:val="24"/>
          <w:szCs w:val="24"/>
          <w:highlight w:val="none"/>
          <w:lang w:val="en-US" w:eastAsia="zh-CN"/>
        </w:rPr>
        <w:t>30</w:t>
      </w:r>
      <w:r>
        <w:rPr>
          <w:rFonts w:hint="eastAsia"/>
          <w:color w:val="auto"/>
          <w:sz w:val="24"/>
          <w:szCs w:val="24"/>
          <w:highlight w:val="none"/>
        </w:rPr>
        <w:t>%时，开始扣回预付款：</w:t>
      </w:r>
    </w:p>
    <w:p w14:paraId="15189CD1">
      <w:pPr>
        <w:adjustRightInd w:val="0"/>
        <w:snapToGrid w:val="0"/>
        <w:spacing w:line="360" w:lineRule="auto"/>
        <w:ind w:right="11" w:firstLine="480" w:firstLineChars="200"/>
        <w:rPr>
          <w:rFonts w:hint="eastAsia"/>
          <w:color w:val="auto"/>
          <w:sz w:val="24"/>
          <w:szCs w:val="24"/>
          <w:highlight w:val="none"/>
        </w:rPr>
      </w:pPr>
      <w:r>
        <w:rPr>
          <w:rFonts w:hint="eastAsia"/>
          <w:color w:val="auto"/>
          <w:sz w:val="24"/>
          <w:szCs w:val="24"/>
          <w:highlight w:val="none"/>
        </w:rPr>
        <w:t>当期可支付工程进度款＝承包人当期实际完成的工程进度款×80%-预付款总额×抵扣比例</w:t>
      </w:r>
    </w:p>
    <w:p w14:paraId="05EEB5EA">
      <w:pPr>
        <w:adjustRightInd w:val="0"/>
        <w:snapToGrid w:val="0"/>
        <w:spacing w:line="360" w:lineRule="auto"/>
        <w:ind w:right="11" w:firstLine="480" w:firstLineChars="200"/>
        <w:rPr>
          <w:rFonts w:hint="eastAsia"/>
          <w:color w:val="auto"/>
          <w:sz w:val="24"/>
          <w:szCs w:val="24"/>
          <w:highlight w:val="none"/>
        </w:rPr>
      </w:pPr>
      <w:r>
        <w:rPr>
          <w:rFonts w:hint="eastAsia"/>
          <w:color w:val="auto"/>
          <w:sz w:val="24"/>
          <w:szCs w:val="24"/>
          <w:highlight w:val="none"/>
        </w:rPr>
        <w:t>抵扣比例＝承包人当期实际完成的工程进度款/（分部分项工程量清单计价×</w:t>
      </w:r>
      <w:r>
        <w:rPr>
          <w:rFonts w:hint="eastAsia"/>
          <w:color w:val="auto"/>
          <w:sz w:val="24"/>
          <w:szCs w:val="24"/>
          <w:highlight w:val="none"/>
          <w:lang w:val="en-US" w:eastAsia="zh-CN"/>
        </w:rPr>
        <w:t>30</w:t>
      </w:r>
      <w:r>
        <w:rPr>
          <w:rFonts w:hint="eastAsia"/>
          <w:color w:val="auto"/>
          <w:sz w:val="24"/>
          <w:szCs w:val="24"/>
          <w:highlight w:val="none"/>
        </w:rPr>
        <w:t>%）</w:t>
      </w:r>
    </w:p>
    <w:p w14:paraId="081E03C2">
      <w:pPr>
        <w:adjustRightInd w:val="0"/>
        <w:snapToGrid w:val="0"/>
        <w:spacing w:line="360" w:lineRule="auto"/>
        <w:ind w:right="11" w:firstLine="480" w:firstLineChars="200"/>
        <w:rPr>
          <w:rFonts w:hint="eastAsia"/>
          <w:color w:val="auto"/>
          <w:sz w:val="24"/>
          <w:szCs w:val="24"/>
          <w:highlight w:val="none"/>
        </w:rPr>
      </w:pPr>
      <w:r>
        <w:rPr>
          <w:rFonts w:hint="eastAsia"/>
          <w:color w:val="auto"/>
          <w:sz w:val="24"/>
          <w:szCs w:val="24"/>
          <w:highlight w:val="none"/>
        </w:rPr>
        <w:t>③ 当期实际完成的工程进度款、已支付款（含预付款及由发包人预交的款项）累计总数＝分部分项工程量清单计价×</w:t>
      </w:r>
      <w:r>
        <w:rPr>
          <w:rFonts w:hint="eastAsia"/>
          <w:color w:val="auto"/>
          <w:sz w:val="24"/>
          <w:szCs w:val="24"/>
          <w:highlight w:val="none"/>
          <w:lang w:val="en-US" w:eastAsia="zh-CN"/>
        </w:rPr>
        <w:t>50</w:t>
      </w:r>
      <w:r>
        <w:rPr>
          <w:rFonts w:hint="eastAsia"/>
          <w:color w:val="auto"/>
          <w:sz w:val="24"/>
          <w:szCs w:val="24"/>
          <w:highlight w:val="none"/>
        </w:rPr>
        <w:t>%时</w:t>
      </w:r>
    </w:p>
    <w:p w14:paraId="5A1138DE">
      <w:pPr>
        <w:adjustRightInd w:val="0"/>
        <w:snapToGrid w:val="0"/>
        <w:spacing w:line="360" w:lineRule="auto"/>
        <w:ind w:right="11" w:firstLine="480" w:firstLineChars="200"/>
        <w:rPr>
          <w:rFonts w:hint="eastAsia"/>
          <w:color w:val="auto"/>
          <w:sz w:val="24"/>
          <w:szCs w:val="24"/>
          <w:highlight w:val="none"/>
        </w:rPr>
      </w:pPr>
      <w:r>
        <w:rPr>
          <w:rFonts w:hint="eastAsia"/>
          <w:color w:val="auto"/>
          <w:sz w:val="24"/>
          <w:szCs w:val="24"/>
          <w:highlight w:val="none"/>
        </w:rPr>
        <w:t>当期可支付工程进度款＝承包人当期实际完成的工程进度款×80%-应扣预付款余额。</w:t>
      </w:r>
    </w:p>
    <w:p w14:paraId="66BDFBE6">
      <w:pPr>
        <w:adjustRightInd w:val="0"/>
        <w:snapToGrid w:val="0"/>
        <w:spacing w:line="360" w:lineRule="auto"/>
        <w:ind w:right="11" w:firstLine="480" w:firstLineChars="200"/>
        <w:rPr>
          <w:rFonts w:hint="eastAsia"/>
          <w:color w:val="auto"/>
          <w:sz w:val="24"/>
          <w:szCs w:val="24"/>
          <w:highlight w:val="none"/>
        </w:rPr>
      </w:pPr>
      <w:r>
        <w:rPr>
          <w:rFonts w:hint="eastAsia"/>
          <w:color w:val="auto"/>
          <w:sz w:val="24"/>
          <w:szCs w:val="24"/>
          <w:highlight w:val="none"/>
        </w:rPr>
        <w:t>④ 预付款扣清以后的工程进度款计算</w:t>
      </w:r>
    </w:p>
    <w:p w14:paraId="411F1ED4">
      <w:pPr>
        <w:adjustRightInd w:val="0"/>
        <w:snapToGrid w:val="0"/>
        <w:spacing w:line="360" w:lineRule="auto"/>
        <w:ind w:right="11" w:firstLine="480" w:firstLineChars="200"/>
        <w:rPr>
          <w:rFonts w:hint="eastAsia"/>
          <w:color w:val="auto"/>
          <w:sz w:val="24"/>
          <w:szCs w:val="24"/>
          <w:highlight w:val="none"/>
        </w:rPr>
      </w:pPr>
      <w:r>
        <w:rPr>
          <w:rFonts w:hint="eastAsia"/>
          <w:color w:val="auto"/>
          <w:sz w:val="24"/>
          <w:szCs w:val="24"/>
          <w:highlight w:val="none"/>
        </w:rPr>
        <w:t>当期可支付工程进度款＝承包人当期实际完成的工程进度款×80%</w:t>
      </w:r>
    </w:p>
    <w:p w14:paraId="28FD581D">
      <w:pPr>
        <w:autoSpaceDE w:val="0"/>
        <w:autoSpaceDN w:val="0"/>
        <w:adjustRightInd w:val="0"/>
        <w:snapToGrid w:val="0"/>
        <w:spacing w:line="360" w:lineRule="auto"/>
        <w:ind w:right="11" w:firstLine="480"/>
        <w:outlineLvl w:val="4"/>
        <w:rPr>
          <w:rFonts w:ascii="宋体" w:hAnsi="宋体" w:cs="宋体"/>
          <w:bCs/>
          <w:snapToGrid w:val="0"/>
          <w:color w:val="auto"/>
          <w:kern w:val="0"/>
          <w:sz w:val="24"/>
          <w:highlight w:val="none"/>
          <w:lang w:val="zh-CN"/>
        </w:rPr>
      </w:pPr>
      <w:r>
        <w:rPr>
          <w:rFonts w:hint="eastAsia" w:ascii="宋体" w:hAnsi="宋体" w:cs="宋体"/>
          <w:bCs/>
          <w:snapToGrid w:val="0"/>
          <w:color w:val="auto"/>
          <w:kern w:val="0"/>
          <w:sz w:val="24"/>
          <w:highlight w:val="none"/>
          <w:lang w:val="zh-CN"/>
        </w:rPr>
        <w:t>（2）措施项目费和其他项目费的支付方式</w:t>
      </w:r>
    </w:p>
    <w:p w14:paraId="3B6929E7">
      <w:pPr>
        <w:ind w:firstLine="480" w:firstLineChars="200"/>
        <w:outlineLvl w:val="5"/>
        <w:rPr>
          <w:rFonts w:ascii="宋体" w:hAnsi="宋体"/>
          <w:snapToGrid w:val="0"/>
          <w:color w:val="auto"/>
          <w:kern w:val="0"/>
          <w:sz w:val="24"/>
          <w:highlight w:val="none"/>
        </w:rPr>
      </w:pPr>
      <w:r>
        <w:rPr>
          <w:rFonts w:ascii="宋体" w:hAnsi="宋体"/>
          <w:snapToGrid w:val="0"/>
          <w:color w:val="auto"/>
          <w:kern w:val="0"/>
          <w:sz w:val="24"/>
          <w:highlight w:val="none"/>
        </w:rPr>
        <w:t>1）措施项目费的支付</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567"/>
        <w:gridCol w:w="3321"/>
        <w:gridCol w:w="4477"/>
      </w:tblGrid>
      <w:tr w14:paraId="5DC8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44D70D7B">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选项</w:t>
            </w:r>
          </w:p>
        </w:tc>
        <w:tc>
          <w:tcPr>
            <w:tcW w:w="567" w:type="dxa"/>
            <w:tcBorders>
              <w:top w:val="single" w:color="auto" w:sz="4" w:space="0"/>
              <w:left w:val="single" w:color="auto" w:sz="4" w:space="0"/>
              <w:bottom w:val="single" w:color="auto" w:sz="4" w:space="0"/>
              <w:right w:val="single" w:color="auto" w:sz="4" w:space="0"/>
            </w:tcBorders>
            <w:vAlign w:val="center"/>
          </w:tcPr>
          <w:p w14:paraId="145338F6">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序号</w:t>
            </w:r>
          </w:p>
        </w:tc>
        <w:tc>
          <w:tcPr>
            <w:tcW w:w="3321" w:type="dxa"/>
            <w:tcBorders>
              <w:top w:val="single" w:color="auto" w:sz="4" w:space="0"/>
              <w:left w:val="single" w:color="auto" w:sz="4" w:space="0"/>
              <w:bottom w:val="single" w:color="auto" w:sz="4" w:space="0"/>
              <w:right w:val="single" w:color="auto" w:sz="4" w:space="0"/>
            </w:tcBorders>
            <w:vAlign w:val="center"/>
          </w:tcPr>
          <w:p w14:paraId="17106A49">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项 目 名 称</w:t>
            </w:r>
          </w:p>
        </w:tc>
        <w:tc>
          <w:tcPr>
            <w:tcW w:w="4477" w:type="dxa"/>
            <w:tcBorders>
              <w:top w:val="single" w:color="auto" w:sz="4" w:space="0"/>
              <w:left w:val="single" w:color="auto" w:sz="4" w:space="0"/>
              <w:bottom w:val="single" w:color="auto" w:sz="4" w:space="0"/>
              <w:right w:val="single" w:color="auto" w:sz="4" w:space="0"/>
            </w:tcBorders>
            <w:vAlign w:val="center"/>
          </w:tcPr>
          <w:p w14:paraId="0F4E74C3">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计量方式</w:t>
            </w:r>
          </w:p>
        </w:tc>
      </w:tr>
      <w:tr w14:paraId="5074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55B9C203">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67" w:type="dxa"/>
            <w:tcBorders>
              <w:top w:val="single" w:color="auto" w:sz="4" w:space="0"/>
              <w:left w:val="single" w:color="auto" w:sz="4" w:space="0"/>
              <w:bottom w:val="single" w:color="auto" w:sz="4" w:space="0"/>
              <w:right w:val="single" w:color="auto" w:sz="4" w:space="0"/>
            </w:tcBorders>
            <w:vAlign w:val="center"/>
          </w:tcPr>
          <w:p w14:paraId="06560A78">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一</w:t>
            </w:r>
          </w:p>
        </w:tc>
        <w:tc>
          <w:tcPr>
            <w:tcW w:w="3321" w:type="dxa"/>
            <w:tcBorders>
              <w:top w:val="single" w:color="auto" w:sz="4" w:space="0"/>
              <w:left w:val="single" w:color="auto" w:sz="4" w:space="0"/>
              <w:bottom w:val="single" w:color="auto" w:sz="4" w:space="0"/>
              <w:right w:val="single" w:color="auto" w:sz="4" w:space="0"/>
            </w:tcBorders>
            <w:vAlign w:val="center"/>
          </w:tcPr>
          <w:p w14:paraId="2B37B9B4">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绿色施工安全防护措施费</w:t>
            </w:r>
          </w:p>
        </w:tc>
        <w:tc>
          <w:tcPr>
            <w:tcW w:w="4477" w:type="dxa"/>
            <w:tcBorders>
              <w:top w:val="single" w:color="auto" w:sz="4" w:space="0"/>
              <w:left w:val="single" w:color="auto" w:sz="4" w:space="0"/>
              <w:bottom w:val="single" w:color="auto" w:sz="4" w:space="0"/>
              <w:right w:val="single" w:color="auto" w:sz="4" w:space="0"/>
            </w:tcBorders>
            <w:vAlign w:val="center"/>
          </w:tcPr>
          <w:p w14:paraId="32581709">
            <w:pPr>
              <w:widowControl/>
              <w:adjustRightInd w:val="0"/>
              <w:snapToGrid w:val="0"/>
              <w:spacing w:line="276" w:lineRule="auto"/>
              <w:jc w:val="center"/>
              <w:rPr>
                <w:rFonts w:ascii="宋体" w:hAnsi="宋体" w:cs="宋体"/>
                <w:b/>
                <w:snapToGrid w:val="0"/>
                <w:color w:val="auto"/>
                <w:kern w:val="0"/>
                <w:sz w:val="18"/>
                <w:szCs w:val="18"/>
                <w:highlight w:val="none"/>
              </w:rPr>
            </w:pPr>
          </w:p>
        </w:tc>
      </w:tr>
      <w:tr w14:paraId="4BA8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599D7073">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67" w:type="dxa"/>
            <w:tcBorders>
              <w:top w:val="single" w:color="auto" w:sz="4" w:space="0"/>
              <w:left w:val="single" w:color="auto" w:sz="4" w:space="0"/>
              <w:bottom w:val="single" w:color="auto" w:sz="4" w:space="0"/>
              <w:right w:val="single" w:color="auto" w:sz="4" w:space="0"/>
            </w:tcBorders>
            <w:vAlign w:val="center"/>
          </w:tcPr>
          <w:p w14:paraId="6AAAE215">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1</w:t>
            </w:r>
          </w:p>
        </w:tc>
        <w:tc>
          <w:tcPr>
            <w:tcW w:w="3321" w:type="dxa"/>
            <w:tcBorders>
              <w:top w:val="single" w:color="auto" w:sz="4" w:space="0"/>
              <w:left w:val="single" w:color="auto" w:sz="4" w:space="0"/>
              <w:bottom w:val="single" w:color="auto" w:sz="4" w:space="0"/>
              <w:right w:val="single" w:color="auto" w:sz="4" w:space="0"/>
            </w:tcBorders>
            <w:vAlign w:val="center"/>
          </w:tcPr>
          <w:p w14:paraId="72F90BB9">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绿色施工安全防护措施费（按系数计算）</w:t>
            </w:r>
          </w:p>
        </w:tc>
        <w:tc>
          <w:tcPr>
            <w:tcW w:w="4477" w:type="dxa"/>
            <w:vMerge w:val="restart"/>
            <w:tcBorders>
              <w:top w:val="single" w:color="auto" w:sz="4" w:space="0"/>
              <w:left w:val="single" w:color="auto" w:sz="4" w:space="0"/>
              <w:right w:val="single" w:color="auto" w:sz="4" w:space="0"/>
            </w:tcBorders>
            <w:vAlign w:val="center"/>
          </w:tcPr>
          <w:p w14:paraId="46B0429E">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绿色施工安全防护措施费采用报账的支付方式，施工单位按约定时间上报绿色施工安全防护措施费实施方案，包含措施项目明细，经监理和业主审批后的实施。一次性措施按完成后报账支付，长期性措施按工期分月平均支付。</w:t>
            </w:r>
          </w:p>
          <w:p w14:paraId="1861322A">
            <w:pPr>
              <w:widowControl/>
              <w:adjustRightInd w:val="0"/>
              <w:snapToGrid w:val="0"/>
              <w:spacing w:line="276" w:lineRule="auto"/>
              <w:jc w:val="center"/>
              <w:rPr>
                <w:rFonts w:ascii="宋体" w:hAnsi="宋体" w:cs="宋体"/>
                <w:b/>
                <w:snapToGrid w:val="0"/>
                <w:color w:val="auto"/>
                <w:kern w:val="0"/>
                <w:sz w:val="18"/>
                <w:szCs w:val="18"/>
                <w:highlight w:val="none"/>
              </w:rPr>
            </w:pPr>
          </w:p>
        </w:tc>
      </w:tr>
      <w:tr w14:paraId="0823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22EF7024">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67" w:type="dxa"/>
            <w:tcBorders>
              <w:top w:val="single" w:color="auto" w:sz="4" w:space="0"/>
              <w:left w:val="single" w:color="auto" w:sz="4" w:space="0"/>
              <w:bottom w:val="single" w:color="auto" w:sz="4" w:space="0"/>
              <w:right w:val="single" w:color="auto" w:sz="4" w:space="0"/>
            </w:tcBorders>
            <w:vAlign w:val="center"/>
          </w:tcPr>
          <w:p w14:paraId="0B300658">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2</w:t>
            </w:r>
          </w:p>
        </w:tc>
        <w:tc>
          <w:tcPr>
            <w:tcW w:w="3321" w:type="dxa"/>
            <w:tcBorders>
              <w:top w:val="single" w:color="auto" w:sz="4" w:space="0"/>
              <w:left w:val="single" w:color="auto" w:sz="4" w:space="0"/>
              <w:bottom w:val="single" w:color="auto" w:sz="4" w:space="0"/>
              <w:right w:val="single" w:color="auto" w:sz="4" w:space="0"/>
            </w:tcBorders>
            <w:vAlign w:val="center"/>
          </w:tcPr>
          <w:p w14:paraId="6D6E89C0">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绿色施工安全防护措施费（按子目计算）</w:t>
            </w:r>
          </w:p>
        </w:tc>
        <w:tc>
          <w:tcPr>
            <w:tcW w:w="4477" w:type="dxa"/>
            <w:vMerge w:val="continue"/>
            <w:tcBorders>
              <w:left w:val="single" w:color="auto" w:sz="4" w:space="0"/>
              <w:bottom w:val="single" w:color="auto" w:sz="4" w:space="0"/>
              <w:right w:val="single" w:color="auto" w:sz="4" w:space="0"/>
            </w:tcBorders>
            <w:vAlign w:val="center"/>
          </w:tcPr>
          <w:p w14:paraId="43558D4C">
            <w:pPr>
              <w:widowControl/>
              <w:adjustRightInd w:val="0"/>
              <w:snapToGrid w:val="0"/>
              <w:spacing w:line="276" w:lineRule="auto"/>
              <w:jc w:val="center"/>
              <w:rPr>
                <w:rFonts w:ascii="宋体" w:hAnsi="宋体" w:cs="宋体"/>
                <w:b/>
                <w:snapToGrid w:val="0"/>
                <w:color w:val="auto"/>
                <w:kern w:val="0"/>
                <w:sz w:val="18"/>
                <w:szCs w:val="18"/>
                <w:highlight w:val="none"/>
              </w:rPr>
            </w:pPr>
          </w:p>
        </w:tc>
      </w:tr>
      <w:tr w14:paraId="540F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25FDD7B2">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p>
        </w:tc>
        <w:tc>
          <w:tcPr>
            <w:tcW w:w="567" w:type="dxa"/>
            <w:tcBorders>
              <w:top w:val="single" w:color="auto" w:sz="4" w:space="0"/>
              <w:left w:val="single" w:color="auto" w:sz="4" w:space="0"/>
              <w:bottom w:val="single" w:color="auto" w:sz="4" w:space="0"/>
              <w:right w:val="single" w:color="auto" w:sz="4" w:space="0"/>
            </w:tcBorders>
            <w:vAlign w:val="center"/>
          </w:tcPr>
          <w:p w14:paraId="5AE493E8">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二</w:t>
            </w:r>
          </w:p>
        </w:tc>
        <w:tc>
          <w:tcPr>
            <w:tcW w:w="3321" w:type="dxa"/>
            <w:tcBorders>
              <w:top w:val="single" w:color="auto" w:sz="4" w:space="0"/>
              <w:left w:val="single" w:color="auto" w:sz="4" w:space="0"/>
              <w:bottom w:val="single" w:color="auto" w:sz="4" w:space="0"/>
              <w:right w:val="single" w:color="auto" w:sz="4" w:space="0"/>
            </w:tcBorders>
            <w:vAlign w:val="center"/>
          </w:tcPr>
          <w:p w14:paraId="3C3D0A4D">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其他措施项目费</w:t>
            </w:r>
          </w:p>
        </w:tc>
        <w:tc>
          <w:tcPr>
            <w:tcW w:w="4477" w:type="dxa"/>
            <w:tcBorders>
              <w:top w:val="single" w:color="auto" w:sz="4" w:space="0"/>
              <w:left w:val="single" w:color="auto" w:sz="4" w:space="0"/>
              <w:bottom w:val="single" w:color="auto" w:sz="4" w:space="0"/>
              <w:right w:val="single" w:color="auto" w:sz="4" w:space="0"/>
            </w:tcBorders>
            <w:vAlign w:val="center"/>
          </w:tcPr>
          <w:p w14:paraId="7D48F08D">
            <w:pPr>
              <w:widowControl/>
              <w:adjustRightInd w:val="0"/>
              <w:snapToGrid w:val="0"/>
              <w:spacing w:line="276" w:lineRule="auto"/>
              <w:jc w:val="center"/>
              <w:rPr>
                <w:rFonts w:ascii="宋体" w:hAnsi="宋体" w:cs="宋体"/>
                <w:b/>
                <w:snapToGrid w:val="0"/>
                <w:color w:val="auto"/>
                <w:kern w:val="0"/>
                <w:sz w:val="18"/>
                <w:szCs w:val="18"/>
                <w:highlight w:val="none"/>
              </w:rPr>
            </w:pPr>
          </w:p>
        </w:tc>
      </w:tr>
      <w:tr w14:paraId="4C68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36BC486B">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67" w:type="dxa"/>
            <w:tcBorders>
              <w:top w:val="single" w:color="auto" w:sz="4" w:space="0"/>
              <w:left w:val="single" w:color="auto" w:sz="4" w:space="0"/>
              <w:bottom w:val="single" w:color="auto" w:sz="4" w:space="0"/>
              <w:right w:val="single" w:color="auto" w:sz="4" w:space="0"/>
            </w:tcBorders>
            <w:vAlign w:val="center"/>
          </w:tcPr>
          <w:p w14:paraId="51488D47">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1</w:t>
            </w:r>
          </w:p>
        </w:tc>
        <w:tc>
          <w:tcPr>
            <w:tcW w:w="3321" w:type="dxa"/>
            <w:tcBorders>
              <w:top w:val="single" w:color="auto" w:sz="4" w:space="0"/>
              <w:left w:val="single" w:color="auto" w:sz="4" w:space="0"/>
              <w:bottom w:val="single" w:color="auto" w:sz="4" w:space="0"/>
              <w:right w:val="single" w:color="auto" w:sz="4" w:space="0"/>
            </w:tcBorders>
            <w:vAlign w:val="center"/>
          </w:tcPr>
          <w:p w14:paraId="7871BF93">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混凝土及钢筋混凝土模板及支架费</w:t>
            </w:r>
          </w:p>
        </w:tc>
        <w:tc>
          <w:tcPr>
            <w:tcW w:w="4477" w:type="dxa"/>
            <w:tcBorders>
              <w:top w:val="single" w:color="auto" w:sz="4" w:space="0"/>
              <w:left w:val="single" w:color="auto" w:sz="4" w:space="0"/>
              <w:bottom w:val="single" w:color="auto" w:sz="4" w:space="0"/>
              <w:right w:val="single" w:color="auto" w:sz="4" w:space="0"/>
            </w:tcBorders>
            <w:vAlign w:val="center"/>
          </w:tcPr>
          <w:p w14:paraId="4D9DB0E7">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按分部分项工程量清单项目的支付方式。</w:t>
            </w:r>
          </w:p>
        </w:tc>
      </w:tr>
      <w:tr w14:paraId="4769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3478BF5E">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67" w:type="dxa"/>
            <w:tcBorders>
              <w:top w:val="single" w:color="auto" w:sz="4" w:space="0"/>
              <w:left w:val="single" w:color="auto" w:sz="4" w:space="0"/>
              <w:bottom w:val="single" w:color="auto" w:sz="4" w:space="0"/>
              <w:right w:val="single" w:color="auto" w:sz="4" w:space="0"/>
            </w:tcBorders>
            <w:vAlign w:val="center"/>
          </w:tcPr>
          <w:p w14:paraId="579144E9">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2</w:t>
            </w:r>
          </w:p>
        </w:tc>
        <w:tc>
          <w:tcPr>
            <w:tcW w:w="3321" w:type="dxa"/>
            <w:tcBorders>
              <w:top w:val="single" w:color="auto" w:sz="4" w:space="0"/>
              <w:left w:val="single" w:color="auto" w:sz="4" w:space="0"/>
              <w:bottom w:val="single" w:color="auto" w:sz="4" w:space="0"/>
              <w:right w:val="single" w:color="auto" w:sz="4" w:space="0"/>
            </w:tcBorders>
            <w:vAlign w:val="center"/>
          </w:tcPr>
          <w:p w14:paraId="19E3BF58">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脚手架搭拆及摊销费</w:t>
            </w:r>
          </w:p>
        </w:tc>
        <w:tc>
          <w:tcPr>
            <w:tcW w:w="4477" w:type="dxa"/>
            <w:tcBorders>
              <w:top w:val="single" w:color="auto" w:sz="4" w:space="0"/>
              <w:left w:val="single" w:color="auto" w:sz="4" w:space="0"/>
              <w:bottom w:val="single" w:color="auto" w:sz="4" w:space="0"/>
              <w:right w:val="single" w:color="auto" w:sz="4" w:space="0"/>
            </w:tcBorders>
            <w:vAlign w:val="center"/>
          </w:tcPr>
          <w:p w14:paraId="0FA5C694">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总价包干项目，按分部分项工程量清单项目的支付方式。</w:t>
            </w:r>
          </w:p>
        </w:tc>
      </w:tr>
      <w:tr w14:paraId="76CD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13898899">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67" w:type="dxa"/>
            <w:tcBorders>
              <w:top w:val="single" w:color="auto" w:sz="4" w:space="0"/>
              <w:left w:val="single" w:color="auto" w:sz="4" w:space="0"/>
              <w:bottom w:val="single" w:color="auto" w:sz="4" w:space="0"/>
              <w:right w:val="single" w:color="auto" w:sz="4" w:space="0"/>
            </w:tcBorders>
            <w:vAlign w:val="center"/>
          </w:tcPr>
          <w:p w14:paraId="18C25353">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3</w:t>
            </w:r>
          </w:p>
        </w:tc>
        <w:tc>
          <w:tcPr>
            <w:tcW w:w="3321" w:type="dxa"/>
            <w:tcBorders>
              <w:top w:val="single" w:color="auto" w:sz="4" w:space="0"/>
              <w:left w:val="single" w:color="auto" w:sz="4" w:space="0"/>
              <w:bottom w:val="single" w:color="auto" w:sz="4" w:space="0"/>
              <w:right w:val="single" w:color="auto" w:sz="4" w:space="0"/>
            </w:tcBorders>
            <w:vAlign w:val="center"/>
          </w:tcPr>
          <w:p w14:paraId="49B34515">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垂直运输费</w:t>
            </w:r>
          </w:p>
        </w:tc>
        <w:tc>
          <w:tcPr>
            <w:tcW w:w="4477" w:type="dxa"/>
            <w:tcBorders>
              <w:top w:val="single" w:color="auto" w:sz="4" w:space="0"/>
              <w:left w:val="single" w:color="auto" w:sz="4" w:space="0"/>
              <w:bottom w:val="single" w:color="auto" w:sz="4" w:space="0"/>
              <w:right w:val="single" w:color="auto" w:sz="4" w:space="0"/>
            </w:tcBorders>
            <w:vAlign w:val="center"/>
          </w:tcPr>
          <w:p w14:paraId="56B81108">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按分部分项工程量清单项目的支付方式。</w:t>
            </w:r>
          </w:p>
        </w:tc>
      </w:tr>
      <w:tr w14:paraId="6481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07D80CA9">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67" w:type="dxa"/>
            <w:tcBorders>
              <w:top w:val="single" w:color="auto" w:sz="4" w:space="0"/>
              <w:left w:val="single" w:color="auto" w:sz="4" w:space="0"/>
              <w:bottom w:val="single" w:color="auto" w:sz="4" w:space="0"/>
              <w:right w:val="single" w:color="auto" w:sz="4" w:space="0"/>
            </w:tcBorders>
            <w:vAlign w:val="center"/>
          </w:tcPr>
          <w:p w14:paraId="3C6C570B">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4</w:t>
            </w:r>
          </w:p>
        </w:tc>
        <w:tc>
          <w:tcPr>
            <w:tcW w:w="3321" w:type="dxa"/>
            <w:tcBorders>
              <w:top w:val="single" w:color="auto" w:sz="4" w:space="0"/>
              <w:left w:val="single" w:color="auto" w:sz="4" w:space="0"/>
              <w:bottom w:val="single" w:color="auto" w:sz="4" w:space="0"/>
              <w:right w:val="single" w:color="auto" w:sz="4" w:space="0"/>
            </w:tcBorders>
            <w:vAlign w:val="center"/>
          </w:tcPr>
          <w:p w14:paraId="216CFE34">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大型机械安拆及基础费用</w:t>
            </w:r>
          </w:p>
        </w:tc>
        <w:tc>
          <w:tcPr>
            <w:tcW w:w="4477" w:type="dxa"/>
            <w:tcBorders>
              <w:top w:val="single" w:color="auto" w:sz="4" w:space="0"/>
              <w:left w:val="single" w:color="auto" w:sz="4" w:space="0"/>
              <w:bottom w:val="single" w:color="auto" w:sz="4" w:space="0"/>
              <w:right w:val="single" w:color="auto" w:sz="4" w:space="0"/>
            </w:tcBorders>
            <w:vAlign w:val="center"/>
          </w:tcPr>
          <w:p w14:paraId="23022122">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总价包干项目，按施工期分月平均支付。</w:t>
            </w:r>
          </w:p>
        </w:tc>
      </w:tr>
      <w:tr w14:paraId="53B6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35227718">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67" w:type="dxa"/>
            <w:tcBorders>
              <w:top w:val="single" w:color="auto" w:sz="4" w:space="0"/>
              <w:left w:val="single" w:color="auto" w:sz="4" w:space="0"/>
              <w:bottom w:val="single" w:color="auto" w:sz="4" w:space="0"/>
              <w:right w:val="single" w:color="auto" w:sz="4" w:space="0"/>
            </w:tcBorders>
            <w:vAlign w:val="center"/>
          </w:tcPr>
          <w:p w14:paraId="27D1551B">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5</w:t>
            </w:r>
          </w:p>
        </w:tc>
        <w:tc>
          <w:tcPr>
            <w:tcW w:w="3321" w:type="dxa"/>
            <w:tcBorders>
              <w:top w:val="single" w:color="auto" w:sz="4" w:space="0"/>
              <w:left w:val="single" w:color="auto" w:sz="4" w:space="0"/>
              <w:bottom w:val="single" w:color="auto" w:sz="4" w:space="0"/>
              <w:right w:val="single" w:color="auto" w:sz="4" w:space="0"/>
            </w:tcBorders>
            <w:vAlign w:val="center"/>
          </w:tcPr>
          <w:p w14:paraId="5CE746A1">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建筑物超高增加人工、机具费</w:t>
            </w:r>
          </w:p>
        </w:tc>
        <w:tc>
          <w:tcPr>
            <w:tcW w:w="4477" w:type="dxa"/>
            <w:tcBorders>
              <w:top w:val="single" w:color="auto" w:sz="4" w:space="0"/>
              <w:left w:val="single" w:color="auto" w:sz="4" w:space="0"/>
              <w:bottom w:val="single" w:color="auto" w:sz="4" w:space="0"/>
              <w:right w:val="single" w:color="auto" w:sz="4" w:space="0"/>
            </w:tcBorders>
            <w:vAlign w:val="center"/>
          </w:tcPr>
          <w:p w14:paraId="04E6C18D">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总价包干项目，按施工期分月平均支付。</w:t>
            </w:r>
          </w:p>
        </w:tc>
      </w:tr>
      <w:tr w14:paraId="53C9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03E5E7B2">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67" w:type="dxa"/>
            <w:tcBorders>
              <w:top w:val="single" w:color="auto" w:sz="4" w:space="0"/>
              <w:left w:val="single" w:color="auto" w:sz="4" w:space="0"/>
              <w:bottom w:val="single" w:color="auto" w:sz="4" w:space="0"/>
              <w:right w:val="single" w:color="auto" w:sz="4" w:space="0"/>
            </w:tcBorders>
            <w:vAlign w:val="center"/>
          </w:tcPr>
          <w:p w14:paraId="76EF690C">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6</w:t>
            </w:r>
          </w:p>
        </w:tc>
        <w:tc>
          <w:tcPr>
            <w:tcW w:w="3321" w:type="dxa"/>
            <w:tcBorders>
              <w:top w:val="single" w:color="auto" w:sz="4" w:space="0"/>
              <w:left w:val="single" w:color="auto" w:sz="4" w:space="0"/>
              <w:bottom w:val="single" w:color="auto" w:sz="4" w:space="0"/>
              <w:right w:val="single" w:color="auto" w:sz="4" w:space="0"/>
            </w:tcBorders>
            <w:vAlign w:val="center"/>
          </w:tcPr>
          <w:p w14:paraId="560E4667">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施工排水、降水费用</w:t>
            </w:r>
          </w:p>
        </w:tc>
        <w:tc>
          <w:tcPr>
            <w:tcW w:w="4477" w:type="dxa"/>
            <w:tcBorders>
              <w:top w:val="single" w:color="auto" w:sz="4" w:space="0"/>
              <w:left w:val="single" w:color="auto" w:sz="4" w:space="0"/>
              <w:bottom w:val="single" w:color="auto" w:sz="4" w:space="0"/>
              <w:right w:val="single" w:color="auto" w:sz="4" w:space="0"/>
            </w:tcBorders>
            <w:vAlign w:val="center"/>
          </w:tcPr>
          <w:p w14:paraId="3043693A">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总价包干项目，按施工期分月平均支付。</w:t>
            </w:r>
          </w:p>
        </w:tc>
      </w:tr>
      <w:tr w14:paraId="6498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5BDB27CF">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67" w:type="dxa"/>
            <w:tcBorders>
              <w:top w:val="single" w:color="auto" w:sz="4" w:space="0"/>
              <w:left w:val="single" w:color="auto" w:sz="4" w:space="0"/>
              <w:bottom w:val="single" w:color="auto" w:sz="4" w:space="0"/>
              <w:right w:val="single" w:color="auto" w:sz="4" w:space="0"/>
            </w:tcBorders>
            <w:vAlign w:val="center"/>
          </w:tcPr>
          <w:p w14:paraId="4BD25DE7">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7</w:t>
            </w:r>
          </w:p>
        </w:tc>
        <w:tc>
          <w:tcPr>
            <w:tcW w:w="3321" w:type="dxa"/>
            <w:tcBorders>
              <w:top w:val="single" w:color="auto" w:sz="4" w:space="0"/>
              <w:left w:val="single" w:color="auto" w:sz="4" w:space="0"/>
              <w:bottom w:val="single" w:color="auto" w:sz="4" w:space="0"/>
              <w:right w:val="single" w:color="auto" w:sz="4" w:space="0"/>
            </w:tcBorders>
            <w:vAlign w:val="center"/>
          </w:tcPr>
          <w:p w14:paraId="1A8A52B6">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为配合第三方检测所发生的费用</w:t>
            </w:r>
          </w:p>
        </w:tc>
        <w:tc>
          <w:tcPr>
            <w:tcW w:w="4477" w:type="dxa"/>
            <w:tcBorders>
              <w:top w:val="single" w:color="auto" w:sz="4" w:space="0"/>
              <w:left w:val="single" w:color="auto" w:sz="4" w:space="0"/>
              <w:bottom w:val="single" w:color="auto" w:sz="4" w:space="0"/>
              <w:right w:val="single" w:color="auto" w:sz="4" w:space="0"/>
            </w:tcBorders>
            <w:vAlign w:val="center"/>
          </w:tcPr>
          <w:p w14:paraId="01F896C6">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总价包干项目，按施工期分月平均支付。</w:t>
            </w:r>
          </w:p>
        </w:tc>
      </w:tr>
      <w:tr w14:paraId="237C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7779F347">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67" w:type="dxa"/>
            <w:tcBorders>
              <w:top w:val="single" w:color="auto" w:sz="4" w:space="0"/>
              <w:left w:val="single" w:color="auto" w:sz="4" w:space="0"/>
              <w:bottom w:val="single" w:color="auto" w:sz="4" w:space="0"/>
              <w:right w:val="single" w:color="auto" w:sz="4" w:space="0"/>
            </w:tcBorders>
            <w:vAlign w:val="center"/>
          </w:tcPr>
          <w:p w14:paraId="5763A27E">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8</w:t>
            </w:r>
          </w:p>
        </w:tc>
        <w:tc>
          <w:tcPr>
            <w:tcW w:w="3321" w:type="dxa"/>
            <w:tcBorders>
              <w:top w:val="single" w:color="auto" w:sz="4" w:space="0"/>
              <w:left w:val="single" w:color="auto" w:sz="4" w:space="0"/>
              <w:bottom w:val="single" w:color="auto" w:sz="4" w:space="0"/>
              <w:right w:val="single" w:color="auto" w:sz="4" w:space="0"/>
            </w:tcBorders>
            <w:vAlign w:val="center"/>
          </w:tcPr>
          <w:p w14:paraId="67E6BECB">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系统联合调试费</w:t>
            </w:r>
          </w:p>
        </w:tc>
        <w:tc>
          <w:tcPr>
            <w:tcW w:w="4477" w:type="dxa"/>
            <w:tcBorders>
              <w:top w:val="single" w:color="auto" w:sz="4" w:space="0"/>
              <w:left w:val="single" w:color="auto" w:sz="4" w:space="0"/>
              <w:bottom w:val="single" w:color="auto" w:sz="4" w:space="0"/>
              <w:right w:val="single" w:color="auto" w:sz="4" w:space="0"/>
            </w:tcBorders>
            <w:vAlign w:val="center"/>
          </w:tcPr>
          <w:p w14:paraId="3C519875">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总价包干项目，系统联合调试完成后支付。</w:t>
            </w:r>
          </w:p>
        </w:tc>
      </w:tr>
      <w:tr w14:paraId="6F7C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5C57CBAC">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67" w:type="dxa"/>
            <w:tcBorders>
              <w:top w:val="single" w:color="auto" w:sz="4" w:space="0"/>
              <w:left w:val="single" w:color="auto" w:sz="4" w:space="0"/>
              <w:bottom w:val="single" w:color="auto" w:sz="4" w:space="0"/>
              <w:right w:val="single" w:color="auto" w:sz="4" w:space="0"/>
            </w:tcBorders>
            <w:vAlign w:val="center"/>
          </w:tcPr>
          <w:p w14:paraId="049F04E6">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9</w:t>
            </w:r>
          </w:p>
        </w:tc>
        <w:tc>
          <w:tcPr>
            <w:tcW w:w="3321" w:type="dxa"/>
            <w:tcBorders>
              <w:top w:val="single" w:color="auto" w:sz="4" w:space="0"/>
              <w:left w:val="single" w:color="auto" w:sz="4" w:space="0"/>
              <w:bottom w:val="single" w:color="auto" w:sz="4" w:space="0"/>
              <w:right w:val="single" w:color="auto" w:sz="4" w:space="0"/>
            </w:tcBorders>
            <w:vAlign w:val="center"/>
          </w:tcPr>
          <w:p w14:paraId="5AA4C940">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地下室基坑支护费用</w:t>
            </w:r>
          </w:p>
        </w:tc>
        <w:tc>
          <w:tcPr>
            <w:tcW w:w="4477" w:type="dxa"/>
            <w:tcBorders>
              <w:top w:val="single" w:color="auto" w:sz="4" w:space="0"/>
              <w:left w:val="single" w:color="auto" w:sz="4" w:space="0"/>
              <w:bottom w:val="single" w:color="auto" w:sz="4" w:space="0"/>
              <w:right w:val="single" w:color="auto" w:sz="4" w:space="0"/>
            </w:tcBorders>
            <w:vAlign w:val="center"/>
          </w:tcPr>
          <w:p w14:paraId="1DC6D7F5">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结算时，若①∑（竣工结算分项工程量－招标基坑支护图纸的分项工程量）×投标单价（换算或新增单价）≥0，则此项费用不作调整，合价包干；若②∑（竣工结算分项工程量－招标基坑支护图纸的分项工程量）×投标单价（换算或新增单价）＜0，则扣减减少部分的费用。按分部分项工程量清单项目的支付方式。</w:t>
            </w:r>
          </w:p>
        </w:tc>
      </w:tr>
      <w:tr w14:paraId="0018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44E08F84">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67" w:type="dxa"/>
            <w:tcBorders>
              <w:top w:val="single" w:color="auto" w:sz="4" w:space="0"/>
              <w:left w:val="single" w:color="auto" w:sz="4" w:space="0"/>
              <w:bottom w:val="single" w:color="auto" w:sz="4" w:space="0"/>
              <w:right w:val="single" w:color="auto" w:sz="4" w:space="0"/>
            </w:tcBorders>
            <w:vAlign w:val="center"/>
          </w:tcPr>
          <w:p w14:paraId="4D2738BD">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10</w:t>
            </w:r>
          </w:p>
        </w:tc>
        <w:tc>
          <w:tcPr>
            <w:tcW w:w="3321" w:type="dxa"/>
            <w:tcBorders>
              <w:top w:val="single" w:color="auto" w:sz="4" w:space="0"/>
              <w:left w:val="single" w:color="auto" w:sz="4" w:space="0"/>
              <w:bottom w:val="single" w:color="auto" w:sz="4" w:space="0"/>
              <w:right w:val="single" w:color="auto" w:sz="4" w:space="0"/>
            </w:tcBorders>
            <w:vAlign w:val="center"/>
          </w:tcPr>
          <w:p w14:paraId="092A4F77">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地下管线保护费用</w:t>
            </w:r>
          </w:p>
        </w:tc>
        <w:tc>
          <w:tcPr>
            <w:tcW w:w="4477" w:type="dxa"/>
            <w:tcBorders>
              <w:top w:val="single" w:color="auto" w:sz="4" w:space="0"/>
              <w:left w:val="single" w:color="auto" w:sz="4" w:space="0"/>
              <w:bottom w:val="single" w:color="auto" w:sz="4" w:space="0"/>
              <w:right w:val="single" w:color="auto" w:sz="4" w:space="0"/>
            </w:tcBorders>
            <w:vAlign w:val="center"/>
          </w:tcPr>
          <w:p w14:paraId="122A52E9">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总价包干项目，按施工期分月平均支付。</w:t>
            </w:r>
          </w:p>
        </w:tc>
      </w:tr>
      <w:tr w14:paraId="27E0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34046939">
            <w:pPr>
              <w:adjustRightInd w:val="0"/>
              <w:snapToGrid w:val="0"/>
              <w:spacing w:line="276" w:lineRule="auto"/>
              <w:jc w:val="center"/>
              <w:rPr>
                <w:rFonts w:ascii="宋体" w:hAnsi="宋体"/>
                <w:bCs/>
                <w:snapToGrid w:val="0"/>
                <w:color w:val="auto"/>
                <w:kern w:val="0"/>
                <w:sz w:val="18"/>
                <w:szCs w:val="18"/>
                <w:highlight w:val="none"/>
                <w:bdr w:val="single" w:color="auto" w:sz="4" w:space="0"/>
                <w:shd w:val="clear" w:color="auto" w:fill="FFFF00"/>
              </w:rPr>
            </w:pPr>
            <w:r>
              <w:rPr>
                <w:rFonts w:hint="eastAsia" w:ascii="宋体" w:hAnsi="宋体"/>
                <w:bCs/>
                <w:snapToGrid w:val="0"/>
                <w:color w:val="auto"/>
                <w:kern w:val="0"/>
                <w:sz w:val="18"/>
                <w:szCs w:val="18"/>
                <w:highlight w:val="none"/>
                <w:bdr w:val="single" w:color="auto" w:sz="4" w:space="0"/>
              </w:rPr>
              <w:t>×</w:t>
            </w:r>
          </w:p>
        </w:tc>
        <w:tc>
          <w:tcPr>
            <w:tcW w:w="567" w:type="dxa"/>
            <w:tcBorders>
              <w:top w:val="single" w:color="auto" w:sz="4" w:space="0"/>
              <w:left w:val="single" w:color="auto" w:sz="4" w:space="0"/>
              <w:bottom w:val="single" w:color="auto" w:sz="4" w:space="0"/>
              <w:right w:val="single" w:color="auto" w:sz="4" w:space="0"/>
            </w:tcBorders>
            <w:vAlign w:val="center"/>
          </w:tcPr>
          <w:p w14:paraId="409B5876">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11</w:t>
            </w:r>
          </w:p>
        </w:tc>
        <w:tc>
          <w:tcPr>
            <w:tcW w:w="3321" w:type="dxa"/>
            <w:tcBorders>
              <w:top w:val="single" w:color="auto" w:sz="4" w:space="0"/>
              <w:left w:val="single" w:color="auto" w:sz="4" w:space="0"/>
              <w:bottom w:val="single" w:color="auto" w:sz="4" w:space="0"/>
              <w:right w:val="single" w:color="auto" w:sz="4" w:space="0"/>
            </w:tcBorders>
            <w:vAlign w:val="center"/>
          </w:tcPr>
          <w:p w14:paraId="6F85407F">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拆除现有构筑物（含现有道路、地下障碍物）费用</w:t>
            </w:r>
          </w:p>
        </w:tc>
        <w:tc>
          <w:tcPr>
            <w:tcW w:w="4477" w:type="dxa"/>
            <w:tcBorders>
              <w:top w:val="single" w:color="auto" w:sz="4" w:space="0"/>
              <w:left w:val="single" w:color="auto" w:sz="4" w:space="0"/>
              <w:bottom w:val="single" w:color="auto" w:sz="4" w:space="0"/>
              <w:right w:val="single" w:color="auto" w:sz="4" w:space="0"/>
            </w:tcBorders>
            <w:vAlign w:val="center"/>
          </w:tcPr>
          <w:p w14:paraId="70CC6EF0">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总价包干项目，拆除现有构筑物（含现有道路、地下障碍物）完成后支付。</w:t>
            </w:r>
          </w:p>
        </w:tc>
      </w:tr>
      <w:tr w14:paraId="738E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138910DA">
            <w:pPr>
              <w:adjustRightInd w:val="0"/>
              <w:snapToGrid w:val="0"/>
              <w:spacing w:line="276" w:lineRule="auto"/>
              <w:jc w:val="center"/>
              <w:rPr>
                <w:rFonts w:ascii="宋体" w:hAnsi="宋体"/>
                <w:bCs/>
                <w:snapToGrid w:val="0"/>
                <w:color w:val="auto"/>
                <w:kern w:val="0"/>
                <w:sz w:val="18"/>
                <w:szCs w:val="18"/>
                <w:highlight w:val="none"/>
                <w:bdr w:val="single" w:color="auto" w:sz="4" w:space="0"/>
                <w:shd w:val="clear" w:color="auto" w:fill="FFFF00"/>
              </w:rPr>
            </w:pPr>
            <w:r>
              <w:rPr>
                <w:rFonts w:hint="eastAsia" w:ascii="宋体" w:hAnsi="宋体"/>
                <w:bCs/>
                <w:snapToGrid w:val="0"/>
                <w:color w:val="auto"/>
                <w:kern w:val="0"/>
                <w:sz w:val="18"/>
                <w:szCs w:val="18"/>
                <w:highlight w:val="none"/>
                <w:bdr w:val="single" w:color="auto" w:sz="4" w:space="0"/>
              </w:rPr>
              <w:t>×</w:t>
            </w:r>
          </w:p>
        </w:tc>
        <w:tc>
          <w:tcPr>
            <w:tcW w:w="567" w:type="dxa"/>
            <w:tcBorders>
              <w:top w:val="single" w:color="auto" w:sz="4" w:space="0"/>
              <w:left w:val="single" w:color="auto" w:sz="4" w:space="0"/>
              <w:bottom w:val="single" w:color="auto" w:sz="4" w:space="0"/>
              <w:right w:val="single" w:color="auto" w:sz="4" w:space="0"/>
            </w:tcBorders>
            <w:vAlign w:val="center"/>
          </w:tcPr>
          <w:p w14:paraId="5460E3B0">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12</w:t>
            </w:r>
          </w:p>
        </w:tc>
        <w:tc>
          <w:tcPr>
            <w:tcW w:w="3321" w:type="dxa"/>
            <w:tcBorders>
              <w:top w:val="single" w:color="auto" w:sz="4" w:space="0"/>
              <w:left w:val="single" w:color="auto" w:sz="4" w:space="0"/>
              <w:bottom w:val="single" w:color="auto" w:sz="4" w:space="0"/>
              <w:right w:val="single" w:color="auto" w:sz="4" w:space="0"/>
            </w:tcBorders>
            <w:vAlign w:val="center"/>
          </w:tcPr>
          <w:p w14:paraId="31747D1A">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技术方案论证和调研费、工程监造费</w:t>
            </w:r>
          </w:p>
        </w:tc>
        <w:tc>
          <w:tcPr>
            <w:tcW w:w="4477" w:type="dxa"/>
            <w:tcBorders>
              <w:top w:val="single" w:color="auto" w:sz="4" w:space="0"/>
              <w:left w:val="single" w:color="auto" w:sz="4" w:space="0"/>
              <w:bottom w:val="single" w:color="auto" w:sz="4" w:space="0"/>
              <w:right w:val="single" w:color="auto" w:sz="4" w:space="0"/>
            </w:tcBorders>
            <w:vAlign w:val="center"/>
          </w:tcPr>
          <w:p w14:paraId="688D841C">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总价包干项目，以该项费用的合同合价为上限，按实际发生支付。</w:t>
            </w:r>
          </w:p>
        </w:tc>
      </w:tr>
      <w:tr w14:paraId="5E51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2B8D1BF0">
            <w:pPr>
              <w:adjustRightInd w:val="0"/>
              <w:snapToGrid w:val="0"/>
              <w:spacing w:line="276" w:lineRule="auto"/>
              <w:jc w:val="center"/>
              <w:rPr>
                <w:rFonts w:ascii="宋体" w:hAnsi="宋体"/>
                <w:bCs/>
                <w:snapToGrid w:val="0"/>
                <w:color w:val="auto"/>
                <w:kern w:val="0"/>
                <w:sz w:val="18"/>
                <w:szCs w:val="18"/>
                <w:highlight w:val="none"/>
                <w:bdr w:val="single" w:color="auto" w:sz="4" w:space="0"/>
                <w:shd w:val="clear" w:color="auto" w:fill="FFFF00"/>
              </w:rPr>
            </w:pPr>
            <w:r>
              <w:rPr>
                <w:rFonts w:hint="eastAsia" w:ascii="宋体" w:hAnsi="宋体"/>
                <w:bCs/>
                <w:snapToGrid w:val="0"/>
                <w:color w:val="auto"/>
                <w:kern w:val="0"/>
                <w:sz w:val="18"/>
                <w:szCs w:val="18"/>
                <w:highlight w:val="none"/>
                <w:bdr w:val="single" w:color="auto" w:sz="4" w:space="0"/>
              </w:rPr>
              <w:t>×</w:t>
            </w:r>
          </w:p>
        </w:tc>
        <w:tc>
          <w:tcPr>
            <w:tcW w:w="567" w:type="dxa"/>
            <w:tcBorders>
              <w:top w:val="single" w:color="auto" w:sz="4" w:space="0"/>
              <w:left w:val="single" w:color="auto" w:sz="4" w:space="0"/>
              <w:bottom w:val="single" w:color="auto" w:sz="4" w:space="0"/>
              <w:right w:val="single" w:color="auto" w:sz="4" w:space="0"/>
            </w:tcBorders>
            <w:vAlign w:val="center"/>
          </w:tcPr>
          <w:p w14:paraId="5BD5022A">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13</w:t>
            </w:r>
          </w:p>
        </w:tc>
        <w:tc>
          <w:tcPr>
            <w:tcW w:w="3321" w:type="dxa"/>
            <w:tcBorders>
              <w:top w:val="single" w:color="auto" w:sz="4" w:space="0"/>
              <w:left w:val="single" w:color="auto" w:sz="4" w:space="0"/>
              <w:bottom w:val="single" w:color="auto" w:sz="4" w:space="0"/>
              <w:right w:val="single" w:color="auto" w:sz="4" w:space="0"/>
            </w:tcBorders>
            <w:vAlign w:val="center"/>
          </w:tcPr>
          <w:p w14:paraId="67B2F0C4">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钢结构临时加固、现场拼装费用</w:t>
            </w:r>
          </w:p>
        </w:tc>
        <w:tc>
          <w:tcPr>
            <w:tcW w:w="4477" w:type="dxa"/>
            <w:tcBorders>
              <w:top w:val="single" w:color="auto" w:sz="4" w:space="0"/>
              <w:left w:val="single" w:color="auto" w:sz="4" w:space="0"/>
              <w:bottom w:val="single" w:color="auto" w:sz="4" w:space="0"/>
              <w:right w:val="single" w:color="auto" w:sz="4" w:space="0"/>
            </w:tcBorders>
            <w:vAlign w:val="center"/>
          </w:tcPr>
          <w:p w14:paraId="1252A6A7">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总价包干项目，按施工期分月平均支付。</w:t>
            </w:r>
          </w:p>
        </w:tc>
      </w:tr>
      <w:tr w14:paraId="731A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30FE4BCC">
            <w:pPr>
              <w:adjustRightInd w:val="0"/>
              <w:snapToGrid w:val="0"/>
              <w:spacing w:line="276" w:lineRule="auto"/>
              <w:jc w:val="center"/>
              <w:rPr>
                <w:rFonts w:ascii="宋体" w:hAnsi="宋体"/>
                <w:bCs/>
                <w:snapToGrid w:val="0"/>
                <w:color w:val="auto"/>
                <w:kern w:val="0"/>
                <w:sz w:val="18"/>
                <w:szCs w:val="18"/>
                <w:highlight w:val="none"/>
                <w:bdr w:val="single" w:color="auto" w:sz="4" w:space="0"/>
                <w:shd w:val="clear" w:color="auto" w:fill="FFFF00"/>
              </w:rPr>
            </w:pPr>
            <w:r>
              <w:rPr>
                <w:rFonts w:hint="eastAsia" w:ascii="宋体" w:hAnsi="宋体"/>
                <w:bCs/>
                <w:snapToGrid w:val="0"/>
                <w:color w:val="auto"/>
                <w:kern w:val="0"/>
                <w:sz w:val="18"/>
                <w:szCs w:val="18"/>
                <w:highlight w:val="none"/>
                <w:bdr w:val="single" w:color="auto" w:sz="4" w:space="0"/>
              </w:rPr>
              <w:t>×</w:t>
            </w:r>
          </w:p>
        </w:tc>
        <w:tc>
          <w:tcPr>
            <w:tcW w:w="567" w:type="dxa"/>
            <w:tcBorders>
              <w:top w:val="single" w:color="auto" w:sz="4" w:space="0"/>
              <w:left w:val="single" w:color="auto" w:sz="4" w:space="0"/>
              <w:bottom w:val="single" w:color="auto" w:sz="4" w:space="0"/>
              <w:right w:val="single" w:color="auto" w:sz="4" w:space="0"/>
            </w:tcBorders>
            <w:vAlign w:val="center"/>
          </w:tcPr>
          <w:p w14:paraId="6F5073EB">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14</w:t>
            </w:r>
          </w:p>
        </w:tc>
        <w:tc>
          <w:tcPr>
            <w:tcW w:w="3321" w:type="dxa"/>
            <w:tcBorders>
              <w:top w:val="single" w:color="auto" w:sz="4" w:space="0"/>
              <w:left w:val="single" w:color="auto" w:sz="4" w:space="0"/>
              <w:bottom w:val="single" w:color="auto" w:sz="4" w:space="0"/>
              <w:right w:val="single" w:color="auto" w:sz="4" w:space="0"/>
            </w:tcBorders>
            <w:vAlign w:val="center"/>
          </w:tcPr>
          <w:p w14:paraId="198F9203">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玻璃幕墙实物模型费</w:t>
            </w:r>
          </w:p>
        </w:tc>
        <w:tc>
          <w:tcPr>
            <w:tcW w:w="4477" w:type="dxa"/>
            <w:tcBorders>
              <w:top w:val="single" w:color="auto" w:sz="4" w:space="0"/>
              <w:left w:val="single" w:color="auto" w:sz="4" w:space="0"/>
              <w:bottom w:val="single" w:color="auto" w:sz="4" w:space="0"/>
              <w:right w:val="single" w:color="auto" w:sz="4" w:space="0"/>
            </w:tcBorders>
            <w:vAlign w:val="center"/>
          </w:tcPr>
          <w:p w14:paraId="4AB25FD7">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总价包干项目，玻璃幕墙实物模型完成，经验收合格后支付。</w:t>
            </w:r>
          </w:p>
        </w:tc>
      </w:tr>
      <w:tr w14:paraId="0FCC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0845FC84">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67" w:type="dxa"/>
            <w:tcBorders>
              <w:top w:val="single" w:color="auto" w:sz="4" w:space="0"/>
              <w:left w:val="single" w:color="auto" w:sz="4" w:space="0"/>
              <w:bottom w:val="single" w:color="auto" w:sz="4" w:space="0"/>
              <w:right w:val="single" w:color="auto" w:sz="4" w:space="0"/>
            </w:tcBorders>
            <w:vAlign w:val="center"/>
          </w:tcPr>
          <w:p w14:paraId="0EF27C1D">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15</w:t>
            </w:r>
          </w:p>
        </w:tc>
        <w:tc>
          <w:tcPr>
            <w:tcW w:w="3321" w:type="dxa"/>
            <w:tcBorders>
              <w:top w:val="single" w:color="auto" w:sz="4" w:space="0"/>
              <w:left w:val="single" w:color="auto" w:sz="4" w:space="0"/>
              <w:bottom w:val="single" w:color="auto" w:sz="4" w:space="0"/>
              <w:right w:val="single" w:color="auto" w:sz="4" w:space="0"/>
            </w:tcBorders>
            <w:vAlign w:val="center"/>
          </w:tcPr>
          <w:p w14:paraId="2BC2F268">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维持智能化系统正常运行所需的备品备件、专用工具和测量仪表费用</w:t>
            </w:r>
          </w:p>
        </w:tc>
        <w:tc>
          <w:tcPr>
            <w:tcW w:w="4477" w:type="dxa"/>
            <w:tcBorders>
              <w:top w:val="single" w:color="auto" w:sz="4" w:space="0"/>
              <w:left w:val="single" w:color="auto" w:sz="4" w:space="0"/>
              <w:bottom w:val="single" w:color="auto" w:sz="4" w:space="0"/>
              <w:right w:val="single" w:color="auto" w:sz="4" w:space="0"/>
            </w:tcBorders>
            <w:vAlign w:val="center"/>
          </w:tcPr>
          <w:p w14:paraId="42774F5B">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维持系统正常运行两年所需的备品备件、专用工具清单和测量仪表费用在所有相关备品备件、专用工具清单和测量仪表经点验并移交给发包人或其继承人后一次性支付。</w:t>
            </w:r>
          </w:p>
        </w:tc>
      </w:tr>
      <w:tr w14:paraId="58EA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32936084">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67" w:type="dxa"/>
            <w:tcBorders>
              <w:top w:val="single" w:color="auto" w:sz="4" w:space="0"/>
              <w:left w:val="single" w:color="auto" w:sz="4" w:space="0"/>
              <w:bottom w:val="single" w:color="auto" w:sz="4" w:space="0"/>
              <w:right w:val="single" w:color="auto" w:sz="4" w:space="0"/>
            </w:tcBorders>
            <w:vAlign w:val="center"/>
          </w:tcPr>
          <w:p w14:paraId="0800A766">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16</w:t>
            </w:r>
          </w:p>
        </w:tc>
        <w:tc>
          <w:tcPr>
            <w:tcW w:w="3321" w:type="dxa"/>
            <w:tcBorders>
              <w:top w:val="single" w:color="auto" w:sz="4" w:space="0"/>
              <w:left w:val="single" w:color="auto" w:sz="4" w:space="0"/>
              <w:bottom w:val="single" w:color="auto" w:sz="4" w:space="0"/>
              <w:right w:val="single" w:color="auto" w:sz="4" w:space="0"/>
            </w:tcBorders>
            <w:vAlign w:val="center"/>
          </w:tcPr>
          <w:p w14:paraId="2D455ACE">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用户培训费</w:t>
            </w:r>
          </w:p>
        </w:tc>
        <w:tc>
          <w:tcPr>
            <w:tcW w:w="4477" w:type="dxa"/>
            <w:tcBorders>
              <w:top w:val="single" w:color="auto" w:sz="4" w:space="0"/>
              <w:left w:val="single" w:color="auto" w:sz="4" w:space="0"/>
              <w:bottom w:val="single" w:color="auto" w:sz="4" w:space="0"/>
              <w:right w:val="single" w:color="auto" w:sz="4" w:space="0"/>
            </w:tcBorders>
            <w:vAlign w:val="center"/>
          </w:tcPr>
          <w:p w14:paraId="5C87A3FB">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该费用需经发包人确认后支付，如不发生则不给予支付。</w:t>
            </w:r>
          </w:p>
        </w:tc>
      </w:tr>
      <w:tr w14:paraId="7EA9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14:paraId="4A0FED78">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67" w:type="dxa"/>
            <w:tcBorders>
              <w:top w:val="single" w:color="auto" w:sz="4" w:space="0"/>
              <w:left w:val="single" w:color="auto" w:sz="4" w:space="0"/>
              <w:bottom w:val="single" w:color="auto" w:sz="4" w:space="0"/>
              <w:right w:val="single" w:color="auto" w:sz="4" w:space="0"/>
            </w:tcBorders>
            <w:vAlign w:val="center"/>
          </w:tcPr>
          <w:p w14:paraId="40658FF3">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17</w:t>
            </w:r>
          </w:p>
        </w:tc>
        <w:tc>
          <w:tcPr>
            <w:tcW w:w="3321" w:type="dxa"/>
            <w:tcBorders>
              <w:top w:val="single" w:color="auto" w:sz="4" w:space="0"/>
              <w:left w:val="single" w:color="auto" w:sz="4" w:space="0"/>
              <w:bottom w:val="single" w:color="auto" w:sz="4" w:space="0"/>
              <w:right w:val="single" w:color="auto" w:sz="4" w:space="0"/>
            </w:tcBorders>
            <w:vAlign w:val="center"/>
          </w:tcPr>
          <w:p w14:paraId="027D91A6">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其他措施费</w:t>
            </w:r>
          </w:p>
        </w:tc>
        <w:tc>
          <w:tcPr>
            <w:tcW w:w="4477" w:type="dxa"/>
            <w:tcBorders>
              <w:top w:val="single" w:color="auto" w:sz="4" w:space="0"/>
              <w:left w:val="single" w:color="auto" w:sz="4" w:space="0"/>
              <w:bottom w:val="single" w:color="auto" w:sz="4" w:space="0"/>
              <w:right w:val="single" w:color="auto" w:sz="4" w:space="0"/>
            </w:tcBorders>
            <w:vAlign w:val="center"/>
          </w:tcPr>
          <w:p w14:paraId="4F5017C8">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总价包干项目，按施工期分月平均支付。</w:t>
            </w:r>
          </w:p>
        </w:tc>
      </w:tr>
    </w:tbl>
    <w:p w14:paraId="7DED078B">
      <w:pPr>
        <w:pStyle w:val="43"/>
        <w:adjustRightInd w:val="0"/>
        <w:snapToGrid w:val="0"/>
        <w:spacing w:before="0" w:beforeAutospacing="0" w:after="0" w:afterAutospacing="0" w:line="360" w:lineRule="auto"/>
        <w:ind w:firstLine="480" w:firstLineChars="200"/>
        <w:rPr>
          <w:rFonts w:cs="宋体"/>
          <w:bCs/>
          <w:snapToGrid w:val="0"/>
          <w:color w:val="auto"/>
          <w:highlight w:val="none"/>
          <w:lang w:val="zh-CN"/>
        </w:rPr>
      </w:pPr>
      <w:r>
        <w:rPr>
          <w:rFonts w:cs="宋体"/>
          <w:bCs/>
          <w:snapToGrid w:val="0"/>
          <w:color w:val="auto"/>
          <w:highlight w:val="none"/>
          <w:lang w:val="zh-CN"/>
        </w:rPr>
        <w:t>2）其他项目费的支付</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76"/>
        <w:gridCol w:w="3051"/>
        <w:gridCol w:w="4878"/>
      </w:tblGrid>
      <w:tr w14:paraId="3CDE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D1C3A33">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选项</w:t>
            </w:r>
          </w:p>
        </w:tc>
        <w:tc>
          <w:tcPr>
            <w:tcW w:w="576" w:type="dxa"/>
            <w:tcBorders>
              <w:top w:val="single" w:color="auto" w:sz="4" w:space="0"/>
              <w:left w:val="single" w:color="auto" w:sz="4" w:space="0"/>
              <w:bottom w:val="single" w:color="auto" w:sz="4" w:space="0"/>
              <w:right w:val="single" w:color="auto" w:sz="4" w:space="0"/>
            </w:tcBorders>
            <w:vAlign w:val="center"/>
          </w:tcPr>
          <w:p w14:paraId="4231339E">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序号</w:t>
            </w:r>
          </w:p>
        </w:tc>
        <w:tc>
          <w:tcPr>
            <w:tcW w:w="3051" w:type="dxa"/>
            <w:tcBorders>
              <w:top w:val="single" w:color="auto" w:sz="4" w:space="0"/>
              <w:left w:val="single" w:color="auto" w:sz="4" w:space="0"/>
              <w:bottom w:val="single" w:color="auto" w:sz="4" w:space="0"/>
              <w:right w:val="single" w:color="auto" w:sz="4" w:space="0"/>
            </w:tcBorders>
            <w:vAlign w:val="center"/>
          </w:tcPr>
          <w:p w14:paraId="56C92DF6">
            <w:pPr>
              <w:widowControl/>
              <w:adjustRightInd w:val="0"/>
              <w:snapToGrid w:val="0"/>
              <w:spacing w:line="276" w:lineRule="auto"/>
              <w:ind w:left="-143" w:leftChars="-68" w:right="-107" w:rightChars="-51"/>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项目名称</w:t>
            </w:r>
          </w:p>
        </w:tc>
        <w:tc>
          <w:tcPr>
            <w:tcW w:w="4878" w:type="dxa"/>
            <w:tcBorders>
              <w:top w:val="single" w:color="auto" w:sz="4" w:space="0"/>
              <w:left w:val="single" w:color="auto" w:sz="4" w:space="0"/>
              <w:bottom w:val="single" w:color="auto" w:sz="4" w:space="0"/>
              <w:right w:val="single" w:color="auto" w:sz="4" w:space="0"/>
            </w:tcBorders>
            <w:vAlign w:val="center"/>
          </w:tcPr>
          <w:p w14:paraId="446C7C17">
            <w:pPr>
              <w:widowControl/>
              <w:adjustRightInd w:val="0"/>
              <w:snapToGrid w:val="0"/>
              <w:spacing w:line="276" w:lineRule="auto"/>
              <w:ind w:left="-143" w:leftChars="-68" w:right="-107" w:rightChars="-51"/>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计量方式</w:t>
            </w:r>
          </w:p>
        </w:tc>
      </w:tr>
      <w:tr w14:paraId="266D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081C154E">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76" w:type="dxa"/>
            <w:tcBorders>
              <w:top w:val="single" w:color="auto" w:sz="4" w:space="0"/>
              <w:left w:val="single" w:color="auto" w:sz="4" w:space="0"/>
              <w:bottom w:val="single" w:color="auto" w:sz="4" w:space="0"/>
              <w:right w:val="single" w:color="auto" w:sz="4" w:space="0"/>
            </w:tcBorders>
            <w:vAlign w:val="center"/>
          </w:tcPr>
          <w:p w14:paraId="41EBD154">
            <w:pPr>
              <w:widowControl/>
              <w:adjustRightInd w:val="0"/>
              <w:snapToGrid w:val="0"/>
              <w:spacing w:line="276" w:lineRule="auto"/>
              <w:jc w:val="center"/>
              <w:rPr>
                <w:rFonts w:ascii="宋体" w:hAnsi="宋体" w:cs="宋体"/>
                <w:b/>
                <w:snapToGrid w:val="0"/>
                <w:color w:val="auto"/>
                <w:kern w:val="0"/>
                <w:sz w:val="18"/>
                <w:szCs w:val="18"/>
                <w:highlight w:val="none"/>
              </w:rPr>
            </w:pPr>
            <w:r>
              <w:rPr>
                <w:rFonts w:ascii="宋体" w:hAnsi="宋体" w:cs="宋体"/>
                <w:b/>
                <w:snapToGrid w:val="0"/>
                <w:color w:val="auto"/>
                <w:kern w:val="0"/>
                <w:sz w:val="18"/>
                <w:szCs w:val="18"/>
                <w:highlight w:val="none"/>
              </w:rPr>
              <w:t>1</w:t>
            </w:r>
          </w:p>
        </w:tc>
        <w:tc>
          <w:tcPr>
            <w:tcW w:w="3051" w:type="dxa"/>
            <w:tcBorders>
              <w:top w:val="single" w:color="auto" w:sz="4" w:space="0"/>
              <w:left w:val="single" w:color="auto" w:sz="4" w:space="0"/>
              <w:bottom w:val="single" w:color="auto" w:sz="4" w:space="0"/>
              <w:right w:val="single" w:color="auto" w:sz="4" w:space="0"/>
            </w:tcBorders>
            <w:vAlign w:val="center"/>
          </w:tcPr>
          <w:p w14:paraId="5007E25A">
            <w:pPr>
              <w:widowControl/>
              <w:adjustRightInd w:val="0"/>
              <w:snapToGrid w:val="0"/>
              <w:spacing w:line="276" w:lineRule="auto"/>
              <w:ind w:left="-143" w:leftChars="-68" w:right="-107" w:rightChars="-51"/>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监理、设计等单位现场办公用房及配套设施使用费用</w:t>
            </w:r>
          </w:p>
        </w:tc>
        <w:tc>
          <w:tcPr>
            <w:tcW w:w="4878" w:type="dxa"/>
            <w:tcBorders>
              <w:top w:val="single" w:color="auto" w:sz="4" w:space="0"/>
              <w:left w:val="single" w:color="auto" w:sz="4" w:space="0"/>
              <w:bottom w:val="single" w:color="auto" w:sz="4" w:space="0"/>
              <w:right w:val="single" w:color="auto" w:sz="4" w:space="0"/>
            </w:tcBorders>
            <w:vAlign w:val="center"/>
          </w:tcPr>
          <w:p w14:paraId="1579692B">
            <w:pPr>
              <w:widowControl/>
              <w:adjustRightInd w:val="0"/>
              <w:snapToGrid w:val="0"/>
              <w:spacing w:line="276" w:lineRule="auto"/>
              <w:ind w:left="-143" w:leftChars="-68" w:right="-107" w:rightChars="-51"/>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总价包干项目，投入使用后支付</w:t>
            </w:r>
            <w:r>
              <w:rPr>
                <w:rFonts w:ascii="宋体" w:hAnsi="宋体" w:cs="宋体"/>
                <w:b/>
                <w:snapToGrid w:val="0"/>
                <w:color w:val="auto"/>
                <w:kern w:val="0"/>
                <w:sz w:val="18"/>
                <w:szCs w:val="18"/>
                <w:highlight w:val="none"/>
              </w:rPr>
              <w:t>90%，竣工并完成相关工作后支付10%。</w:t>
            </w:r>
          </w:p>
        </w:tc>
      </w:tr>
      <w:tr w14:paraId="70CE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551615F">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76" w:type="dxa"/>
            <w:tcBorders>
              <w:top w:val="single" w:color="auto" w:sz="4" w:space="0"/>
              <w:left w:val="single" w:color="auto" w:sz="4" w:space="0"/>
              <w:bottom w:val="single" w:color="auto" w:sz="4" w:space="0"/>
              <w:right w:val="single" w:color="auto" w:sz="4" w:space="0"/>
            </w:tcBorders>
            <w:vAlign w:val="center"/>
          </w:tcPr>
          <w:p w14:paraId="628C9799">
            <w:pPr>
              <w:widowControl/>
              <w:adjustRightInd w:val="0"/>
              <w:snapToGrid w:val="0"/>
              <w:spacing w:line="276" w:lineRule="auto"/>
              <w:jc w:val="center"/>
              <w:rPr>
                <w:rFonts w:ascii="宋体" w:hAnsi="宋体" w:cs="宋体"/>
                <w:b/>
                <w:snapToGrid w:val="0"/>
                <w:color w:val="auto"/>
                <w:kern w:val="0"/>
                <w:sz w:val="18"/>
                <w:szCs w:val="18"/>
                <w:highlight w:val="none"/>
              </w:rPr>
            </w:pPr>
            <w:r>
              <w:rPr>
                <w:rFonts w:ascii="宋体" w:hAnsi="宋体" w:cs="宋体"/>
                <w:b/>
                <w:snapToGrid w:val="0"/>
                <w:color w:val="auto"/>
                <w:kern w:val="0"/>
                <w:sz w:val="18"/>
                <w:szCs w:val="18"/>
                <w:highlight w:val="none"/>
              </w:rPr>
              <w:t>2</w:t>
            </w:r>
          </w:p>
        </w:tc>
        <w:tc>
          <w:tcPr>
            <w:tcW w:w="3051" w:type="dxa"/>
            <w:tcBorders>
              <w:top w:val="single" w:color="auto" w:sz="4" w:space="0"/>
              <w:left w:val="single" w:color="auto" w:sz="4" w:space="0"/>
              <w:bottom w:val="single" w:color="auto" w:sz="4" w:space="0"/>
              <w:right w:val="single" w:color="auto" w:sz="4" w:space="0"/>
            </w:tcBorders>
            <w:vAlign w:val="center"/>
          </w:tcPr>
          <w:p w14:paraId="617FCD75">
            <w:pPr>
              <w:widowControl/>
              <w:adjustRightInd w:val="0"/>
              <w:snapToGrid w:val="0"/>
              <w:spacing w:line="276" w:lineRule="auto"/>
              <w:ind w:left="-143" w:leftChars="-68" w:right="-107" w:rightChars="-51"/>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甲供材料设备管理费</w:t>
            </w:r>
          </w:p>
        </w:tc>
        <w:tc>
          <w:tcPr>
            <w:tcW w:w="4878" w:type="dxa"/>
            <w:tcBorders>
              <w:top w:val="single" w:color="auto" w:sz="4" w:space="0"/>
              <w:left w:val="single" w:color="auto" w:sz="4" w:space="0"/>
              <w:bottom w:val="single" w:color="auto" w:sz="4" w:space="0"/>
              <w:right w:val="single" w:color="auto" w:sz="4" w:space="0"/>
            </w:tcBorders>
            <w:vAlign w:val="center"/>
          </w:tcPr>
          <w:p w14:paraId="2E3829C0">
            <w:pPr>
              <w:widowControl/>
              <w:adjustRightInd w:val="0"/>
              <w:snapToGrid w:val="0"/>
              <w:spacing w:line="276" w:lineRule="auto"/>
              <w:ind w:left="-143" w:leftChars="-68" w:right="-107" w:rightChars="-51"/>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按施工期分月平均支付。</w:t>
            </w:r>
          </w:p>
        </w:tc>
      </w:tr>
      <w:tr w14:paraId="20B1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7413B78">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76" w:type="dxa"/>
            <w:tcBorders>
              <w:top w:val="single" w:color="auto" w:sz="4" w:space="0"/>
              <w:left w:val="single" w:color="auto" w:sz="4" w:space="0"/>
              <w:bottom w:val="single" w:color="auto" w:sz="4" w:space="0"/>
              <w:right w:val="single" w:color="auto" w:sz="4" w:space="0"/>
            </w:tcBorders>
            <w:vAlign w:val="center"/>
          </w:tcPr>
          <w:p w14:paraId="25A5B73D">
            <w:pPr>
              <w:widowControl/>
              <w:adjustRightInd w:val="0"/>
              <w:snapToGrid w:val="0"/>
              <w:spacing w:line="276" w:lineRule="auto"/>
              <w:jc w:val="center"/>
              <w:rPr>
                <w:rFonts w:ascii="宋体" w:hAnsi="宋体" w:cs="宋体"/>
                <w:b/>
                <w:snapToGrid w:val="0"/>
                <w:color w:val="auto"/>
                <w:kern w:val="0"/>
                <w:sz w:val="18"/>
                <w:szCs w:val="18"/>
                <w:highlight w:val="none"/>
              </w:rPr>
            </w:pPr>
            <w:r>
              <w:rPr>
                <w:rFonts w:ascii="宋体" w:hAnsi="宋体" w:cs="宋体"/>
                <w:b/>
                <w:snapToGrid w:val="0"/>
                <w:color w:val="auto"/>
                <w:kern w:val="0"/>
                <w:sz w:val="18"/>
                <w:szCs w:val="18"/>
                <w:highlight w:val="none"/>
              </w:rPr>
              <w:t>3</w:t>
            </w:r>
          </w:p>
        </w:tc>
        <w:tc>
          <w:tcPr>
            <w:tcW w:w="3051" w:type="dxa"/>
            <w:tcBorders>
              <w:top w:val="single" w:color="auto" w:sz="4" w:space="0"/>
              <w:left w:val="single" w:color="auto" w:sz="4" w:space="0"/>
              <w:bottom w:val="single" w:color="auto" w:sz="4" w:space="0"/>
              <w:right w:val="single" w:color="auto" w:sz="4" w:space="0"/>
            </w:tcBorders>
            <w:vAlign w:val="center"/>
          </w:tcPr>
          <w:p w14:paraId="25DC376C">
            <w:pPr>
              <w:widowControl/>
              <w:adjustRightInd w:val="0"/>
              <w:snapToGrid w:val="0"/>
              <w:spacing w:line="276" w:lineRule="auto"/>
              <w:ind w:left="-143" w:leftChars="-68" w:right="-107" w:rightChars="-51"/>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甲招乙供材料设备管理费</w:t>
            </w:r>
          </w:p>
        </w:tc>
        <w:tc>
          <w:tcPr>
            <w:tcW w:w="4878" w:type="dxa"/>
            <w:tcBorders>
              <w:top w:val="single" w:color="auto" w:sz="4" w:space="0"/>
              <w:left w:val="single" w:color="auto" w:sz="4" w:space="0"/>
              <w:bottom w:val="single" w:color="auto" w:sz="4" w:space="0"/>
              <w:right w:val="single" w:color="auto" w:sz="4" w:space="0"/>
            </w:tcBorders>
            <w:vAlign w:val="center"/>
          </w:tcPr>
          <w:p w14:paraId="23294303">
            <w:pPr>
              <w:widowControl/>
              <w:adjustRightInd w:val="0"/>
              <w:snapToGrid w:val="0"/>
              <w:spacing w:line="276" w:lineRule="auto"/>
              <w:ind w:left="-143" w:leftChars="-68" w:right="-107" w:rightChars="-51"/>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按施工期分月平均支付。</w:t>
            </w:r>
          </w:p>
        </w:tc>
      </w:tr>
      <w:tr w14:paraId="6C65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E414286">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76" w:type="dxa"/>
            <w:tcBorders>
              <w:top w:val="single" w:color="auto" w:sz="4" w:space="0"/>
              <w:left w:val="single" w:color="auto" w:sz="4" w:space="0"/>
              <w:bottom w:val="single" w:color="auto" w:sz="4" w:space="0"/>
              <w:right w:val="single" w:color="auto" w:sz="4" w:space="0"/>
            </w:tcBorders>
            <w:vAlign w:val="center"/>
          </w:tcPr>
          <w:p w14:paraId="0B3E6E42">
            <w:pPr>
              <w:widowControl/>
              <w:adjustRightInd w:val="0"/>
              <w:snapToGrid w:val="0"/>
              <w:spacing w:line="276" w:lineRule="auto"/>
              <w:jc w:val="center"/>
              <w:rPr>
                <w:rFonts w:ascii="宋体" w:hAnsi="宋体" w:cs="宋体"/>
                <w:b/>
                <w:snapToGrid w:val="0"/>
                <w:color w:val="auto"/>
                <w:kern w:val="0"/>
                <w:sz w:val="18"/>
                <w:szCs w:val="18"/>
                <w:highlight w:val="none"/>
              </w:rPr>
            </w:pPr>
            <w:r>
              <w:rPr>
                <w:rFonts w:ascii="宋体" w:hAnsi="宋体" w:cs="宋体"/>
                <w:b/>
                <w:snapToGrid w:val="0"/>
                <w:color w:val="auto"/>
                <w:kern w:val="0"/>
                <w:sz w:val="18"/>
                <w:szCs w:val="18"/>
                <w:highlight w:val="none"/>
              </w:rPr>
              <w:t>4</w:t>
            </w:r>
          </w:p>
        </w:tc>
        <w:tc>
          <w:tcPr>
            <w:tcW w:w="3051" w:type="dxa"/>
            <w:tcBorders>
              <w:top w:val="single" w:color="auto" w:sz="4" w:space="0"/>
              <w:left w:val="single" w:color="auto" w:sz="4" w:space="0"/>
              <w:bottom w:val="single" w:color="auto" w:sz="4" w:space="0"/>
              <w:right w:val="single" w:color="auto" w:sz="4" w:space="0"/>
            </w:tcBorders>
            <w:vAlign w:val="center"/>
          </w:tcPr>
          <w:p w14:paraId="4284D7B3">
            <w:pPr>
              <w:widowControl/>
              <w:adjustRightInd w:val="0"/>
              <w:snapToGrid w:val="0"/>
              <w:spacing w:line="276" w:lineRule="auto"/>
              <w:ind w:left="-143" w:leftChars="-68" w:right="-107" w:rightChars="-51"/>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预算包干费</w:t>
            </w:r>
          </w:p>
        </w:tc>
        <w:tc>
          <w:tcPr>
            <w:tcW w:w="4878" w:type="dxa"/>
            <w:tcBorders>
              <w:top w:val="single" w:color="auto" w:sz="4" w:space="0"/>
              <w:left w:val="single" w:color="auto" w:sz="4" w:space="0"/>
              <w:bottom w:val="single" w:color="auto" w:sz="4" w:space="0"/>
              <w:right w:val="single" w:color="auto" w:sz="4" w:space="0"/>
            </w:tcBorders>
            <w:vAlign w:val="center"/>
          </w:tcPr>
          <w:p w14:paraId="1A97049E">
            <w:pPr>
              <w:widowControl/>
              <w:adjustRightInd w:val="0"/>
              <w:snapToGrid w:val="0"/>
              <w:spacing w:line="276" w:lineRule="auto"/>
              <w:ind w:left="-143" w:leftChars="-68" w:right="-107" w:rightChars="-51"/>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总价包干项目，按施工期分月平均支付。</w:t>
            </w:r>
          </w:p>
        </w:tc>
      </w:tr>
      <w:tr w14:paraId="16FB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03178928">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76" w:type="dxa"/>
            <w:tcBorders>
              <w:top w:val="single" w:color="auto" w:sz="4" w:space="0"/>
              <w:left w:val="single" w:color="auto" w:sz="4" w:space="0"/>
              <w:bottom w:val="single" w:color="auto" w:sz="4" w:space="0"/>
              <w:right w:val="single" w:color="auto" w:sz="4" w:space="0"/>
            </w:tcBorders>
            <w:vAlign w:val="center"/>
          </w:tcPr>
          <w:p w14:paraId="13A7389A">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5</w:t>
            </w:r>
          </w:p>
        </w:tc>
        <w:tc>
          <w:tcPr>
            <w:tcW w:w="3051" w:type="dxa"/>
            <w:tcBorders>
              <w:top w:val="single" w:color="auto" w:sz="4" w:space="0"/>
              <w:left w:val="single" w:color="auto" w:sz="4" w:space="0"/>
              <w:bottom w:val="single" w:color="auto" w:sz="4" w:space="0"/>
              <w:right w:val="single" w:color="auto" w:sz="4" w:space="0"/>
            </w:tcBorders>
            <w:vAlign w:val="center"/>
          </w:tcPr>
          <w:p w14:paraId="57EBC1C7">
            <w:pPr>
              <w:widowControl/>
              <w:adjustRightInd w:val="0"/>
              <w:snapToGrid w:val="0"/>
              <w:spacing w:line="276" w:lineRule="auto"/>
              <w:ind w:left="-143" w:leftChars="-68" w:right="-107" w:rightChars="-51"/>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深化设计费或配合设计费由投标人在报价中综合考虑，招标人不再另行支付。抗震支架、燃气工程深化设计费从暂估价中考虑。</w:t>
            </w:r>
          </w:p>
        </w:tc>
        <w:tc>
          <w:tcPr>
            <w:tcW w:w="4878" w:type="dxa"/>
            <w:tcBorders>
              <w:top w:val="single" w:color="auto" w:sz="4" w:space="0"/>
              <w:left w:val="single" w:color="auto" w:sz="4" w:space="0"/>
              <w:bottom w:val="single" w:color="auto" w:sz="4" w:space="0"/>
              <w:right w:val="single" w:color="auto" w:sz="4" w:space="0"/>
            </w:tcBorders>
            <w:vAlign w:val="center"/>
          </w:tcPr>
          <w:p w14:paraId="0F9A7C2F">
            <w:pPr>
              <w:widowControl/>
              <w:adjustRightInd w:val="0"/>
              <w:snapToGrid w:val="0"/>
              <w:spacing w:line="276" w:lineRule="auto"/>
              <w:ind w:left="-143" w:leftChars="-68" w:right="-107" w:rightChars="-51"/>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w:t>
            </w:r>
          </w:p>
        </w:tc>
      </w:tr>
      <w:tr w14:paraId="5663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E780786">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76" w:type="dxa"/>
            <w:tcBorders>
              <w:top w:val="single" w:color="auto" w:sz="4" w:space="0"/>
              <w:left w:val="single" w:color="auto" w:sz="4" w:space="0"/>
              <w:bottom w:val="single" w:color="auto" w:sz="4" w:space="0"/>
              <w:right w:val="single" w:color="auto" w:sz="4" w:space="0"/>
            </w:tcBorders>
            <w:vAlign w:val="center"/>
          </w:tcPr>
          <w:p w14:paraId="65F12DF8">
            <w:pPr>
              <w:widowControl/>
              <w:adjustRightInd w:val="0"/>
              <w:snapToGrid w:val="0"/>
              <w:spacing w:line="276" w:lineRule="auto"/>
              <w:jc w:val="center"/>
              <w:rPr>
                <w:rFonts w:ascii="宋体" w:hAnsi="宋体" w:cs="宋体"/>
                <w:b/>
                <w:snapToGrid w:val="0"/>
                <w:color w:val="auto"/>
                <w:kern w:val="0"/>
                <w:sz w:val="18"/>
                <w:szCs w:val="18"/>
                <w:highlight w:val="none"/>
              </w:rPr>
            </w:pPr>
            <w:r>
              <w:rPr>
                <w:rFonts w:ascii="宋体" w:hAnsi="宋体" w:cs="宋体"/>
                <w:b/>
                <w:snapToGrid w:val="0"/>
                <w:color w:val="auto"/>
                <w:kern w:val="0"/>
                <w:sz w:val="18"/>
                <w:szCs w:val="18"/>
                <w:highlight w:val="none"/>
              </w:rPr>
              <w:t>6</w:t>
            </w:r>
          </w:p>
        </w:tc>
        <w:tc>
          <w:tcPr>
            <w:tcW w:w="3051" w:type="dxa"/>
            <w:tcBorders>
              <w:top w:val="single" w:color="auto" w:sz="4" w:space="0"/>
              <w:left w:val="single" w:color="auto" w:sz="4" w:space="0"/>
              <w:bottom w:val="single" w:color="auto" w:sz="4" w:space="0"/>
              <w:right w:val="single" w:color="auto" w:sz="4" w:space="0"/>
            </w:tcBorders>
            <w:vAlign w:val="center"/>
          </w:tcPr>
          <w:p w14:paraId="4A9BBE8F">
            <w:pPr>
              <w:widowControl/>
              <w:adjustRightInd w:val="0"/>
              <w:snapToGrid w:val="0"/>
              <w:spacing w:line="276" w:lineRule="auto"/>
              <w:ind w:left="-143" w:leftChars="-68" w:right="-107" w:rightChars="-51"/>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工程优质费</w:t>
            </w:r>
          </w:p>
        </w:tc>
        <w:tc>
          <w:tcPr>
            <w:tcW w:w="4878" w:type="dxa"/>
            <w:tcBorders>
              <w:top w:val="single" w:color="auto" w:sz="4" w:space="0"/>
              <w:left w:val="single" w:color="auto" w:sz="4" w:space="0"/>
              <w:bottom w:val="single" w:color="auto" w:sz="4" w:space="0"/>
              <w:right w:val="single" w:color="auto" w:sz="4" w:space="0"/>
            </w:tcBorders>
            <w:vAlign w:val="center"/>
          </w:tcPr>
          <w:p w14:paraId="0959418B">
            <w:pPr>
              <w:widowControl/>
              <w:adjustRightInd w:val="0"/>
              <w:snapToGrid w:val="0"/>
              <w:spacing w:line="276" w:lineRule="auto"/>
              <w:ind w:left="-143" w:leftChars="-68" w:right="-107" w:rightChars="-51"/>
              <w:jc w:val="center"/>
              <w:rPr>
                <w:rFonts w:ascii="宋体" w:hAnsi="宋体" w:cs="宋体"/>
                <w:b/>
                <w:snapToGrid w:val="0"/>
                <w:color w:val="auto"/>
                <w:kern w:val="0"/>
                <w:sz w:val="18"/>
                <w:szCs w:val="18"/>
                <w:highlight w:val="none"/>
              </w:rPr>
            </w:pPr>
            <w:r>
              <w:rPr>
                <w:rFonts w:ascii="宋体" w:hAnsi="宋体" w:cs="宋体"/>
                <w:b/>
                <w:snapToGrid w:val="0"/>
                <w:color w:val="auto"/>
                <w:kern w:val="0"/>
                <w:sz w:val="18"/>
                <w:szCs w:val="18"/>
                <w:highlight w:val="none"/>
              </w:rPr>
              <w:t>1、总价包干，经监理及发包人审核达到合同约定创优标准后一次性支付。</w:t>
            </w:r>
          </w:p>
          <w:p w14:paraId="181BB22F">
            <w:pPr>
              <w:widowControl/>
              <w:adjustRightInd w:val="0"/>
              <w:snapToGrid w:val="0"/>
              <w:spacing w:line="276" w:lineRule="auto"/>
              <w:ind w:left="-143" w:leftChars="-68" w:right="-107" w:rightChars="-51"/>
              <w:jc w:val="center"/>
              <w:rPr>
                <w:rFonts w:ascii="宋体" w:hAnsi="宋体" w:cs="宋体"/>
                <w:b/>
                <w:snapToGrid w:val="0"/>
                <w:color w:val="auto"/>
                <w:kern w:val="0"/>
                <w:sz w:val="18"/>
                <w:szCs w:val="18"/>
                <w:highlight w:val="none"/>
              </w:rPr>
            </w:pPr>
            <w:r>
              <w:rPr>
                <w:rFonts w:ascii="宋体" w:hAnsi="宋体" w:cs="宋体"/>
                <w:b/>
                <w:snapToGrid w:val="0"/>
                <w:color w:val="auto"/>
                <w:kern w:val="0"/>
                <w:sz w:val="18"/>
                <w:szCs w:val="18"/>
                <w:highlight w:val="none"/>
              </w:rPr>
              <w:t>2、自工程竣工验收合格之日起三年内未取得合同约定</w:t>
            </w:r>
            <w:r>
              <w:rPr>
                <w:rFonts w:hint="eastAsia" w:ascii="宋体" w:hAnsi="宋体" w:cs="宋体"/>
                <w:b/>
                <w:snapToGrid w:val="0"/>
                <w:color w:val="auto"/>
                <w:kern w:val="0"/>
                <w:sz w:val="18"/>
                <w:szCs w:val="18"/>
                <w:highlight w:val="none"/>
              </w:rPr>
              <w:t>需创建的工程质量奖项的项目，一律视为未取得合同约定的需创建的工程质量奖项，不予计取工程优质费。</w:t>
            </w:r>
          </w:p>
        </w:tc>
      </w:tr>
      <w:tr w14:paraId="55B8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76902C86">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76" w:type="dxa"/>
            <w:tcBorders>
              <w:top w:val="single" w:color="auto" w:sz="4" w:space="0"/>
              <w:left w:val="single" w:color="auto" w:sz="4" w:space="0"/>
              <w:bottom w:val="single" w:color="auto" w:sz="4" w:space="0"/>
              <w:right w:val="single" w:color="auto" w:sz="4" w:space="0"/>
            </w:tcBorders>
            <w:vAlign w:val="center"/>
          </w:tcPr>
          <w:p w14:paraId="16A1FDAE">
            <w:pPr>
              <w:widowControl/>
              <w:adjustRightInd w:val="0"/>
              <w:snapToGrid w:val="0"/>
              <w:spacing w:line="276" w:lineRule="auto"/>
              <w:jc w:val="center"/>
              <w:rPr>
                <w:rFonts w:ascii="宋体" w:hAnsi="宋体" w:cs="宋体"/>
                <w:b/>
                <w:snapToGrid w:val="0"/>
                <w:color w:val="auto"/>
                <w:kern w:val="0"/>
                <w:sz w:val="18"/>
                <w:szCs w:val="18"/>
                <w:highlight w:val="none"/>
              </w:rPr>
            </w:pPr>
            <w:r>
              <w:rPr>
                <w:rFonts w:ascii="宋体" w:hAnsi="宋体" w:cs="宋体"/>
                <w:b/>
                <w:snapToGrid w:val="0"/>
                <w:color w:val="auto"/>
                <w:kern w:val="0"/>
                <w:sz w:val="18"/>
                <w:szCs w:val="18"/>
                <w:highlight w:val="none"/>
              </w:rPr>
              <w:t>7</w:t>
            </w:r>
          </w:p>
        </w:tc>
        <w:tc>
          <w:tcPr>
            <w:tcW w:w="3051" w:type="dxa"/>
            <w:tcBorders>
              <w:top w:val="single" w:color="auto" w:sz="4" w:space="0"/>
              <w:left w:val="single" w:color="auto" w:sz="4" w:space="0"/>
              <w:bottom w:val="single" w:color="auto" w:sz="4" w:space="0"/>
              <w:right w:val="single" w:color="auto" w:sz="4" w:space="0"/>
            </w:tcBorders>
            <w:vAlign w:val="center"/>
          </w:tcPr>
          <w:p w14:paraId="0C74CCD9">
            <w:pPr>
              <w:widowControl/>
              <w:adjustRightInd w:val="0"/>
              <w:snapToGrid w:val="0"/>
              <w:spacing w:line="276" w:lineRule="auto"/>
              <w:ind w:left="-143" w:leftChars="-68" w:right="-107" w:rightChars="-51"/>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工程保险费（仅指建筑（安装）工程一切险、附加第三者责任险及其他保险）</w:t>
            </w:r>
          </w:p>
        </w:tc>
        <w:tc>
          <w:tcPr>
            <w:tcW w:w="4878" w:type="dxa"/>
            <w:tcBorders>
              <w:top w:val="single" w:color="auto" w:sz="4" w:space="0"/>
              <w:left w:val="single" w:color="auto" w:sz="4" w:space="0"/>
              <w:bottom w:val="single" w:color="auto" w:sz="4" w:space="0"/>
              <w:right w:val="single" w:color="auto" w:sz="4" w:space="0"/>
            </w:tcBorders>
            <w:vAlign w:val="center"/>
          </w:tcPr>
          <w:p w14:paraId="6B8EA258">
            <w:pPr>
              <w:widowControl/>
              <w:adjustRightInd w:val="0"/>
              <w:snapToGrid w:val="0"/>
              <w:spacing w:line="276" w:lineRule="auto"/>
              <w:ind w:left="-143" w:leftChars="-68" w:right="-107" w:rightChars="-51"/>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按实际保费单据结算，该保险费结算价不得超过招标控制价公布函中的对应金额。承包人提供符合合同约定的投保证明资料且概算批复后，可申请支付该保险费，发包人审核合格后支付该保险费的</w:t>
            </w:r>
            <w:r>
              <w:rPr>
                <w:rFonts w:ascii="宋体" w:hAnsi="宋体" w:cs="宋体"/>
                <w:b/>
                <w:snapToGrid w:val="0"/>
                <w:color w:val="auto"/>
                <w:kern w:val="0"/>
                <w:sz w:val="18"/>
                <w:szCs w:val="18"/>
                <w:highlight w:val="none"/>
              </w:rPr>
              <w:t>85%，该保险费经有权结算终审部门审定后，发包人支付剩余金额。</w:t>
            </w:r>
          </w:p>
        </w:tc>
      </w:tr>
      <w:tr w14:paraId="4ECD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4548C282">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76" w:type="dxa"/>
            <w:tcBorders>
              <w:top w:val="single" w:color="auto" w:sz="4" w:space="0"/>
              <w:left w:val="single" w:color="auto" w:sz="4" w:space="0"/>
              <w:bottom w:val="single" w:color="auto" w:sz="4" w:space="0"/>
              <w:right w:val="single" w:color="auto" w:sz="4" w:space="0"/>
            </w:tcBorders>
            <w:vAlign w:val="center"/>
          </w:tcPr>
          <w:p w14:paraId="0F21E818">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8</w:t>
            </w:r>
          </w:p>
        </w:tc>
        <w:tc>
          <w:tcPr>
            <w:tcW w:w="3051" w:type="dxa"/>
            <w:tcBorders>
              <w:top w:val="single" w:color="auto" w:sz="4" w:space="0"/>
              <w:left w:val="single" w:color="auto" w:sz="4" w:space="0"/>
              <w:bottom w:val="single" w:color="auto" w:sz="4" w:space="0"/>
              <w:right w:val="single" w:color="auto" w:sz="4" w:space="0"/>
            </w:tcBorders>
            <w:vAlign w:val="center"/>
          </w:tcPr>
          <w:p w14:paraId="3B0D1AD8">
            <w:pPr>
              <w:widowControl/>
              <w:adjustRightInd w:val="0"/>
              <w:snapToGrid w:val="0"/>
              <w:spacing w:line="276" w:lineRule="auto"/>
              <w:ind w:left="-143" w:leftChars="-68" w:right="-107" w:rightChars="-51"/>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专业工程暂估价</w:t>
            </w:r>
          </w:p>
        </w:tc>
        <w:tc>
          <w:tcPr>
            <w:tcW w:w="4878" w:type="dxa"/>
            <w:tcBorders>
              <w:top w:val="single" w:color="auto" w:sz="4" w:space="0"/>
              <w:left w:val="single" w:color="auto" w:sz="4" w:space="0"/>
              <w:bottom w:val="single" w:color="auto" w:sz="4" w:space="0"/>
              <w:right w:val="single" w:color="auto" w:sz="4" w:space="0"/>
            </w:tcBorders>
            <w:vAlign w:val="center"/>
          </w:tcPr>
          <w:p w14:paraId="7A8B0840">
            <w:pPr>
              <w:widowControl/>
              <w:adjustRightInd w:val="0"/>
              <w:snapToGrid w:val="0"/>
              <w:spacing w:line="276" w:lineRule="auto"/>
              <w:ind w:left="-143" w:leftChars="-68" w:right="-107" w:rightChars="-51"/>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此费用为暂估价，实际以施工单位根据现场实际情况出具施工方案，经建设、监理、设计单位审批后按实结算。</w:t>
            </w:r>
          </w:p>
        </w:tc>
      </w:tr>
      <w:tr w14:paraId="2377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E695A2E">
            <w:pPr>
              <w:widowControl/>
              <w:adjustRightInd w:val="0"/>
              <w:snapToGrid w:val="0"/>
              <w:spacing w:line="276" w:lineRule="auto"/>
              <w:jc w:val="center"/>
              <w:rPr>
                <w:rFonts w:hint="eastAsia" w:ascii="宋体" w:hAnsi="宋体"/>
                <w:bCs/>
                <w:snapToGrid w:val="0"/>
                <w:color w:val="auto"/>
                <w:kern w:val="0"/>
                <w:sz w:val="18"/>
                <w:szCs w:val="18"/>
                <w:highlight w:val="none"/>
                <w:bdr w:val="single" w:color="auto" w:sz="4" w:space="0"/>
              </w:rPr>
            </w:pPr>
            <w:r>
              <w:rPr>
                <w:rFonts w:hint="eastAsia" w:ascii="宋体" w:hAnsi="宋体"/>
                <w:bCs/>
                <w:snapToGrid w:val="0"/>
                <w:color w:val="auto"/>
                <w:kern w:val="0"/>
                <w:sz w:val="18"/>
                <w:szCs w:val="18"/>
                <w:highlight w:val="none"/>
                <w:bdr w:val="single" w:color="auto" w:sz="4" w:space="0"/>
              </w:rPr>
              <w:t>√</w:t>
            </w:r>
          </w:p>
        </w:tc>
        <w:tc>
          <w:tcPr>
            <w:tcW w:w="576" w:type="dxa"/>
            <w:tcBorders>
              <w:top w:val="single" w:color="auto" w:sz="4" w:space="0"/>
              <w:left w:val="single" w:color="auto" w:sz="4" w:space="0"/>
              <w:bottom w:val="single" w:color="auto" w:sz="4" w:space="0"/>
              <w:right w:val="single" w:color="auto" w:sz="4" w:space="0"/>
            </w:tcBorders>
            <w:vAlign w:val="center"/>
          </w:tcPr>
          <w:p w14:paraId="57E31D21">
            <w:pPr>
              <w:widowControl/>
              <w:adjustRightInd w:val="0"/>
              <w:snapToGrid w:val="0"/>
              <w:spacing w:line="276" w:lineRule="auto"/>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9</w:t>
            </w:r>
          </w:p>
        </w:tc>
        <w:tc>
          <w:tcPr>
            <w:tcW w:w="3051" w:type="dxa"/>
            <w:tcBorders>
              <w:top w:val="single" w:color="auto" w:sz="4" w:space="0"/>
              <w:left w:val="single" w:color="auto" w:sz="4" w:space="0"/>
              <w:bottom w:val="single" w:color="auto" w:sz="4" w:space="0"/>
              <w:right w:val="single" w:color="auto" w:sz="4" w:space="0"/>
            </w:tcBorders>
            <w:vAlign w:val="center"/>
          </w:tcPr>
          <w:p w14:paraId="6DB1D5FE">
            <w:pPr>
              <w:widowControl/>
              <w:adjustRightInd w:val="0"/>
              <w:snapToGrid w:val="0"/>
              <w:spacing w:line="276" w:lineRule="auto"/>
              <w:ind w:left="-143" w:leftChars="-68" w:right="-107" w:rightChars="-51"/>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暂列金额</w:t>
            </w:r>
          </w:p>
        </w:tc>
        <w:tc>
          <w:tcPr>
            <w:tcW w:w="4878" w:type="dxa"/>
            <w:tcBorders>
              <w:top w:val="single" w:color="auto" w:sz="4" w:space="0"/>
              <w:left w:val="single" w:color="auto" w:sz="4" w:space="0"/>
              <w:bottom w:val="single" w:color="auto" w:sz="4" w:space="0"/>
              <w:right w:val="single" w:color="auto" w:sz="4" w:space="0"/>
            </w:tcBorders>
            <w:vAlign w:val="center"/>
          </w:tcPr>
          <w:p w14:paraId="1908C72A">
            <w:pPr>
              <w:widowControl/>
              <w:adjustRightInd w:val="0"/>
              <w:snapToGrid w:val="0"/>
              <w:spacing w:line="276" w:lineRule="auto"/>
              <w:ind w:left="-143" w:leftChars="-68" w:right="-107" w:rightChars="-51"/>
              <w:jc w:val="center"/>
              <w:rPr>
                <w:rFonts w:ascii="宋体" w:hAnsi="宋体" w:cs="宋体"/>
                <w:b/>
                <w:snapToGrid w:val="0"/>
                <w:color w:val="auto"/>
                <w:kern w:val="0"/>
                <w:sz w:val="18"/>
                <w:szCs w:val="18"/>
                <w:highlight w:val="none"/>
              </w:rPr>
            </w:pPr>
            <w:r>
              <w:rPr>
                <w:rFonts w:hint="eastAsia" w:ascii="宋体" w:hAnsi="宋体" w:cs="宋体"/>
                <w:b/>
                <w:snapToGrid w:val="0"/>
                <w:color w:val="auto"/>
                <w:kern w:val="0"/>
                <w:sz w:val="18"/>
                <w:szCs w:val="18"/>
                <w:highlight w:val="none"/>
              </w:rPr>
              <w:t>根据现场实际发生情况按实结算。</w:t>
            </w:r>
          </w:p>
        </w:tc>
      </w:tr>
    </w:tbl>
    <w:p w14:paraId="0CF5753A">
      <w:pPr>
        <w:pStyle w:val="43"/>
        <w:adjustRightInd w:val="0"/>
        <w:snapToGrid w:val="0"/>
        <w:spacing w:before="0" w:beforeAutospacing="0" w:after="0" w:afterAutospacing="0" w:line="360" w:lineRule="auto"/>
        <w:ind w:firstLine="480" w:firstLineChars="200"/>
        <w:rPr>
          <w:rFonts w:cs="宋体"/>
          <w:bCs/>
          <w:snapToGrid w:val="0"/>
          <w:color w:val="auto"/>
          <w:highlight w:val="none"/>
        </w:rPr>
      </w:pPr>
    </w:p>
    <w:p w14:paraId="21B68B19">
      <w:pPr>
        <w:pStyle w:val="43"/>
        <w:adjustRightInd w:val="0"/>
        <w:snapToGrid w:val="0"/>
        <w:spacing w:before="0" w:beforeAutospacing="0" w:after="0" w:afterAutospacing="0" w:line="360" w:lineRule="auto"/>
        <w:ind w:firstLine="480" w:firstLineChars="200"/>
        <w:rPr>
          <w:snapToGrid w:val="0"/>
          <w:color w:val="auto"/>
          <w:highlight w:val="none"/>
        </w:rPr>
      </w:pPr>
      <w:r>
        <w:rPr>
          <w:snapToGrid w:val="0"/>
          <w:color w:val="auto"/>
          <w:highlight w:val="none"/>
        </w:rPr>
        <w:t>3）若发生上述表格以外的措施项目和其他项目，由双方根据实际情况协商确定。不发生的项目不予支付及结算计量。</w:t>
      </w:r>
    </w:p>
    <w:p w14:paraId="591DF804">
      <w:pPr>
        <w:pStyle w:val="43"/>
        <w:adjustRightInd w:val="0"/>
        <w:snapToGrid w:val="0"/>
        <w:spacing w:before="0" w:beforeAutospacing="0" w:after="0" w:afterAutospacing="0" w:line="360" w:lineRule="auto"/>
        <w:ind w:firstLine="480" w:firstLineChars="200"/>
        <w:rPr>
          <w:snapToGrid w:val="0"/>
          <w:color w:val="auto"/>
          <w:highlight w:val="none"/>
        </w:rPr>
      </w:pPr>
      <w:r>
        <w:rPr>
          <w:snapToGrid w:val="0"/>
          <w:color w:val="auto"/>
          <w:highlight w:val="none"/>
        </w:rPr>
        <w:t>4）按施工期分月平均支付的措施项目和其他项目，</w:t>
      </w:r>
      <w:r>
        <w:rPr>
          <w:rFonts w:hint="eastAsia"/>
          <w:snapToGrid w:val="0"/>
          <w:color w:val="auto"/>
          <w:highlight w:val="none"/>
        </w:rPr>
        <w:t>第一期支付款应在相应项目开始实施之后才支付。</w:t>
      </w:r>
    </w:p>
    <w:p w14:paraId="11784F9D">
      <w:pPr>
        <w:autoSpaceDE w:val="0"/>
        <w:autoSpaceDN w:val="0"/>
        <w:adjustRightInd w:val="0"/>
        <w:snapToGrid w:val="0"/>
        <w:spacing w:line="360" w:lineRule="auto"/>
        <w:ind w:right="11" w:firstLine="200"/>
        <w:outlineLvl w:val="4"/>
        <w:rPr>
          <w:rFonts w:ascii="宋体" w:hAnsi="宋体" w:cs="宋体"/>
          <w:bCs/>
          <w:snapToGrid w:val="0"/>
          <w:color w:val="auto"/>
          <w:kern w:val="0"/>
          <w:sz w:val="24"/>
          <w:highlight w:val="none"/>
          <w:lang w:val="zh-CN"/>
        </w:rPr>
      </w:pPr>
      <w:r>
        <w:rPr>
          <w:rFonts w:hint="eastAsia" w:ascii="宋体" w:hAnsi="宋体" w:cs="宋体"/>
          <w:bCs/>
          <w:snapToGrid w:val="0"/>
          <w:color w:val="auto"/>
          <w:kern w:val="0"/>
          <w:sz w:val="24"/>
          <w:highlight w:val="none"/>
          <w:lang w:val="zh-CN"/>
        </w:rPr>
        <w:t>（3）暂列金额和暂估价的支付方式</w:t>
      </w:r>
    </w:p>
    <w:p w14:paraId="76BD0A87">
      <w:pPr>
        <w:pStyle w:val="43"/>
        <w:adjustRightInd w:val="0"/>
        <w:snapToGrid w:val="0"/>
        <w:spacing w:before="0" w:beforeAutospacing="0" w:after="0" w:afterAutospacing="0" w:line="360" w:lineRule="auto"/>
        <w:ind w:firstLine="480" w:firstLineChars="200"/>
        <w:rPr>
          <w:snapToGrid w:val="0"/>
          <w:color w:val="auto"/>
          <w:highlight w:val="none"/>
        </w:rPr>
      </w:pPr>
      <w:r>
        <w:rPr>
          <w:rFonts w:hint="eastAsia"/>
          <w:snapToGrid w:val="0"/>
          <w:color w:val="auto"/>
          <w:highlight w:val="none"/>
        </w:rPr>
        <w:t>1）当分部分项工程量清单项目工程款（含预付款等）累计支付超过分部分项工程量清单计价的80%时，当超出的变更部分费用小于合同分部分项工程量清单计价的20%时，超出的部分从暂列金额中支付，支付方式仍按分部分项工程量清单项目的月进度款的支付方式执行。</w:t>
      </w:r>
      <w:r>
        <w:rPr>
          <w:rFonts w:hint="eastAsia"/>
          <w:snapToGrid w:val="0"/>
          <w:color w:val="auto"/>
          <w:highlight w:val="none"/>
          <w:lang w:eastAsia="zh-CN"/>
        </w:rPr>
        <w:t>暂估价内容实施完成后，以发包人委托的造价咨询单位审核价作为支付该暂估价进度款的依据，支付比例为审核价的</w:t>
      </w:r>
      <w:r>
        <w:rPr>
          <w:rFonts w:hint="eastAsia"/>
          <w:snapToGrid w:val="0"/>
          <w:color w:val="auto"/>
          <w:highlight w:val="none"/>
          <w:lang w:val="en-US" w:eastAsia="zh-CN"/>
        </w:rPr>
        <w:t>60%，</w:t>
      </w:r>
      <w:r>
        <w:rPr>
          <w:rFonts w:hint="eastAsia" w:ascii="宋体" w:hAnsi="宋体" w:cs="宋体"/>
          <w:bCs/>
          <w:color w:val="auto"/>
          <w:sz w:val="24"/>
          <w:highlight w:val="none"/>
          <w:u w:val="none"/>
        </w:rPr>
        <w:t>最终结算以有权审核的终审部门审定结果为准</w:t>
      </w:r>
      <w:r>
        <w:rPr>
          <w:rFonts w:hint="eastAsia" w:cs="宋体"/>
          <w:bCs/>
          <w:color w:val="auto"/>
          <w:sz w:val="24"/>
          <w:highlight w:val="none"/>
          <w:u w:val="none"/>
          <w:lang w:eastAsia="zh-CN"/>
        </w:rPr>
        <w:t>。</w:t>
      </w:r>
    </w:p>
    <w:p w14:paraId="2B02B8ED">
      <w:pPr>
        <w:pStyle w:val="43"/>
        <w:adjustRightInd w:val="0"/>
        <w:snapToGrid w:val="0"/>
        <w:spacing w:before="0" w:beforeAutospacing="0" w:after="0" w:afterAutospacing="0" w:line="360" w:lineRule="auto"/>
        <w:ind w:firstLine="480" w:firstLineChars="200"/>
        <w:rPr>
          <w:snapToGrid w:val="0"/>
          <w:color w:val="auto"/>
          <w:highlight w:val="none"/>
        </w:rPr>
      </w:pPr>
      <w:r>
        <w:rPr>
          <w:rFonts w:hint="eastAsia"/>
          <w:snapToGrid w:val="0"/>
          <w:color w:val="auto"/>
          <w:highlight w:val="none"/>
        </w:rPr>
        <w:t>2）措施项目清单费用的进度款累计支付超过措施项目清单计价的80%时，当超出的变更部分费用小于措施项目清单计价的20%时，超出部分从暂列金额中支付，支付方式仍按措施项目清单费的支付方式执行。</w:t>
      </w:r>
    </w:p>
    <w:p w14:paraId="7CA66DF2">
      <w:pPr>
        <w:pStyle w:val="43"/>
        <w:adjustRightInd w:val="0"/>
        <w:snapToGrid w:val="0"/>
        <w:spacing w:before="0" w:beforeAutospacing="0" w:after="0" w:afterAutospacing="0" w:line="360" w:lineRule="auto"/>
        <w:ind w:firstLine="480" w:firstLineChars="200"/>
        <w:rPr>
          <w:snapToGrid w:val="0"/>
          <w:color w:val="auto"/>
          <w:highlight w:val="none"/>
        </w:rPr>
      </w:pPr>
      <w:r>
        <w:rPr>
          <w:rFonts w:hint="eastAsia"/>
          <w:snapToGrid w:val="0"/>
          <w:color w:val="auto"/>
          <w:highlight w:val="none"/>
        </w:rPr>
        <w:t>3）其他项目清单费用的进度款累计支付超过其他项目清单计价的80%时，当超出的变更部分费用小于其他项目清单计价的20%时，超出部分从暂列金额中支付，支付方式仍按其他项目清单费的支付方式执行。</w:t>
      </w:r>
    </w:p>
    <w:p w14:paraId="2D5ED62F">
      <w:pPr>
        <w:pStyle w:val="43"/>
        <w:adjustRightInd w:val="0"/>
        <w:snapToGrid w:val="0"/>
        <w:spacing w:before="0" w:beforeAutospacing="0" w:after="0" w:afterAutospacing="0" w:line="360" w:lineRule="auto"/>
        <w:ind w:firstLine="480" w:firstLineChars="200"/>
        <w:outlineLvl w:val="4"/>
        <w:rPr>
          <w:snapToGrid w:val="0"/>
          <w:color w:val="auto"/>
          <w:highlight w:val="none"/>
        </w:rPr>
      </w:pPr>
      <w:r>
        <w:rPr>
          <w:rFonts w:hint="eastAsia"/>
          <w:snapToGrid w:val="0"/>
          <w:color w:val="auto"/>
          <w:highlight w:val="none"/>
        </w:rPr>
        <w:t>（4）税金项目的支付方式</w:t>
      </w:r>
    </w:p>
    <w:p w14:paraId="6D11D5DA">
      <w:pPr>
        <w:pStyle w:val="43"/>
        <w:adjustRightInd w:val="0"/>
        <w:snapToGrid w:val="0"/>
        <w:spacing w:before="0" w:beforeAutospacing="0" w:after="0" w:afterAutospacing="0" w:line="360" w:lineRule="auto"/>
        <w:ind w:firstLine="480" w:firstLineChars="200"/>
        <w:rPr>
          <w:snapToGrid w:val="0"/>
          <w:color w:val="auto"/>
          <w:highlight w:val="none"/>
        </w:rPr>
      </w:pPr>
      <w:r>
        <w:rPr>
          <w:rFonts w:hint="eastAsia"/>
          <w:snapToGrid w:val="0"/>
          <w:color w:val="auto"/>
          <w:highlight w:val="none"/>
        </w:rPr>
        <w:t>税金按政府及广州地区税务部门有关规定计算，根据当期进度款按月支付。</w:t>
      </w:r>
    </w:p>
    <w:p w14:paraId="28E7F02F">
      <w:pPr>
        <w:pStyle w:val="43"/>
        <w:adjustRightInd w:val="0"/>
        <w:snapToGrid w:val="0"/>
        <w:spacing w:before="0" w:beforeAutospacing="0" w:after="0" w:afterAutospacing="0" w:line="360" w:lineRule="auto"/>
        <w:ind w:firstLine="480" w:firstLineChars="200"/>
        <w:outlineLvl w:val="4"/>
        <w:rPr>
          <w:snapToGrid w:val="0"/>
          <w:color w:val="auto"/>
          <w:highlight w:val="none"/>
        </w:rPr>
      </w:pPr>
      <w:bookmarkStart w:id="7" w:name="OLE_LINK4"/>
      <w:bookmarkStart w:id="8" w:name="OLE_LINK3"/>
      <w:r>
        <w:rPr>
          <w:rFonts w:hint="eastAsia"/>
          <w:snapToGrid w:val="0"/>
          <w:color w:val="auto"/>
          <w:highlight w:val="none"/>
        </w:rPr>
        <w:t>（5）现场组织实施管理费根据考勤情况作违约处罚的约定</w:t>
      </w:r>
    </w:p>
    <w:p w14:paraId="04557BAB">
      <w:pPr>
        <w:pStyle w:val="43"/>
        <w:adjustRightInd w:val="0"/>
        <w:snapToGrid w:val="0"/>
        <w:spacing w:before="0" w:beforeAutospacing="0" w:after="0" w:afterAutospacing="0" w:line="360" w:lineRule="auto"/>
        <w:ind w:firstLine="480" w:firstLineChars="200"/>
        <w:rPr>
          <w:snapToGrid w:val="0"/>
          <w:color w:val="auto"/>
          <w:highlight w:val="none"/>
        </w:rPr>
      </w:pPr>
      <w:r>
        <w:rPr>
          <w:snapToGrid w:val="0"/>
          <w:color w:val="auto"/>
          <w:highlight w:val="none"/>
        </w:rPr>
        <w:t>1）现场组织实施管理费根据考勤违约处罚标准为：</w:t>
      </w:r>
      <w:r>
        <w:rPr>
          <w:rFonts w:hint="eastAsia"/>
          <w:snapToGrid w:val="0"/>
          <w:color w:val="auto"/>
          <w:highlight w:val="none"/>
        </w:rPr>
        <w:t>项目负责人</w:t>
      </w:r>
      <w:r>
        <w:rPr>
          <w:snapToGrid w:val="0"/>
          <w:color w:val="auto"/>
          <w:highlight w:val="none"/>
        </w:rPr>
        <w:t>2</w:t>
      </w:r>
      <w:r>
        <w:rPr>
          <w:rFonts w:hint="eastAsia"/>
          <w:snapToGrid w:val="0"/>
          <w:color w:val="auto"/>
          <w:highlight w:val="none"/>
        </w:rPr>
        <w:t>万元</w:t>
      </w:r>
      <w:r>
        <w:rPr>
          <w:snapToGrid w:val="0"/>
          <w:color w:val="auto"/>
          <w:highlight w:val="none"/>
        </w:rPr>
        <w:t>/月、技术负责人2</w:t>
      </w:r>
      <w:r>
        <w:rPr>
          <w:rFonts w:hint="eastAsia"/>
          <w:snapToGrid w:val="0"/>
          <w:color w:val="auto"/>
          <w:highlight w:val="none"/>
        </w:rPr>
        <w:t>万元</w:t>
      </w:r>
      <w:r>
        <w:rPr>
          <w:snapToGrid w:val="0"/>
          <w:color w:val="auto"/>
          <w:highlight w:val="none"/>
        </w:rPr>
        <w:t>/月、专职安全员</w:t>
      </w:r>
      <w:r>
        <w:rPr>
          <w:rFonts w:hint="eastAsia"/>
          <w:snapToGrid w:val="0"/>
          <w:color w:val="auto"/>
          <w:highlight w:val="none"/>
          <w:lang w:eastAsia="zh-CN"/>
        </w:rPr>
        <w:t>2</w:t>
      </w:r>
      <w:r>
        <w:rPr>
          <w:rFonts w:hint="eastAsia"/>
          <w:snapToGrid w:val="0"/>
          <w:color w:val="auto"/>
          <w:highlight w:val="none"/>
        </w:rPr>
        <w:t>万元</w:t>
      </w:r>
      <w:r>
        <w:rPr>
          <w:snapToGrid w:val="0"/>
          <w:color w:val="auto"/>
          <w:highlight w:val="none"/>
        </w:rPr>
        <w:t>/月、</w:t>
      </w:r>
      <w:r>
        <w:rPr>
          <w:rFonts w:hint="eastAsia"/>
          <w:snapToGrid w:val="0"/>
          <w:color w:val="auto"/>
          <w:highlight w:val="none"/>
        </w:rPr>
        <w:t>专业工程师</w:t>
      </w:r>
      <w:r>
        <w:rPr>
          <w:snapToGrid w:val="0"/>
          <w:color w:val="auto"/>
          <w:highlight w:val="none"/>
        </w:rPr>
        <w:t>1</w:t>
      </w:r>
      <w:r>
        <w:rPr>
          <w:rFonts w:hint="eastAsia"/>
          <w:snapToGrid w:val="0"/>
          <w:color w:val="auto"/>
          <w:highlight w:val="none"/>
        </w:rPr>
        <w:t>万元</w:t>
      </w:r>
      <w:r>
        <w:rPr>
          <w:snapToGrid w:val="0"/>
          <w:color w:val="auto"/>
          <w:highlight w:val="none"/>
        </w:rPr>
        <w:t>/</w:t>
      </w:r>
      <w:r>
        <w:rPr>
          <w:rFonts w:hint="eastAsia"/>
          <w:snapToGrid w:val="0"/>
          <w:color w:val="auto"/>
          <w:highlight w:val="none"/>
        </w:rPr>
        <w:t>月（分阶段）、资料员</w:t>
      </w:r>
      <w:r>
        <w:rPr>
          <w:snapToGrid w:val="0"/>
          <w:color w:val="auto"/>
          <w:highlight w:val="none"/>
        </w:rPr>
        <w:t>1</w:t>
      </w:r>
      <w:r>
        <w:rPr>
          <w:rFonts w:hint="eastAsia"/>
          <w:snapToGrid w:val="0"/>
          <w:color w:val="auto"/>
          <w:highlight w:val="none"/>
        </w:rPr>
        <w:t>万元</w:t>
      </w:r>
      <w:r>
        <w:rPr>
          <w:snapToGrid w:val="0"/>
          <w:color w:val="auto"/>
          <w:highlight w:val="none"/>
        </w:rPr>
        <w:t>/月、造价员</w:t>
      </w:r>
      <w:r>
        <w:rPr>
          <w:rFonts w:hint="eastAsia"/>
          <w:snapToGrid w:val="0"/>
          <w:color w:val="auto"/>
          <w:highlight w:val="none"/>
          <w:lang w:eastAsia="zh-CN"/>
        </w:rPr>
        <w:t>2</w:t>
      </w:r>
      <w:r>
        <w:rPr>
          <w:rFonts w:hint="eastAsia"/>
          <w:snapToGrid w:val="0"/>
          <w:color w:val="auto"/>
          <w:highlight w:val="none"/>
        </w:rPr>
        <w:t>万元</w:t>
      </w:r>
      <w:r>
        <w:rPr>
          <w:snapToGrid w:val="0"/>
          <w:color w:val="auto"/>
          <w:highlight w:val="none"/>
        </w:rPr>
        <w:t>/月；</w:t>
      </w:r>
    </w:p>
    <w:bookmarkEnd w:id="7"/>
    <w:bookmarkEnd w:id="8"/>
    <w:p w14:paraId="3170022E">
      <w:pPr>
        <w:pStyle w:val="43"/>
        <w:adjustRightInd w:val="0"/>
        <w:snapToGrid w:val="0"/>
        <w:spacing w:before="0" w:beforeAutospacing="0" w:after="0" w:afterAutospacing="0" w:line="360" w:lineRule="auto"/>
        <w:ind w:firstLine="480" w:firstLineChars="200"/>
        <w:rPr>
          <w:snapToGrid w:val="0"/>
          <w:color w:val="auto"/>
          <w:highlight w:val="none"/>
        </w:rPr>
      </w:pPr>
      <w:r>
        <w:rPr>
          <w:rFonts w:hint="eastAsia"/>
          <w:snapToGrid w:val="0"/>
          <w:color w:val="auto"/>
          <w:highlight w:val="none"/>
        </w:rPr>
        <w:t>2）在施工期内，如承包人的上述相关人员在一个月内经监理单位、发包人书面确认的现场办公管理天数如低于25个日历天，则相应人员按照以上考勤违约处罚标准在当期进度款扣除相应费用。</w:t>
      </w:r>
    </w:p>
    <w:p w14:paraId="348E98AC">
      <w:pPr>
        <w:pStyle w:val="43"/>
        <w:adjustRightInd w:val="0"/>
        <w:snapToGrid w:val="0"/>
        <w:spacing w:before="0" w:beforeAutospacing="0" w:after="0" w:afterAutospacing="0" w:line="360" w:lineRule="auto"/>
        <w:ind w:firstLine="480" w:firstLineChars="200"/>
        <w:rPr>
          <w:rFonts w:hint="eastAsia"/>
          <w:snapToGrid w:val="0"/>
          <w:color w:val="auto"/>
          <w:highlight w:val="none"/>
        </w:rPr>
      </w:pPr>
      <w:r>
        <w:rPr>
          <w:rFonts w:hint="eastAsia"/>
          <w:snapToGrid w:val="0"/>
          <w:color w:val="auto"/>
          <w:highlight w:val="none"/>
        </w:rPr>
        <w:t>3）对承包人主要技术及管理人员驻场办公时间进行考核，考核结果作为考勤违约处罚的依据，考核须由总监理工程师及发包人现场项目负责人书面签名确认。</w:t>
      </w:r>
    </w:p>
    <w:p w14:paraId="0AF9D505">
      <w:pPr>
        <w:pStyle w:val="43"/>
        <w:adjustRightInd w:val="0"/>
        <w:snapToGrid w:val="0"/>
        <w:spacing w:before="0" w:beforeAutospacing="0" w:after="0" w:afterAutospacing="0" w:line="360" w:lineRule="auto"/>
        <w:ind w:firstLine="480" w:firstLineChars="200"/>
        <w:rPr>
          <w:rFonts w:hint="default" w:eastAsia="宋体"/>
          <w:snapToGrid w:val="0"/>
          <w:color w:val="auto"/>
          <w:highlight w:val="none"/>
          <w:lang w:val="en-US" w:eastAsia="zh-CN"/>
        </w:rPr>
      </w:pPr>
      <w:r>
        <w:rPr>
          <w:rFonts w:hint="eastAsia"/>
          <w:snapToGrid w:val="0"/>
          <w:color w:val="auto"/>
          <w:highlight w:val="none"/>
          <w:lang w:val="en-US" w:eastAsia="zh-CN"/>
        </w:rPr>
        <w:t>4）承包人须按发包人要求，在附件《</w:t>
      </w:r>
      <w:r>
        <w:rPr>
          <w:rFonts w:hint="eastAsia"/>
          <w:color w:val="auto"/>
          <w:highlight w:val="none"/>
        </w:rPr>
        <w:t>投入主要人员汇总表</w:t>
      </w:r>
      <w:r>
        <w:rPr>
          <w:rFonts w:hint="eastAsia"/>
          <w:snapToGrid w:val="0"/>
          <w:color w:val="auto"/>
          <w:highlight w:val="none"/>
          <w:lang w:val="en-US" w:eastAsia="zh-CN"/>
        </w:rPr>
        <w:t>》基础上，另派驻现场人员2名，具体以发包人要求为准。</w:t>
      </w:r>
    </w:p>
    <w:p w14:paraId="2FF97A25">
      <w:pPr>
        <w:pStyle w:val="25"/>
        <w:adjustRightInd w:val="0"/>
        <w:snapToGrid w:val="0"/>
        <w:spacing w:line="360" w:lineRule="auto"/>
        <w:ind w:firstLine="480" w:firstLineChars="200"/>
        <w:outlineLvl w:val="3"/>
        <w:rPr>
          <w:rFonts w:hAnsi="宋体"/>
          <w:snapToGrid w:val="0"/>
          <w:color w:val="auto"/>
          <w:kern w:val="0"/>
          <w:sz w:val="24"/>
          <w:szCs w:val="24"/>
          <w:highlight w:val="none"/>
        </w:rPr>
      </w:pPr>
      <w:r>
        <w:rPr>
          <w:rFonts w:hint="eastAsia" w:hAnsi="宋体"/>
          <w:snapToGrid w:val="0"/>
          <w:color w:val="auto"/>
          <w:kern w:val="0"/>
          <w:sz w:val="24"/>
          <w:szCs w:val="24"/>
          <w:highlight w:val="none"/>
        </w:rPr>
        <w:t>28.3若本工程含有甲招乙供材料设备，承包人应严格按照本合同、招标文件及与甲招乙供材料设备供应商所签合同的约定及时审核、申请支付甲招乙供材料设备进度款（含到货款、安装调试验收款、竣工验收款、质量保证金），并在银行的监控下，按照发包人的要求直接将甲招乙供材料设备款项按合同专用条款第30.7（8）款的约定支付给材料设备供应商，否则应按合同专用条款第38.15款承担违约责任。</w:t>
      </w:r>
    </w:p>
    <w:p w14:paraId="05AD89B2">
      <w:pPr>
        <w:pStyle w:val="25"/>
        <w:adjustRightInd w:val="0"/>
        <w:snapToGrid w:val="0"/>
        <w:spacing w:line="360" w:lineRule="auto"/>
        <w:ind w:firstLine="465"/>
        <w:outlineLvl w:val="3"/>
        <w:rPr>
          <w:rFonts w:hAnsi="宋体"/>
          <w:b/>
          <w:snapToGrid w:val="0"/>
          <w:color w:val="auto"/>
          <w:kern w:val="0"/>
          <w:sz w:val="24"/>
          <w:szCs w:val="24"/>
          <w:highlight w:val="none"/>
        </w:rPr>
      </w:pPr>
      <w:r>
        <w:rPr>
          <w:rFonts w:hint="eastAsia" w:hAnsi="宋体"/>
          <w:snapToGrid w:val="0"/>
          <w:color w:val="auto"/>
          <w:kern w:val="0"/>
          <w:sz w:val="24"/>
          <w:szCs w:val="24"/>
          <w:highlight w:val="none"/>
        </w:rPr>
        <w:t>28.4如本工程含有甲管乙供材料设备，承包人应严格按照本合同、</w:t>
      </w:r>
      <w:r>
        <w:rPr>
          <w:rFonts w:hint="eastAsia"/>
          <w:snapToGrid w:val="0"/>
          <w:color w:val="auto"/>
          <w:sz w:val="24"/>
          <w:szCs w:val="24"/>
          <w:highlight w:val="none"/>
        </w:rPr>
        <w:t>招标文件或</w:t>
      </w:r>
      <w:r>
        <w:rPr>
          <w:rFonts w:hint="eastAsia" w:hAnsi="宋体"/>
          <w:snapToGrid w:val="0"/>
          <w:color w:val="auto"/>
          <w:kern w:val="0"/>
          <w:sz w:val="24"/>
          <w:szCs w:val="24"/>
          <w:highlight w:val="none"/>
        </w:rPr>
        <w:t>公开择优竞价文件及与甲管乙供材料设备供应商所签合同的约定及时审核、申请支付甲管乙供材料设备进度款（含到货款、安装调试验收款、竣工验收款、质量保证金），且在收到发包人支付的款项后三个工作日内将该款项支付给甲管乙供材料设备供应商，并在下一次申请付款时向发包人提交本次支付凭证复印件作为支持材料，否则应按合同专用条款第38.15款承担违约责任。</w:t>
      </w:r>
    </w:p>
    <w:p w14:paraId="71960D74">
      <w:pPr>
        <w:pStyle w:val="43"/>
        <w:adjustRightInd w:val="0"/>
        <w:snapToGrid w:val="0"/>
        <w:spacing w:before="0" w:beforeAutospacing="0" w:after="0" w:afterAutospacing="0" w:line="360" w:lineRule="auto"/>
        <w:ind w:firstLine="480" w:firstLineChars="200"/>
        <w:outlineLvl w:val="3"/>
        <w:rPr>
          <w:snapToGrid w:val="0"/>
          <w:color w:val="auto"/>
          <w:highlight w:val="none"/>
        </w:rPr>
      </w:pPr>
      <w:r>
        <w:rPr>
          <w:rFonts w:hint="eastAsia"/>
          <w:snapToGrid w:val="0"/>
          <w:color w:val="auto"/>
          <w:highlight w:val="none"/>
        </w:rPr>
        <w:t>28.5因变更引起的工程项目</w:t>
      </w:r>
      <w:r>
        <w:rPr>
          <w:snapToGrid w:val="0"/>
          <w:color w:val="auto"/>
          <w:highlight w:val="none"/>
        </w:rPr>
        <w:t>支付方式</w:t>
      </w:r>
    </w:p>
    <w:p w14:paraId="4C3C396F">
      <w:pPr>
        <w:pStyle w:val="43"/>
        <w:adjustRightInd w:val="0"/>
        <w:snapToGrid w:val="0"/>
        <w:spacing w:before="0" w:beforeAutospacing="0" w:after="0" w:afterAutospacing="0" w:line="360" w:lineRule="auto"/>
        <w:ind w:firstLine="480" w:firstLineChars="200"/>
        <w:rPr>
          <w:snapToGrid w:val="0"/>
          <w:color w:val="auto"/>
          <w:highlight w:val="none"/>
        </w:rPr>
      </w:pPr>
      <w:r>
        <w:rPr>
          <w:rFonts w:hint="eastAsia"/>
          <w:snapToGrid w:val="0"/>
          <w:color w:val="auto"/>
          <w:highlight w:val="none"/>
          <w:lang w:eastAsia="zh-CN"/>
        </w:rPr>
        <w:t>对于合同清单以外新增的分部分项综合单价，以发包人委托的造价咨询单位审核价作为支付该新增项进度款的依据，</w:t>
      </w:r>
      <w:r>
        <w:rPr>
          <w:rFonts w:hint="eastAsia"/>
          <w:color w:val="auto"/>
          <w:highlight w:val="none"/>
        </w:rPr>
        <w:t>支付比例为造价咨询单位审核价的60%，</w:t>
      </w:r>
      <w:r>
        <w:rPr>
          <w:rFonts w:hint="eastAsia" w:ascii="宋体" w:hAnsi="宋体" w:cs="宋体"/>
          <w:bCs/>
          <w:color w:val="auto"/>
          <w:sz w:val="24"/>
          <w:highlight w:val="none"/>
          <w:u w:val="none"/>
        </w:rPr>
        <w:t>最终结算以有权审核的终审部门审定结果为准</w:t>
      </w:r>
      <w:r>
        <w:rPr>
          <w:rFonts w:hint="eastAsia" w:cs="宋体"/>
          <w:bCs/>
          <w:color w:val="auto"/>
          <w:sz w:val="24"/>
          <w:highlight w:val="none"/>
          <w:u w:val="none"/>
          <w:lang w:eastAsia="zh-CN"/>
        </w:rPr>
        <w:t>。按进度款支付要求提交资料，</w:t>
      </w:r>
      <w:r>
        <w:rPr>
          <w:rFonts w:hint="eastAsia"/>
          <w:snapToGrid w:val="0"/>
          <w:color w:val="auto"/>
          <w:highlight w:val="none"/>
        </w:rPr>
        <w:t>经发包人审核后纳入每期进度款中一并支付</w:t>
      </w:r>
      <w:r>
        <w:rPr>
          <w:snapToGrid w:val="0"/>
          <w:color w:val="auto"/>
          <w:highlight w:val="none"/>
        </w:rPr>
        <w:t>。</w:t>
      </w:r>
    </w:p>
    <w:p w14:paraId="48C4B901">
      <w:pPr>
        <w:autoSpaceDE w:val="0"/>
        <w:autoSpaceDN w:val="0"/>
        <w:adjustRightInd w:val="0"/>
        <w:snapToGrid w:val="0"/>
        <w:spacing w:line="360" w:lineRule="auto"/>
        <w:ind w:right="11" w:firstLine="482"/>
        <w:outlineLvl w:val="3"/>
        <w:rPr>
          <w:rFonts w:ascii="宋体" w:hAnsi="宋体" w:cs="宋体"/>
          <w:bCs/>
          <w:snapToGrid w:val="0"/>
          <w:color w:val="auto"/>
          <w:kern w:val="0"/>
          <w:sz w:val="24"/>
          <w:highlight w:val="none"/>
          <w:lang w:val="zh-CN"/>
        </w:rPr>
      </w:pPr>
      <w:r>
        <w:rPr>
          <w:rFonts w:hint="eastAsia" w:ascii="宋体" w:hAnsi="宋体" w:cs="宋体"/>
          <w:bCs/>
          <w:snapToGrid w:val="0"/>
          <w:color w:val="auto"/>
          <w:kern w:val="0"/>
          <w:sz w:val="24"/>
          <w:highlight w:val="none"/>
          <w:lang w:val="zh-CN"/>
        </w:rPr>
        <w:t>28.6发包人原则上按每个季度统计并计算一次变更工程和新增工程、暂列金额支付情况，当发包人统计的本合同承包范围内的总金额大于本合同价款时，发包人与承包人双方应按有关规定报相关政府主管部门同意或批准后签订补充合同。</w:t>
      </w:r>
    </w:p>
    <w:p w14:paraId="30C99AAD">
      <w:pPr>
        <w:pStyle w:val="43"/>
        <w:adjustRightInd w:val="0"/>
        <w:snapToGrid w:val="0"/>
        <w:spacing w:before="0" w:beforeAutospacing="0" w:after="0" w:afterAutospacing="0" w:line="360" w:lineRule="auto"/>
        <w:ind w:firstLine="480" w:firstLineChars="200"/>
        <w:rPr>
          <w:snapToGrid w:val="0"/>
          <w:color w:val="auto"/>
          <w:highlight w:val="none"/>
        </w:rPr>
      </w:pPr>
      <w:r>
        <w:rPr>
          <w:rFonts w:hint="eastAsia"/>
          <w:snapToGrid w:val="0"/>
          <w:color w:val="auto"/>
          <w:highlight w:val="none"/>
        </w:rPr>
        <w:t>补充合同签订后，发包人按本合同约定已支付给承包人的暂列金额，应分别回归到调整后的分部分项工程量清单、措施项目清单、其他项目清单的累计支付价款中，即补充合同的暂列金额累计支付归零。补充合同签订后暂列金额一般不再支付，在特殊情况下，经监理单位及发包人审定后可予支付，但累计支付额不得超过暂列金额总额的</w:t>
      </w:r>
      <w:r>
        <w:rPr>
          <w:rFonts w:hint="eastAsia"/>
          <w:snapToGrid w:val="0"/>
          <w:color w:val="auto"/>
          <w:highlight w:val="none"/>
          <w:lang w:val="en-US" w:eastAsia="zh-CN"/>
        </w:rPr>
        <w:t>80</w:t>
      </w:r>
      <w:r>
        <w:rPr>
          <w:rFonts w:hint="eastAsia"/>
          <w:snapToGrid w:val="0"/>
          <w:color w:val="auto"/>
          <w:highlight w:val="none"/>
        </w:rPr>
        <w:t>%。</w:t>
      </w:r>
    </w:p>
    <w:p w14:paraId="7E6EFD68">
      <w:pPr>
        <w:pStyle w:val="43"/>
        <w:adjustRightInd w:val="0"/>
        <w:snapToGrid w:val="0"/>
        <w:spacing w:before="0" w:beforeAutospacing="0" w:after="0" w:afterAutospacing="0" w:line="360" w:lineRule="auto"/>
        <w:ind w:firstLine="480" w:firstLineChars="200"/>
        <w:rPr>
          <w:snapToGrid w:val="0"/>
          <w:color w:val="auto"/>
          <w:highlight w:val="none"/>
        </w:rPr>
      </w:pPr>
    </w:p>
    <w:p w14:paraId="4E729860">
      <w:pPr>
        <w:adjustRightInd w:val="0"/>
        <w:snapToGrid w:val="0"/>
        <w:spacing w:line="360" w:lineRule="auto"/>
        <w:ind w:right="11"/>
        <w:outlineLvl w:val="1"/>
        <w:rPr>
          <w:rFonts w:ascii="宋体" w:hAnsi="宋体"/>
          <w:b/>
          <w:bCs/>
          <w:snapToGrid w:val="0"/>
          <w:color w:val="auto"/>
          <w:kern w:val="0"/>
          <w:sz w:val="28"/>
          <w:szCs w:val="28"/>
          <w:highlight w:val="none"/>
        </w:rPr>
      </w:pPr>
      <w:r>
        <w:rPr>
          <w:rFonts w:hint="eastAsia" w:ascii="宋体" w:hAnsi="宋体"/>
          <w:b/>
          <w:bCs/>
          <w:snapToGrid w:val="0"/>
          <w:color w:val="auto"/>
          <w:kern w:val="0"/>
          <w:sz w:val="28"/>
          <w:szCs w:val="28"/>
          <w:highlight w:val="none"/>
        </w:rPr>
        <w:t>七、材料设备供应</w:t>
      </w:r>
    </w:p>
    <w:p w14:paraId="4BA109ED">
      <w:pPr>
        <w:adjustRightInd w:val="0"/>
        <w:snapToGrid w:val="0"/>
        <w:spacing w:line="360" w:lineRule="auto"/>
        <w:ind w:right="11" w:firstLine="460" w:firstLineChars="192"/>
        <w:outlineLvl w:val="2"/>
        <w:rPr>
          <w:rFonts w:ascii="宋体" w:hAnsi="宋体"/>
          <w:snapToGrid w:val="0"/>
          <w:color w:val="auto"/>
          <w:kern w:val="0"/>
          <w:sz w:val="24"/>
          <w:highlight w:val="none"/>
        </w:rPr>
      </w:pPr>
      <w:r>
        <w:rPr>
          <w:rFonts w:hint="eastAsia" w:ascii="宋体" w:hAnsi="宋体"/>
          <w:snapToGrid w:val="0"/>
          <w:color w:val="auto"/>
          <w:kern w:val="0"/>
          <w:sz w:val="24"/>
          <w:highlight w:val="none"/>
        </w:rPr>
        <w:t>（一）材料设备的分类</w:t>
      </w:r>
    </w:p>
    <w:p w14:paraId="3A491B37">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1、按照备货时间的长短，本工程的材料设备分为A、B、C三大类：</w:t>
      </w:r>
    </w:p>
    <w:p w14:paraId="6ECDDF14">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（1）A类材料设备：指备货期在六个月以上（含六个月）的材料设备。主要为进口材料设备。</w:t>
      </w:r>
    </w:p>
    <w:p w14:paraId="63DC5ACE">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（2）B类材料设备：指备货期在三个月以上（含三个月）不足六个月的材料设备。主要有：柴油发电机组、冷水机组、电梯等。</w:t>
      </w:r>
    </w:p>
    <w:p w14:paraId="3DFE2D5F">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（3）C类材料设备：指备货期不足三月的材料设备。主要有：阀门、水泵、冷却塔、变压器、高低压开关柜、EPS电源、消防报警、石材等。</w:t>
      </w:r>
    </w:p>
    <w:p w14:paraId="6AFA1CAB">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对于上述各类材料设备，承包人签订供货合同的时间必须至少比第一批货物计划进场的时间提前两个月+备货期。</w:t>
      </w:r>
    </w:p>
    <w:p w14:paraId="6CF845E9">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2、按照供应单位产生方式不同，工程的材料设备分为甲供材料设备、甲招乙供材料设备、甲管乙供材料设备和乙供材料设备四大类。其中，甲招乙供材料设备、甲管乙供材料设备和乙供材料设备均属承包人采购材料设备，不因发包人及监理单位参与管理而减轻或免除承包人的任何责任及义务。本合同工程的材料设备主要为（甲供材料设备、甲招乙供材料设备、甲管乙供材料设备）和乙供材料设备，其中，若有</w:t>
      </w:r>
      <w:r>
        <w:rPr>
          <w:rFonts w:hAnsi="宋体" w:cs="宋体"/>
          <w:snapToGrid w:val="0"/>
          <w:color w:val="auto"/>
          <w:kern w:val="0"/>
          <w:sz w:val="24"/>
          <w:highlight w:val="none"/>
        </w:rPr>
        <w:t>以暂估价形式包括在</w:t>
      </w:r>
      <w:r>
        <w:rPr>
          <w:rFonts w:hint="eastAsia" w:hAnsi="宋体" w:cs="宋体"/>
          <w:snapToGrid w:val="0"/>
          <w:color w:val="auto"/>
          <w:kern w:val="0"/>
          <w:sz w:val="24"/>
          <w:highlight w:val="none"/>
        </w:rPr>
        <w:t>本合同</w:t>
      </w:r>
      <w:r>
        <w:rPr>
          <w:rFonts w:hAnsi="宋体" w:cs="宋体"/>
          <w:snapToGrid w:val="0"/>
          <w:color w:val="auto"/>
          <w:kern w:val="0"/>
          <w:sz w:val="24"/>
          <w:highlight w:val="none"/>
        </w:rPr>
        <w:t>承包范围内的工程、货物、服务属于依法必须进行招标的项目范围且达到国家规定规模标准的，应当依法进行招标。</w:t>
      </w:r>
    </w:p>
    <w:p w14:paraId="56CCFA88">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1）甲供材料设备：即发包人供应材料设备，是指由发包人直接与材料设备供应商签订供货合同并支付合同货款的材料设备。本合同中其品种、规格型号及数量等以发包人与相关材料设备供应商所签合同约定的内容为准。</w:t>
      </w:r>
    </w:p>
    <w:p w14:paraId="0B3DC3E6">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（2）</w:t>
      </w:r>
      <w:r>
        <w:rPr>
          <w:rFonts w:hint="eastAsia" w:hAnsi="宋体"/>
          <w:snapToGrid w:val="0"/>
          <w:color w:val="auto"/>
          <w:kern w:val="0"/>
          <w:sz w:val="24"/>
          <w:highlight w:val="none"/>
        </w:rPr>
        <w:t>甲招乙供材料设备：属承包人采购材料设备范畴，是指由发包人通过公开招标的方式确定材料设备供应商，发包人与材料设备供应商签订材料设备供货条件合同，承包人与材料设备供应商在供货条件合同的原则下签订具体的供货合同，并由承包人在银行的监控下，按照发包人的要求直接将甲招乙供材料设备款项支付给材料设备供应商的材料设备</w:t>
      </w:r>
      <w:r>
        <w:rPr>
          <w:rFonts w:hint="eastAsia" w:ascii="宋体" w:hAnsi="宋体"/>
          <w:snapToGrid w:val="0"/>
          <w:color w:val="auto"/>
          <w:kern w:val="0"/>
          <w:sz w:val="24"/>
          <w:highlight w:val="none"/>
        </w:rPr>
        <w:t>。本合同中其品种、规格型号、单价等</w:t>
      </w:r>
      <w:r>
        <w:rPr>
          <w:rFonts w:hint="eastAsia"/>
          <w:snapToGrid w:val="0"/>
          <w:color w:val="auto"/>
          <w:kern w:val="0"/>
          <w:sz w:val="24"/>
          <w:highlight w:val="none"/>
        </w:rPr>
        <w:t>以发包人公开招标所确定的内容为准，</w:t>
      </w:r>
      <w:r>
        <w:rPr>
          <w:rFonts w:hint="eastAsia" w:ascii="宋体" w:hAnsi="宋体"/>
          <w:snapToGrid w:val="0"/>
          <w:color w:val="auto"/>
          <w:kern w:val="0"/>
          <w:sz w:val="24"/>
          <w:highlight w:val="none"/>
        </w:rPr>
        <w:t>暂定数量以甲招乙供材料设备招标文件</w:t>
      </w:r>
      <w:r>
        <w:rPr>
          <w:rFonts w:hint="eastAsia"/>
          <w:snapToGrid w:val="0"/>
          <w:color w:val="auto"/>
          <w:kern w:val="0"/>
          <w:sz w:val="24"/>
          <w:highlight w:val="none"/>
        </w:rPr>
        <w:t>列明的内容为准。</w:t>
      </w:r>
    </w:p>
    <w:p w14:paraId="78A5CF30">
      <w:pPr>
        <w:pStyle w:val="43"/>
        <w:adjustRightInd w:val="0"/>
        <w:snapToGrid w:val="0"/>
        <w:spacing w:before="0" w:beforeAutospacing="0" w:after="0" w:afterAutospacing="0" w:line="360" w:lineRule="auto"/>
        <w:ind w:firstLine="480" w:firstLineChars="200"/>
        <w:rPr>
          <w:snapToGrid w:val="0"/>
          <w:color w:val="auto"/>
          <w:highlight w:val="none"/>
        </w:rPr>
      </w:pPr>
      <w:r>
        <w:rPr>
          <w:rFonts w:hint="eastAsia"/>
          <w:snapToGrid w:val="0"/>
          <w:color w:val="auto"/>
          <w:highlight w:val="none"/>
        </w:rPr>
        <w:t>（3）甲管乙供材料设备：属承包人采购材料设备范畴，指本合同工程的某些材料设备在招标文件中设为暂定价，由承包人与发包人共同组织招标或通过公开择优竞价方式确定材料设备供应商，然后由承包人与材料设备供应商签订供货合同并直接支付合同货款、发包人予以监管的材料设备。本合同中其品种、规格型号及数量、单价等以承包人与发包人共同组织招标或通过公开择优竞价方式所确定的内容为准。</w:t>
      </w:r>
    </w:p>
    <w:p w14:paraId="140B82FA">
      <w:pPr>
        <w:adjustRightInd w:val="0"/>
        <w:snapToGrid w:val="0"/>
        <w:spacing w:line="360" w:lineRule="auto"/>
        <w:ind w:right="11" w:firstLine="460" w:firstLineChars="192"/>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（4）乙供材料设备：属承包人采购材料设备范畴，是指由承包人根据招标文件列明的推荐品牌和合同约定自行采购并支付货款的材料设备。</w:t>
      </w:r>
    </w:p>
    <w:p w14:paraId="332F5E5D">
      <w:pPr>
        <w:pStyle w:val="43"/>
        <w:adjustRightInd w:val="0"/>
        <w:snapToGrid w:val="0"/>
        <w:spacing w:before="0" w:beforeAutospacing="0" w:after="0" w:afterAutospacing="0" w:line="360" w:lineRule="auto"/>
        <w:ind w:firstLine="480" w:firstLineChars="200"/>
        <w:outlineLvl w:val="3"/>
        <w:rPr>
          <w:snapToGrid w:val="0"/>
          <w:color w:val="auto"/>
          <w:highlight w:val="none"/>
        </w:rPr>
      </w:pPr>
      <w:r>
        <w:rPr>
          <w:rFonts w:hint="eastAsia"/>
          <w:snapToGrid w:val="0"/>
          <w:color w:val="auto"/>
          <w:highlight w:val="none"/>
        </w:rPr>
        <w:t>3、发包人有权根据工程实际情况对材料设备分类、供应方式进行调整。</w:t>
      </w:r>
    </w:p>
    <w:p w14:paraId="43B534EB">
      <w:pPr>
        <w:adjustRightInd w:val="0"/>
        <w:snapToGrid w:val="0"/>
        <w:spacing w:line="360" w:lineRule="auto"/>
        <w:ind w:right="11" w:firstLine="480" w:firstLineChars="200"/>
        <w:outlineLvl w:val="2"/>
        <w:rPr>
          <w:rFonts w:ascii="宋体" w:hAnsi="宋体"/>
          <w:snapToGrid w:val="0"/>
          <w:color w:val="auto"/>
          <w:kern w:val="0"/>
          <w:sz w:val="24"/>
          <w:highlight w:val="none"/>
        </w:rPr>
      </w:pPr>
      <w:r>
        <w:rPr>
          <w:rFonts w:hint="eastAsia" w:ascii="宋体" w:hAnsi="宋体"/>
          <w:snapToGrid w:val="0"/>
          <w:color w:val="auto"/>
          <w:kern w:val="0"/>
          <w:sz w:val="24"/>
          <w:highlight w:val="none"/>
        </w:rPr>
        <w:t>（二）发包人、承包人一致同意在本合同签订后一个月内，会同监理单位参照上述分类及分工编制本工程主要材料设备供应计划并严格执行（数量较大的材料设备应分批到货，不可分割的材料设备应同时到货）。其中，所有材料设备的下料单均应由承包人填报并经监理单位及发包人批准方可实施，发包人及监理单位的批准不免除承包人因下料单失误（包括但不限于供应计划不准确、不及时、数量规格与实际需求不符等）影响工程质量、进度等的责任。</w:t>
      </w:r>
    </w:p>
    <w:p w14:paraId="1E949393">
      <w:pPr>
        <w:adjustRightInd w:val="0"/>
        <w:snapToGrid w:val="0"/>
        <w:spacing w:line="360" w:lineRule="auto"/>
        <w:ind w:firstLine="480" w:firstLineChars="200"/>
        <w:outlineLvl w:val="2"/>
        <w:rPr>
          <w:rFonts w:ascii="宋体" w:hAnsi="宋体" w:cs="宋体"/>
          <w:snapToGrid w:val="0"/>
          <w:color w:val="auto"/>
          <w:kern w:val="0"/>
          <w:sz w:val="24"/>
          <w:szCs w:val="21"/>
          <w:highlight w:val="none"/>
          <w:lang w:val="zh-CN"/>
        </w:rPr>
      </w:pPr>
      <w:r>
        <w:rPr>
          <w:rFonts w:hint="eastAsia" w:ascii="宋体" w:hAnsi="宋体"/>
          <w:snapToGrid w:val="0"/>
          <w:color w:val="auto"/>
          <w:kern w:val="0"/>
          <w:sz w:val="24"/>
          <w:highlight w:val="none"/>
        </w:rPr>
        <w:t>（三）发包人将委托有资质的产品质量监督检验机构并由该机构依据合同约定对本工程进行材料设备技术检验（包括到厂抽检）和现场技术质量管理，承包人应予积极配合。凡用于本工程的材料设备必须贴上该机构的检验合格标志方可使用，没有该检验合格标志的材料设备视同不合格产品，发包人有权要求承包人拆除、调换或运出施工场地，或发包人自行组织拆除、调换或运出施工场地，因此所发生的费用和所造成的损失及责任全部由承包人承担。</w:t>
      </w:r>
    </w:p>
    <w:p w14:paraId="1B8FF4EA">
      <w:pPr>
        <w:adjustRightInd w:val="0"/>
        <w:snapToGrid w:val="0"/>
        <w:spacing w:line="360" w:lineRule="auto"/>
        <w:ind w:firstLine="480" w:firstLineChars="200"/>
        <w:outlineLvl w:val="2"/>
        <w:rPr>
          <w:rFonts w:ascii="宋体" w:hAnsi="宋体"/>
          <w:snapToGrid w:val="0"/>
          <w:color w:val="auto"/>
          <w:kern w:val="0"/>
          <w:sz w:val="24"/>
          <w:highlight w:val="none"/>
        </w:rPr>
      </w:pPr>
      <w:r>
        <w:rPr>
          <w:rFonts w:hint="eastAsia" w:ascii="宋体" w:hAnsi="宋体"/>
          <w:snapToGrid w:val="0"/>
          <w:color w:val="auto"/>
          <w:kern w:val="0"/>
          <w:sz w:val="24"/>
          <w:highlight w:val="none"/>
        </w:rPr>
        <w:t>（四）承包人承诺：所有的材料设备均严格按照相关技术规范、用户需求书选用，并保证材料设备参数的真实性、有效性，如发生材料设备货不对板、或以低品质材料设备冒充高品质材料设备、或以低技术档次系列的产品冒充高技术档次系列的产品的情况，该材料设备不得在本工程使用。发包人有权按照对本工程最有利的原则要求承包人更换为满足设计要求的高品质材料设备或高技术档次系列的产品，且价格不作调整；同时承包人应承担由此产生的有关违约责任和其他法律责任。</w:t>
      </w:r>
    </w:p>
    <w:p w14:paraId="05C81ACA">
      <w:pPr>
        <w:adjustRightInd w:val="0"/>
        <w:snapToGrid w:val="0"/>
        <w:spacing w:line="360" w:lineRule="auto"/>
        <w:ind w:firstLine="480" w:firstLineChars="200"/>
        <w:outlineLvl w:val="2"/>
        <w:rPr>
          <w:rFonts w:ascii="宋体" w:hAnsi="宋体"/>
          <w:snapToGrid w:val="0"/>
          <w:color w:val="auto"/>
          <w:kern w:val="0"/>
          <w:sz w:val="24"/>
          <w:highlight w:val="none"/>
        </w:rPr>
      </w:pPr>
      <w:r>
        <w:rPr>
          <w:rFonts w:hint="eastAsia" w:ascii="宋体" w:hAnsi="宋体"/>
          <w:snapToGrid w:val="0"/>
          <w:color w:val="auto"/>
          <w:kern w:val="0"/>
          <w:sz w:val="24"/>
          <w:szCs w:val="24"/>
          <w:highlight w:val="none"/>
        </w:rPr>
        <w:t>（五）发包人通过</w:t>
      </w:r>
      <w:r>
        <w:rPr>
          <w:rFonts w:hint="eastAsia"/>
          <w:snapToGrid w:val="0"/>
          <w:color w:val="auto"/>
          <w:sz w:val="24"/>
          <w:szCs w:val="24"/>
          <w:highlight w:val="none"/>
        </w:rPr>
        <w:t>招标或</w:t>
      </w:r>
      <w:r>
        <w:rPr>
          <w:rFonts w:hint="eastAsia" w:ascii="宋体" w:hAnsi="宋体"/>
          <w:snapToGrid w:val="0"/>
          <w:color w:val="auto"/>
          <w:kern w:val="0"/>
          <w:sz w:val="24"/>
          <w:szCs w:val="24"/>
          <w:highlight w:val="none"/>
        </w:rPr>
        <w:t>公开征集的方式确定本工程所需材料设备的合格供应商。承包人承诺：发包人通过</w:t>
      </w:r>
      <w:r>
        <w:rPr>
          <w:rFonts w:hint="eastAsia"/>
          <w:snapToGrid w:val="0"/>
          <w:color w:val="auto"/>
          <w:sz w:val="24"/>
          <w:szCs w:val="24"/>
          <w:highlight w:val="none"/>
        </w:rPr>
        <w:t>招标或</w:t>
      </w:r>
      <w:r>
        <w:rPr>
          <w:rFonts w:hint="eastAsia" w:ascii="宋体" w:hAnsi="宋体"/>
          <w:snapToGrid w:val="0"/>
          <w:color w:val="auto"/>
          <w:kern w:val="0"/>
          <w:sz w:val="24"/>
          <w:szCs w:val="24"/>
          <w:highlight w:val="none"/>
        </w:rPr>
        <w:t>公开征集确定的合格供应商的产品优先用于本工程，</w:t>
      </w:r>
      <w:r>
        <w:rPr>
          <w:rFonts w:hint="eastAsia" w:ascii="宋体" w:hAnsi="宋体"/>
          <w:snapToGrid w:val="0"/>
          <w:color w:val="auto"/>
          <w:kern w:val="0"/>
          <w:sz w:val="24"/>
          <w:highlight w:val="none"/>
        </w:rPr>
        <w:t>投标文件拟投入本工程的材料设备在工程实施过程中不得更换；实施时如确需更换供应商或材料设备，须报发包人同意。</w:t>
      </w:r>
    </w:p>
    <w:p w14:paraId="416575C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本着对项目有利的原则，发包人有权选用合格供应商名录中信誉更好的供应商、《设备材料品牌推荐表》中档次更高、质量更优的材料设备投入本工程，但结算时材料设备单价按中标单价保持不变。只有当发包人明确放弃上述权利时，承包人方可在合格供应商名录及推荐品牌中自主选择，报发包人同意后更换，但结算时材料设备单价按中标单价保持不变。</w:t>
      </w:r>
    </w:p>
    <w:p w14:paraId="70AFDB23">
      <w:pPr>
        <w:adjustRightInd w:val="0"/>
        <w:snapToGrid w:val="0"/>
        <w:spacing w:line="360" w:lineRule="auto"/>
        <w:ind w:firstLine="482" w:firstLineChars="200"/>
        <w:rPr>
          <w:rFonts w:ascii="宋体" w:hAnsi="宋体"/>
          <w:b/>
          <w:snapToGrid w:val="0"/>
          <w:color w:val="auto"/>
          <w:kern w:val="0"/>
          <w:sz w:val="24"/>
          <w:highlight w:val="none"/>
        </w:rPr>
      </w:pPr>
      <w:r>
        <w:rPr>
          <w:rFonts w:hint="eastAsia" w:ascii="宋体" w:hAnsi="宋体"/>
          <w:b/>
          <w:snapToGrid w:val="0"/>
          <w:color w:val="auto"/>
          <w:kern w:val="0"/>
          <w:sz w:val="24"/>
          <w:highlight w:val="none"/>
        </w:rPr>
        <w:t>承包人与发包人一致同意不适用合同通用条款第29条的约定，代之以：</w:t>
      </w:r>
    </w:p>
    <w:p w14:paraId="3BE9DBBF">
      <w:pPr>
        <w:adjustRightInd w:val="0"/>
        <w:snapToGrid w:val="0"/>
        <w:spacing w:line="360" w:lineRule="auto"/>
        <w:ind w:right="11" w:firstLine="463" w:firstLineChars="192"/>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29、发包人供应材料设备（甲供材料设备）</w:t>
      </w:r>
    </w:p>
    <w:p w14:paraId="572D3371">
      <w:pPr>
        <w:pStyle w:val="43"/>
        <w:adjustRightInd w:val="0"/>
        <w:snapToGrid w:val="0"/>
        <w:spacing w:before="0" w:beforeAutospacing="0" w:after="0" w:afterAutospacing="0" w:line="360" w:lineRule="auto"/>
        <w:ind w:firstLine="480" w:firstLineChars="200"/>
        <w:outlineLvl w:val="3"/>
        <w:rPr>
          <w:snapToGrid w:val="0"/>
          <w:color w:val="auto"/>
          <w:highlight w:val="none"/>
        </w:rPr>
      </w:pPr>
      <w:r>
        <w:rPr>
          <w:rFonts w:hint="eastAsia"/>
          <w:snapToGrid w:val="0"/>
          <w:color w:val="auto"/>
          <w:highlight w:val="none"/>
        </w:rPr>
        <w:t>29.1由发包人供应的材料设备，发包人委托承包人承担本条款所约定工作，发包人依据招标文件和本合同约定向承包人另行支付相应的材料设备管理费。</w:t>
      </w:r>
    </w:p>
    <w:p w14:paraId="4102A98E">
      <w:pPr>
        <w:pStyle w:val="43"/>
        <w:adjustRightInd w:val="0"/>
        <w:snapToGrid w:val="0"/>
        <w:spacing w:before="0" w:beforeAutospacing="0" w:after="0" w:afterAutospacing="0" w:line="360" w:lineRule="auto"/>
        <w:ind w:firstLine="480" w:firstLineChars="200"/>
        <w:outlineLvl w:val="3"/>
        <w:rPr>
          <w:snapToGrid w:val="0"/>
          <w:color w:val="auto"/>
          <w:highlight w:val="none"/>
        </w:rPr>
      </w:pPr>
      <w:r>
        <w:rPr>
          <w:rFonts w:hint="eastAsia"/>
          <w:snapToGrid w:val="0"/>
          <w:color w:val="auto"/>
          <w:highlight w:val="none"/>
        </w:rPr>
        <w:t>29.2承包人负责甲供材料设备的设计联络，负责</w:t>
      </w:r>
      <w:r>
        <w:rPr>
          <w:snapToGrid w:val="0"/>
          <w:color w:val="auto"/>
          <w:highlight w:val="none"/>
        </w:rPr>
        <w:t>提供</w:t>
      </w:r>
      <w:r>
        <w:rPr>
          <w:rFonts w:hint="eastAsia"/>
          <w:snapToGrid w:val="0"/>
          <w:color w:val="auto"/>
          <w:highlight w:val="none"/>
        </w:rPr>
        <w:t>甲供材料设备</w:t>
      </w:r>
      <w:r>
        <w:rPr>
          <w:snapToGrid w:val="0"/>
          <w:color w:val="auto"/>
          <w:highlight w:val="none"/>
        </w:rPr>
        <w:t>清单，并详细说明规格、型号、数量、有关技术参数以及计划使用和要求进场时间</w:t>
      </w:r>
      <w:r>
        <w:rPr>
          <w:rFonts w:hint="eastAsia"/>
          <w:snapToGrid w:val="0"/>
          <w:color w:val="auto"/>
          <w:highlight w:val="none"/>
        </w:rPr>
        <w:t>，负责编制甲供材料设备的</w:t>
      </w:r>
      <w:r>
        <w:rPr>
          <w:snapToGrid w:val="0"/>
          <w:color w:val="auto"/>
          <w:highlight w:val="none"/>
        </w:rPr>
        <w:t>供应总计划和分阶段供应计划</w:t>
      </w:r>
      <w:r>
        <w:rPr>
          <w:rFonts w:hint="eastAsia"/>
          <w:snapToGrid w:val="0"/>
          <w:color w:val="auto"/>
          <w:highlight w:val="none"/>
        </w:rPr>
        <w:t>，并根据工程建设的实际需要及时调整计划，</w:t>
      </w:r>
      <w:r>
        <w:rPr>
          <w:snapToGrid w:val="0"/>
          <w:color w:val="auto"/>
          <w:highlight w:val="none"/>
        </w:rPr>
        <w:t>经监理单位审核后，</w:t>
      </w:r>
      <w:r>
        <w:rPr>
          <w:rFonts w:hint="eastAsia"/>
          <w:snapToGrid w:val="0"/>
          <w:color w:val="auto"/>
          <w:highlight w:val="none"/>
        </w:rPr>
        <w:t>报发包人审批</w:t>
      </w:r>
      <w:r>
        <w:rPr>
          <w:snapToGrid w:val="0"/>
          <w:color w:val="auto"/>
          <w:highlight w:val="none"/>
        </w:rPr>
        <w:t>。</w:t>
      </w:r>
      <w:r>
        <w:rPr>
          <w:rFonts w:hint="eastAsia"/>
          <w:snapToGrid w:val="0"/>
          <w:color w:val="auto"/>
          <w:highlight w:val="none"/>
        </w:rPr>
        <w:t>承包人编制的计划必须充分考虑甲供材料设备的备货期，必须保证签订供货合同的时间至少比第一批货物计划进场的时间提前两个月+备货期。</w:t>
      </w:r>
    </w:p>
    <w:p w14:paraId="33F70582">
      <w:pPr>
        <w:pStyle w:val="43"/>
        <w:adjustRightInd w:val="0"/>
        <w:snapToGrid w:val="0"/>
        <w:spacing w:before="0" w:beforeAutospacing="0" w:after="0" w:afterAutospacing="0" w:line="360" w:lineRule="auto"/>
        <w:ind w:firstLine="480" w:firstLineChars="200"/>
        <w:outlineLvl w:val="3"/>
        <w:rPr>
          <w:snapToGrid w:val="0"/>
          <w:color w:val="auto"/>
          <w:highlight w:val="none"/>
        </w:rPr>
      </w:pPr>
      <w:r>
        <w:rPr>
          <w:rFonts w:hint="eastAsia"/>
          <w:snapToGrid w:val="0"/>
          <w:color w:val="auto"/>
          <w:highlight w:val="none"/>
        </w:rPr>
        <w:t>29.3承包人应对其编制的甲供材料设备供货计划（包括计划调整）的正确性、及时性和完整性全面负责。由于承包人原因（如供货计划不正确、不及时或调整的供货计划未及时书面通知供货人等）造成供货人未按供货计划提供货物，由承包人承担工期延误责任，工期不予顺延，并按合同专用条款第38.8款的有关约定承担违约责任并赔偿由此给发包人造成的损失。</w:t>
      </w:r>
    </w:p>
    <w:p w14:paraId="4C011C4A">
      <w:pPr>
        <w:pStyle w:val="43"/>
        <w:adjustRightInd w:val="0"/>
        <w:snapToGrid w:val="0"/>
        <w:spacing w:before="0" w:beforeAutospacing="0" w:after="0" w:afterAutospacing="0" w:line="360" w:lineRule="auto"/>
        <w:ind w:firstLine="480" w:firstLineChars="200"/>
        <w:outlineLvl w:val="3"/>
        <w:rPr>
          <w:snapToGrid w:val="0"/>
          <w:color w:val="auto"/>
          <w:highlight w:val="none"/>
        </w:rPr>
      </w:pPr>
      <w:r>
        <w:rPr>
          <w:rFonts w:hint="eastAsia"/>
          <w:snapToGrid w:val="0"/>
          <w:color w:val="auto"/>
          <w:highlight w:val="none"/>
        </w:rPr>
        <w:t>29.4承包人承担甲供材料设备催交的责任，监督检查供货人按供货计划执行，若供货人未按计划执行，承包人应及时把信息反馈给监理单位及发包人，并及时调整供货计划，否则造成的工期延误由承包人负责。</w:t>
      </w:r>
    </w:p>
    <w:p w14:paraId="04CF90F8">
      <w:pPr>
        <w:pStyle w:val="43"/>
        <w:adjustRightInd w:val="0"/>
        <w:snapToGrid w:val="0"/>
        <w:spacing w:before="0" w:beforeAutospacing="0" w:after="0" w:afterAutospacing="0" w:line="360" w:lineRule="auto"/>
        <w:ind w:firstLine="480" w:firstLineChars="200"/>
        <w:outlineLvl w:val="3"/>
        <w:rPr>
          <w:snapToGrid w:val="0"/>
          <w:color w:val="auto"/>
          <w:highlight w:val="none"/>
        </w:rPr>
      </w:pPr>
      <w:r>
        <w:rPr>
          <w:rFonts w:hint="eastAsia"/>
          <w:snapToGrid w:val="0"/>
          <w:color w:val="auto"/>
          <w:highlight w:val="none"/>
        </w:rPr>
        <w:t>29.5若因发包人原因造成供货人未按供货计划提供货物，由发包人承担工期延误责任。</w:t>
      </w:r>
    </w:p>
    <w:p w14:paraId="50408E3B">
      <w:pPr>
        <w:pStyle w:val="43"/>
        <w:adjustRightInd w:val="0"/>
        <w:snapToGrid w:val="0"/>
        <w:spacing w:before="0" w:beforeAutospacing="0" w:after="0" w:afterAutospacing="0" w:line="360" w:lineRule="auto"/>
        <w:ind w:firstLine="480" w:firstLineChars="200"/>
        <w:outlineLvl w:val="3"/>
        <w:rPr>
          <w:snapToGrid w:val="0"/>
          <w:color w:val="auto"/>
          <w:highlight w:val="none"/>
        </w:rPr>
      </w:pPr>
      <w:r>
        <w:rPr>
          <w:rFonts w:hint="eastAsia"/>
          <w:snapToGrid w:val="0"/>
          <w:color w:val="auto"/>
          <w:highlight w:val="none"/>
        </w:rPr>
        <w:t>29.6供货人负责将甲供材料设备运至工地现场并卸车至承包人指定仓库。承包人负责对甲供材料设备质量和数量的验收、从仓库至施工现场的搬运、垂直运输、保管（含工地仓库的材料存储损耗）、安装、验收等，并于到货之日起2日内及时签发甲供材料设备到货凭证并协助供货人办理必要的支付手续，否则按合同专用条款第38.15款承担违约责任。</w:t>
      </w:r>
    </w:p>
    <w:p w14:paraId="31CB7576">
      <w:pPr>
        <w:pStyle w:val="43"/>
        <w:adjustRightInd w:val="0"/>
        <w:snapToGrid w:val="0"/>
        <w:spacing w:before="0" w:beforeAutospacing="0" w:after="0" w:afterAutospacing="0" w:line="360" w:lineRule="auto"/>
        <w:ind w:firstLine="480" w:firstLineChars="200"/>
        <w:outlineLvl w:val="3"/>
        <w:rPr>
          <w:snapToGrid w:val="0"/>
          <w:color w:val="auto"/>
          <w:highlight w:val="none"/>
        </w:rPr>
      </w:pPr>
      <w:r>
        <w:rPr>
          <w:rFonts w:hint="eastAsia"/>
          <w:snapToGrid w:val="0"/>
          <w:color w:val="auto"/>
          <w:highlight w:val="none"/>
        </w:rPr>
        <w:t>29.7承包人应及时验收并妥善保管本工程的全部甲供材料设备，因承包人原因发生丢失损坏的，由承包人负责赔偿。</w:t>
      </w:r>
    </w:p>
    <w:p w14:paraId="5C61E2D0">
      <w:pPr>
        <w:pStyle w:val="43"/>
        <w:adjustRightInd w:val="0"/>
        <w:snapToGrid w:val="0"/>
        <w:spacing w:before="0" w:beforeAutospacing="0" w:after="0" w:afterAutospacing="0" w:line="360" w:lineRule="auto"/>
        <w:ind w:firstLine="480" w:firstLineChars="200"/>
        <w:outlineLvl w:val="3"/>
        <w:rPr>
          <w:snapToGrid w:val="0"/>
          <w:color w:val="auto"/>
          <w:highlight w:val="none"/>
        </w:rPr>
      </w:pPr>
      <w:r>
        <w:rPr>
          <w:rFonts w:hint="eastAsia"/>
          <w:snapToGrid w:val="0"/>
          <w:color w:val="auto"/>
          <w:highlight w:val="none"/>
        </w:rPr>
        <w:t>29.8工程结算时，发包人依据竣工图对甲供材料设备进行结算，超出竣工图数量而承包人供应计划已下达并已签收的货物的价款由承包人承担，并在结算时相应扣除。</w:t>
      </w:r>
    </w:p>
    <w:p w14:paraId="5A731616">
      <w:pPr>
        <w:adjustRightInd w:val="0"/>
        <w:snapToGrid w:val="0"/>
        <w:spacing w:line="360" w:lineRule="auto"/>
        <w:ind w:right="11" w:firstLine="463" w:firstLineChars="192"/>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30、承包人采购材料设备</w:t>
      </w:r>
    </w:p>
    <w:p w14:paraId="60E5EBCE">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30.1承包人采购的材料设备主要为（甲招乙供材料设备、甲管乙供材料设备）和乙供材料设备。</w:t>
      </w:r>
    </w:p>
    <w:p w14:paraId="5D65A3D2">
      <w:pPr>
        <w:adjustRightInd w:val="0"/>
        <w:snapToGrid w:val="0"/>
        <w:spacing w:line="360" w:lineRule="auto"/>
        <w:ind w:right="11" w:firstLine="463" w:firstLineChars="192"/>
        <w:rPr>
          <w:rFonts w:ascii="宋体" w:hAnsi="宋体"/>
          <w:bCs/>
          <w:snapToGrid w:val="0"/>
          <w:color w:val="auto"/>
          <w:kern w:val="0"/>
          <w:sz w:val="24"/>
          <w:highlight w:val="none"/>
        </w:rPr>
      </w:pPr>
      <w:r>
        <w:rPr>
          <w:rFonts w:hint="eastAsia" w:ascii="宋体" w:hAnsi="宋体"/>
          <w:b/>
          <w:snapToGrid w:val="0"/>
          <w:color w:val="auto"/>
          <w:kern w:val="0"/>
          <w:sz w:val="24"/>
          <w:highlight w:val="none"/>
        </w:rPr>
        <w:t>承包人和发包人一致同意增加30.7至30.9：</w:t>
      </w:r>
    </w:p>
    <w:p w14:paraId="31F08007">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30.7甲招乙供材料设备的管理</w:t>
      </w:r>
    </w:p>
    <w:p w14:paraId="57232A12">
      <w:pPr>
        <w:pStyle w:val="25"/>
        <w:adjustRightInd w:val="0"/>
        <w:snapToGrid w:val="0"/>
        <w:spacing w:line="360" w:lineRule="auto"/>
        <w:ind w:firstLine="480" w:firstLineChars="200"/>
        <w:rPr>
          <w:snapToGrid w:val="0"/>
          <w:color w:val="auto"/>
          <w:kern w:val="0"/>
          <w:sz w:val="24"/>
          <w:szCs w:val="24"/>
          <w:highlight w:val="none"/>
        </w:rPr>
      </w:pPr>
      <w:r>
        <w:rPr>
          <w:rFonts w:hint="eastAsia"/>
          <w:snapToGrid w:val="0"/>
          <w:color w:val="auto"/>
          <w:kern w:val="0"/>
          <w:sz w:val="24"/>
          <w:szCs w:val="24"/>
          <w:highlight w:val="none"/>
        </w:rPr>
        <w:t>（1）甲招乙供材料设备属承包人采购材料设备范畴，承包人确认发包人通过公开招标方式选定的本合同工程所需的甲招乙供材料设备供应商及货物品牌是为确保工程质量达到要求所必需的，符合承包人的利益，承包人承诺无条件按发包人的要求与甲招乙供材料设备供应商签订供货合同并接受相对应招投标文件及供货条件合同的约束。</w:t>
      </w:r>
    </w:p>
    <w:p w14:paraId="3B756E57">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2）承包人必须严格按照本合同有关承包人采购材料设备的约定对甲招乙供材料设备进行管理，对甲招乙供材料设备的供应和质量承担全部责任。因甲招乙供材料设备供应不及时造成工期延误的，由承包人按合同专用条款第38.8款的有关约定承担违约责任；因甲招乙供材料设备质量问题给本工程造成损害的，由承包人按合同专用条款第38.10款的有关约定承担违约责任。</w:t>
      </w:r>
    </w:p>
    <w:p w14:paraId="0634FF54">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3）承包人应以中标通知书确定的单价为依据与甲招乙供材料设备供应商签订合同，发包人依据招标文件和本合同约定向承包人另行支付相应管理费及工程税金。承包人不得以任何理由要求甲招乙供材料设备供应商支付相应管理费及工程税金。</w:t>
      </w:r>
    </w:p>
    <w:p w14:paraId="6057F362">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4）承包人应严格按照本合同、招标文件及与甲招乙供材料设备供应商所签合同的约定及时审核、申请、支付甲招乙供材料设备价款，并在银行的监控下，按照发包人的要求直接将甲招乙供材料设备款项按合同专用条款第30.7（8）款的约定支付给材料设备供应商，否则应按合同专用条款第38.15款承担违约责任。</w:t>
      </w:r>
    </w:p>
    <w:p w14:paraId="56A5B671">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（5）承包人应严格按照本合同、招标文件及与甲招乙供材料设备供应商所签合同的约定及时组织对进场的甲招乙供材料设备进行清点验收，并严把甲招乙供材料设备质量关。</w:t>
      </w:r>
    </w:p>
    <w:p w14:paraId="160AE716">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（6）由于承包人原因导致本工程甲招乙供材料设备供货不及时，造成发包人需向其他供应商购买相关材料设备的，所发生的增加费用全部由承包人承担，发包人有权在支付给承包人合同价款时予以直接扣除。</w:t>
      </w:r>
    </w:p>
    <w:p w14:paraId="7E229ACC">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（7）承包人和甲招乙供材料设备供应商都应当严格按照合同约定履行各自的义务。承包人依据合同约定对甲招乙供材料设备供应商进行违约处理时应事先报请发包人批准。</w:t>
      </w:r>
    </w:p>
    <w:p w14:paraId="578486BA">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8）为确保专款专用，减少争议，避免纠纷，承包人应按照发包人的要求，在发包人与甲招乙供材料设备供应商签订供货条件合同、甲招乙供材料设备供应商足额向发包人提交履约担保且承包人与甲招乙供材料设备供应商签订供货合同后的7个工作日内，与发包人、发包人指定的银行及甲招乙供材料设备供应商签订四方协议，并按照四方协议约定在银行的监控下，通过专用账号将甲招乙供材料设备款项直接支付至材料设备供应商的专用账号。</w:t>
      </w:r>
    </w:p>
    <w:p w14:paraId="5DD76EF9">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30.8甲管乙供材料设备的管理</w:t>
      </w:r>
    </w:p>
    <w:p w14:paraId="6FC3266B">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1）甲管乙供材料设备属承包人采购材料设备范畴，承包人必须严格按照本合同有关承包人采购材料设备的约定对甲管乙供材料设备进行管理，对甲管乙供材料设备的供应和质量承担全部责任。因甲管乙供材料设备供应不及时造成工期延误的，由承包人按合同专用条款第38.8款的有关约定承担违约责任；因甲管乙供材料设备质量问题给本工程造成损害的，由承包人按合同专用条款第38.10款的有关约定承担违约责任。</w:t>
      </w:r>
    </w:p>
    <w:p w14:paraId="4624DB54">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（2）承包人与发包人共同组织本工程甲管乙供材料设备的</w:t>
      </w:r>
      <w:r>
        <w:rPr>
          <w:rFonts w:hint="eastAsia"/>
          <w:snapToGrid w:val="0"/>
          <w:color w:val="auto"/>
          <w:sz w:val="24"/>
          <w:szCs w:val="24"/>
          <w:highlight w:val="none"/>
        </w:rPr>
        <w:t>招标或</w:t>
      </w:r>
      <w:r>
        <w:rPr>
          <w:rFonts w:hint="eastAsia" w:hAnsi="宋体"/>
          <w:snapToGrid w:val="0"/>
          <w:color w:val="auto"/>
          <w:kern w:val="0"/>
          <w:sz w:val="24"/>
          <w:szCs w:val="24"/>
          <w:highlight w:val="none"/>
        </w:rPr>
        <w:t>公开择优竞价工作，共同起草、审核</w:t>
      </w:r>
      <w:r>
        <w:rPr>
          <w:rFonts w:hint="eastAsia"/>
          <w:snapToGrid w:val="0"/>
          <w:color w:val="auto"/>
          <w:sz w:val="24"/>
          <w:szCs w:val="24"/>
          <w:highlight w:val="none"/>
        </w:rPr>
        <w:t>招标文件或</w:t>
      </w:r>
      <w:r>
        <w:rPr>
          <w:rFonts w:hint="eastAsia" w:hAnsi="宋体"/>
          <w:snapToGrid w:val="0"/>
          <w:color w:val="auto"/>
          <w:kern w:val="0"/>
          <w:sz w:val="24"/>
          <w:szCs w:val="24"/>
          <w:highlight w:val="none"/>
        </w:rPr>
        <w:t>公开择优竞价文件，并予以会签确认，按有关规定或项目要求组织有关专家进行评审。</w:t>
      </w:r>
    </w:p>
    <w:p w14:paraId="14F502D0">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（3）承包人应在中标（选）单位确定后两天（或发包人通知的时间）内书面通知中标（选）单位进场对现场安装条件进行核对并交发包人备案确认。</w:t>
      </w:r>
    </w:p>
    <w:p w14:paraId="17065BBA">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（4）承包人应于中标（选）通知书发出后7天内通知中标（选）单位按甲管乙供材料设备暂定总价款的5%向发包人交纳供货措施保证金并负责督促落实。此供货措施保证金按</w:t>
      </w:r>
      <w:r>
        <w:rPr>
          <w:rFonts w:hint="eastAsia"/>
          <w:snapToGrid w:val="0"/>
          <w:color w:val="auto"/>
          <w:sz w:val="24"/>
          <w:szCs w:val="24"/>
          <w:highlight w:val="none"/>
        </w:rPr>
        <w:t>招标文件或</w:t>
      </w:r>
      <w:r>
        <w:rPr>
          <w:rFonts w:hint="eastAsia" w:hAnsi="宋体"/>
          <w:snapToGrid w:val="0"/>
          <w:color w:val="auto"/>
          <w:kern w:val="0"/>
          <w:sz w:val="24"/>
          <w:szCs w:val="24"/>
          <w:highlight w:val="none"/>
        </w:rPr>
        <w:t>公开择优竞价文件约定用于甲管乙供材料设备管理，并于此甲管乙供材料设备供应工作结束后10天内无息退回（扣除已发生的违约处罚金额）。</w:t>
      </w:r>
    </w:p>
    <w:p w14:paraId="3DB21CC2">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（5）承包人应按</w:t>
      </w:r>
      <w:r>
        <w:rPr>
          <w:rFonts w:hint="eastAsia"/>
          <w:snapToGrid w:val="0"/>
          <w:color w:val="auto"/>
          <w:sz w:val="24"/>
          <w:szCs w:val="24"/>
          <w:highlight w:val="none"/>
        </w:rPr>
        <w:t>招标文件或</w:t>
      </w:r>
      <w:r>
        <w:rPr>
          <w:rFonts w:hint="eastAsia" w:hAnsi="宋体"/>
          <w:snapToGrid w:val="0"/>
          <w:color w:val="auto"/>
          <w:kern w:val="0"/>
          <w:sz w:val="24"/>
          <w:szCs w:val="24"/>
          <w:highlight w:val="none"/>
        </w:rPr>
        <w:t>公开择优竞价文件规定的时间或者发包人限定的时间以中标（选）通知书确定的单价为依据与甲管乙供材料设备供应单位签订合同[最迟不得超过中标（选）通知书发出后30天]，发包人依据</w:t>
      </w:r>
      <w:r>
        <w:rPr>
          <w:rFonts w:hint="eastAsia"/>
          <w:snapToGrid w:val="0"/>
          <w:color w:val="auto"/>
          <w:sz w:val="24"/>
          <w:szCs w:val="24"/>
          <w:highlight w:val="none"/>
        </w:rPr>
        <w:t>招标文件或</w:t>
      </w:r>
      <w:r>
        <w:rPr>
          <w:rFonts w:hint="eastAsia" w:hAnsi="宋体"/>
          <w:snapToGrid w:val="0"/>
          <w:color w:val="auto"/>
          <w:kern w:val="0"/>
          <w:sz w:val="24"/>
          <w:szCs w:val="24"/>
          <w:highlight w:val="none"/>
        </w:rPr>
        <w:t>公开择优竞价文件和本合同约定向承包人另行支付相应工程税金。承包人相应管理费已含于甲管乙供材料设备单价中，按</w:t>
      </w:r>
      <w:r>
        <w:rPr>
          <w:rFonts w:hint="eastAsia"/>
          <w:snapToGrid w:val="0"/>
          <w:color w:val="auto"/>
          <w:sz w:val="24"/>
          <w:szCs w:val="24"/>
          <w:highlight w:val="none"/>
        </w:rPr>
        <w:t>招标文件或</w:t>
      </w:r>
      <w:r>
        <w:rPr>
          <w:rFonts w:hint="eastAsia" w:hAnsi="宋体"/>
          <w:snapToGrid w:val="0"/>
          <w:color w:val="auto"/>
          <w:kern w:val="0"/>
          <w:sz w:val="24"/>
          <w:szCs w:val="24"/>
          <w:highlight w:val="none"/>
        </w:rPr>
        <w:t>公开择优竞价文件约定执行。</w:t>
      </w:r>
    </w:p>
    <w:p w14:paraId="20C0165F">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（6）承包人应严格按照本合同、</w:t>
      </w:r>
      <w:r>
        <w:rPr>
          <w:rFonts w:hint="eastAsia"/>
          <w:snapToGrid w:val="0"/>
          <w:color w:val="auto"/>
          <w:sz w:val="24"/>
          <w:szCs w:val="24"/>
          <w:highlight w:val="none"/>
        </w:rPr>
        <w:t>招标文件或</w:t>
      </w:r>
      <w:r>
        <w:rPr>
          <w:rFonts w:hint="eastAsia" w:hAnsi="宋体"/>
          <w:snapToGrid w:val="0"/>
          <w:color w:val="auto"/>
          <w:kern w:val="0"/>
          <w:sz w:val="24"/>
          <w:szCs w:val="24"/>
          <w:highlight w:val="none"/>
        </w:rPr>
        <w:t>公开择优竞价文件及与甲管乙供材料设备供应商所签合同的约定及时审核、申请支付甲管乙供材料设备价款，且在收到发包人支付的款项后三个工作日内将相关款项支付给甲管乙供材料设备供应单位，并在下一次申请付款时向发包人提交本次支付凭证复印件作为支持材料。</w:t>
      </w:r>
    </w:p>
    <w:p w14:paraId="6E267409">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（7）承包人应严格按照</w:t>
      </w:r>
      <w:r>
        <w:rPr>
          <w:rFonts w:hint="eastAsia"/>
          <w:snapToGrid w:val="0"/>
          <w:color w:val="auto"/>
          <w:sz w:val="24"/>
          <w:szCs w:val="24"/>
          <w:highlight w:val="none"/>
        </w:rPr>
        <w:t>招标文件或</w:t>
      </w:r>
      <w:r>
        <w:rPr>
          <w:rFonts w:hint="eastAsia" w:hAnsi="宋体"/>
          <w:snapToGrid w:val="0"/>
          <w:color w:val="auto"/>
          <w:kern w:val="0"/>
          <w:sz w:val="24"/>
          <w:szCs w:val="24"/>
          <w:highlight w:val="none"/>
        </w:rPr>
        <w:t>公开择优竞价文件和与甲管乙供材料设备供应商所签合同的约定及时组织对进场的甲管乙供材料设备进行清点验收，并严把甲管乙供材料设备质量关。</w:t>
      </w:r>
    </w:p>
    <w:p w14:paraId="03806615">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（8）由于承包人原因导致本工程甲管乙供材料设备供货不及时，造成发包人需向其他供应商购买相关材料设备的，所发生的费用全部由承包人承担，发包人有权在结算时予以直接扣除。</w:t>
      </w:r>
    </w:p>
    <w:p w14:paraId="039D6902">
      <w:pPr>
        <w:pStyle w:val="25"/>
        <w:adjustRightInd w:val="0"/>
        <w:snapToGrid w:val="0"/>
        <w:spacing w:line="360" w:lineRule="auto"/>
        <w:ind w:firstLine="480" w:firstLineChars="200"/>
        <w:rPr>
          <w:snapToGrid w:val="0"/>
          <w:color w:val="auto"/>
          <w:kern w:val="0"/>
          <w:sz w:val="24"/>
          <w:szCs w:val="24"/>
          <w:highlight w:val="none"/>
        </w:rPr>
      </w:pPr>
      <w:r>
        <w:rPr>
          <w:rFonts w:hint="eastAsia"/>
          <w:snapToGrid w:val="0"/>
          <w:color w:val="auto"/>
          <w:kern w:val="0"/>
          <w:sz w:val="24"/>
          <w:szCs w:val="24"/>
          <w:highlight w:val="none"/>
        </w:rPr>
        <w:t>（9）承包人和甲管乙供材料设备供应商都应当严格按照合同约定履行各自的义务。承包人依据合同约定对甲管乙供材料设备供应商进行违约处理时应事先报请发包人批准。</w:t>
      </w:r>
    </w:p>
    <w:p w14:paraId="547DB3E1">
      <w:pPr>
        <w:pStyle w:val="25"/>
        <w:adjustRightInd w:val="0"/>
        <w:snapToGrid w:val="0"/>
        <w:spacing w:line="360" w:lineRule="auto"/>
        <w:ind w:firstLine="480" w:firstLineChars="200"/>
        <w:outlineLvl w:val="3"/>
        <w:rPr>
          <w:rFonts w:hAnsi="宋体"/>
          <w:snapToGrid w:val="0"/>
          <w:color w:val="auto"/>
          <w:kern w:val="0"/>
          <w:sz w:val="24"/>
          <w:szCs w:val="24"/>
          <w:highlight w:val="none"/>
        </w:rPr>
      </w:pPr>
      <w:r>
        <w:rPr>
          <w:rFonts w:hint="eastAsia" w:hAnsi="宋体"/>
          <w:snapToGrid w:val="0"/>
          <w:color w:val="auto"/>
          <w:kern w:val="0"/>
          <w:sz w:val="24"/>
          <w:szCs w:val="24"/>
          <w:highlight w:val="none"/>
        </w:rPr>
        <w:t>30.9对材料设备采购的相关要求</w:t>
      </w:r>
    </w:p>
    <w:p w14:paraId="565D5E4B">
      <w:pPr>
        <w:pStyle w:val="25"/>
        <w:adjustRightInd w:val="0"/>
        <w:snapToGrid w:val="0"/>
        <w:spacing w:line="360" w:lineRule="auto"/>
        <w:ind w:firstLine="480" w:firstLineChars="200"/>
        <w:outlineLvl w:val="4"/>
        <w:rPr>
          <w:rFonts w:hAnsi="宋体"/>
          <w:snapToGrid w:val="0"/>
          <w:color w:val="auto"/>
          <w:kern w:val="0"/>
          <w:sz w:val="24"/>
          <w:szCs w:val="24"/>
          <w:highlight w:val="none"/>
        </w:rPr>
      </w:pPr>
      <w:r>
        <w:rPr>
          <w:rFonts w:hint="eastAsia" w:hAnsi="宋体"/>
          <w:snapToGrid w:val="0"/>
          <w:color w:val="auto"/>
          <w:kern w:val="0"/>
          <w:sz w:val="24"/>
          <w:szCs w:val="24"/>
          <w:highlight w:val="none"/>
        </w:rPr>
        <w:t>（1）乙供材料设备</w:t>
      </w:r>
    </w:p>
    <w:p w14:paraId="4D9DB956">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1）招标文件已列明推荐品牌的材料设备</w:t>
      </w:r>
    </w:p>
    <w:p w14:paraId="3205777B">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① 主材若属发包人推荐品牌范围的，承包人须按发包人推荐的供货厂家进行报价。承包人必须</w:t>
      </w:r>
      <w:r>
        <w:rPr>
          <w:rFonts w:hAnsi="宋体"/>
          <w:snapToGrid w:val="0"/>
          <w:color w:val="auto"/>
          <w:kern w:val="0"/>
          <w:sz w:val="24"/>
          <w:szCs w:val="24"/>
          <w:highlight w:val="none"/>
        </w:rPr>
        <w:t>在《主要材料设备</w:t>
      </w:r>
      <w:r>
        <w:rPr>
          <w:rFonts w:hint="eastAsia" w:hAnsi="宋体"/>
          <w:snapToGrid w:val="0"/>
          <w:color w:val="auto"/>
          <w:kern w:val="0"/>
          <w:sz w:val="24"/>
          <w:szCs w:val="24"/>
          <w:highlight w:val="none"/>
        </w:rPr>
        <w:t>品牌选用</w:t>
      </w:r>
      <w:r>
        <w:rPr>
          <w:rFonts w:hAnsi="宋体"/>
          <w:snapToGrid w:val="0"/>
          <w:color w:val="auto"/>
          <w:kern w:val="0"/>
          <w:sz w:val="24"/>
          <w:szCs w:val="24"/>
          <w:highlight w:val="none"/>
        </w:rPr>
        <w:t>表》中列明所选用材料及设备的品牌、产地等</w:t>
      </w:r>
      <w:r>
        <w:rPr>
          <w:rFonts w:hint="eastAsia" w:hAnsi="宋体"/>
          <w:snapToGrid w:val="0"/>
          <w:color w:val="auto"/>
          <w:kern w:val="0"/>
          <w:sz w:val="24"/>
          <w:szCs w:val="24"/>
          <w:highlight w:val="none"/>
        </w:rPr>
        <w:t>，</w:t>
      </w:r>
      <w:r>
        <w:rPr>
          <w:rFonts w:hAnsi="宋体"/>
          <w:snapToGrid w:val="0"/>
          <w:color w:val="auto"/>
          <w:kern w:val="0"/>
          <w:sz w:val="24"/>
          <w:szCs w:val="24"/>
          <w:highlight w:val="none"/>
        </w:rPr>
        <w:t>否则承包人中标后，发包人</w:t>
      </w:r>
      <w:r>
        <w:rPr>
          <w:rFonts w:hint="eastAsia" w:hAnsi="宋体"/>
          <w:snapToGrid w:val="0"/>
          <w:color w:val="auto"/>
          <w:kern w:val="0"/>
          <w:sz w:val="24"/>
          <w:szCs w:val="24"/>
          <w:highlight w:val="none"/>
        </w:rPr>
        <w:t>有权要求承包人按发包人的要求采购，并保留调整其材料价格的权利。</w:t>
      </w:r>
    </w:p>
    <w:p w14:paraId="15CFF315">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② 承包人必须在满足或优于招标文件（包括招标文件各专业主要设备材料技术参数）、招标图纸和相关规范要求的条件下，从招标文件材料设备推荐品牌范围中进行选择（招标文件有规定推荐品牌系列范围的承包人须明确其相应品牌的档次、系列）；承包人可以填报其中的一种或多种推荐品牌，但承包人在中标后选用推荐品牌中的任一品牌，均不予调整其投标价。</w:t>
      </w:r>
    </w:p>
    <w:p w14:paraId="7D639B56">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③ 若因发包人调整招标文件各专业主要设备材料技术参数的相关要求导致招标文件材料设备推荐品牌范围中的所有厂家产品均无法满足要求，则参照本条第30.9（1）2）款“招标文件未列明推荐品牌的材料设备”的相关规定执行。</w:t>
      </w:r>
    </w:p>
    <w:p w14:paraId="3D99CA8C">
      <w:pPr>
        <w:pStyle w:val="25"/>
        <w:adjustRightInd w:val="0"/>
        <w:snapToGrid w:val="0"/>
        <w:spacing w:line="360" w:lineRule="auto"/>
        <w:ind w:firstLine="480" w:firstLineChars="200"/>
        <w:rPr>
          <w:rFonts w:hint="eastAsia" w:hAnsi="宋体"/>
          <w:snapToGrid w:val="0"/>
          <w:color w:val="auto"/>
          <w:kern w:val="0"/>
          <w:sz w:val="24"/>
          <w:szCs w:val="24"/>
          <w:highlight w:val="none"/>
        </w:rPr>
      </w:pPr>
      <w:r>
        <w:rPr>
          <w:rFonts w:hint="eastAsia" w:hAnsi="宋体"/>
          <w:snapToGrid w:val="0"/>
          <w:color w:val="auto"/>
          <w:kern w:val="0"/>
          <w:sz w:val="24"/>
          <w:szCs w:val="24"/>
          <w:highlight w:val="none"/>
        </w:rPr>
        <w:t>④ 承包人进场后，在同一标段内同一类材料设备的品牌应为同一品牌；特殊情况下，经发包人同意后，同一标段内同一类材料设备的品牌方可不同，但承包人至少应保证同一单体内的同一类材料设备的品牌应为同一品牌。</w:t>
      </w:r>
    </w:p>
    <w:p w14:paraId="43B93CAD">
      <w:pPr>
        <w:ind w:firstLine="480" w:firstLineChars="200"/>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⑤对于消防设备，电力设备类优先选用本地中高档品牌，要求应急维保须在发包人发出指令12小时内到达现场。</w:t>
      </w:r>
    </w:p>
    <w:p w14:paraId="1E76F6B4">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2）招标文件未列明推荐品牌的材料设备</w:t>
      </w:r>
    </w:p>
    <w:p w14:paraId="53AD0FB0">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① 招标文件未列明推荐供货厂家的，承包人必须注明所选用材料设备的品牌、产地、规格、等级，如未列明，则按发包人的要求采购，且发包人保留调整其材料价格的权利。</w:t>
      </w:r>
    </w:p>
    <w:p w14:paraId="12AFD090">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② 承包人在满足或优于招标文件各专业主要设备材料技术参数的前提下，可以选择一种或多种品牌；中标后只要发包人未有对各专业主要设备材料技术参数的相关要求进行调整则均不因承包人改变选用的品牌而调整其中标价。</w:t>
      </w:r>
    </w:p>
    <w:p w14:paraId="7C755CDD">
      <w:pPr>
        <w:pStyle w:val="25"/>
        <w:adjustRightInd w:val="0"/>
        <w:snapToGrid w:val="0"/>
        <w:spacing w:line="360" w:lineRule="auto"/>
        <w:ind w:firstLine="480" w:firstLineChars="200"/>
        <w:outlineLvl w:val="4"/>
        <w:rPr>
          <w:rFonts w:hAnsi="宋体"/>
          <w:snapToGrid w:val="0"/>
          <w:color w:val="auto"/>
          <w:kern w:val="0"/>
          <w:sz w:val="24"/>
          <w:szCs w:val="24"/>
          <w:highlight w:val="none"/>
        </w:rPr>
      </w:pPr>
      <w:r>
        <w:rPr>
          <w:rFonts w:hint="eastAsia" w:hAnsi="宋体"/>
          <w:snapToGrid w:val="0"/>
          <w:color w:val="auto"/>
          <w:kern w:val="0"/>
          <w:sz w:val="24"/>
          <w:szCs w:val="24"/>
          <w:highlight w:val="none"/>
        </w:rPr>
        <w:t>（2）承包人在投标报价时所选定的材料设备供应商，应是与承包人有长期合作关系、有良好商业信誉和雄厚实力的材料设备生产供应能力的合格供应商。以保证按项目的质量、数量和时间要求，以合理的价格和可靠的供货来源，获得所需的设备、材料及有关服务。</w:t>
      </w:r>
    </w:p>
    <w:p w14:paraId="6DC11C6D">
      <w:pPr>
        <w:pStyle w:val="25"/>
        <w:adjustRightInd w:val="0"/>
        <w:snapToGrid w:val="0"/>
        <w:spacing w:line="360" w:lineRule="auto"/>
        <w:ind w:firstLine="480" w:firstLineChars="200"/>
        <w:outlineLvl w:val="4"/>
        <w:rPr>
          <w:rFonts w:hAnsi="宋体"/>
          <w:snapToGrid w:val="0"/>
          <w:color w:val="auto"/>
          <w:kern w:val="0"/>
          <w:sz w:val="24"/>
          <w:szCs w:val="24"/>
          <w:highlight w:val="none"/>
        </w:rPr>
      </w:pPr>
      <w:r>
        <w:rPr>
          <w:rFonts w:hint="eastAsia" w:hAnsi="宋体"/>
          <w:snapToGrid w:val="0"/>
          <w:color w:val="auto"/>
          <w:kern w:val="0"/>
          <w:sz w:val="24"/>
          <w:szCs w:val="24"/>
          <w:highlight w:val="none"/>
        </w:rPr>
        <w:t>（3）承包人在投标时所选定材料设备的品牌、规格和供应商，一</w:t>
      </w:r>
      <w:r>
        <w:rPr>
          <w:rFonts w:hAnsi="宋体"/>
          <w:snapToGrid w:val="0"/>
          <w:color w:val="auto"/>
          <w:kern w:val="0"/>
          <w:sz w:val="24"/>
          <w:szCs w:val="24"/>
          <w:highlight w:val="none"/>
        </w:rPr>
        <w:t>经发包人确认，</w:t>
      </w:r>
      <w:r>
        <w:rPr>
          <w:rFonts w:hint="eastAsia" w:hAnsi="宋体"/>
          <w:snapToGrid w:val="0"/>
          <w:color w:val="auto"/>
          <w:kern w:val="0"/>
          <w:sz w:val="24"/>
          <w:szCs w:val="24"/>
          <w:highlight w:val="none"/>
        </w:rPr>
        <w:t>承包人</w:t>
      </w:r>
      <w:r>
        <w:rPr>
          <w:rFonts w:hAnsi="宋体"/>
          <w:snapToGrid w:val="0"/>
          <w:color w:val="auto"/>
          <w:kern w:val="0"/>
          <w:sz w:val="24"/>
          <w:szCs w:val="24"/>
          <w:highlight w:val="none"/>
        </w:rPr>
        <w:t>不得</w:t>
      </w:r>
      <w:r>
        <w:rPr>
          <w:rFonts w:hint="eastAsia" w:hAnsi="宋体"/>
          <w:snapToGrid w:val="0"/>
          <w:color w:val="auto"/>
          <w:kern w:val="0"/>
          <w:sz w:val="24"/>
          <w:szCs w:val="24"/>
          <w:highlight w:val="none"/>
        </w:rPr>
        <w:t>对此进行</w:t>
      </w:r>
      <w:r>
        <w:rPr>
          <w:rFonts w:hAnsi="宋体"/>
          <w:snapToGrid w:val="0"/>
          <w:color w:val="auto"/>
          <w:kern w:val="0"/>
          <w:sz w:val="24"/>
          <w:szCs w:val="24"/>
          <w:highlight w:val="none"/>
        </w:rPr>
        <w:t>更改。</w:t>
      </w:r>
      <w:r>
        <w:rPr>
          <w:rFonts w:hint="eastAsia" w:hAnsi="宋体"/>
          <w:snapToGrid w:val="0"/>
          <w:color w:val="auto"/>
          <w:kern w:val="0"/>
          <w:sz w:val="24"/>
          <w:szCs w:val="24"/>
          <w:highlight w:val="none"/>
        </w:rPr>
        <w:t>如因特殊原因（如不可抗力、生产厂商破产）确需变更供应商时，承包人须按发包人关于乙供材料设备、工程变更及设计变更管理的相关规定向发包人申请变更材料设备的供应商（品牌），经发包人审批同意后方可进行变更。承包人应优先在招标文件推荐品牌范围中选择变更后的供应商（品牌）和供应商。</w:t>
      </w:r>
    </w:p>
    <w:p w14:paraId="08F3288F">
      <w:pPr>
        <w:pStyle w:val="25"/>
        <w:adjustRightInd w:val="0"/>
        <w:snapToGrid w:val="0"/>
        <w:spacing w:line="360" w:lineRule="auto"/>
        <w:ind w:firstLine="480" w:firstLineChars="200"/>
        <w:outlineLvl w:val="4"/>
        <w:rPr>
          <w:rFonts w:hAnsi="宋体"/>
          <w:snapToGrid w:val="0"/>
          <w:color w:val="auto"/>
          <w:kern w:val="0"/>
          <w:sz w:val="24"/>
          <w:szCs w:val="24"/>
          <w:highlight w:val="none"/>
        </w:rPr>
      </w:pPr>
      <w:r>
        <w:rPr>
          <w:rFonts w:hint="eastAsia" w:hAnsi="宋体"/>
          <w:snapToGrid w:val="0"/>
          <w:color w:val="auto"/>
          <w:kern w:val="0"/>
          <w:sz w:val="24"/>
          <w:szCs w:val="24"/>
          <w:highlight w:val="none"/>
        </w:rPr>
        <w:t>（4）材料设备采购的变更</w:t>
      </w:r>
    </w:p>
    <w:p w14:paraId="05E27B15">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1）在工程施工过程中，根据工程的具体情况，从有利于保证工程质量、进度和投资控制角度考虑，发包人有权对相应材料设备的采购供应方式进行适当的变更（如甲供改乙供，或乙供改甲供，或乙供改甲招乙供），承包人在接到发包人的变更通知后，应无条件地接受发包人对材料设备采购供应方式的变更并予以积极配合。</w:t>
      </w:r>
    </w:p>
    <w:p w14:paraId="28B26C74">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2）</w:t>
      </w:r>
      <w:r>
        <w:rPr>
          <w:rFonts w:hint="eastAsia" w:hAnsi="宋体"/>
          <w:snapToGrid w:val="0"/>
          <w:color w:val="auto"/>
          <w:spacing w:val="-4"/>
          <w:kern w:val="0"/>
          <w:sz w:val="24"/>
          <w:szCs w:val="24"/>
          <w:highlight w:val="none"/>
        </w:rPr>
        <w:t>出于为保证本工程的整体质量和效果等特殊原因，发包人决定将某种材料设备的供货方式由乙供改为甲供或甲招乙供时，承包人应提前做好材料到货及使用时间计划给发包人，发包人根据材料到货及使用时间计划确定购买时间后将书面通知承包人。发包人将以设计图纸结算用量（含定额规定的损耗）乘以合同中的相应材料设备价格后从合同总价款中扣除相应的材料设备价款及其相关取费。若实际供应的甲供材料设备数量超出按图纸计算用量（含定额规定的损耗）的差异部分则从承包人的工程结算款中扣除。如不由承包人安装，安装费也相应扣除。</w:t>
      </w:r>
    </w:p>
    <w:p w14:paraId="6E3DD532">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3）材料设备采购方式改变后，发包人将根据招标文件的相关约定调整甲供、甲招乙供材料设备管理费。材料设备采购方式由甲供改为乙供的，其主材费按合同换算综合单价及合同外新增项目综合单价的主材价格确定方式执行。</w:t>
      </w:r>
    </w:p>
    <w:p w14:paraId="77FAFB6F">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4）合同履行过程中出现中标品牌以外的乙供材料设备，其品牌的选用按招标文件推荐品牌、中国名牌、国家免检产品、省知名品牌的顺序确定。</w:t>
      </w:r>
    </w:p>
    <w:p w14:paraId="461D30B7">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5）对装饰、装修或景观效果可能产生影响的新增乙供材料设备（如开关插座面板、景观灯具及装饰灯具等）的品牌确定须同时按照发包人看样定板的相关规定执行。</w:t>
      </w:r>
    </w:p>
    <w:tbl>
      <w:tblPr>
        <w:tblStyle w:val="47"/>
        <w:tblW w:w="0" w:type="auto"/>
        <w:jc w:val="center"/>
        <w:tblLayout w:type="autofit"/>
        <w:tblCellMar>
          <w:top w:w="0" w:type="dxa"/>
          <w:left w:w="108" w:type="dxa"/>
          <w:bottom w:w="0" w:type="dxa"/>
          <w:right w:w="108" w:type="dxa"/>
        </w:tblCellMar>
      </w:tblPr>
      <w:tblGrid>
        <w:gridCol w:w="979"/>
        <w:gridCol w:w="486"/>
        <w:gridCol w:w="2024"/>
        <w:gridCol w:w="1255"/>
        <w:gridCol w:w="1320"/>
        <w:gridCol w:w="1449"/>
        <w:gridCol w:w="1015"/>
      </w:tblGrid>
      <w:tr w14:paraId="6414CF2E">
        <w:tblPrEx>
          <w:tblCellMar>
            <w:top w:w="0" w:type="dxa"/>
            <w:left w:w="108" w:type="dxa"/>
            <w:bottom w:w="0" w:type="dxa"/>
            <w:right w:w="108" w:type="dxa"/>
          </w:tblCellMar>
        </w:tblPrEx>
        <w:trPr>
          <w:trHeight w:val="450" w:hRule="atLeast"/>
          <w:jc w:val="center"/>
        </w:trPr>
        <w:tc>
          <w:tcPr>
            <w:tcW w:w="0" w:type="auto"/>
            <w:gridSpan w:val="7"/>
            <w:tcBorders>
              <w:top w:val="nil"/>
              <w:left w:val="nil"/>
              <w:bottom w:val="nil"/>
              <w:right w:val="nil"/>
            </w:tcBorders>
            <w:vAlign w:val="center"/>
          </w:tcPr>
          <w:p w14:paraId="40FCEED5">
            <w:pPr>
              <w:widowControl/>
              <w:jc w:val="center"/>
              <w:rPr>
                <w:rFonts w:ascii="宋体" w:hAnsi="宋体" w:cs="宋体"/>
                <w:color w:val="auto"/>
                <w:kern w:val="0"/>
                <w:sz w:val="36"/>
                <w:szCs w:val="36"/>
                <w:highlight w:val="none"/>
              </w:rPr>
            </w:pPr>
            <w:r>
              <w:rPr>
                <w:rFonts w:hint="eastAsia" w:ascii="宋体" w:cs="宋体"/>
                <w:b/>
                <w:color w:val="auto"/>
                <w:spacing w:val="4"/>
                <w:kern w:val="0"/>
                <w:sz w:val="24"/>
                <w:szCs w:val="24"/>
                <w:highlight w:val="none"/>
              </w:rPr>
              <w:t>主要</w:t>
            </w:r>
            <w:r>
              <w:rPr>
                <w:rFonts w:hint="eastAsia" w:ascii="宋体" w:cs="宋体"/>
                <w:b/>
                <w:color w:val="auto"/>
                <w:spacing w:val="4"/>
                <w:kern w:val="0"/>
                <w:sz w:val="24"/>
                <w:szCs w:val="24"/>
                <w:highlight w:val="none"/>
                <w:lang w:val="en-US" w:eastAsia="zh-CN"/>
              </w:rPr>
              <w:t>设备、</w:t>
            </w:r>
            <w:r>
              <w:rPr>
                <w:rFonts w:hint="eastAsia" w:ascii="宋体" w:cs="宋体"/>
                <w:b/>
                <w:color w:val="auto"/>
                <w:spacing w:val="4"/>
                <w:kern w:val="0"/>
                <w:sz w:val="24"/>
                <w:szCs w:val="24"/>
                <w:highlight w:val="none"/>
              </w:rPr>
              <w:t>材料参考品牌表</w:t>
            </w:r>
            <w:r>
              <w:rPr>
                <w:rFonts w:ascii="宋体" w:cs="宋体"/>
                <w:b/>
                <w:color w:val="auto"/>
                <w:spacing w:val="4"/>
                <w:kern w:val="0"/>
                <w:sz w:val="24"/>
                <w:szCs w:val="24"/>
                <w:highlight w:val="none"/>
              </w:rPr>
              <w:t>（或相当于）</w:t>
            </w:r>
          </w:p>
        </w:tc>
      </w:tr>
      <w:tr w14:paraId="192E5D2C">
        <w:tblPrEx>
          <w:tblCellMar>
            <w:top w:w="0" w:type="dxa"/>
            <w:left w:w="108" w:type="dxa"/>
            <w:bottom w:w="0" w:type="dxa"/>
            <w:right w:w="108" w:type="dxa"/>
          </w:tblCellMar>
        </w:tblPrEx>
        <w:trPr>
          <w:trHeight w:val="379"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14:paraId="315E6CC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分部分项</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2D984C0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序号</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3C2127D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设备材料名称</w:t>
            </w:r>
          </w:p>
        </w:tc>
        <w:tc>
          <w:tcPr>
            <w:tcW w:w="0" w:type="auto"/>
            <w:gridSpan w:val="4"/>
            <w:tcBorders>
              <w:top w:val="single" w:color="auto" w:sz="4" w:space="0"/>
              <w:left w:val="nil"/>
              <w:bottom w:val="single" w:color="auto" w:sz="4" w:space="0"/>
              <w:right w:val="single" w:color="auto" w:sz="4" w:space="0"/>
            </w:tcBorders>
            <w:vAlign w:val="center"/>
          </w:tcPr>
          <w:p w14:paraId="6E9DA23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推荐品牌（或相当于）</w:t>
            </w:r>
          </w:p>
        </w:tc>
      </w:tr>
      <w:tr w14:paraId="055D4D3E">
        <w:tblPrEx>
          <w:tblCellMar>
            <w:top w:w="0" w:type="dxa"/>
            <w:left w:w="108" w:type="dxa"/>
            <w:bottom w:w="0" w:type="dxa"/>
            <w:right w:w="108" w:type="dxa"/>
          </w:tblCellMar>
        </w:tblPrEx>
        <w:trPr>
          <w:trHeight w:val="31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06FEDCD">
            <w:pPr>
              <w:widowControl/>
              <w:jc w:val="left"/>
              <w:rPr>
                <w:rFonts w:hint="eastAsia" w:ascii="宋体" w:hAnsi="宋体" w:eastAsia="宋体" w:cs="宋体"/>
                <w:color w:val="auto"/>
                <w:kern w:val="0"/>
                <w:sz w:val="20"/>
                <w:szCs w:val="20"/>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984D9BF">
            <w:pPr>
              <w:widowControl/>
              <w:jc w:val="left"/>
              <w:rPr>
                <w:rFonts w:hint="eastAsia" w:ascii="宋体" w:hAnsi="宋体" w:eastAsia="宋体" w:cs="宋体"/>
                <w:color w:val="auto"/>
                <w:kern w:val="0"/>
                <w:sz w:val="20"/>
                <w:szCs w:val="20"/>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2BF347">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0C9871F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厂家一</w:t>
            </w:r>
          </w:p>
        </w:tc>
        <w:tc>
          <w:tcPr>
            <w:tcW w:w="0" w:type="auto"/>
            <w:tcBorders>
              <w:top w:val="nil"/>
              <w:left w:val="nil"/>
              <w:bottom w:val="single" w:color="auto" w:sz="4" w:space="0"/>
              <w:right w:val="single" w:color="auto" w:sz="4" w:space="0"/>
            </w:tcBorders>
            <w:vAlign w:val="center"/>
          </w:tcPr>
          <w:p w14:paraId="46BB84D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厂家二</w:t>
            </w:r>
          </w:p>
        </w:tc>
        <w:tc>
          <w:tcPr>
            <w:tcW w:w="0" w:type="auto"/>
            <w:tcBorders>
              <w:top w:val="nil"/>
              <w:left w:val="nil"/>
              <w:bottom w:val="single" w:color="auto" w:sz="4" w:space="0"/>
              <w:right w:val="single" w:color="auto" w:sz="4" w:space="0"/>
            </w:tcBorders>
            <w:vAlign w:val="center"/>
          </w:tcPr>
          <w:p w14:paraId="01D7CA1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厂家三</w:t>
            </w:r>
          </w:p>
        </w:tc>
        <w:tc>
          <w:tcPr>
            <w:tcW w:w="0" w:type="auto"/>
            <w:tcBorders>
              <w:top w:val="nil"/>
              <w:left w:val="nil"/>
              <w:bottom w:val="single" w:color="auto" w:sz="4" w:space="0"/>
              <w:right w:val="single" w:color="auto" w:sz="4" w:space="0"/>
            </w:tcBorders>
            <w:vAlign w:val="center"/>
          </w:tcPr>
          <w:p w14:paraId="38AA40A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备注</w:t>
            </w:r>
          </w:p>
        </w:tc>
      </w:tr>
      <w:tr w14:paraId="58851029">
        <w:tblPrEx>
          <w:tblCellMar>
            <w:top w:w="0" w:type="dxa"/>
            <w:left w:w="108" w:type="dxa"/>
            <w:bottom w:w="0" w:type="dxa"/>
            <w:right w:w="108" w:type="dxa"/>
          </w:tblCellMar>
        </w:tblPrEx>
        <w:trPr>
          <w:trHeight w:val="915" w:hRule="atLeast"/>
          <w:jc w:val="center"/>
        </w:trPr>
        <w:tc>
          <w:tcPr>
            <w:tcW w:w="0" w:type="auto"/>
            <w:vMerge w:val="restart"/>
            <w:tcBorders>
              <w:top w:val="single" w:color="auto" w:sz="4" w:space="0"/>
              <w:left w:val="single" w:color="auto" w:sz="4" w:space="0"/>
              <w:right w:val="single" w:color="auto" w:sz="4" w:space="0"/>
            </w:tcBorders>
            <w:vAlign w:val="center"/>
          </w:tcPr>
          <w:p w14:paraId="77EC0CA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主体及装修工程</w:t>
            </w:r>
          </w:p>
          <w:p w14:paraId="30DB4211">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nil"/>
              <w:bottom w:val="single" w:color="auto" w:sz="4" w:space="0"/>
              <w:right w:val="single" w:color="auto" w:sz="4" w:space="0"/>
            </w:tcBorders>
            <w:vAlign w:val="center"/>
          </w:tcPr>
          <w:p w14:paraId="619CE64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0" w:type="auto"/>
            <w:tcBorders>
              <w:top w:val="single" w:color="auto" w:sz="4" w:space="0"/>
              <w:left w:val="nil"/>
              <w:bottom w:val="single" w:color="auto" w:sz="4" w:space="0"/>
              <w:right w:val="single" w:color="auto" w:sz="4" w:space="0"/>
            </w:tcBorders>
            <w:vAlign w:val="center"/>
          </w:tcPr>
          <w:p w14:paraId="09AD589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抛光砖/防滑砖/釉面砖/耐磨砖</w:t>
            </w:r>
          </w:p>
        </w:tc>
        <w:tc>
          <w:tcPr>
            <w:tcW w:w="0" w:type="auto"/>
            <w:tcBorders>
              <w:top w:val="single" w:color="auto" w:sz="4" w:space="0"/>
              <w:left w:val="nil"/>
              <w:bottom w:val="single" w:color="auto" w:sz="4" w:space="0"/>
              <w:right w:val="single" w:color="auto" w:sz="4" w:space="0"/>
            </w:tcBorders>
            <w:vAlign w:val="center"/>
          </w:tcPr>
          <w:p w14:paraId="261673C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广东蒙娜丽莎陶瓷有限公司</w:t>
            </w:r>
          </w:p>
        </w:tc>
        <w:tc>
          <w:tcPr>
            <w:tcW w:w="0" w:type="auto"/>
            <w:tcBorders>
              <w:top w:val="single" w:color="auto" w:sz="4" w:space="0"/>
              <w:left w:val="nil"/>
              <w:bottom w:val="single" w:color="auto" w:sz="4" w:space="0"/>
              <w:right w:val="single" w:color="auto" w:sz="4" w:space="0"/>
            </w:tcBorders>
            <w:vAlign w:val="center"/>
          </w:tcPr>
          <w:p w14:paraId="3654AA6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广东东鹏陶瓷股份有限公司</w:t>
            </w:r>
          </w:p>
        </w:tc>
        <w:tc>
          <w:tcPr>
            <w:tcW w:w="0" w:type="auto"/>
            <w:tcBorders>
              <w:top w:val="single" w:color="auto" w:sz="4" w:space="0"/>
              <w:left w:val="nil"/>
              <w:bottom w:val="single" w:color="auto" w:sz="4" w:space="0"/>
              <w:right w:val="single" w:color="auto" w:sz="4" w:space="0"/>
            </w:tcBorders>
            <w:vAlign w:val="center"/>
          </w:tcPr>
          <w:p w14:paraId="301AEFB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highlight w:val="none"/>
              </w:rPr>
              <w:fldChar w:fldCharType="begin"/>
            </w:r>
            <w:r>
              <w:rPr>
                <w:rFonts w:hint="eastAsia" w:ascii="宋体" w:hAnsi="宋体" w:eastAsia="宋体" w:cs="宋体"/>
                <w:color w:val="auto"/>
                <w:sz w:val="20"/>
                <w:highlight w:val="none"/>
              </w:rPr>
              <w:instrText xml:space="preserve"> HYPERLINK "http://www.baidu.com/link?url=9N6oYU8mMs9UaFfym5IMHVRGohz5Ri8O5I3RhEWxj9bmtRizrMNaVPVIOoBNtOyh5wo0B3E3KNxpz9nx7ZofZK" \t "https://www.baidu.com/_blank" </w:instrText>
            </w:r>
            <w:r>
              <w:rPr>
                <w:rFonts w:hint="eastAsia" w:ascii="宋体" w:hAnsi="宋体" w:eastAsia="宋体" w:cs="宋体"/>
                <w:color w:val="auto"/>
                <w:sz w:val="20"/>
                <w:highlight w:val="none"/>
              </w:rPr>
              <w:fldChar w:fldCharType="separate"/>
            </w:r>
            <w:r>
              <w:rPr>
                <w:rFonts w:hint="eastAsia" w:ascii="宋体" w:hAnsi="宋体" w:eastAsia="宋体" w:cs="宋体"/>
                <w:color w:val="auto"/>
                <w:kern w:val="0"/>
                <w:sz w:val="20"/>
                <w:szCs w:val="20"/>
                <w:highlight w:val="none"/>
              </w:rPr>
              <w:t>广东马可波罗陶瓷有限公司</w:t>
            </w:r>
            <w:r>
              <w:rPr>
                <w:rFonts w:hint="eastAsia" w:ascii="宋体" w:hAnsi="宋体" w:eastAsia="宋体" w:cs="宋体"/>
                <w:color w:val="auto"/>
                <w:kern w:val="0"/>
                <w:sz w:val="20"/>
                <w:szCs w:val="20"/>
                <w:highlight w:val="none"/>
              </w:rPr>
              <w:fldChar w:fldCharType="end"/>
            </w:r>
          </w:p>
        </w:tc>
        <w:tc>
          <w:tcPr>
            <w:tcW w:w="0" w:type="auto"/>
            <w:tcBorders>
              <w:top w:val="single" w:color="auto" w:sz="4" w:space="0"/>
              <w:left w:val="nil"/>
              <w:bottom w:val="single" w:color="auto" w:sz="4" w:space="0"/>
              <w:right w:val="single" w:color="auto" w:sz="4" w:space="0"/>
            </w:tcBorders>
            <w:vAlign w:val="center"/>
          </w:tcPr>
          <w:p w14:paraId="3D1D625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373573BB">
        <w:tblPrEx>
          <w:tblCellMar>
            <w:top w:w="0" w:type="dxa"/>
            <w:left w:w="108" w:type="dxa"/>
            <w:bottom w:w="0" w:type="dxa"/>
            <w:right w:w="108" w:type="dxa"/>
          </w:tblCellMar>
        </w:tblPrEx>
        <w:trPr>
          <w:trHeight w:val="398" w:hRule="atLeast"/>
          <w:jc w:val="center"/>
        </w:trPr>
        <w:tc>
          <w:tcPr>
            <w:tcW w:w="0" w:type="auto"/>
            <w:vMerge w:val="continue"/>
            <w:tcBorders>
              <w:left w:val="single" w:color="auto" w:sz="4" w:space="0"/>
              <w:right w:val="single" w:color="auto" w:sz="4" w:space="0"/>
            </w:tcBorders>
            <w:vAlign w:val="center"/>
          </w:tcPr>
          <w:p w14:paraId="2AF27020">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610CAF2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0" w:type="auto"/>
            <w:tcBorders>
              <w:top w:val="nil"/>
              <w:left w:val="nil"/>
              <w:bottom w:val="single" w:color="auto" w:sz="4" w:space="0"/>
              <w:right w:val="single" w:color="auto" w:sz="4" w:space="0"/>
            </w:tcBorders>
            <w:vAlign w:val="center"/>
          </w:tcPr>
          <w:p w14:paraId="080ACE4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乳胶漆</w:t>
            </w:r>
          </w:p>
        </w:tc>
        <w:tc>
          <w:tcPr>
            <w:tcW w:w="0" w:type="auto"/>
            <w:tcBorders>
              <w:top w:val="nil"/>
              <w:left w:val="nil"/>
              <w:bottom w:val="single" w:color="auto" w:sz="4" w:space="0"/>
              <w:right w:val="single" w:color="auto" w:sz="4" w:space="0"/>
            </w:tcBorders>
            <w:vAlign w:val="center"/>
          </w:tcPr>
          <w:p w14:paraId="16BE358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多乐士</w:t>
            </w:r>
          </w:p>
        </w:tc>
        <w:tc>
          <w:tcPr>
            <w:tcW w:w="0" w:type="auto"/>
            <w:tcBorders>
              <w:top w:val="nil"/>
              <w:left w:val="nil"/>
              <w:bottom w:val="single" w:color="auto" w:sz="4" w:space="0"/>
              <w:right w:val="single" w:color="auto" w:sz="4" w:space="0"/>
            </w:tcBorders>
            <w:vAlign w:val="center"/>
          </w:tcPr>
          <w:p w14:paraId="17EC6D0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立邦</w:t>
            </w:r>
          </w:p>
        </w:tc>
        <w:tc>
          <w:tcPr>
            <w:tcW w:w="0" w:type="auto"/>
            <w:tcBorders>
              <w:top w:val="nil"/>
              <w:left w:val="nil"/>
              <w:bottom w:val="single" w:color="auto" w:sz="4" w:space="0"/>
              <w:right w:val="single" w:color="auto" w:sz="4" w:space="0"/>
            </w:tcBorders>
            <w:vAlign w:val="center"/>
          </w:tcPr>
          <w:p w14:paraId="3E6592B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嘉宝莉</w:t>
            </w:r>
          </w:p>
        </w:tc>
        <w:tc>
          <w:tcPr>
            <w:tcW w:w="0" w:type="auto"/>
            <w:tcBorders>
              <w:top w:val="nil"/>
              <w:left w:val="nil"/>
              <w:bottom w:val="single" w:color="auto" w:sz="4" w:space="0"/>
              <w:right w:val="single" w:color="auto" w:sz="4" w:space="0"/>
            </w:tcBorders>
            <w:vAlign w:val="center"/>
          </w:tcPr>
          <w:p w14:paraId="52EA1FB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4831F307">
        <w:tblPrEx>
          <w:tblCellMar>
            <w:top w:w="0" w:type="dxa"/>
            <w:left w:w="108" w:type="dxa"/>
            <w:bottom w:w="0" w:type="dxa"/>
            <w:right w:w="108" w:type="dxa"/>
          </w:tblCellMar>
        </w:tblPrEx>
        <w:trPr>
          <w:trHeight w:val="398" w:hRule="atLeast"/>
          <w:jc w:val="center"/>
        </w:trPr>
        <w:tc>
          <w:tcPr>
            <w:tcW w:w="0" w:type="auto"/>
            <w:vMerge w:val="continue"/>
            <w:tcBorders>
              <w:left w:val="single" w:color="auto" w:sz="4" w:space="0"/>
              <w:right w:val="single" w:color="auto" w:sz="4" w:space="0"/>
            </w:tcBorders>
            <w:vAlign w:val="center"/>
          </w:tcPr>
          <w:p w14:paraId="735E64FF">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nil"/>
              <w:bottom w:val="single" w:color="auto" w:sz="4" w:space="0"/>
              <w:right w:val="single" w:color="auto" w:sz="4" w:space="0"/>
            </w:tcBorders>
            <w:vAlign w:val="center"/>
          </w:tcPr>
          <w:p w14:paraId="4C3BCB8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0" w:type="auto"/>
            <w:tcBorders>
              <w:top w:val="single" w:color="auto" w:sz="4" w:space="0"/>
              <w:left w:val="nil"/>
              <w:bottom w:val="single" w:color="auto" w:sz="4" w:space="0"/>
              <w:right w:val="single" w:color="auto" w:sz="4" w:space="0"/>
            </w:tcBorders>
            <w:vAlign w:val="center"/>
          </w:tcPr>
          <w:p w14:paraId="44E0CFC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无机涂料</w:t>
            </w:r>
          </w:p>
        </w:tc>
        <w:tc>
          <w:tcPr>
            <w:tcW w:w="0" w:type="auto"/>
            <w:tcBorders>
              <w:top w:val="single" w:color="auto" w:sz="4" w:space="0"/>
              <w:left w:val="nil"/>
              <w:bottom w:val="single" w:color="auto" w:sz="4" w:space="0"/>
              <w:right w:val="single" w:color="auto" w:sz="4" w:space="0"/>
            </w:tcBorders>
            <w:vAlign w:val="center"/>
          </w:tcPr>
          <w:p w14:paraId="5F2964F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多乐士</w:t>
            </w:r>
          </w:p>
        </w:tc>
        <w:tc>
          <w:tcPr>
            <w:tcW w:w="0" w:type="auto"/>
            <w:tcBorders>
              <w:top w:val="single" w:color="auto" w:sz="4" w:space="0"/>
              <w:left w:val="nil"/>
              <w:bottom w:val="single" w:color="auto" w:sz="4" w:space="0"/>
              <w:right w:val="single" w:color="auto" w:sz="4" w:space="0"/>
            </w:tcBorders>
            <w:vAlign w:val="center"/>
          </w:tcPr>
          <w:p w14:paraId="1DFEB19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赛乐菲</w:t>
            </w:r>
          </w:p>
        </w:tc>
        <w:tc>
          <w:tcPr>
            <w:tcW w:w="0" w:type="auto"/>
            <w:tcBorders>
              <w:top w:val="single" w:color="auto" w:sz="4" w:space="0"/>
              <w:left w:val="nil"/>
              <w:bottom w:val="single" w:color="auto" w:sz="4" w:space="0"/>
              <w:right w:val="single" w:color="auto" w:sz="4" w:space="0"/>
            </w:tcBorders>
            <w:vAlign w:val="center"/>
          </w:tcPr>
          <w:p w14:paraId="3D6B54F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立邦</w:t>
            </w:r>
          </w:p>
        </w:tc>
        <w:tc>
          <w:tcPr>
            <w:tcW w:w="0" w:type="auto"/>
            <w:tcBorders>
              <w:top w:val="single" w:color="auto" w:sz="4" w:space="0"/>
              <w:left w:val="nil"/>
              <w:bottom w:val="single" w:color="auto" w:sz="4" w:space="0"/>
              <w:right w:val="single" w:color="auto" w:sz="4" w:space="0"/>
            </w:tcBorders>
            <w:vAlign w:val="center"/>
          </w:tcPr>
          <w:p w14:paraId="2C201B3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7BBBBE88">
        <w:tblPrEx>
          <w:tblCellMar>
            <w:top w:w="0" w:type="dxa"/>
            <w:left w:w="108" w:type="dxa"/>
            <w:bottom w:w="0" w:type="dxa"/>
            <w:right w:w="108" w:type="dxa"/>
          </w:tblCellMar>
        </w:tblPrEx>
        <w:trPr>
          <w:trHeight w:val="398" w:hRule="atLeast"/>
          <w:jc w:val="center"/>
        </w:trPr>
        <w:tc>
          <w:tcPr>
            <w:tcW w:w="0" w:type="auto"/>
            <w:vMerge w:val="continue"/>
            <w:tcBorders>
              <w:left w:val="single" w:color="auto" w:sz="4" w:space="0"/>
              <w:right w:val="single" w:color="auto" w:sz="4" w:space="0"/>
            </w:tcBorders>
            <w:vAlign w:val="center"/>
          </w:tcPr>
          <w:p w14:paraId="09822D0A">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4F08548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0" w:type="auto"/>
            <w:tcBorders>
              <w:top w:val="nil"/>
              <w:left w:val="nil"/>
              <w:bottom w:val="single" w:color="auto" w:sz="4" w:space="0"/>
              <w:right w:val="single" w:color="auto" w:sz="4" w:space="0"/>
            </w:tcBorders>
            <w:vAlign w:val="center"/>
          </w:tcPr>
          <w:p w14:paraId="5A57D6D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防水材料</w:t>
            </w:r>
          </w:p>
        </w:tc>
        <w:tc>
          <w:tcPr>
            <w:tcW w:w="0" w:type="auto"/>
            <w:tcBorders>
              <w:top w:val="nil"/>
              <w:left w:val="nil"/>
              <w:bottom w:val="single" w:color="auto" w:sz="4" w:space="0"/>
              <w:right w:val="single" w:color="auto" w:sz="4" w:space="0"/>
            </w:tcBorders>
            <w:vAlign w:val="center"/>
          </w:tcPr>
          <w:p w14:paraId="174B943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东方雨虹</w:t>
            </w:r>
          </w:p>
        </w:tc>
        <w:tc>
          <w:tcPr>
            <w:tcW w:w="0" w:type="auto"/>
            <w:tcBorders>
              <w:top w:val="nil"/>
              <w:left w:val="nil"/>
              <w:bottom w:val="single" w:color="auto" w:sz="4" w:space="0"/>
              <w:right w:val="single" w:color="auto" w:sz="4" w:space="0"/>
            </w:tcBorders>
            <w:vAlign w:val="center"/>
          </w:tcPr>
          <w:p w14:paraId="396C4C0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德高</w:t>
            </w:r>
          </w:p>
        </w:tc>
        <w:tc>
          <w:tcPr>
            <w:tcW w:w="0" w:type="auto"/>
            <w:tcBorders>
              <w:top w:val="nil"/>
              <w:left w:val="nil"/>
              <w:bottom w:val="single" w:color="auto" w:sz="4" w:space="0"/>
              <w:right w:val="single" w:color="auto" w:sz="4" w:space="0"/>
            </w:tcBorders>
            <w:vAlign w:val="center"/>
          </w:tcPr>
          <w:p w14:paraId="4A33340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科顺</w:t>
            </w:r>
          </w:p>
        </w:tc>
        <w:tc>
          <w:tcPr>
            <w:tcW w:w="0" w:type="auto"/>
            <w:tcBorders>
              <w:top w:val="nil"/>
              <w:left w:val="nil"/>
              <w:bottom w:val="single" w:color="auto" w:sz="4" w:space="0"/>
              <w:right w:val="single" w:color="auto" w:sz="4" w:space="0"/>
            </w:tcBorders>
            <w:vAlign w:val="center"/>
          </w:tcPr>
          <w:p w14:paraId="1719B58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高档</w:t>
            </w:r>
          </w:p>
        </w:tc>
      </w:tr>
      <w:tr w14:paraId="614889BA">
        <w:tblPrEx>
          <w:tblCellMar>
            <w:top w:w="0" w:type="dxa"/>
            <w:left w:w="108" w:type="dxa"/>
            <w:bottom w:w="0" w:type="dxa"/>
            <w:right w:w="108" w:type="dxa"/>
          </w:tblCellMar>
        </w:tblPrEx>
        <w:trPr>
          <w:trHeight w:val="398" w:hRule="atLeast"/>
          <w:jc w:val="center"/>
        </w:trPr>
        <w:tc>
          <w:tcPr>
            <w:tcW w:w="0" w:type="auto"/>
            <w:vMerge w:val="continue"/>
            <w:tcBorders>
              <w:left w:val="single" w:color="auto" w:sz="4" w:space="0"/>
              <w:right w:val="single" w:color="auto" w:sz="4" w:space="0"/>
            </w:tcBorders>
            <w:vAlign w:val="center"/>
          </w:tcPr>
          <w:p w14:paraId="36170993">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651E052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0" w:type="auto"/>
            <w:tcBorders>
              <w:top w:val="nil"/>
              <w:left w:val="nil"/>
              <w:bottom w:val="single" w:color="auto" w:sz="4" w:space="0"/>
              <w:right w:val="single" w:color="auto" w:sz="4" w:space="0"/>
            </w:tcBorders>
            <w:vAlign w:val="center"/>
          </w:tcPr>
          <w:p w14:paraId="7990C9D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玻璃</w:t>
            </w:r>
          </w:p>
        </w:tc>
        <w:tc>
          <w:tcPr>
            <w:tcW w:w="0" w:type="auto"/>
            <w:tcBorders>
              <w:top w:val="nil"/>
              <w:left w:val="nil"/>
              <w:bottom w:val="single" w:color="auto" w:sz="4" w:space="0"/>
              <w:right w:val="single" w:color="auto" w:sz="4" w:space="0"/>
            </w:tcBorders>
            <w:vAlign w:val="center"/>
          </w:tcPr>
          <w:p w14:paraId="2734773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信义</w:t>
            </w:r>
          </w:p>
        </w:tc>
        <w:tc>
          <w:tcPr>
            <w:tcW w:w="0" w:type="auto"/>
            <w:tcBorders>
              <w:top w:val="nil"/>
              <w:left w:val="nil"/>
              <w:bottom w:val="single" w:color="auto" w:sz="4" w:space="0"/>
              <w:right w:val="single" w:color="auto" w:sz="4" w:space="0"/>
            </w:tcBorders>
            <w:vAlign w:val="center"/>
          </w:tcPr>
          <w:p w14:paraId="3056CE7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南玻玻璃</w:t>
            </w:r>
          </w:p>
        </w:tc>
        <w:tc>
          <w:tcPr>
            <w:tcW w:w="0" w:type="auto"/>
            <w:tcBorders>
              <w:top w:val="nil"/>
              <w:left w:val="nil"/>
              <w:bottom w:val="single" w:color="auto" w:sz="4" w:space="0"/>
              <w:right w:val="single" w:color="auto" w:sz="4" w:space="0"/>
            </w:tcBorders>
            <w:vAlign w:val="center"/>
          </w:tcPr>
          <w:p w14:paraId="6C7706A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台玻玻璃</w:t>
            </w:r>
          </w:p>
        </w:tc>
        <w:tc>
          <w:tcPr>
            <w:tcW w:w="0" w:type="auto"/>
            <w:tcBorders>
              <w:top w:val="nil"/>
              <w:left w:val="nil"/>
              <w:bottom w:val="single" w:color="auto" w:sz="4" w:space="0"/>
              <w:right w:val="single" w:color="auto" w:sz="4" w:space="0"/>
            </w:tcBorders>
            <w:vAlign w:val="center"/>
          </w:tcPr>
          <w:p w14:paraId="6BDEA40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6FBC9604">
        <w:tblPrEx>
          <w:tblCellMar>
            <w:top w:w="0" w:type="dxa"/>
            <w:left w:w="108" w:type="dxa"/>
            <w:bottom w:w="0" w:type="dxa"/>
            <w:right w:w="108" w:type="dxa"/>
          </w:tblCellMar>
        </w:tblPrEx>
        <w:trPr>
          <w:trHeight w:val="398" w:hRule="atLeast"/>
          <w:jc w:val="center"/>
        </w:trPr>
        <w:tc>
          <w:tcPr>
            <w:tcW w:w="0" w:type="auto"/>
            <w:vMerge w:val="continue"/>
            <w:tcBorders>
              <w:left w:val="single" w:color="auto" w:sz="4" w:space="0"/>
              <w:right w:val="single" w:color="auto" w:sz="4" w:space="0"/>
            </w:tcBorders>
            <w:vAlign w:val="center"/>
          </w:tcPr>
          <w:p w14:paraId="0E681A20">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3A96CCA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0" w:type="auto"/>
            <w:tcBorders>
              <w:top w:val="nil"/>
              <w:left w:val="nil"/>
              <w:bottom w:val="single" w:color="auto" w:sz="4" w:space="0"/>
              <w:right w:val="single" w:color="auto" w:sz="4" w:space="0"/>
            </w:tcBorders>
            <w:vAlign w:val="center"/>
          </w:tcPr>
          <w:p w14:paraId="61BCC5F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铝材</w:t>
            </w:r>
          </w:p>
        </w:tc>
        <w:tc>
          <w:tcPr>
            <w:tcW w:w="0" w:type="auto"/>
            <w:tcBorders>
              <w:top w:val="nil"/>
              <w:left w:val="nil"/>
              <w:bottom w:val="single" w:color="auto" w:sz="4" w:space="0"/>
              <w:right w:val="single" w:color="auto" w:sz="4" w:space="0"/>
            </w:tcBorders>
            <w:vAlign w:val="center"/>
          </w:tcPr>
          <w:p w14:paraId="453575F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坚美</w:t>
            </w:r>
          </w:p>
        </w:tc>
        <w:tc>
          <w:tcPr>
            <w:tcW w:w="0" w:type="auto"/>
            <w:tcBorders>
              <w:top w:val="nil"/>
              <w:left w:val="nil"/>
              <w:bottom w:val="single" w:color="auto" w:sz="4" w:space="0"/>
              <w:right w:val="single" w:color="auto" w:sz="4" w:space="0"/>
            </w:tcBorders>
            <w:vAlign w:val="center"/>
          </w:tcPr>
          <w:p w14:paraId="52BF65A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凤铝</w:t>
            </w:r>
          </w:p>
        </w:tc>
        <w:tc>
          <w:tcPr>
            <w:tcW w:w="0" w:type="auto"/>
            <w:tcBorders>
              <w:top w:val="nil"/>
              <w:left w:val="nil"/>
              <w:bottom w:val="single" w:color="auto" w:sz="4" w:space="0"/>
              <w:right w:val="single" w:color="auto" w:sz="4" w:space="0"/>
            </w:tcBorders>
            <w:vAlign w:val="center"/>
          </w:tcPr>
          <w:p w14:paraId="54794D0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中铝</w:t>
            </w:r>
          </w:p>
        </w:tc>
        <w:tc>
          <w:tcPr>
            <w:tcW w:w="0" w:type="auto"/>
            <w:tcBorders>
              <w:top w:val="nil"/>
              <w:left w:val="nil"/>
              <w:bottom w:val="single" w:color="auto" w:sz="4" w:space="0"/>
              <w:right w:val="single" w:color="auto" w:sz="4" w:space="0"/>
            </w:tcBorders>
            <w:vAlign w:val="center"/>
          </w:tcPr>
          <w:p w14:paraId="18B0965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518921DA">
        <w:tblPrEx>
          <w:tblCellMar>
            <w:top w:w="0" w:type="dxa"/>
            <w:left w:w="108" w:type="dxa"/>
            <w:bottom w:w="0" w:type="dxa"/>
            <w:right w:w="108" w:type="dxa"/>
          </w:tblCellMar>
        </w:tblPrEx>
        <w:trPr>
          <w:trHeight w:val="398" w:hRule="atLeast"/>
          <w:jc w:val="center"/>
        </w:trPr>
        <w:tc>
          <w:tcPr>
            <w:tcW w:w="0" w:type="auto"/>
            <w:vMerge w:val="continue"/>
            <w:tcBorders>
              <w:left w:val="single" w:color="auto" w:sz="4" w:space="0"/>
              <w:right w:val="single" w:color="auto" w:sz="4" w:space="0"/>
            </w:tcBorders>
            <w:vAlign w:val="center"/>
          </w:tcPr>
          <w:p w14:paraId="59FCF360">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631422E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0" w:type="auto"/>
            <w:tcBorders>
              <w:top w:val="nil"/>
              <w:left w:val="nil"/>
              <w:bottom w:val="single" w:color="auto" w:sz="4" w:space="0"/>
              <w:right w:val="single" w:color="auto" w:sz="4" w:space="0"/>
            </w:tcBorders>
            <w:vAlign w:val="center"/>
          </w:tcPr>
          <w:p w14:paraId="4E2763F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水泥</w:t>
            </w:r>
          </w:p>
        </w:tc>
        <w:tc>
          <w:tcPr>
            <w:tcW w:w="0" w:type="auto"/>
            <w:tcBorders>
              <w:top w:val="nil"/>
              <w:left w:val="nil"/>
              <w:bottom w:val="single" w:color="auto" w:sz="4" w:space="0"/>
              <w:right w:val="single" w:color="auto" w:sz="4" w:space="0"/>
            </w:tcBorders>
            <w:vAlign w:val="center"/>
          </w:tcPr>
          <w:p w14:paraId="7D18F04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华润水泥</w:t>
            </w:r>
          </w:p>
        </w:tc>
        <w:tc>
          <w:tcPr>
            <w:tcW w:w="0" w:type="auto"/>
            <w:tcBorders>
              <w:top w:val="nil"/>
              <w:left w:val="nil"/>
              <w:bottom w:val="single" w:color="auto" w:sz="4" w:space="0"/>
              <w:right w:val="single" w:color="auto" w:sz="4" w:space="0"/>
            </w:tcBorders>
            <w:vAlign w:val="center"/>
          </w:tcPr>
          <w:p w14:paraId="483F693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广州石井</w:t>
            </w:r>
          </w:p>
        </w:tc>
        <w:tc>
          <w:tcPr>
            <w:tcW w:w="0" w:type="auto"/>
            <w:tcBorders>
              <w:top w:val="nil"/>
              <w:left w:val="nil"/>
              <w:bottom w:val="single" w:color="auto" w:sz="4" w:space="0"/>
              <w:right w:val="single" w:color="auto" w:sz="4" w:space="0"/>
            </w:tcBorders>
            <w:vAlign w:val="center"/>
          </w:tcPr>
          <w:p w14:paraId="704BF21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五羊</w:t>
            </w:r>
          </w:p>
        </w:tc>
        <w:tc>
          <w:tcPr>
            <w:tcW w:w="0" w:type="auto"/>
            <w:vMerge w:val="restart"/>
            <w:tcBorders>
              <w:top w:val="nil"/>
              <w:left w:val="nil"/>
              <w:right w:val="single" w:color="auto" w:sz="4" w:space="0"/>
            </w:tcBorders>
            <w:vAlign w:val="center"/>
          </w:tcPr>
          <w:p w14:paraId="292E9E9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符合验收要求</w:t>
            </w:r>
          </w:p>
        </w:tc>
      </w:tr>
      <w:tr w14:paraId="68B190AB">
        <w:tblPrEx>
          <w:tblCellMar>
            <w:top w:w="0" w:type="dxa"/>
            <w:left w:w="108" w:type="dxa"/>
            <w:bottom w:w="0" w:type="dxa"/>
            <w:right w:w="108" w:type="dxa"/>
          </w:tblCellMar>
        </w:tblPrEx>
        <w:trPr>
          <w:trHeight w:val="398" w:hRule="atLeast"/>
          <w:jc w:val="center"/>
        </w:trPr>
        <w:tc>
          <w:tcPr>
            <w:tcW w:w="0" w:type="auto"/>
            <w:vMerge w:val="continue"/>
            <w:tcBorders>
              <w:left w:val="single" w:color="auto" w:sz="4" w:space="0"/>
              <w:right w:val="single" w:color="auto" w:sz="4" w:space="0"/>
            </w:tcBorders>
            <w:vAlign w:val="center"/>
          </w:tcPr>
          <w:p w14:paraId="7E885E6F">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08C8D9E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0" w:type="auto"/>
            <w:tcBorders>
              <w:top w:val="nil"/>
              <w:left w:val="nil"/>
              <w:bottom w:val="single" w:color="auto" w:sz="4" w:space="0"/>
              <w:right w:val="single" w:color="auto" w:sz="4" w:space="0"/>
            </w:tcBorders>
            <w:vAlign w:val="center"/>
          </w:tcPr>
          <w:p w14:paraId="06DFF97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钢筋</w:t>
            </w:r>
          </w:p>
        </w:tc>
        <w:tc>
          <w:tcPr>
            <w:tcW w:w="0" w:type="auto"/>
            <w:tcBorders>
              <w:top w:val="nil"/>
              <w:left w:val="nil"/>
              <w:bottom w:val="single" w:color="auto" w:sz="4" w:space="0"/>
              <w:right w:val="single" w:color="auto" w:sz="4" w:space="0"/>
            </w:tcBorders>
            <w:vAlign w:val="center"/>
          </w:tcPr>
          <w:p w14:paraId="48F4536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广钢</w:t>
            </w:r>
          </w:p>
        </w:tc>
        <w:tc>
          <w:tcPr>
            <w:tcW w:w="0" w:type="auto"/>
            <w:tcBorders>
              <w:top w:val="nil"/>
              <w:left w:val="nil"/>
              <w:bottom w:val="single" w:color="auto" w:sz="4" w:space="0"/>
              <w:right w:val="single" w:color="auto" w:sz="4" w:space="0"/>
            </w:tcBorders>
            <w:vAlign w:val="center"/>
          </w:tcPr>
          <w:p w14:paraId="378BE2C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韶钢</w:t>
            </w:r>
          </w:p>
        </w:tc>
        <w:tc>
          <w:tcPr>
            <w:tcW w:w="0" w:type="auto"/>
            <w:tcBorders>
              <w:top w:val="nil"/>
              <w:left w:val="nil"/>
              <w:bottom w:val="single" w:color="auto" w:sz="4" w:space="0"/>
              <w:right w:val="single" w:color="auto" w:sz="4" w:space="0"/>
            </w:tcBorders>
            <w:vAlign w:val="center"/>
          </w:tcPr>
          <w:p w14:paraId="1807DEC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鞍钢</w:t>
            </w:r>
          </w:p>
        </w:tc>
        <w:tc>
          <w:tcPr>
            <w:tcW w:w="0" w:type="auto"/>
            <w:vMerge w:val="continue"/>
            <w:tcBorders>
              <w:left w:val="nil"/>
              <w:right w:val="single" w:color="auto" w:sz="4" w:space="0"/>
            </w:tcBorders>
            <w:vAlign w:val="center"/>
          </w:tcPr>
          <w:p w14:paraId="66FD1AF5">
            <w:pPr>
              <w:widowControl/>
              <w:jc w:val="center"/>
              <w:rPr>
                <w:rFonts w:hint="eastAsia" w:ascii="宋体" w:hAnsi="宋体" w:eastAsia="宋体" w:cs="宋体"/>
                <w:color w:val="auto"/>
                <w:kern w:val="0"/>
                <w:sz w:val="20"/>
                <w:szCs w:val="20"/>
                <w:highlight w:val="none"/>
              </w:rPr>
            </w:pPr>
          </w:p>
        </w:tc>
      </w:tr>
      <w:tr w14:paraId="16113FBA">
        <w:tblPrEx>
          <w:tblCellMar>
            <w:top w:w="0" w:type="dxa"/>
            <w:left w:w="108" w:type="dxa"/>
            <w:bottom w:w="0" w:type="dxa"/>
            <w:right w:w="108" w:type="dxa"/>
          </w:tblCellMar>
        </w:tblPrEx>
        <w:trPr>
          <w:trHeight w:val="398" w:hRule="atLeast"/>
          <w:jc w:val="center"/>
        </w:trPr>
        <w:tc>
          <w:tcPr>
            <w:tcW w:w="0" w:type="auto"/>
            <w:vMerge w:val="continue"/>
            <w:tcBorders>
              <w:left w:val="single" w:color="auto" w:sz="4" w:space="0"/>
              <w:right w:val="single" w:color="auto" w:sz="4" w:space="0"/>
            </w:tcBorders>
            <w:vAlign w:val="center"/>
          </w:tcPr>
          <w:p w14:paraId="4CA996D2">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4441150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0" w:type="auto"/>
            <w:tcBorders>
              <w:top w:val="nil"/>
              <w:left w:val="nil"/>
              <w:bottom w:val="single" w:color="auto" w:sz="4" w:space="0"/>
              <w:right w:val="single" w:color="auto" w:sz="4" w:space="0"/>
            </w:tcBorders>
            <w:vAlign w:val="center"/>
          </w:tcPr>
          <w:p w14:paraId="3E04C28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砌块</w:t>
            </w:r>
          </w:p>
        </w:tc>
        <w:tc>
          <w:tcPr>
            <w:tcW w:w="0" w:type="auto"/>
            <w:tcBorders>
              <w:top w:val="nil"/>
              <w:left w:val="nil"/>
              <w:bottom w:val="single" w:color="auto" w:sz="4" w:space="0"/>
              <w:right w:val="single" w:color="auto" w:sz="4" w:space="0"/>
            </w:tcBorders>
            <w:vAlign w:val="center"/>
          </w:tcPr>
          <w:p w14:paraId="7355137C">
            <w:pPr>
              <w:widowControl/>
              <w:jc w:val="center"/>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31EFDE0F">
            <w:pPr>
              <w:widowControl/>
              <w:jc w:val="center"/>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5A975661">
            <w:pPr>
              <w:widowControl/>
              <w:jc w:val="center"/>
              <w:rPr>
                <w:rFonts w:hint="eastAsia" w:ascii="宋体" w:hAnsi="宋体" w:eastAsia="宋体" w:cs="宋体"/>
                <w:color w:val="auto"/>
                <w:kern w:val="0"/>
                <w:sz w:val="20"/>
                <w:szCs w:val="20"/>
                <w:highlight w:val="none"/>
              </w:rPr>
            </w:pPr>
          </w:p>
        </w:tc>
        <w:tc>
          <w:tcPr>
            <w:tcW w:w="0" w:type="auto"/>
            <w:vMerge w:val="continue"/>
            <w:tcBorders>
              <w:left w:val="nil"/>
              <w:right w:val="single" w:color="auto" w:sz="4" w:space="0"/>
            </w:tcBorders>
            <w:vAlign w:val="center"/>
          </w:tcPr>
          <w:p w14:paraId="36E43278">
            <w:pPr>
              <w:widowControl/>
              <w:jc w:val="center"/>
              <w:rPr>
                <w:rFonts w:hint="eastAsia" w:ascii="宋体" w:hAnsi="宋体" w:eastAsia="宋体" w:cs="宋体"/>
                <w:color w:val="auto"/>
                <w:kern w:val="0"/>
                <w:sz w:val="20"/>
                <w:szCs w:val="20"/>
                <w:highlight w:val="none"/>
              </w:rPr>
            </w:pPr>
          </w:p>
        </w:tc>
      </w:tr>
      <w:tr w14:paraId="4CF4A0B4">
        <w:tblPrEx>
          <w:tblCellMar>
            <w:top w:w="0" w:type="dxa"/>
            <w:left w:w="108" w:type="dxa"/>
            <w:bottom w:w="0" w:type="dxa"/>
            <w:right w:w="108" w:type="dxa"/>
          </w:tblCellMar>
        </w:tblPrEx>
        <w:trPr>
          <w:trHeight w:val="398" w:hRule="atLeast"/>
          <w:jc w:val="center"/>
        </w:trPr>
        <w:tc>
          <w:tcPr>
            <w:tcW w:w="0" w:type="auto"/>
            <w:vMerge w:val="continue"/>
            <w:tcBorders>
              <w:left w:val="single" w:color="auto" w:sz="4" w:space="0"/>
              <w:right w:val="single" w:color="auto" w:sz="4" w:space="0"/>
            </w:tcBorders>
            <w:vAlign w:val="center"/>
          </w:tcPr>
          <w:p w14:paraId="729FFA78">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6A0DDFE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0" w:type="auto"/>
            <w:tcBorders>
              <w:top w:val="nil"/>
              <w:left w:val="nil"/>
              <w:bottom w:val="single" w:color="auto" w:sz="4" w:space="0"/>
              <w:right w:val="single" w:color="auto" w:sz="4" w:space="0"/>
            </w:tcBorders>
            <w:vAlign w:val="center"/>
          </w:tcPr>
          <w:p w14:paraId="63EEF23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预拌砂浆</w:t>
            </w:r>
          </w:p>
        </w:tc>
        <w:tc>
          <w:tcPr>
            <w:tcW w:w="0" w:type="auto"/>
            <w:tcBorders>
              <w:top w:val="nil"/>
              <w:left w:val="nil"/>
              <w:bottom w:val="single" w:color="auto" w:sz="4" w:space="0"/>
              <w:right w:val="single" w:color="auto" w:sz="4" w:space="0"/>
            </w:tcBorders>
            <w:vAlign w:val="center"/>
          </w:tcPr>
          <w:p w14:paraId="19FA9621">
            <w:pPr>
              <w:widowControl/>
              <w:jc w:val="center"/>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603E32B9">
            <w:pPr>
              <w:widowControl/>
              <w:jc w:val="center"/>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23E363D1">
            <w:pPr>
              <w:widowControl/>
              <w:jc w:val="center"/>
              <w:rPr>
                <w:rFonts w:hint="eastAsia" w:ascii="宋体" w:hAnsi="宋体" w:eastAsia="宋体" w:cs="宋体"/>
                <w:color w:val="auto"/>
                <w:kern w:val="0"/>
                <w:sz w:val="20"/>
                <w:szCs w:val="20"/>
                <w:highlight w:val="none"/>
              </w:rPr>
            </w:pPr>
          </w:p>
        </w:tc>
        <w:tc>
          <w:tcPr>
            <w:tcW w:w="0" w:type="auto"/>
            <w:vMerge w:val="continue"/>
            <w:tcBorders>
              <w:left w:val="nil"/>
              <w:right w:val="single" w:color="auto" w:sz="4" w:space="0"/>
            </w:tcBorders>
            <w:vAlign w:val="center"/>
          </w:tcPr>
          <w:p w14:paraId="241CF792">
            <w:pPr>
              <w:widowControl/>
              <w:jc w:val="center"/>
              <w:rPr>
                <w:rFonts w:hint="eastAsia" w:ascii="宋体" w:hAnsi="宋体" w:eastAsia="宋体" w:cs="宋体"/>
                <w:color w:val="auto"/>
                <w:kern w:val="0"/>
                <w:sz w:val="20"/>
                <w:szCs w:val="20"/>
                <w:highlight w:val="none"/>
              </w:rPr>
            </w:pPr>
          </w:p>
        </w:tc>
      </w:tr>
      <w:tr w14:paraId="450EA13D">
        <w:tblPrEx>
          <w:tblCellMar>
            <w:top w:w="0" w:type="dxa"/>
            <w:left w:w="108" w:type="dxa"/>
            <w:bottom w:w="0" w:type="dxa"/>
            <w:right w:w="108" w:type="dxa"/>
          </w:tblCellMar>
        </w:tblPrEx>
        <w:trPr>
          <w:trHeight w:val="398" w:hRule="atLeast"/>
          <w:jc w:val="center"/>
        </w:trPr>
        <w:tc>
          <w:tcPr>
            <w:tcW w:w="0" w:type="auto"/>
            <w:vMerge w:val="continue"/>
            <w:tcBorders>
              <w:left w:val="single" w:color="auto" w:sz="4" w:space="0"/>
              <w:right w:val="single" w:color="auto" w:sz="4" w:space="0"/>
            </w:tcBorders>
            <w:vAlign w:val="center"/>
          </w:tcPr>
          <w:p w14:paraId="29E91BBF">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4ADA7B1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0" w:type="auto"/>
            <w:tcBorders>
              <w:top w:val="nil"/>
              <w:left w:val="nil"/>
              <w:bottom w:val="single" w:color="auto" w:sz="4" w:space="0"/>
              <w:right w:val="single" w:color="auto" w:sz="4" w:space="0"/>
            </w:tcBorders>
            <w:vAlign w:val="center"/>
          </w:tcPr>
          <w:p w14:paraId="08570D5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腻子</w:t>
            </w:r>
          </w:p>
        </w:tc>
        <w:tc>
          <w:tcPr>
            <w:tcW w:w="0" w:type="auto"/>
            <w:tcBorders>
              <w:top w:val="nil"/>
              <w:left w:val="nil"/>
              <w:bottom w:val="single" w:color="auto" w:sz="4" w:space="0"/>
              <w:right w:val="single" w:color="auto" w:sz="4" w:space="0"/>
            </w:tcBorders>
            <w:vAlign w:val="center"/>
          </w:tcPr>
          <w:p w14:paraId="249CF5D3">
            <w:pPr>
              <w:widowControl/>
              <w:jc w:val="center"/>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77133484">
            <w:pPr>
              <w:widowControl/>
              <w:jc w:val="center"/>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68BC2251">
            <w:pPr>
              <w:widowControl/>
              <w:jc w:val="center"/>
              <w:rPr>
                <w:rFonts w:hint="eastAsia" w:ascii="宋体" w:hAnsi="宋体" w:eastAsia="宋体" w:cs="宋体"/>
                <w:color w:val="auto"/>
                <w:kern w:val="0"/>
                <w:sz w:val="20"/>
                <w:szCs w:val="20"/>
                <w:highlight w:val="none"/>
              </w:rPr>
            </w:pPr>
          </w:p>
        </w:tc>
        <w:tc>
          <w:tcPr>
            <w:tcW w:w="0" w:type="auto"/>
            <w:vMerge w:val="continue"/>
            <w:tcBorders>
              <w:left w:val="nil"/>
              <w:bottom w:val="single" w:color="000000" w:sz="4" w:space="0"/>
              <w:right w:val="single" w:color="auto" w:sz="4" w:space="0"/>
            </w:tcBorders>
            <w:vAlign w:val="center"/>
          </w:tcPr>
          <w:p w14:paraId="4C6F02BF">
            <w:pPr>
              <w:widowControl/>
              <w:jc w:val="center"/>
              <w:rPr>
                <w:rFonts w:hint="eastAsia" w:ascii="宋体" w:hAnsi="宋体" w:eastAsia="宋体" w:cs="宋体"/>
                <w:color w:val="auto"/>
                <w:kern w:val="0"/>
                <w:sz w:val="20"/>
                <w:szCs w:val="20"/>
                <w:highlight w:val="none"/>
              </w:rPr>
            </w:pPr>
          </w:p>
        </w:tc>
      </w:tr>
      <w:tr w14:paraId="333DCB6A">
        <w:tblPrEx>
          <w:tblCellMar>
            <w:top w:w="0" w:type="dxa"/>
            <w:left w:w="108" w:type="dxa"/>
            <w:bottom w:w="0" w:type="dxa"/>
            <w:right w:w="108" w:type="dxa"/>
          </w:tblCellMar>
        </w:tblPrEx>
        <w:trPr>
          <w:trHeight w:val="398" w:hRule="atLeast"/>
          <w:jc w:val="center"/>
        </w:trPr>
        <w:tc>
          <w:tcPr>
            <w:tcW w:w="0" w:type="auto"/>
            <w:vMerge w:val="continue"/>
            <w:tcBorders>
              <w:left w:val="single" w:color="auto" w:sz="4" w:space="0"/>
              <w:right w:val="single" w:color="auto" w:sz="4" w:space="0"/>
            </w:tcBorders>
            <w:vAlign w:val="center"/>
          </w:tcPr>
          <w:p w14:paraId="5127DB2E">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2703079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0" w:type="auto"/>
            <w:tcBorders>
              <w:top w:val="nil"/>
              <w:left w:val="nil"/>
              <w:bottom w:val="single" w:color="auto" w:sz="4" w:space="0"/>
              <w:right w:val="single" w:color="auto" w:sz="4" w:space="0"/>
            </w:tcBorders>
            <w:vAlign w:val="center"/>
          </w:tcPr>
          <w:p w14:paraId="1D008D5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混凝土</w:t>
            </w:r>
          </w:p>
        </w:tc>
        <w:tc>
          <w:tcPr>
            <w:tcW w:w="0" w:type="auto"/>
            <w:tcBorders>
              <w:top w:val="nil"/>
              <w:left w:val="nil"/>
              <w:bottom w:val="single" w:color="auto" w:sz="4" w:space="0"/>
              <w:right w:val="single" w:color="auto" w:sz="4" w:space="0"/>
            </w:tcBorders>
            <w:vAlign w:val="center"/>
          </w:tcPr>
          <w:p w14:paraId="457B43EA">
            <w:pPr>
              <w:widowControl/>
              <w:jc w:val="center"/>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44A6ED77">
            <w:pPr>
              <w:widowControl/>
              <w:jc w:val="center"/>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76972DCF">
            <w:pPr>
              <w:widowControl/>
              <w:jc w:val="center"/>
              <w:rPr>
                <w:rFonts w:hint="eastAsia" w:ascii="宋体" w:hAnsi="宋体" w:eastAsia="宋体" w:cs="宋体"/>
                <w:color w:val="auto"/>
                <w:kern w:val="0"/>
                <w:sz w:val="20"/>
                <w:szCs w:val="20"/>
                <w:highlight w:val="none"/>
              </w:rPr>
            </w:pPr>
          </w:p>
        </w:tc>
        <w:tc>
          <w:tcPr>
            <w:tcW w:w="0" w:type="auto"/>
            <w:vMerge w:val="continue"/>
            <w:tcBorders>
              <w:left w:val="nil"/>
              <w:bottom w:val="single" w:color="000000" w:sz="4" w:space="0"/>
              <w:right w:val="single" w:color="auto" w:sz="4" w:space="0"/>
            </w:tcBorders>
            <w:vAlign w:val="center"/>
          </w:tcPr>
          <w:p w14:paraId="56F8451F">
            <w:pPr>
              <w:widowControl/>
              <w:jc w:val="center"/>
              <w:rPr>
                <w:rFonts w:hint="eastAsia" w:ascii="宋体" w:hAnsi="宋体" w:eastAsia="宋体" w:cs="宋体"/>
                <w:color w:val="auto"/>
                <w:kern w:val="0"/>
                <w:sz w:val="20"/>
                <w:szCs w:val="20"/>
                <w:highlight w:val="none"/>
              </w:rPr>
            </w:pPr>
          </w:p>
        </w:tc>
      </w:tr>
      <w:tr w14:paraId="73838CA7">
        <w:tblPrEx>
          <w:tblCellMar>
            <w:top w:w="0" w:type="dxa"/>
            <w:left w:w="108" w:type="dxa"/>
            <w:bottom w:w="0" w:type="dxa"/>
            <w:right w:w="108" w:type="dxa"/>
          </w:tblCellMar>
        </w:tblPrEx>
        <w:trPr>
          <w:trHeight w:val="398" w:hRule="atLeast"/>
          <w:jc w:val="center"/>
        </w:trPr>
        <w:tc>
          <w:tcPr>
            <w:tcW w:w="0" w:type="auto"/>
            <w:vMerge w:val="continue"/>
            <w:tcBorders>
              <w:left w:val="single" w:color="auto" w:sz="4" w:space="0"/>
              <w:right w:val="single" w:color="auto" w:sz="4" w:space="0"/>
            </w:tcBorders>
            <w:vAlign w:val="center"/>
          </w:tcPr>
          <w:p w14:paraId="465E15E1">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42BDB22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0" w:type="auto"/>
            <w:tcBorders>
              <w:top w:val="nil"/>
              <w:left w:val="nil"/>
              <w:bottom w:val="single" w:color="auto" w:sz="4" w:space="0"/>
              <w:right w:val="single" w:color="auto" w:sz="4" w:space="0"/>
            </w:tcBorders>
            <w:vAlign w:val="center"/>
          </w:tcPr>
          <w:p w14:paraId="6835059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防火门</w:t>
            </w:r>
          </w:p>
        </w:tc>
        <w:tc>
          <w:tcPr>
            <w:tcW w:w="0" w:type="auto"/>
            <w:tcBorders>
              <w:top w:val="nil"/>
              <w:left w:val="nil"/>
              <w:bottom w:val="single" w:color="auto" w:sz="4" w:space="0"/>
              <w:right w:val="single" w:color="auto" w:sz="4" w:space="0"/>
            </w:tcBorders>
            <w:vAlign w:val="center"/>
          </w:tcPr>
          <w:p w14:paraId="1AF0565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美心</w:t>
            </w:r>
          </w:p>
        </w:tc>
        <w:tc>
          <w:tcPr>
            <w:tcW w:w="0" w:type="auto"/>
            <w:tcBorders>
              <w:top w:val="nil"/>
              <w:left w:val="nil"/>
              <w:bottom w:val="single" w:color="auto" w:sz="4" w:space="0"/>
              <w:right w:val="single" w:color="auto" w:sz="4" w:space="0"/>
            </w:tcBorders>
            <w:vAlign w:val="center"/>
          </w:tcPr>
          <w:p w14:paraId="25D6276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王力</w:t>
            </w:r>
          </w:p>
        </w:tc>
        <w:tc>
          <w:tcPr>
            <w:tcW w:w="0" w:type="auto"/>
            <w:tcBorders>
              <w:top w:val="nil"/>
              <w:left w:val="nil"/>
              <w:bottom w:val="single" w:color="auto" w:sz="4" w:space="0"/>
              <w:right w:val="single" w:color="auto" w:sz="4" w:space="0"/>
            </w:tcBorders>
            <w:vAlign w:val="center"/>
          </w:tcPr>
          <w:p w14:paraId="316A6E7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盼盼</w:t>
            </w:r>
          </w:p>
        </w:tc>
        <w:tc>
          <w:tcPr>
            <w:tcW w:w="0" w:type="auto"/>
            <w:tcBorders>
              <w:top w:val="nil"/>
              <w:left w:val="nil"/>
              <w:bottom w:val="single" w:color="auto" w:sz="4" w:space="0"/>
              <w:right w:val="single" w:color="auto" w:sz="4" w:space="0"/>
            </w:tcBorders>
            <w:vAlign w:val="center"/>
          </w:tcPr>
          <w:p w14:paraId="72EDFEE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高档</w:t>
            </w:r>
          </w:p>
        </w:tc>
      </w:tr>
      <w:tr w14:paraId="678122DD">
        <w:tblPrEx>
          <w:tblCellMar>
            <w:top w:w="0" w:type="dxa"/>
            <w:left w:w="108" w:type="dxa"/>
            <w:bottom w:w="0" w:type="dxa"/>
            <w:right w:w="108" w:type="dxa"/>
          </w:tblCellMar>
        </w:tblPrEx>
        <w:trPr>
          <w:trHeight w:val="398" w:hRule="atLeast"/>
          <w:jc w:val="center"/>
        </w:trPr>
        <w:tc>
          <w:tcPr>
            <w:tcW w:w="0" w:type="auto"/>
            <w:vMerge w:val="continue"/>
            <w:tcBorders>
              <w:left w:val="single" w:color="auto" w:sz="4" w:space="0"/>
              <w:right w:val="single" w:color="auto" w:sz="4" w:space="0"/>
            </w:tcBorders>
            <w:vAlign w:val="center"/>
          </w:tcPr>
          <w:p w14:paraId="255E4711">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5569A9B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0" w:type="auto"/>
            <w:tcBorders>
              <w:top w:val="nil"/>
              <w:left w:val="nil"/>
              <w:bottom w:val="single" w:color="auto" w:sz="4" w:space="0"/>
              <w:right w:val="single" w:color="auto" w:sz="4" w:space="0"/>
            </w:tcBorders>
            <w:vAlign w:val="center"/>
          </w:tcPr>
          <w:p w14:paraId="5D0D3F2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入户实木（隔音门）</w:t>
            </w:r>
          </w:p>
        </w:tc>
        <w:tc>
          <w:tcPr>
            <w:tcW w:w="0" w:type="auto"/>
            <w:tcBorders>
              <w:top w:val="nil"/>
              <w:left w:val="nil"/>
              <w:bottom w:val="single" w:color="auto" w:sz="4" w:space="0"/>
              <w:right w:val="single" w:color="auto" w:sz="4" w:space="0"/>
            </w:tcBorders>
            <w:vAlign w:val="center"/>
          </w:tcPr>
          <w:p w14:paraId="20D04C7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金凯德</w:t>
            </w:r>
          </w:p>
        </w:tc>
        <w:tc>
          <w:tcPr>
            <w:tcW w:w="0" w:type="auto"/>
            <w:tcBorders>
              <w:top w:val="nil"/>
              <w:left w:val="nil"/>
              <w:bottom w:val="single" w:color="auto" w:sz="4" w:space="0"/>
              <w:right w:val="single" w:color="auto" w:sz="4" w:space="0"/>
            </w:tcBorders>
            <w:vAlign w:val="center"/>
          </w:tcPr>
          <w:p w14:paraId="424479A5">
            <w:pPr>
              <w:widowControl/>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盼盼</w:t>
            </w:r>
          </w:p>
        </w:tc>
        <w:tc>
          <w:tcPr>
            <w:tcW w:w="0" w:type="auto"/>
            <w:tcBorders>
              <w:top w:val="nil"/>
              <w:left w:val="nil"/>
              <w:bottom w:val="single" w:color="auto" w:sz="4" w:space="0"/>
              <w:right w:val="single" w:color="auto" w:sz="4" w:space="0"/>
            </w:tcBorders>
            <w:vAlign w:val="center"/>
          </w:tcPr>
          <w:p w14:paraId="5633433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开开</w:t>
            </w:r>
          </w:p>
        </w:tc>
        <w:tc>
          <w:tcPr>
            <w:tcW w:w="0" w:type="auto"/>
            <w:tcBorders>
              <w:top w:val="nil"/>
              <w:left w:val="nil"/>
              <w:bottom w:val="single" w:color="auto" w:sz="4" w:space="0"/>
              <w:right w:val="single" w:color="auto" w:sz="4" w:space="0"/>
            </w:tcBorders>
            <w:vAlign w:val="center"/>
          </w:tcPr>
          <w:p w14:paraId="65289D5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2FDE43EF">
        <w:tblPrEx>
          <w:tblCellMar>
            <w:top w:w="0" w:type="dxa"/>
            <w:left w:w="108" w:type="dxa"/>
            <w:bottom w:w="0" w:type="dxa"/>
            <w:right w:w="108" w:type="dxa"/>
          </w:tblCellMar>
        </w:tblPrEx>
        <w:trPr>
          <w:trHeight w:val="398" w:hRule="atLeast"/>
          <w:jc w:val="center"/>
        </w:trPr>
        <w:tc>
          <w:tcPr>
            <w:tcW w:w="0" w:type="auto"/>
            <w:vMerge w:val="continue"/>
            <w:tcBorders>
              <w:left w:val="single" w:color="auto" w:sz="4" w:space="0"/>
              <w:right w:val="single" w:color="auto" w:sz="4" w:space="0"/>
            </w:tcBorders>
            <w:vAlign w:val="center"/>
          </w:tcPr>
          <w:p w14:paraId="2CB9BCFD">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199071A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0" w:type="auto"/>
            <w:tcBorders>
              <w:top w:val="nil"/>
              <w:left w:val="nil"/>
              <w:bottom w:val="single" w:color="auto" w:sz="4" w:space="0"/>
              <w:right w:val="single" w:color="auto" w:sz="4" w:space="0"/>
            </w:tcBorders>
            <w:vAlign w:val="center"/>
          </w:tcPr>
          <w:p w14:paraId="732CC46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夹板门</w:t>
            </w:r>
          </w:p>
        </w:tc>
        <w:tc>
          <w:tcPr>
            <w:tcW w:w="0" w:type="auto"/>
            <w:tcBorders>
              <w:top w:val="nil"/>
              <w:left w:val="nil"/>
              <w:bottom w:val="single" w:color="auto" w:sz="4" w:space="0"/>
              <w:right w:val="single" w:color="auto" w:sz="4" w:space="0"/>
            </w:tcBorders>
            <w:vAlign w:val="center"/>
          </w:tcPr>
          <w:p w14:paraId="3EA3A15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金凯德</w:t>
            </w:r>
          </w:p>
        </w:tc>
        <w:tc>
          <w:tcPr>
            <w:tcW w:w="0" w:type="auto"/>
            <w:tcBorders>
              <w:top w:val="nil"/>
              <w:left w:val="nil"/>
              <w:bottom w:val="single" w:color="auto" w:sz="4" w:space="0"/>
              <w:right w:val="single" w:color="auto" w:sz="4" w:space="0"/>
            </w:tcBorders>
            <w:vAlign w:val="center"/>
          </w:tcPr>
          <w:p w14:paraId="6B8767B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罗兰</w:t>
            </w:r>
          </w:p>
        </w:tc>
        <w:tc>
          <w:tcPr>
            <w:tcW w:w="0" w:type="auto"/>
            <w:tcBorders>
              <w:top w:val="nil"/>
              <w:left w:val="nil"/>
              <w:bottom w:val="single" w:color="auto" w:sz="4" w:space="0"/>
              <w:right w:val="single" w:color="auto" w:sz="4" w:space="0"/>
            </w:tcBorders>
            <w:vAlign w:val="center"/>
          </w:tcPr>
          <w:p w14:paraId="66323E2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sz w:val="20"/>
                <w:szCs w:val="20"/>
                <w:highlight w:val="none"/>
              </w:rPr>
              <w:t>开开</w:t>
            </w:r>
          </w:p>
        </w:tc>
        <w:tc>
          <w:tcPr>
            <w:tcW w:w="0" w:type="auto"/>
            <w:tcBorders>
              <w:top w:val="nil"/>
              <w:left w:val="nil"/>
              <w:bottom w:val="single" w:color="auto" w:sz="4" w:space="0"/>
              <w:right w:val="single" w:color="auto" w:sz="4" w:space="0"/>
            </w:tcBorders>
            <w:vAlign w:val="center"/>
          </w:tcPr>
          <w:p w14:paraId="4FCDF0E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61812525">
        <w:tblPrEx>
          <w:tblCellMar>
            <w:top w:w="0" w:type="dxa"/>
            <w:left w:w="108" w:type="dxa"/>
            <w:bottom w:w="0" w:type="dxa"/>
            <w:right w:w="108" w:type="dxa"/>
          </w:tblCellMar>
        </w:tblPrEx>
        <w:trPr>
          <w:trHeight w:val="398" w:hRule="atLeast"/>
          <w:jc w:val="center"/>
        </w:trPr>
        <w:tc>
          <w:tcPr>
            <w:tcW w:w="0" w:type="auto"/>
            <w:vMerge w:val="continue"/>
            <w:tcBorders>
              <w:left w:val="single" w:color="auto" w:sz="4" w:space="0"/>
              <w:right w:val="single" w:color="auto" w:sz="4" w:space="0"/>
            </w:tcBorders>
            <w:vAlign w:val="center"/>
          </w:tcPr>
          <w:p w14:paraId="2AC72719">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nil"/>
              <w:bottom w:val="single" w:color="auto" w:sz="4" w:space="0"/>
              <w:right w:val="single" w:color="auto" w:sz="4" w:space="0"/>
            </w:tcBorders>
            <w:vAlign w:val="center"/>
          </w:tcPr>
          <w:p w14:paraId="2F96903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0" w:type="auto"/>
            <w:tcBorders>
              <w:top w:val="single" w:color="auto" w:sz="4" w:space="0"/>
              <w:left w:val="nil"/>
              <w:bottom w:val="single" w:color="auto" w:sz="4" w:space="0"/>
              <w:right w:val="single" w:color="auto" w:sz="4" w:space="0"/>
            </w:tcBorders>
            <w:vAlign w:val="center"/>
          </w:tcPr>
          <w:p w14:paraId="1ED74B0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保温板材</w:t>
            </w:r>
          </w:p>
        </w:tc>
        <w:tc>
          <w:tcPr>
            <w:tcW w:w="0" w:type="auto"/>
            <w:tcBorders>
              <w:top w:val="single" w:color="auto" w:sz="4" w:space="0"/>
              <w:left w:val="nil"/>
              <w:bottom w:val="single" w:color="auto" w:sz="4" w:space="0"/>
              <w:right w:val="single" w:color="auto" w:sz="4" w:space="0"/>
            </w:tcBorders>
            <w:vAlign w:val="center"/>
          </w:tcPr>
          <w:p w14:paraId="366F779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广州华德</w:t>
            </w:r>
          </w:p>
        </w:tc>
        <w:tc>
          <w:tcPr>
            <w:tcW w:w="0" w:type="auto"/>
            <w:tcBorders>
              <w:top w:val="single" w:color="auto" w:sz="4" w:space="0"/>
              <w:left w:val="nil"/>
              <w:bottom w:val="single" w:color="auto" w:sz="4" w:space="0"/>
              <w:right w:val="single" w:color="auto" w:sz="4" w:space="0"/>
            </w:tcBorders>
            <w:vAlign w:val="center"/>
          </w:tcPr>
          <w:p w14:paraId="5343F8B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立邦</w:t>
            </w:r>
          </w:p>
        </w:tc>
        <w:tc>
          <w:tcPr>
            <w:tcW w:w="0" w:type="auto"/>
            <w:tcBorders>
              <w:top w:val="single" w:color="auto" w:sz="4" w:space="0"/>
              <w:left w:val="nil"/>
              <w:bottom w:val="single" w:color="auto" w:sz="4" w:space="0"/>
              <w:right w:val="single" w:color="auto" w:sz="4" w:space="0"/>
            </w:tcBorders>
            <w:vAlign w:val="center"/>
          </w:tcPr>
          <w:p w14:paraId="60F24B0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三棵树</w:t>
            </w:r>
          </w:p>
        </w:tc>
        <w:tc>
          <w:tcPr>
            <w:tcW w:w="0" w:type="auto"/>
            <w:tcBorders>
              <w:top w:val="single" w:color="auto" w:sz="4" w:space="0"/>
              <w:left w:val="nil"/>
              <w:bottom w:val="single" w:color="auto" w:sz="4" w:space="0"/>
              <w:right w:val="single" w:color="auto" w:sz="4" w:space="0"/>
            </w:tcBorders>
            <w:vAlign w:val="center"/>
          </w:tcPr>
          <w:p w14:paraId="5ED5E1E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0C0E63D5">
        <w:tblPrEx>
          <w:tblCellMar>
            <w:top w:w="0" w:type="dxa"/>
            <w:left w:w="108" w:type="dxa"/>
            <w:bottom w:w="0" w:type="dxa"/>
            <w:right w:w="108" w:type="dxa"/>
          </w:tblCellMar>
        </w:tblPrEx>
        <w:trPr>
          <w:trHeight w:val="398" w:hRule="atLeast"/>
          <w:jc w:val="center"/>
        </w:trPr>
        <w:tc>
          <w:tcPr>
            <w:tcW w:w="0" w:type="auto"/>
            <w:vMerge w:val="continue"/>
            <w:tcBorders>
              <w:left w:val="single" w:color="auto" w:sz="4" w:space="0"/>
              <w:right w:val="single" w:color="auto" w:sz="4" w:space="0"/>
            </w:tcBorders>
            <w:vAlign w:val="center"/>
          </w:tcPr>
          <w:p w14:paraId="032F0147">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4CB3725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0" w:type="auto"/>
            <w:tcBorders>
              <w:top w:val="nil"/>
              <w:left w:val="nil"/>
              <w:bottom w:val="single" w:color="auto" w:sz="4" w:space="0"/>
              <w:right w:val="single" w:color="auto" w:sz="4" w:space="0"/>
            </w:tcBorders>
            <w:vAlign w:val="center"/>
          </w:tcPr>
          <w:p w14:paraId="3C4FB51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外墙砖</w:t>
            </w:r>
          </w:p>
        </w:tc>
        <w:tc>
          <w:tcPr>
            <w:tcW w:w="0" w:type="auto"/>
            <w:tcBorders>
              <w:top w:val="nil"/>
              <w:left w:val="nil"/>
              <w:bottom w:val="single" w:color="auto" w:sz="4" w:space="0"/>
              <w:right w:val="single" w:color="auto" w:sz="4" w:space="0"/>
            </w:tcBorders>
            <w:vAlign w:val="center"/>
          </w:tcPr>
          <w:p w14:paraId="324A722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石湾鹰牌</w:t>
            </w:r>
          </w:p>
        </w:tc>
        <w:tc>
          <w:tcPr>
            <w:tcW w:w="0" w:type="auto"/>
            <w:tcBorders>
              <w:top w:val="nil"/>
              <w:left w:val="nil"/>
              <w:bottom w:val="single" w:color="auto" w:sz="4" w:space="0"/>
              <w:right w:val="single" w:color="auto" w:sz="4" w:space="0"/>
            </w:tcBorders>
            <w:vAlign w:val="center"/>
          </w:tcPr>
          <w:p w14:paraId="7CAF726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冠珠</w:t>
            </w:r>
          </w:p>
        </w:tc>
        <w:tc>
          <w:tcPr>
            <w:tcW w:w="0" w:type="auto"/>
            <w:tcBorders>
              <w:top w:val="nil"/>
              <w:left w:val="nil"/>
              <w:bottom w:val="single" w:color="auto" w:sz="4" w:space="0"/>
              <w:right w:val="single" w:color="auto" w:sz="4" w:space="0"/>
            </w:tcBorders>
            <w:vAlign w:val="center"/>
          </w:tcPr>
          <w:p w14:paraId="13B8B63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白兔</w:t>
            </w:r>
          </w:p>
        </w:tc>
        <w:tc>
          <w:tcPr>
            <w:tcW w:w="0" w:type="auto"/>
            <w:tcBorders>
              <w:top w:val="nil"/>
              <w:left w:val="nil"/>
              <w:bottom w:val="single" w:color="auto" w:sz="4" w:space="0"/>
              <w:right w:val="single" w:color="auto" w:sz="4" w:space="0"/>
            </w:tcBorders>
            <w:vAlign w:val="center"/>
          </w:tcPr>
          <w:p w14:paraId="7CCC097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7CF85440">
        <w:tblPrEx>
          <w:tblCellMar>
            <w:top w:w="0" w:type="dxa"/>
            <w:left w:w="108" w:type="dxa"/>
            <w:bottom w:w="0" w:type="dxa"/>
            <w:right w:w="108" w:type="dxa"/>
          </w:tblCellMar>
        </w:tblPrEx>
        <w:trPr>
          <w:trHeight w:val="398" w:hRule="atLeast"/>
          <w:jc w:val="center"/>
        </w:trPr>
        <w:tc>
          <w:tcPr>
            <w:tcW w:w="0" w:type="auto"/>
            <w:vMerge w:val="continue"/>
            <w:tcBorders>
              <w:left w:val="single" w:color="auto" w:sz="4" w:space="0"/>
              <w:right w:val="single" w:color="auto" w:sz="4" w:space="0"/>
            </w:tcBorders>
            <w:vAlign w:val="center"/>
          </w:tcPr>
          <w:p w14:paraId="5ACACB18">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0121AB5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0" w:type="auto"/>
            <w:tcBorders>
              <w:top w:val="nil"/>
              <w:left w:val="nil"/>
              <w:bottom w:val="single" w:color="auto" w:sz="4" w:space="0"/>
              <w:right w:val="single" w:color="auto" w:sz="4" w:space="0"/>
            </w:tcBorders>
            <w:vAlign w:val="center"/>
          </w:tcPr>
          <w:p w14:paraId="3F6A1D7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花岗岩</w:t>
            </w:r>
          </w:p>
        </w:tc>
        <w:tc>
          <w:tcPr>
            <w:tcW w:w="0" w:type="auto"/>
            <w:tcBorders>
              <w:top w:val="nil"/>
              <w:left w:val="nil"/>
              <w:bottom w:val="single" w:color="auto" w:sz="4" w:space="0"/>
              <w:right w:val="single" w:color="auto" w:sz="4" w:space="0"/>
            </w:tcBorders>
            <w:vAlign w:val="center"/>
          </w:tcPr>
          <w:p w14:paraId="4FCDF8D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云浮</w:t>
            </w:r>
          </w:p>
        </w:tc>
        <w:tc>
          <w:tcPr>
            <w:tcW w:w="0" w:type="auto"/>
            <w:tcBorders>
              <w:top w:val="nil"/>
              <w:left w:val="nil"/>
              <w:bottom w:val="single" w:color="auto" w:sz="4" w:space="0"/>
              <w:right w:val="single" w:color="auto" w:sz="4" w:space="0"/>
            </w:tcBorders>
            <w:vAlign w:val="center"/>
          </w:tcPr>
          <w:p w14:paraId="2852310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中山</w:t>
            </w:r>
          </w:p>
        </w:tc>
        <w:tc>
          <w:tcPr>
            <w:tcW w:w="0" w:type="auto"/>
            <w:tcBorders>
              <w:top w:val="nil"/>
              <w:left w:val="nil"/>
              <w:bottom w:val="single" w:color="auto" w:sz="4" w:space="0"/>
              <w:right w:val="single" w:color="auto" w:sz="4" w:space="0"/>
            </w:tcBorders>
            <w:vAlign w:val="center"/>
          </w:tcPr>
          <w:p w14:paraId="123A7C4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福建</w:t>
            </w:r>
          </w:p>
        </w:tc>
        <w:tc>
          <w:tcPr>
            <w:tcW w:w="0" w:type="auto"/>
            <w:tcBorders>
              <w:top w:val="nil"/>
              <w:left w:val="nil"/>
              <w:bottom w:val="single" w:color="auto" w:sz="4" w:space="0"/>
              <w:right w:val="single" w:color="auto" w:sz="4" w:space="0"/>
            </w:tcBorders>
            <w:vAlign w:val="center"/>
          </w:tcPr>
          <w:p w14:paraId="0EE588F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产地</w:t>
            </w:r>
          </w:p>
        </w:tc>
      </w:tr>
      <w:tr w14:paraId="2EE0CA2A">
        <w:tblPrEx>
          <w:tblCellMar>
            <w:top w:w="0" w:type="dxa"/>
            <w:left w:w="108" w:type="dxa"/>
            <w:bottom w:w="0" w:type="dxa"/>
            <w:right w:w="108" w:type="dxa"/>
          </w:tblCellMar>
        </w:tblPrEx>
        <w:trPr>
          <w:trHeight w:val="194" w:hRule="atLeast"/>
          <w:jc w:val="center"/>
        </w:trPr>
        <w:tc>
          <w:tcPr>
            <w:tcW w:w="0" w:type="auto"/>
            <w:vMerge w:val="continue"/>
            <w:tcBorders>
              <w:left w:val="single" w:color="auto" w:sz="4" w:space="0"/>
              <w:right w:val="single" w:color="auto" w:sz="4" w:space="0"/>
            </w:tcBorders>
            <w:vAlign w:val="center"/>
          </w:tcPr>
          <w:p w14:paraId="36E398DA">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73A0A1B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0" w:type="auto"/>
            <w:tcBorders>
              <w:top w:val="nil"/>
              <w:left w:val="nil"/>
              <w:bottom w:val="single" w:color="auto" w:sz="4" w:space="0"/>
              <w:right w:val="single" w:color="auto" w:sz="4" w:space="0"/>
            </w:tcBorders>
            <w:vAlign w:val="center"/>
          </w:tcPr>
          <w:p w14:paraId="08CCAB0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铝单板（含氟碳漆喷涂铝板、铝型材）</w:t>
            </w:r>
          </w:p>
        </w:tc>
        <w:tc>
          <w:tcPr>
            <w:tcW w:w="0" w:type="auto"/>
            <w:tcBorders>
              <w:top w:val="nil"/>
              <w:left w:val="nil"/>
              <w:bottom w:val="single" w:color="auto" w:sz="4" w:space="0"/>
              <w:right w:val="single" w:color="auto" w:sz="4" w:space="0"/>
            </w:tcBorders>
            <w:vAlign w:val="center"/>
          </w:tcPr>
          <w:p w14:paraId="04413C3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中铝</w:t>
            </w:r>
          </w:p>
        </w:tc>
        <w:tc>
          <w:tcPr>
            <w:tcW w:w="0" w:type="auto"/>
            <w:tcBorders>
              <w:top w:val="nil"/>
              <w:left w:val="nil"/>
              <w:bottom w:val="single" w:color="auto" w:sz="4" w:space="0"/>
              <w:right w:val="single" w:color="auto" w:sz="4" w:space="0"/>
            </w:tcBorders>
            <w:vAlign w:val="center"/>
          </w:tcPr>
          <w:p w14:paraId="47188F4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广东凤铝铝业有限公司</w:t>
            </w:r>
          </w:p>
        </w:tc>
        <w:tc>
          <w:tcPr>
            <w:tcW w:w="0" w:type="auto"/>
            <w:tcBorders>
              <w:top w:val="nil"/>
              <w:left w:val="nil"/>
              <w:bottom w:val="single" w:color="auto" w:sz="4" w:space="0"/>
              <w:right w:val="single" w:color="auto" w:sz="4" w:space="0"/>
            </w:tcBorders>
            <w:vAlign w:val="center"/>
          </w:tcPr>
          <w:p w14:paraId="0E56DC1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广东兴发铝业控股有限公司</w:t>
            </w:r>
          </w:p>
        </w:tc>
        <w:tc>
          <w:tcPr>
            <w:tcW w:w="0" w:type="auto"/>
            <w:tcBorders>
              <w:top w:val="nil"/>
              <w:left w:val="nil"/>
              <w:bottom w:val="single" w:color="auto" w:sz="4" w:space="0"/>
              <w:right w:val="single" w:color="auto" w:sz="4" w:space="0"/>
            </w:tcBorders>
            <w:vAlign w:val="center"/>
          </w:tcPr>
          <w:p w14:paraId="78B9ED7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146C67BA">
        <w:tblPrEx>
          <w:tblCellMar>
            <w:top w:w="0" w:type="dxa"/>
            <w:left w:w="108" w:type="dxa"/>
            <w:bottom w:w="0" w:type="dxa"/>
            <w:right w:w="108" w:type="dxa"/>
          </w:tblCellMar>
        </w:tblPrEx>
        <w:trPr>
          <w:trHeight w:val="194" w:hRule="atLeast"/>
          <w:jc w:val="center"/>
        </w:trPr>
        <w:tc>
          <w:tcPr>
            <w:tcW w:w="0" w:type="auto"/>
            <w:vMerge w:val="continue"/>
            <w:tcBorders>
              <w:left w:val="single" w:color="auto" w:sz="4" w:space="0"/>
              <w:bottom w:val="single" w:color="auto" w:sz="4" w:space="0"/>
              <w:right w:val="single" w:color="auto" w:sz="4" w:space="0"/>
            </w:tcBorders>
            <w:vAlign w:val="center"/>
          </w:tcPr>
          <w:p w14:paraId="56F4A13D">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0546C4E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w:t>
            </w:r>
          </w:p>
        </w:tc>
        <w:tc>
          <w:tcPr>
            <w:tcW w:w="0" w:type="auto"/>
            <w:tcBorders>
              <w:top w:val="nil"/>
              <w:left w:val="nil"/>
              <w:bottom w:val="single" w:color="auto" w:sz="4" w:space="0"/>
              <w:right w:val="single" w:color="auto" w:sz="4" w:space="0"/>
            </w:tcBorders>
            <w:vAlign w:val="center"/>
          </w:tcPr>
          <w:p w14:paraId="7B51C02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铝塑板</w:t>
            </w:r>
          </w:p>
        </w:tc>
        <w:tc>
          <w:tcPr>
            <w:tcW w:w="0" w:type="auto"/>
            <w:tcBorders>
              <w:top w:val="nil"/>
              <w:left w:val="nil"/>
              <w:bottom w:val="single" w:color="auto" w:sz="4" w:space="0"/>
              <w:right w:val="single" w:color="auto" w:sz="4" w:space="0"/>
            </w:tcBorders>
            <w:vAlign w:val="center"/>
          </w:tcPr>
          <w:p w14:paraId="71D95BE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东阿蓝天</w:t>
            </w:r>
          </w:p>
        </w:tc>
        <w:tc>
          <w:tcPr>
            <w:tcW w:w="0" w:type="auto"/>
            <w:tcBorders>
              <w:top w:val="nil"/>
              <w:left w:val="nil"/>
              <w:bottom w:val="single" w:color="auto" w:sz="4" w:space="0"/>
              <w:right w:val="single" w:color="auto" w:sz="4" w:space="0"/>
            </w:tcBorders>
            <w:vAlign w:val="center"/>
          </w:tcPr>
          <w:p w14:paraId="789C4D9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南通吉祥实业</w:t>
            </w:r>
          </w:p>
        </w:tc>
        <w:tc>
          <w:tcPr>
            <w:tcW w:w="0" w:type="auto"/>
            <w:tcBorders>
              <w:top w:val="nil"/>
              <w:left w:val="nil"/>
              <w:bottom w:val="single" w:color="auto" w:sz="4" w:space="0"/>
              <w:right w:val="single" w:color="auto" w:sz="4" w:space="0"/>
            </w:tcBorders>
            <w:vAlign w:val="center"/>
          </w:tcPr>
          <w:p w14:paraId="3792C70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东莞华尔泰</w:t>
            </w:r>
          </w:p>
        </w:tc>
        <w:tc>
          <w:tcPr>
            <w:tcW w:w="0" w:type="auto"/>
            <w:tcBorders>
              <w:top w:val="nil"/>
              <w:left w:val="nil"/>
              <w:bottom w:val="single" w:color="auto" w:sz="4" w:space="0"/>
              <w:right w:val="single" w:color="auto" w:sz="4" w:space="0"/>
            </w:tcBorders>
            <w:vAlign w:val="center"/>
          </w:tcPr>
          <w:p w14:paraId="3D0CD3A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0ED053D5">
        <w:tblPrEx>
          <w:tblCellMar>
            <w:top w:w="0" w:type="dxa"/>
            <w:left w:w="108" w:type="dxa"/>
            <w:bottom w:w="0" w:type="dxa"/>
            <w:right w:w="108" w:type="dxa"/>
          </w:tblCellMar>
        </w:tblPrEx>
        <w:trPr>
          <w:trHeight w:val="398"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14:paraId="3115E2D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电气工程</w:t>
            </w:r>
          </w:p>
        </w:tc>
        <w:tc>
          <w:tcPr>
            <w:tcW w:w="0" w:type="auto"/>
            <w:tcBorders>
              <w:top w:val="single" w:color="auto" w:sz="4" w:space="0"/>
              <w:left w:val="single" w:color="auto" w:sz="4" w:space="0"/>
              <w:bottom w:val="single" w:color="auto" w:sz="4" w:space="0"/>
              <w:right w:val="single" w:color="auto" w:sz="4" w:space="0"/>
            </w:tcBorders>
            <w:vAlign w:val="center"/>
          </w:tcPr>
          <w:p w14:paraId="66FC712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14:paraId="307ABC5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开关断路器</w:t>
            </w:r>
          </w:p>
        </w:tc>
        <w:tc>
          <w:tcPr>
            <w:tcW w:w="0" w:type="auto"/>
            <w:tcBorders>
              <w:top w:val="single" w:color="auto" w:sz="4" w:space="0"/>
              <w:left w:val="single" w:color="auto" w:sz="4" w:space="0"/>
              <w:bottom w:val="single" w:color="auto" w:sz="4" w:space="0"/>
              <w:right w:val="single" w:color="auto" w:sz="4" w:space="0"/>
            </w:tcBorders>
            <w:vAlign w:val="center"/>
          </w:tcPr>
          <w:p w14:paraId="18C3FBD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施耐德</w:t>
            </w:r>
          </w:p>
        </w:tc>
        <w:tc>
          <w:tcPr>
            <w:tcW w:w="0" w:type="auto"/>
            <w:tcBorders>
              <w:top w:val="single" w:color="auto" w:sz="4" w:space="0"/>
              <w:left w:val="single" w:color="auto" w:sz="4" w:space="0"/>
              <w:bottom w:val="single" w:color="auto" w:sz="4" w:space="0"/>
              <w:right w:val="single" w:color="auto" w:sz="4" w:space="0"/>
            </w:tcBorders>
            <w:vAlign w:val="center"/>
          </w:tcPr>
          <w:p w14:paraId="04707EE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西门子</w:t>
            </w:r>
          </w:p>
        </w:tc>
        <w:tc>
          <w:tcPr>
            <w:tcW w:w="0" w:type="auto"/>
            <w:tcBorders>
              <w:top w:val="single" w:color="auto" w:sz="4" w:space="0"/>
              <w:left w:val="single" w:color="auto" w:sz="4" w:space="0"/>
              <w:bottom w:val="single" w:color="auto" w:sz="4" w:space="0"/>
              <w:right w:val="single" w:color="auto" w:sz="4" w:space="0"/>
            </w:tcBorders>
            <w:vAlign w:val="center"/>
          </w:tcPr>
          <w:p w14:paraId="0FCA0C4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ABB</w:t>
            </w:r>
          </w:p>
        </w:tc>
        <w:tc>
          <w:tcPr>
            <w:tcW w:w="0" w:type="auto"/>
            <w:tcBorders>
              <w:top w:val="single" w:color="auto" w:sz="4" w:space="0"/>
              <w:left w:val="single" w:color="auto" w:sz="4" w:space="0"/>
              <w:bottom w:val="single" w:color="auto" w:sz="4" w:space="0"/>
              <w:right w:val="single" w:color="auto" w:sz="4" w:space="0"/>
            </w:tcBorders>
            <w:vAlign w:val="center"/>
          </w:tcPr>
          <w:p w14:paraId="28EEA93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高档</w:t>
            </w:r>
          </w:p>
        </w:tc>
      </w:tr>
      <w:tr w14:paraId="75D7B65E">
        <w:tblPrEx>
          <w:tblCellMar>
            <w:top w:w="0" w:type="dxa"/>
            <w:left w:w="108" w:type="dxa"/>
            <w:bottom w:w="0" w:type="dxa"/>
            <w:right w:w="108" w:type="dxa"/>
          </w:tblCellMar>
        </w:tblPrEx>
        <w:trPr>
          <w:trHeight w:val="63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849A79D">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5ED195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0" w:type="auto"/>
            <w:tcBorders>
              <w:top w:val="single" w:color="auto" w:sz="4" w:space="0"/>
              <w:left w:val="single" w:color="auto" w:sz="4" w:space="0"/>
              <w:bottom w:val="single" w:color="auto" w:sz="4" w:space="0"/>
              <w:right w:val="single" w:color="auto" w:sz="4" w:space="0"/>
            </w:tcBorders>
            <w:vAlign w:val="center"/>
          </w:tcPr>
          <w:p w14:paraId="082AB1F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变压器</w:t>
            </w:r>
          </w:p>
        </w:tc>
        <w:tc>
          <w:tcPr>
            <w:tcW w:w="0" w:type="auto"/>
            <w:tcBorders>
              <w:top w:val="single" w:color="auto" w:sz="4" w:space="0"/>
              <w:left w:val="single" w:color="auto" w:sz="4" w:space="0"/>
              <w:bottom w:val="single" w:color="auto" w:sz="4" w:space="0"/>
              <w:right w:val="single" w:color="auto" w:sz="4" w:space="0"/>
            </w:tcBorders>
            <w:vAlign w:val="center"/>
          </w:tcPr>
          <w:p w14:paraId="497283C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海鸿电气</w:t>
            </w:r>
          </w:p>
        </w:tc>
        <w:tc>
          <w:tcPr>
            <w:tcW w:w="0" w:type="auto"/>
            <w:tcBorders>
              <w:top w:val="single" w:color="auto" w:sz="4" w:space="0"/>
              <w:left w:val="single" w:color="auto" w:sz="4" w:space="0"/>
              <w:bottom w:val="single" w:color="auto" w:sz="4" w:space="0"/>
              <w:right w:val="single" w:color="auto" w:sz="4" w:space="0"/>
            </w:tcBorders>
            <w:vAlign w:val="center"/>
          </w:tcPr>
          <w:p w14:paraId="6FD6649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顺特电气</w:t>
            </w:r>
          </w:p>
        </w:tc>
        <w:tc>
          <w:tcPr>
            <w:tcW w:w="0" w:type="auto"/>
            <w:tcBorders>
              <w:top w:val="single" w:color="auto" w:sz="4" w:space="0"/>
              <w:left w:val="single" w:color="auto" w:sz="4" w:space="0"/>
              <w:bottom w:val="single" w:color="auto" w:sz="4" w:space="0"/>
              <w:right w:val="single" w:color="auto" w:sz="4" w:space="0"/>
            </w:tcBorders>
            <w:vAlign w:val="center"/>
          </w:tcPr>
          <w:p w14:paraId="0E27AFE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江苏亚威</w:t>
            </w:r>
          </w:p>
        </w:tc>
        <w:tc>
          <w:tcPr>
            <w:tcW w:w="0" w:type="auto"/>
            <w:tcBorders>
              <w:top w:val="single" w:color="auto" w:sz="4" w:space="0"/>
              <w:left w:val="single" w:color="auto" w:sz="4" w:space="0"/>
              <w:bottom w:val="single" w:color="auto" w:sz="4" w:space="0"/>
              <w:right w:val="single" w:color="auto" w:sz="4" w:space="0"/>
            </w:tcBorders>
            <w:vAlign w:val="center"/>
          </w:tcPr>
          <w:p w14:paraId="1537B2C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3A886109">
        <w:tblPrEx>
          <w:tblCellMar>
            <w:top w:w="0" w:type="dxa"/>
            <w:left w:w="108" w:type="dxa"/>
            <w:bottom w:w="0" w:type="dxa"/>
            <w:right w:w="108" w:type="dxa"/>
          </w:tblCellMar>
        </w:tblPrEx>
        <w:trPr>
          <w:trHeight w:val="66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358C13F">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65D17EA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0" w:type="auto"/>
            <w:tcBorders>
              <w:top w:val="single" w:color="auto" w:sz="4" w:space="0"/>
              <w:left w:val="single" w:color="auto" w:sz="4" w:space="0"/>
              <w:bottom w:val="single" w:color="auto" w:sz="4" w:space="0"/>
              <w:right w:val="single" w:color="auto" w:sz="4" w:space="0"/>
            </w:tcBorders>
            <w:vAlign w:val="center"/>
          </w:tcPr>
          <w:p w14:paraId="6E58DF8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高、中、低压配电柜（成套）</w:t>
            </w:r>
          </w:p>
        </w:tc>
        <w:tc>
          <w:tcPr>
            <w:tcW w:w="0" w:type="auto"/>
            <w:tcBorders>
              <w:top w:val="single" w:color="auto" w:sz="4" w:space="0"/>
              <w:left w:val="single" w:color="auto" w:sz="4" w:space="0"/>
              <w:bottom w:val="single" w:color="auto" w:sz="4" w:space="0"/>
              <w:right w:val="single" w:color="auto" w:sz="4" w:space="0"/>
            </w:tcBorders>
            <w:vAlign w:val="center"/>
          </w:tcPr>
          <w:p w14:paraId="25FCD4B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深圳任达</w:t>
            </w:r>
          </w:p>
        </w:tc>
        <w:tc>
          <w:tcPr>
            <w:tcW w:w="0" w:type="auto"/>
            <w:tcBorders>
              <w:top w:val="single" w:color="auto" w:sz="4" w:space="0"/>
              <w:left w:val="single" w:color="auto" w:sz="4" w:space="0"/>
              <w:bottom w:val="single" w:color="auto" w:sz="4" w:space="0"/>
              <w:right w:val="single" w:color="auto" w:sz="4" w:space="0"/>
            </w:tcBorders>
            <w:vAlign w:val="center"/>
          </w:tcPr>
          <w:p w14:paraId="3B0DDCE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白云电器</w:t>
            </w:r>
          </w:p>
        </w:tc>
        <w:tc>
          <w:tcPr>
            <w:tcW w:w="0" w:type="auto"/>
            <w:tcBorders>
              <w:top w:val="single" w:color="auto" w:sz="4" w:space="0"/>
              <w:left w:val="single" w:color="auto" w:sz="4" w:space="0"/>
              <w:bottom w:val="single" w:color="auto" w:sz="4" w:space="0"/>
              <w:right w:val="single" w:color="auto" w:sz="4" w:space="0"/>
            </w:tcBorders>
            <w:vAlign w:val="center"/>
          </w:tcPr>
          <w:p w14:paraId="78323F8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北京科锐</w:t>
            </w:r>
          </w:p>
        </w:tc>
        <w:tc>
          <w:tcPr>
            <w:tcW w:w="0" w:type="auto"/>
            <w:tcBorders>
              <w:top w:val="single" w:color="auto" w:sz="4" w:space="0"/>
              <w:left w:val="single" w:color="auto" w:sz="4" w:space="0"/>
              <w:bottom w:val="single" w:color="auto" w:sz="4" w:space="0"/>
              <w:right w:val="single" w:color="auto" w:sz="4" w:space="0"/>
            </w:tcBorders>
            <w:vAlign w:val="center"/>
          </w:tcPr>
          <w:p w14:paraId="401ADD6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0C53955A">
        <w:tblPrEx>
          <w:tblCellMar>
            <w:top w:w="0" w:type="dxa"/>
            <w:left w:w="108" w:type="dxa"/>
            <w:bottom w:w="0" w:type="dxa"/>
            <w:right w:w="108" w:type="dxa"/>
          </w:tblCellMar>
        </w:tblPrEx>
        <w:trPr>
          <w:trHeight w:val="39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119488C">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C7BDE3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0" w:type="auto"/>
            <w:tcBorders>
              <w:top w:val="single" w:color="auto" w:sz="4" w:space="0"/>
              <w:left w:val="single" w:color="auto" w:sz="4" w:space="0"/>
              <w:bottom w:val="single" w:color="auto" w:sz="4" w:space="0"/>
              <w:right w:val="single" w:color="auto" w:sz="4" w:space="0"/>
            </w:tcBorders>
            <w:vAlign w:val="center"/>
          </w:tcPr>
          <w:p w14:paraId="0B660B1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配电箱</w:t>
            </w:r>
          </w:p>
        </w:tc>
        <w:tc>
          <w:tcPr>
            <w:tcW w:w="0" w:type="auto"/>
            <w:tcBorders>
              <w:top w:val="single" w:color="auto" w:sz="4" w:space="0"/>
              <w:left w:val="single" w:color="auto" w:sz="4" w:space="0"/>
              <w:bottom w:val="single" w:color="auto" w:sz="4" w:space="0"/>
              <w:right w:val="single" w:color="auto" w:sz="4" w:space="0"/>
            </w:tcBorders>
            <w:vAlign w:val="center"/>
          </w:tcPr>
          <w:p w14:paraId="5D99EB0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施富电气</w:t>
            </w:r>
          </w:p>
        </w:tc>
        <w:tc>
          <w:tcPr>
            <w:tcW w:w="0" w:type="auto"/>
            <w:tcBorders>
              <w:top w:val="single" w:color="auto" w:sz="4" w:space="0"/>
              <w:left w:val="single" w:color="auto" w:sz="4" w:space="0"/>
              <w:bottom w:val="single" w:color="auto" w:sz="4" w:space="0"/>
              <w:right w:val="single" w:color="auto" w:sz="4" w:space="0"/>
            </w:tcBorders>
            <w:vAlign w:val="center"/>
          </w:tcPr>
          <w:p w14:paraId="5B40D4D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科铭电气</w:t>
            </w:r>
          </w:p>
        </w:tc>
        <w:tc>
          <w:tcPr>
            <w:tcW w:w="0" w:type="auto"/>
            <w:tcBorders>
              <w:top w:val="single" w:color="auto" w:sz="4" w:space="0"/>
              <w:left w:val="single" w:color="auto" w:sz="4" w:space="0"/>
              <w:bottom w:val="single" w:color="auto" w:sz="4" w:space="0"/>
              <w:right w:val="single" w:color="auto" w:sz="4" w:space="0"/>
            </w:tcBorders>
            <w:vAlign w:val="center"/>
          </w:tcPr>
          <w:p w14:paraId="5BABF53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羊城电气</w:t>
            </w:r>
          </w:p>
        </w:tc>
        <w:tc>
          <w:tcPr>
            <w:tcW w:w="0" w:type="auto"/>
            <w:tcBorders>
              <w:top w:val="single" w:color="auto" w:sz="4" w:space="0"/>
              <w:left w:val="single" w:color="auto" w:sz="4" w:space="0"/>
              <w:bottom w:val="single" w:color="auto" w:sz="4" w:space="0"/>
              <w:right w:val="single" w:color="auto" w:sz="4" w:space="0"/>
            </w:tcBorders>
            <w:vAlign w:val="center"/>
          </w:tcPr>
          <w:p w14:paraId="4399FD7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13C37B79">
        <w:tblPrEx>
          <w:tblCellMar>
            <w:top w:w="0" w:type="dxa"/>
            <w:left w:w="108" w:type="dxa"/>
            <w:bottom w:w="0" w:type="dxa"/>
            <w:right w:w="108" w:type="dxa"/>
          </w:tblCellMar>
        </w:tblPrEx>
        <w:trPr>
          <w:trHeight w:val="39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1934006">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48E417D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0" w:type="auto"/>
            <w:tcBorders>
              <w:top w:val="single" w:color="auto" w:sz="4" w:space="0"/>
              <w:left w:val="single" w:color="auto" w:sz="4" w:space="0"/>
              <w:bottom w:val="single" w:color="auto" w:sz="4" w:space="0"/>
              <w:right w:val="single" w:color="auto" w:sz="4" w:space="0"/>
            </w:tcBorders>
            <w:vAlign w:val="center"/>
          </w:tcPr>
          <w:p w14:paraId="3D02FB4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钢塑管</w:t>
            </w:r>
          </w:p>
        </w:tc>
        <w:tc>
          <w:tcPr>
            <w:tcW w:w="0" w:type="auto"/>
            <w:tcBorders>
              <w:top w:val="single" w:color="auto" w:sz="4" w:space="0"/>
              <w:left w:val="single" w:color="auto" w:sz="4" w:space="0"/>
              <w:bottom w:val="single" w:color="auto" w:sz="4" w:space="0"/>
              <w:right w:val="single" w:color="auto" w:sz="4" w:space="0"/>
            </w:tcBorders>
            <w:vAlign w:val="center"/>
          </w:tcPr>
          <w:p w14:paraId="7919F51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新兴</w:t>
            </w:r>
          </w:p>
        </w:tc>
        <w:tc>
          <w:tcPr>
            <w:tcW w:w="0" w:type="auto"/>
            <w:tcBorders>
              <w:top w:val="single" w:color="auto" w:sz="4" w:space="0"/>
              <w:left w:val="single" w:color="auto" w:sz="4" w:space="0"/>
              <w:bottom w:val="single" w:color="auto" w:sz="4" w:space="0"/>
              <w:right w:val="single" w:color="auto" w:sz="4" w:space="0"/>
            </w:tcBorders>
            <w:vAlign w:val="center"/>
          </w:tcPr>
          <w:p w14:paraId="0C88B9A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珠江</w:t>
            </w:r>
          </w:p>
        </w:tc>
        <w:tc>
          <w:tcPr>
            <w:tcW w:w="0" w:type="auto"/>
            <w:tcBorders>
              <w:top w:val="single" w:color="auto" w:sz="4" w:space="0"/>
              <w:left w:val="single" w:color="auto" w:sz="4" w:space="0"/>
              <w:bottom w:val="single" w:color="auto" w:sz="4" w:space="0"/>
              <w:right w:val="single" w:color="auto" w:sz="4" w:space="0"/>
            </w:tcBorders>
            <w:vAlign w:val="center"/>
          </w:tcPr>
          <w:p w14:paraId="25BB24E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广钢</w:t>
            </w:r>
          </w:p>
        </w:tc>
        <w:tc>
          <w:tcPr>
            <w:tcW w:w="0" w:type="auto"/>
            <w:tcBorders>
              <w:top w:val="single" w:color="auto" w:sz="4" w:space="0"/>
              <w:left w:val="single" w:color="auto" w:sz="4" w:space="0"/>
              <w:bottom w:val="single" w:color="auto" w:sz="4" w:space="0"/>
              <w:right w:val="single" w:color="auto" w:sz="4" w:space="0"/>
            </w:tcBorders>
            <w:vAlign w:val="center"/>
          </w:tcPr>
          <w:p w14:paraId="18DA8DE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4AA98970">
        <w:tblPrEx>
          <w:tblCellMar>
            <w:top w:w="0" w:type="dxa"/>
            <w:left w:w="108" w:type="dxa"/>
            <w:bottom w:w="0" w:type="dxa"/>
            <w:right w:w="108" w:type="dxa"/>
          </w:tblCellMar>
        </w:tblPrEx>
        <w:trPr>
          <w:trHeight w:val="57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D714D0">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C08C68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0" w:type="auto"/>
            <w:tcBorders>
              <w:top w:val="single" w:color="auto" w:sz="4" w:space="0"/>
              <w:left w:val="single" w:color="auto" w:sz="4" w:space="0"/>
              <w:bottom w:val="single" w:color="auto" w:sz="4" w:space="0"/>
              <w:right w:val="single" w:color="auto" w:sz="4" w:space="0"/>
            </w:tcBorders>
            <w:vAlign w:val="center"/>
          </w:tcPr>
          <w:p w14:paraId="2CB73F7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电线、电缆</w:t>
            </w:r>
          </w:p>
        </w:tc>
        <w:tc>
          <w:tcPr>
            <w:tcW w:w="0" w:type="auto"/>
            <w:tcBorders>
              <w:top w:val="single" w:color="auto" w:sz="4" w:space="0"/>
              <w:left w:val="single" w:color="auto" w:sz="4" w:space="0"/>
              <w:bottom w:val="single" w:color="auto" w:sz="4" w:space="0"/>
              <w:right w:val="single" w:color="auto" w:sz="4" w:space="0"/>
            </w:tcBorders>
            <w:vAlign w:val="center"/>
          </w:tcPr>
          <w:p w14:paraId="58F9AA8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广州电缆</w:t>
            </w:r>
          </w:p>
        </w:tc>
        <w:tc>
          <w:tcPr>
            <w:tcW w:w="0" w:type="auto"/>
            <w:tcBorders>
              <w:top w:val="single" w:color="auto" w:sz="4" w:space="0"/>
              <w:left w:val="single" w:color="auto" w:sz="4" w:space="0"/>
              <w:bottom w:val="single" w:color="auto" w:sz="4" w:space="0"/>
              <w:right w:val="single" w:color="auto" w:sz="4" w:space="0"/>
            </w:tcBorders>
            <w:vAlign w:val="center"/>
          </w:tcPr>
          <w:p w14:paraId="182311B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南洋电缆</w:t>
            </w:r>
          </w:p>
        </w:tc>
        <w:tc>
          <w:tcPr>
            <w:tcW w:w="0" w:type="auto"/>
            <w:tcBorders>
              <w:top w:val="single" w:color="auto" w:sz="4" w:space="0"/>
              <w:left w:val="single" w:color="auto" w:sz="4" w:space="0"/>
              <w:bottom w:val="single" w:color="auto" w:sz="4" w:space="0"/>
              <w:right w:val="single" w:color="auto" w:sz="4" w:space="0"/>
            </w:tcBorders>
            <w:vAlign w:val="center"/>
          </w:tcPr>
          <w:p w14:paraId="5060844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珠江电缆</w:t>
            </w:r>
          </w:p>
        </w:tc>
        <w:tc>
          <w:tcPr>
            <w:tcW w:w="0" w:type="auto"/>
            <w:tcBorders>
              <w:top w:val="single" w:color="auto" w:sz="4" w:space="0"/>
              <w:left w:val="single" w:color="auto" w:sz="4" w:space="0"/>
              <w:bottom w:val="single" w:color="auto" w:sz="4" w:space="0"/>
              <w:right w:val="single" w:color="auto" w:sz="4" w:space="0"/>
            </w:tcBorders>
            <w:vAlign w:val="center"/>
          </w:tcPr>
          <w:p w14:paraId="0814ABD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46AD4739">
        <w:tblPrEx>
          <w:tblCellMar>
            <w:top w:w="0" w:type="dxa"/>
            <w:left w:w="108" w:type="dxa"/>
            <w:bottom w:w="0" w:type="dxa"/>
            <w:right w:w="108" w:type="dxa"/>
          </w:tblCellMar>
        </w:tblPrEx>
        <w:trPr>
          <w:trHeight w:val="39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9863881">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6690A6B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0" w:type="auto"/>
            <w:tcBorders>
              <w:top w:val="single" w:color="auto" w:sz="4" w:space="0"/>
              <w:left w:val="single" w:color="auto" w:sz="4" w:space="0"/>
              <w:bottom w:val="single" w:color="auto" w:sz="4" w:space="0"/>
              <w:right w:val="single" w:color="auto" w:sz="4" w:space="0"/>
            </w:tcBorders>
            <w:vAlign w:val="center"/>
          </w:tcPr>
          <w:p w14:paraId="156006D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母线槽</w:t>
            </w:r>
          </w:p>
        </w:tc>
        <w:tc>
          <w:tcPr>
            <w:tcW w:w="0" w:type="auto"/>
            <w:tcBorders>
              <w:top w:val="single" w:color="auto" w:sz="4" w:space="0"/>
              <w:left w:val="single" w:color="auto" w:sz="4" w:space="0"/>
              <w:bottom w:val="single" w:color="auto" w:sz="4" w:space="0"/>
              <w:right w:val="single" w:color="auto" w:sz="4" w:space="0"/>
            </w:tcBorders>
            <w:vAlign w:val="center"/>
          </w:tcPr>
          <w:p w14:paraId="0FAD5C3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施耐德</w:t>
            </w:r>
          </w:p>
        </w:tc>
        <w:tc>
          <w:tcPr>
            <w:tcW w:w="0" w:type="auto"/>
            <w:tcBorders>
              <w:top w:val="single" w:color="auto" w:sz="4" w:space="0"/>
              <w:left w:val="single" w:color="auto" w:sz="4" w:space="0"/>
              <w:bottom w:val="single" w:color="auto" w:sz="4" w:space="0"/>
              <w:right w:val="single" w:color="auto" w:sz="4" w:space="0"/>
            </w:tcBorders>
            <w:vAlign w:val="center"/>
          </w:tcPr>
          <w:p w14:paraId="7D50F54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西门子</w:t>
            </w:r>
          </w:p>
        </w:tc>
        <w:tc>
          <w:tcPr>
            <w:tcW w:w="0" w:type="auto"/>
            <w:tcBorders>
              <w:top w:val="single" w:color="auto" w:sz="4" w:space="0"/>
              <w:left w:val="single" w:color="auto" w:sz="4" w:space="0"/>
              <w:bottom w:val="single" w:color="auto" w:sz="4" w:space="0"/>
              <w:right w:val="single" w:color="auto" w:sz="4" w:space="0"/>
            </w:tcBorders>
            <w:vAlign w:val="center"/>
          </w:tcPr>
          <w:p w14:paraId="30B8C89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伊顿电气</w:t>
            </w:r>
          </w:p>
        </w:tc>
        <w:tc>
          <w:tcPr>
            <w:tcW w:w="0" w:type="auto"/>
            <w:tcBorders>
              <w:top w:val="single" w:color="auto" w:sz="4" w:space="0"/>
              <w:left w:val="single" w:color="auto" w:sz="4" w:space="0"/>
              <w:bottom w:val="single" w:color="auto" w:sz="4" w:space="0"/>
              <w:right w:val="single" w:color="auto" w:sz="4" w:space="0"/>
            </w:tcBorders>
            <w:vAlign w:val="center"/>
          </w:tcPr>
          <w:p w14:paraId="1C1CEA6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中高档</w:t>
            </w:r>
          </w:p>
        </w:tc>
      </w:tr>
      <w:tr w14:paraId="211B1964">
        <w:tblPrEx>
          <w:tblCellMar>
            <w:top w:w="0" w:type="dxa"/>
            <w:left w:w="108" w:type="dxa"/>
            <w:bottom w:w="0" w:type="dxa"/>
            <w:right w:w="108" w:type="dxa"/>
          </w:tblCellMar>
        </w:tblPrEx>
        <w:trPr>
          <w:trHeight w:val="39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84049A4">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0695A56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0" w:type="auto"/>
            <w:tcBorders>
              <w:top w:val="single" w:color="auto" w:sz="4" w:space="0"/>
              <w:left w:val="single" w:color="auto" w:sz="4" w:space="0"/>
              <w:bottom w:val="single" w:color="auto" w:sz="4" w:space="0"/>
              <w:right w:val="single" w:color="auto" w:sz="4" w:space="0"/>
            </w:tcBorders>
            <w:vAlign w:val="center"/>
          </w:tcPr>
          <w:p w14:paraId="6F4A7D3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有源滤波柜、无功补偿装置</w:t>
            </w:r>
          </w:p>
        </w:tc>
        <w:tc>
          <w:tcPr>
            <w:tcW w:w="0" w:type="auto"/>
            <w:tcBorders>
              <w:top w:val="single" w:color="auto" w:sz="4" w:space="0"/>
              <w:left w:val="single" w:color="auto" w:sz="4" w:space="0"/>
              <w:bottom w:val="single" w:color="auto" w:sz="4" w:space="0"/>
              <w:right w:val="single" w:color="auto" w:sz="4" w:space="0"/>
            </w:tcBorders>
            <w:vAlign w:val="center"/>
          </w:tcPr>
          <w:p w14:paraId="3AA92F0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帝森克罗德</w:t>
            </w:r>
          </w:p>
        </w:tc>
        <w:tc>
          <w:tcPr>
            <w:tcW w:w="0" w:type="auto"/>
            <w:tcBorders>
              <w:top w:val="single" w:color="auto" w:sz="4" w:space="0"/>
              <w:left w:val="single" w:color="auto" w:sz="4" w:space="0"/>
              <w:bottom w:val="single" w:color="auto" w:sz="4" w:space="0"/>
              <w:right w:val="single" w:color="auto" w:sz="4" w:space="0"/>
            </w:tcBorders>
            <w:vAlign w:val="center"/>
          </w:tcPr>
          <w:p w14:paraId="74F36C4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彼恩伊BAE</w:t>
            </w:r>
          </w:p>
        </w:tc>
        <w:tc>
          <w:tcPr>
            <w:tcW w:w="0" w:type="auto"/>
            <w:tcBorders>
              <w:top w:val="single" w:color="auto" w:sz="4" w:space="0"/>
              <w:left w:val="single" w:color="auto" w:sz="4" w:space="0"/>
              <w:bottom w:val="single" w:color="auto" w:sz="4" w:space="0"/>
              <w:right w:val="single" w:color="auto" w:sz="4" w:space="0"/>
            </w:tcBorders>
            <w:vAlign w:val="center"/>
          </w:tcPr>
          <w:p w14:paraId="62617DE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意大利督凯提</w:t>
            </w:r>
          </w:p>
        </w:tc>
        <w:tc>
          <w:tcPr>
            <w:tcW w:w="0" w:type="auto"/>
            <w:tcBorders>
              <w:top w:val="single" w:color="auto" w:sz="4" w:space="0"/>
              <w:left w:val="single" w:color="auto" w:sz="4" w:space="0"/>
              <w:bottom w:val="single" w:color="auto" w:sz="4" w:space="0"/>
              <w:right w:val="single" w:color="auto" w:sz="4" w:space="0"/>
            </w:tcBorders>
            <w:vAlign w:val="center"/>
          </w:tcPr>
          <w:p w14:paraId="0BD8239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中高档</w:t>
            </w:r>
          </w:p>
        </w:tc>
      </w:tr>
      <w:tr w14:paraId="3C1EEA0C">
        <w:tblPrEx>
          <w:tblCellMar>
            <w:top w:w="0" w:type="dxa"/>
            <w:left w:w="108" w:type="dxa"/>
            <w:bottom w:w="0" w:type="dxa"/>
            <w:right w:w="108" w:type="dxa"/>
          </w:tblCellMar>
        </w:tblPrEx>
        <w:trPr>
          <w:trHeight w:val="39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06679C9">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A7C746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0" w:type="auto"/>
            <w:tcBorders>
              <w:top w:val="single" w:color="auto" w:sz="4" w:space="0"/>
              <w:left w:val="single" w:color="auto" w:sz="4" w:space="0"/>
              <w:bottom w:val="single" w:color="auto" w:sz="4" w:space="0"/>
              <w:right w:val="single" w:color="auto" w:sz="4" w:space="0"/>
            </w:tcBorders>
            <w:vAlign w:val="center"/>
          </w:tcPr>
          <w:p w14:paraId="5F566C2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浪涌保护器、限流式电气防火保护器、控制保护器</w:t>
            </w:r>
          </w:p>
        </w:tc>
        <w:tc>
          <w:tcPr>
            <w:tcW w:w="0" w:type="auto"/>
            <w:tcBorders>
              <w:top w:val="single" w:color="auto" w:sz="4" w:space="0"/>
              <w:left w:val="single" w:color="auto" w:sz="4" w:space="0"/>
              <w:bottom w:val="single" w:color="auto" w:sz="4" w:space="0"/>
              <w:right w:val="single" w:color="auto" w:sz="4" w:space="0"/>
            </w:tcBorders>
            <w:vAlign w:val="center"/>
          </w:tcPr>
          <w:p w14:paraId="3A344DE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施耐德</w:t>
            </w:r>
          </w:p>
        </w:tc>
        <w:tc>
          <w:tcPr>
            <w:tcW w:w="0" w:type="auto"/>
            <w:tcBorders>
              <w:top w:val="single" w:color="auto" w:sz="4" w:space="0"/>
              <w:left w:val="single" w:color="auto" w:sz="4" w:space="0"/>
              <w:bottom w:val="single" w:color="auto" w:sz="4" w:space="0"/>
              <w:right w:val="single" w:color="auto" w:sz="4" w:space="0"/>
            </w:tcBorders>
            <w:vAlign w:val="center"/>
          </w:tcPr>
          <w:p w14:paraId="6730825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西门子</w:t>
            </w:r>
          </w:p>
        </w:tc>
        <w:tc>
          <w:tcPr>
            <w:tcW w:w="0" w:type="auto"/>
            <w:tcBorders>
              <w:top w:val="single" w:color="auto" w:sz="4" w:space="0"/>
              <w:left w:val="single" w:color="auto" w:sz="4" w:space="0"/>
              <w:bottom w:val="single" w:color="auto" w:sz="4" w:space="0"/>
              <w:right w:val="single" w:color="auto" w:sz="4" w:space="0"/>
            </w:tcBorders>
            <w:vAlign w:val="center"/>
          </w:tcPr>
          <w:p w14:paraId="0E813A9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ABB</w:t>
            </w:r>
          </w:p>
        </w:tc>
        <w:tc>
          <w:tcPr>
            <w:tcW w:w="0" w:type="auto"/>
            <w:tcBorders>
              <w:top w:val="single" w:color="auto" w:sz="4" w:space="0"/>
              <w:left w:val="single" w:color="auto" w:sz="4" w:space="0"/>
              <w:bottom w:val="single" w:color="auto" w:sz="4" w:space="0"/>
              <w:right w:val="single" w:color="auto" w:sz="4" w:space="0"/>
            </w:tcBorders>
            <w:vAlign w:val="center"/>
          </w:tcPr>
          <w:p w14:paraId="10B9C44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高档</w:t>
            </w:r>
          </w:p>
        </w:tc>
      </w:tr>
      <w:tr w14:paraId="146E37F2">
        <w:tblPrEx>
          <w:tblCellMar>
            <w:top w:w="0" w:type="dxa"/>
            <w:left w:w="108" w:type="dxa"/>
            <w:bottom w:w="0" w:type="dxa"/>
            <w:right w:w="108" w:type="dxa"/>
          </w:tblCellMar>
        </w:tblPrEx>
        <w:trPr>
          <w:trHeight w:val="39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320CA40">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7B8108D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0" w:type="auto"/>
            <w:tcBorders>
              <w:top w:val="single" w:color="auto" w:sz="4" w:space="0"/>
              <w:left w:val="single" w:color="auto" w:sz="4" w:space="0"/>
              <w:bottom w:val="single" w:color="auto" w:sz="4" w:space="0"/>
              <w:right w:val="single" w:color="auto" w:sz="4" w:space="0"/>
            </w:tcBorders>
            <w:vAlign w:val="center"/>
          </w:tcPr>
          <w:p w14:paraId="5F0BDB1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灯具</w:t>
            </w:r>
          </w:p>
        </w:tc>
        <w:tc>
          <w:tcPr>
            <w:tcW w:w="0" w:type="auto"/>
            <w:tcBorders>
              <w:top w:val="single" w:color="auto" w:sz="4" w:space="0"/>
              <w:left w:val="single" w:color="auto" w:sz="4" w:space="0"/>
              <w:bottom w:val="single" w:color="auto" w:sz="4" w:space="0"/>
              <w:right w:val="single" w:color="auto" w:sz="4" w:space="0"/>
            </w:tcBorders>
            <w:vAlign w:val="center"/>
          </w:tcPr>
          <w:p w14:paraId="34CD597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西顿照明</w:t>
            </w:r>
          </w:p>
        </w:tc>
        <w:tc>
          <w:tcPr>
            <w:tcW w:w="0" w:type="auto"/>
            <w:tcBorders>
              <w:top w:val="single" w:color="auto" w:sz="4" w:space="0"/>
              <w:left w:val="single" w:color="auto" w:sz="4" w:space="0"/>
              <w:bottom w:val="single" w:color="auto" w:sz="4" w:space="0"/>
              <w:right w:val="single" w:color="auto" w:sz="4" w:space="0"/>
            </w:tcBorders>
            <w:vAlign w:val="center"/>
          </w:tcPr>
          <w:p w14:paraId="5F86EDB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三雄</w:t>
            </w:r>
          </w:p>
        </w:tc>
        <w:tc>
          <w:tcPr>
            <w:tcW w:w="0" w:type="auto"/>
            <w:tcBorders>
              <w:top w:val="single" w:color="auto" w:sz="4" w:space="0"/>
              <w:left w:val="single" w:color="auto" w:sz="4" w:space="0"/>
              <w:bottom w:val="single" w:color="auto" w:sz="4" w:space="0"/>
              <w:right w:val="single" w:color="auto" w:sz="4" w:space="0"/>
            </w:tcBorders>
            <w:vAlign w:val="center"/>
          </w:tcPr>
          <w:p w14:paraId="10B4266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施耐德</w:t>
            </w:r>
          </w:p>
        </w:tc>
        <w:tc>
          <w:tcPr>
            <w:tcW w:w="0" w:type="auto"/>
            <w:tcBorders>
              <w:top w:val="single" w:color="auto" w:sz="4" w:space="0"/>
              <w:left w:val="single" w:color="auto" w:sz="4" w:space="0"/>
              <w:bottom w:val="single" w:color="auto" w:sz="4" w:space="0"/>
              <w:right w:val="single" w:color="auto" w:sz="4" w:space="0"/>
            </w:tcBorders>
            <w:vAlign w:val="center"/>
          </w:tcPr>
          <w:p w14:paraId="34BC5F6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6559ED5C">
        <w:tblPrEx>
          <w:tblCellMar>
            <w:top w:w="0" w:type="dxa"/>
            <w:left w:w="108" w:type="dxa"/>
            <w:bottom w:w="0" w:type="dxa"/>
            <w:right w:w="108" w:type="dxa"/>
          </w:tblCellMar>
        </w:tblPrEx>
        <w:trPr>
          <w:trHeight w:val="398" w:hRule="atLeast"/>
          <w:jc w:val="center"/>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2983461A">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nil"/>
              <w:bottom w:val="single" w:color="auto" w:sz="4" w:space="0"/>
              <w:right w:val="single" w:color="auto" w:sz="4" w:space="0"/>
            </w:tcBorders>
            <w:vAlign w:val="center"/>
          </w:tcPr>
          <w:p w14:paraId="5BEEE96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0" w:type="auto"/>
            <w:tcBorders>
              <w:top w:val="single" w:color="auto" w:sz="4" w:space="0"/>
              <w:left w:val="nil"/>
              <w:bottom w:val="single" w:color="auto" w:sz="4" w:space="0"/>
              <w:right w:val="single" w:color="auto" w:sz="4" w:space="0"/>
            </w:tcBorders>
            <w:vAlign w:val="center"/>
          </w:tcPr>
          <w:p w14:paraId="090B0E1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灯源</w:t>
            </w:r>
          </w:p>
        </w:tc>
        <w:tc>
          <w:tcPr>
            <w:tcW w:w="0" w:type="auto"/>
            <w:tcBorders>
              <w:top w:val="single" w:color="auto" w:sz="4" w:space="0"/>
              <w:left w:val="nil"/>
              <w:bottom w:val="single" w:color="auto" w:sz="4" w:space="0"/>
              <w:right w:val="single" w:color="auto" w:sz="4" w:space="0"/>
            </w:tcBorders>
            <w:vAlign w:val="center"/>
          </w:tcPr>
          <w:p w14:paraId="3F90F41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松下</w:t>
            </w:r>
          </w:p>
        </w:tc>
        <w:tc>
          <w:tcPr>
            <w:tcW w:w="0" w:type="auto"/>
            <w:tcBorders>
              <w:top w:val="single" w:color="auto" w:sz="4" w:space="0"/>
              <w:left w:val="nil"/>
              <w:bottom w:val="single" w:color="auto" w:sz="4" w:space="0"/>
              <w:right w:val="single" w:color="auto" w:sz="4" w:space="0"/>
            </w:tcBorders>
            <w:vAlign w:val="center"/>
          </w:tcPr>
          <w:p w14:paraId="6AF5F30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飞利浦</w:t>
            </w:r>
          </w:p>
        </w:tc>
        <w:tc>
          <w:tcPr>
            <w:tcW w:w="0" w:type="auto"/>
            <w:tcBorders>
              <w:top w:val="single" w:color="auto" w:sz="4" w:space="0"/>
              <w:left w:val="nil"/>
              <w:bottom w:val="single" w:color="auto" w:sz="4" w:space="0"/>
              <w:right w:val="single" w:color="auto" w:sz="4" w:space="0"/>
            </w:tcBorders>
            <w:vAlign w:val="center"/>
          </w:tcPr>
          <w:p w14:paraId="7260317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欧司朗</w:t>
            </w:r>
          </w:p>
        </w:tc>
        <w:tc>
          <w:tcPr>
            <w:tcW w:w="0" w:type="auto"/>
            <w:tcBorders>
              <w:top w:val="single" w:color="auto" w:sz="4" w:space="0"/>
              <w:left w:val="nil"/>
              <w:bottom w:val="single" w:color="auto" w:sz="4" w:space="0"/>
              <w:right w:val="single" w:color="auto" w:sz="4" w:space="0"/>
            </w:tcBorders>
            <w:vAlign w:val="center"/>
          </w:tcPr>
          <w:p w14:paraId="10B948D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中高档</w:t>
            </w:r>
          </w:p>
        </w:tc>
      </w:tr>
      <w:tr w14:paraId="337975B2">
        <w:tblPrEx>
          <w:tblCellMar>
            <w:top w:w="0" w:type="dxa"/>
            <w:left w:w="108" w:type="dxa"/>
            <w:bottom w:w="0" w:type="dxa"/>
            <w:right w:w="108" w:type="dxa"/>
          </w:tblCellMar>
        </w:tblPrEx>
        <w:trPr>
          <w:trHeight w:val="398" w:hRule="atLeast"/>
          <w:jc w:val="center"/>
        </w:trPr>
        <w:tc>
          <w:tcPr>
            <w:tcW w:w="0" w:type="auto"/>
            <w:vMerge w:val="continue"/>
            <w:tcBorders>
              <w:top w:val="nil"/>
              <w:left w:val="single" w:color="auto" w:sz="4" w:space="0"/>
              <w:bottom w:val="single" w:color="000000" w:sz="4" w:space="0"/>
              <w:right w:val="single" w:color="auto" w:sz="4" w:space="0"/>
            </w:tcBorders>
            <w:vAlign w:val="center"/>
          </w:tcPr>
          <w:p w14:paraId="12518ECF">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4774415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0" w:type="auto"/>
            <w:tcBorders>
              <w:top w:val="nil"/>
              <w:left w:val="nil"/>
              <w:bottom w:val="single" w:color="auto" w:sz="4" w:space="0"/>
              <w:right w:val="single" w:color="auto" w:sz="4" w:space="0"/>
            </w:tcBorders>
            <w:vAlign w:val="center"/>
          </w:tcPr>
          <w:p w14:paraId="2F49805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应急电源</w:t>
            </w:r>
          </w:p>
        </w:tc>
        <w:tc>
          <w:tcPr>
            <w:tcW w:w="0" w:type="auto"/>
            <w:tcBorders>
              <w:top w:val="nil"/>
              <w:left w:val="nil"/>
              <w:bottom w:val="single" w:color="auto" w:sz="4" w:space="0"/>
              <w:right w:val="single" w:color="auto" w:sz="4" w:space="0"/>
            </w:tcBorders>
            <w:vAlign w:val="center"/>
          </w:tcPr>
          <w:p w14:paraId="234E32C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西顿照明</w:t>
            </w:r>
          </w:p>
        </w:tc>
        <w:tc>
          <w:tcPr>
            <w:tcW w:w="0" w:type="auto"/>
            <w:tcBorders>
              <w:top w:val="nil"/>
              <w:left w:val="nil"/>
              <w:bottom w:val="single" w:color="auto" w:sz="4" w:space="0"/>
              <w:right w:val="single" w:color="auto" w:sz="4" w:space="0"/>
            </w:tcBorders>
            <w:vAlign w:val="center"/>
          </w:tcPr>
          <w:p w14:paraId="354C3DD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广州灯具厂</w:t>
            </w:r>
          </w:p>
        </w:tc>
        <w:tc>
          <w:tcPr>
            <w:tcW w:w="0" w:type="auto"/>
            <w:tcBorders>
              <w:top w:val="nil"/>
              <w:left w:val="nil"/>
              <w:bottom w:val="single" w:color="auto" w:sz="4" w:space="0"/>
              <w:right w:val="single" w:color="auto" w:sz="4" w:space="0"/>
            </w:tcBorders>
            <w:vAlign w:val="center"/>
          </w:tcPr>
          <w:p w14:paraId="4686994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珠海西默电气</w:t>
            </w:r>
          </w:p>
        </w:tc>
        <w:tc>
          <w:tcPr>
            <w:tcW w:w="0" w:type="auto"/>
            <w:tcBorders>
              <w:top w:val="nil"/>
              <w:left w:val="nil"/>
              <w:bottom w:val="single" w:color="auto" w:sz="4" w:space="0"/>
              <w:right w:val="single" w:color="auto" w:sz="4" w:space="0"/>
            </w:tcBorders>
            <w:vAlign w:val="center"/>
          </w:tcPr>
          <w:p w14:paraId="5B91E7C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47B77AE2">
        <w:tblPrEx>
          <w:tblCellMar>
            <w:top w:w="0" w:type="dxa"/>
            <w:left w:w="108" w:type="dxa"/>
            <w:bottom w:w="0" w:type="dxa"/>
            <w:right w:w="108" w:type="dxa"/>
          </w:tblCellMar>
        </w:tblPrEx>
        <w:trPr>
          <w:trHeight w:val="398" w:hRule="atLeast"/>
          <w:jc w:val="center"/>
        </w:trPr>
        <w:tc>
          <w:tcPr>
            <w:tcW w:w="0" w:type="auto"/>
            <w:vMerge w:val="continue"/>
            <w:tcBorders>
              <w:top w:val="nil"/>
              <w:left w:val="single" w:color="auto" w:sz="4" w:space="0"/>
              <w:bottom w:val="single" w:color="000000" w:sz="4" w:space="0"/>
              <w:right w:val="single" w:color="auto" w:sz="4" w:space="0"/>
            </w:tcBorders>
            <w:vAlign w:val="center"/>
          </w:tcPr>
          <w:p w14:paraId="35AD97D9">
            <w:pPr>
              <w:widowControl/>
              <w:jc w:val="left"/>
              <w:rPr>
                <w:rFonts w:hint="eastAsia" w:ascii="宋体" w:hAnsi="宋体" w:eastAsia="宋体" w:cs="宋体"/>
                <w:color w:val="auto"/>
                <w:kern w:val="0"/>
                <w:sz w:val="20"/>
                <w:szCs w:val="20"/>
                <w:highlight w:val="none"/>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725A3A5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491B880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开关、插座</w:t>
            </w:r>
          </w:p>
        </w:tc>
        <w:tc>
          <w:tcPr>
            <w:tcW w:w="0" w:type="auto"/>
            <w:tcBorders>
              <w:top w:val="single" w:color="auto" w:sz="4" w:space="0"/>
              <w:left w:val="single" w:color="auto" w:sz="4" w:space="0"/>
              <w:bottom w:val="single" w:color="auto" w:sz="4" w:space="0"/>
              <w:right w:val="single" w:color="auto" w:sz="4" w:space="0"/>
            </w:tcBorders>
            <w:vAlign w:val="center"/>
          </w:tcPr>
          <w:p w14:paraId="00CC5A3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罗格朗</w:t>
            </w:r>
          </w:p>
        </w:tc>
        <w:tc>
          <w:tcPr>
            <w:tcW w:w="0" w:type="auto"/>
            <w:tcBorders>
              <w:top w:val="nil"/>
              <w:left w:val="nil"/>
              <w:bottom w:val="single" w:color="auto" w:sz="4" w:space="0"/>
              <w:right w:val="single" w:color="auto" w:sz="4" w:space="0"/>
            </w:tcBorders>
            <w:vAlign w:val="center"/>
          </w:tcPr>
          <w:p w14:paraId="7C08D23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施耐德</w:t>
            </w:r>
          </w:p>
        </w:tc>
        <w:tc>
          <w:tcPr>
            <w:tcW w:w="0" w:type="auto"/>
            <w:tcBorders>
              <w:top w:val="nil"/>
              <w:left w:val="nil"/>
              <w:bottom w:val="single" w:color="auto" w:sz="4" w:space="0"/>
              <w:right w:val="single" w:color="auto" w:sz="4" w:space="0"/>
            </w:tcBorders>
            <w:vAlign w:val="center"/>
          </w:tcPr>
          <w:p w14:paraId="58E9045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西门子</w:t>
            </w:r>
          </w:p>
        </w:tc>
        <w:tc>
          <w:tcPr>
            <w:tcW w:w="0" w:type="auto"/>
            <w:tcBorders>
              <w:top w:val="nil"/>
              <w:left w:val="nil"/>
              <w:bottom w:val="single" w:color="auto" w:sz="4" w:space="0"/>
              <w:right w:val="single" w:color="auto" w:sz="4" w:space="0"/>
            </w:tcBorders>
            <w:vAlign w:val="center"/>
          </w:tcPr>
          <w:p w14:paraId="5EF21E8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中高档-传媒中心使用</w:t>
            </w:r>
          </w:p>
        </w:tc>
      </w:tr>
      <w:tr w14:paraId="67E323F8">
        <w:tblPrEx>
          <w:tblCellMar>
            <w:top w:w="0" w:type="dxa"/>
            <w:left w:w="108" w:type="dxa"/>
            <w:bottom w:w="0" w:type="dxa"/>
            <w:right w:w="108" w:type="dxa"/>
          </w:tblCellMar>
        </w:tblPrEx>
        <w:trPr>
          <w:trHeight w:val="398" w:hRule="atLeast"/>
          <w:jc w:val="center"/>
        </w:trPr>
        <w:tc>
          <w:tcPr>
            <w:tcW w:w="0" w:type="auto"/>
            <w:vMerge w:val="continue"/>
            <w:tcBorders>
              <w:top w:val="nil"/>
              <w:left w:val="single" w:color="auto" w:sz="4" w:space="0"/>
              <w:bottom w:val="single" w:color="000000" w:sz="4" w:space="0"/>
              <w:right w:val="single" w:color="auto" w:sz="4" w:space="0"/>
            </w:tcBorders>
            <w:vAlign w:val="center"/>
          </w:tcPr>
          <w:p w14:paraId="490AF0CF">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079B047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0" w:type="auto"/>
            <w:tcBorders>
              <w:top w:val="single" w:color="auto" w:sz="4" w:space="0"/>
              <w:left w:val="single" w:color="auto" w:sz="4" w:space="0"/>
              <w:bottom w:val="single" w:color="auto" w:sz="4" w:space="0"/>
              <w:right w:val="single" w:color="auto" w:sz="4" w:space="0"/>
            </w:tcBorders>
            <w:vAlign w:val="center"/>
          </w:tcPr>
          <w:p w14:paraId="1FCDAD5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排气扇</w:t>
            </w:r>
          </w:p>
        </w:tc>
        <w:tc>
          <w:tcPr>
            <w:tcW w:w="0" w:type="auto"/>
            <w:tcBorders>
              <w:top w:val="single" w:color="auto" w:sz="4" w:space="0"/>
              <w:left w:val="single" w:color="auto" w:sz="4" w:space="0"/>
              <w:bottom w:val="single" w:color="auto" w:sz="4" w:space="0"/>
              <w:right w:val="single" w:color="auto" w:sz="4" w:space="0"/>
            </w:tcBorders>
            <w:vAlign w:val="center"/>
          </w:tcPr>
          <w:p w14:paraId="235D742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正野</w:t>
            </w:r>
          </w:p>
        </w:tc>
        <w:tc>
          <w:tcPr>
            <w:tcW w:w="0" w:type="auto"/>
            <w:tcBorders>
              <w:top w:val="nil"/>
              <w:left w:val="nil"/>
              <w:bottom w:val="single" w:color="auto" w:sz="4" w:space="0"/>
              <w:right w:val="single" w:color="auto" w:sz="4" w:space="0"/>
            </w:tcBorders>
            <w:vAlign w:val="center"/>
          </w:tcPr>
          <w:p w14:paraId="64AFEFE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金羚</w:t>
            </w:r>
          </w:p>
        </w:tc>
        <w:tc>
          <w:tcPr>
            <w:tcW w:w="0" w:type="auto"/>
            <w:tcBorders>
              <w:top w:val="nil"/>
              <w:left w:val="nil"/>
              <w:bottom w:val="single" w:color="auto" w:sz="4" w:space="0"/>
              <w:right w:val="single" w:color="auto" w:sz="4" w:space="0"/>
            </w:tcBorders>
            <w:vAlign w:val="center"/>
          </w:tcPr>
          <w:p w14:paraId="7C99008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百朗</w:t>
            </w:r>
          </w:p>
        </w:tc>
        <w:tc>
          <w:tcPr>
            <w:tcW w:w="0" w:type="auto"/>
            <w:tcBorders>
              <w:top w:val="nil"/>
              <w:left w:val="nil"/>
              <w:bottom w:val="single" w:color="auto" w:sz="4" w:space="0"/>
              <w:right w:val="single" w:color="auto" w:sz="4" w:space="0"/>
            </w:tcBorders>
            <w:vAlign w:val="center"/>
          </w:tcPr>
          <w:p w14:paraId="2619D8A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58E0E973">
        <w:tblPrEx>
          <w:tblCellMar>
            <w:top w:w="0" w:type="dxa"/>
            <w:left w:w="108" w:type="dxa"/>
            <w:bottom w:w="0" w:type="dxa"/>
            <w:right w:w="108" w:type="dxa"/>
          </w:tblCellMar>
        </w:tblPrEx>
        <w:trPr>
          <w:trHeight w:val="398" w:hRule="atLeast"/>
          <w:jc w:val="center"/>
        </w:trPr>
        <w:tc>
          <w:tcPr>
            <w:tcW w:w="0" w:type="auto"/>
            <w:tcBorders>
              <w:top w:val="nil"/>
              <w:left w:val="single" w:color="auto" w:sz="4" w:space="0"/>
              <w:bottom w:val="single" w:color="000000" w:sz="4" w:space="0"/>
              <w:right w:val="single" w:color="auto" w:sz="4" w:space="0"/>
            </w:tcBorders>
            <w:vAlign w:val="center"/>
          </w:tcPr>
          <w:p w14:paraId="4737C0AB">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nil"/>
              <w:bottom w:val="single" w:color="auto" w:sz="4" w:space="0"/>
              <w:right w:val="single" w:color="auto" w:sz="4" w:space="0"/>
            </w:tcBorders>
            <w:vAlign w:val="center"/>
          </w:tcPr>
          <w:p w14:paraId="625ACC1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0" w:type="auto"/>
            <w:tcBorders>
              <w:top w:val="single" w:color="auto" w:sz="4" w:space="0"/>
              <w:left w:val="nil"/>
              <w:bottom w:val="single" w:color="auto" w:sz="4" w:space="0"/>
              <w:right w:val="single" w:color="auto" w:sz="4" w:space="0"/>
            </w:tcBorders>
            <w:vAlign w:val="center"/>
          </w:tcPr>
          <w:p w14:paraId="5F824C3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桥架</w:t>
            </w:r>
          </w:p>
        </w:tc>
        <w:tc>
          <w:tcPr>
            <w:tcW w:w="0" w:type="auto"/>
            <w:tcBorders>
              <w:top w:val="single" w:color="auto" w:sz="4" w:space="0"/>
              <w:left w:val="nil"/>
              <w:bottom w:val="single" w:color="auto" w:sz="4" w:space="0"/>
              <w:right w:val="single" w:color="auto" w:sz="4" w:space="0"/>
            </w:tcBorders>
            <w:vAlign w:val="center"/>
          </w:tcPr>
          <w:p w14:paraId="0F59D73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卡博菲</w:t>
            </w:r>
          </w:p>
        </w:tc>
        <w:tc>
          <w:tcPr>
            <w:tcW w:w="0" w:type="auto"/>
            <w:tcBorders>
              <w:top w:val="nil"/>
              <w:left w:val="nil"/>
              <w:bottom w:val="single" w:color="auto" w:sz="4" w:space="0"/>
              <w:right w:val="single" w:color="auto" w:sz="4" w:space="0"/>
            </w:tcBorders>
            <w:vAlign w:val="center"/>
          </w:tcPr>
          <w:p w14:paraId="70BDE01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欧宝</w:t>
            </w:r>
          </w:p>
        </w:tc>
        <w:tc>
          <w:tcPr>
            <w:tcW w:w="0" w:type="auto"/>
            <w:tcBorders>
              <w:top w:val="nil"/>
              <w:left w:val="nil"/>
              <w:bottom w:val="single" w:color="auto" w:sz="4" w:space="0"/>
              <w:right w:val="single" w:color="auto" w:sz="4" w:space="0"/>
            </w:tcBorders>
            <w:vAlign w:val="center"/>
          </w:tcPr>
          <w:p w14:paraId="7EEABB9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华鹏</w:t>
            </w:r>
          </w:p>
        </w:tc>
        <w:tc>
          <w:tcPr>
            <w:tcW w:w="0" w:type="auto"/>
            <w:tcBorders>
              <w:top w:val="nil"/>
              <w:left w:val="nil"/>
              <w:bottom w:val="single" w:color="auto" w:sz="4" w:space="0"/>
              <w:right w:val="single" w:color="auto" w:sz="4" w:space="0"/>
            </w:tcBorders>
            <w:vAlign w:val="center"/>
          </w:tcPr>
          <w:p w14:paraId="3AA63E2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中高档</w:t>
            </w:r>
          </w:p>
        </w:tc>
      </w:tr>
      <w:tr w14:paraId="595BE38C">
        <w:tblPrEx>
          <w:tblCellMar>
            <w:top w:w="0" w:type="dxa"/>
            <w:left w:w="108" w:type="dxa"/>
            <w:bottom w:w="0" w:type="dxa"/>
            <w:right w:w="108" w:type="dxa"/>
          </w:tblCellMar>
        </w:tblPrEx>
        <w:trPr>
          <w:trHeight w:val="398" w:hRule="atLeast"/>
          <w:jc w:val="center"/>
        </w:trPr>
        <w:tc>
          <w:tcPr>
            <w:tcW w:w="0" w:type="auto"/>
            <w:tcBorders>
              <w:top w:val="nil"/>
              <w:left w:val="single" w:color="auto" w:sz="4" w:space="0"/>
              <w:bottom w:val="single" w:color="auto" w:sz="4" w:space="0"/>
              <w:right w:val="single" w:color="auto" w:sz="4" w:space="0"/>
            </w:tcBorders>
            <w:vAlign w:val="center"/>
          </w:tcPr>
          <w:p w14:paraId="1B33D41E">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14726DB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0" w:type="auto"/>
            <w:tcBorders>
              <w:top w:val="nil"/>
              <w:left w:val="nil"/>
              <w:bottom w:val="single" w:color="auto" w:sz="4" w:space="0"/>
              <w:right w:val="single" w:color="auto" w:sz="4" w:space="0"/>
            </w:tcBorders>
            <w:vAlign w:val="center"/>
          </w:tcPr>
          <w:p w14:paraId="22ACD9F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线槽</w:t>
            </w:r>
          </w:p>
        </w:tc>
        <w:tc>
          <w:tcPr>
            <w:tcW w:w="0" w:type="auto"/>
            <w:tcBorders>
              <w:top w:val="nil"/>
              <w:left w:val="nil"/>
              <w:bottom w:val="single" w:color="auto" w:sz="4" w:space="0"/>
              <w:right w:val="single" w:color="auto" w:sz="4" w:space="0"/>
            </w:tcBorders>
            <w:vAlign w:val="center"/>
          </w:tcPr>
          <w:p w14:paraId="7CF8772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联塑</w:t>
            </w:r>
          </w:p>
        </w:tc>
        <w:tc>
          <w:tcPr>
            <w:tcW w:w="0" w:type="auto"/>
            <w:tcBorders>
              <w:top w:val="nil"/>
              <w:left w:val="nil"/>
              <w:bottom w:val="single" w:color="auto" w:sz="4" w:space="0"/>
              <w:right w:val="single" w:color="auto" w:sz="4" w:space="0"/>
            </w:tcBorders>
            <w:vAlign w:val="center"/>
          </w:tcPr>
          <w:p w14:paraId="64C86C3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日丰</w:t>
            </w:r>
          </w:p>
        </w:tc>
        <w:tc>
          <w:tcPr>
            <w:tcW w:w="0" w:type="auto"/>
            <w:tcBorders>
              <w:top w:val="nil"/>
              <w:left w:val="nil"/>
              <w:bottom w:val="single" w:color="auto" w:sz="4" w:space="0"/>
              <w:right w:val="single" w:color="auto" w:sz="4" w:space="0"/>
            </w:tcBorders>
            <w:vAlign w:val="center"/>
          </w:tcPr>
          <w:p w14:paraId="34567A0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龙胜</w:t>
            </w:r>
          </w:p>
        </w:tc>
        <w:tc>
          <w:tcPr>
            <w:tcW w:w="0" w:type="auto"/>
            <w:tcBorders>
              <w:top w:val="nil"/>
              <w:left w:val="nil"/>
              <w:bottom w:val="single" w:color="auto" w:sz="4" w:space="0"/>
              <w:right w:val="single" w:color="auto" w:sz="4" w:space="0"/>
            </w:tcBorders>
            <w:vAlign w:val="center"/>
          </w:tcPr>
          <w:p w14:paraId="524A50C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中高档</w:t>
            </w:r>
          </w:p>
        </w:tc>
      </w:tr>
      <w:tr w14:paraId="22BEF453">
        <w:tblPrEx>
          <w:tblCellMar>
            <w:top w:w="0" w:type="dxa"/>
            <w:left w:w="108" w:type="dxa"/>
            <w:bottom w:w="0" w:type="dxa"/>
            <w:right w:w="108" w:type="dxa"/>
          </w:tblCellMar>
        </w:tblPrEx>
        <w:trPr>
          <w:trHeight w:val="552"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14:paraId="15010CD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消防工程</w:t>
            </w:r>
          </w:p>
        </w:tc>
        <w:tc>
          <w:tcPr>
            <w:tcW w:w="0" w:type="auto"/>
            <w:tcBorders>
              <w:top w:val="single" w:color="auto" w:sz="4" w:space="0"/>
              <w:left w:val="single" w:color="auto" w:sz="4" w:space="0"/>
              <w:bottom w:val="single" w:color="auto" w:sz="4" w:space="0"/>
              <w:right w:val="single" w:color="auto" w:sz="4" w:space="0"/>
            </w:tcBorders>
            <w:vAlign w:val="center"/>
          </w:tcPr>
          <w:p w14:paraId="387D39B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14:paraId="6C23B89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消防箱、灭火器</w:t>
            </w:r>
          </w:p>
        </w:tc>
        <w:tc>
          <w:tcPr>
            <w:tcW w:w="0" w:type="auto"/>
            <w:tcBorders>
              <w:top w:val="single" w:color="auto" w:sz="4" w:space="0"/>
              <w:left w:val="single" w:color="auto" w:sz="4" w:space="0"/>
              <w:bottom w:val="single" w:color="auto" w:sz="4" w:space="0"/>
              <w:right w:val="single" w:color="auto" w:sz="4" w:space="0"/>
            </w:tcBorders>
            <w:vAlign w:val="center"/>
          </w:tcPr>
          <w:p w14:paraId="0B8149C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胜捷</w:t>
            </w:r>
          </w:p>
        </w:tc>
        <w:tc>
          <w:tcPr>
            <w:tcW w:w="0" w:type="auto"/>
            <w:tcBorders>
              <w:top w:val="single" w:color="auto" w:sz="4" w:space="0"/>
              <w:left w:val="single" w:color="auto" w:sz="4" w:space="0"/>
              <w:bottom w:val="single" w:color="auto" w:sz="4" w:space="0"/>
              <w:right w:val="single" w:color="auto" w:sz="4" w:space="0"/>
            </w:tcBorders>
            <w:vAlign w:val="center"/>
          </w:tcPr>
          <w:p w14:paraId="4CCAD2A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白沙</w:t>
            </w:r>
          </w:p>
        </w:tc>
        <w:tc>
          <w:tcPr>
            <w:tcW w:w="0" w:type="auto"/>
            <w:tcBorders>
              <w:top w:val="single" w:color="auto" w:sz="4" w:space="0"/>
              <w:left w:val="single" w:color="auto" w:sz="4" w:space="0"/>
              <w:bottom w:val="single" w:color="auto" w:sz="4" w:space="0"/>
              <w:right w:val="single" w:color="auto" w:sz="4" w:space="0"/>
            </w:tcBorders>
            <w:vAlign w:val="center"/>
          </w:tcPr>
          <w:p w14:paraId="08202A8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天广</w:t>
            </w:r>
          </w:p>
        </w:tc>
        <w:tc>
          <w:tcPr>
            <w:tcW w:w="0" w:type="auto"/>
            <w:tcBorders>
              <w:top w:val="single" w:color="auto" w:sz="4" w:space="0"/>
              <w:left w:val="single" w:color="auto" w:sz="4" w:space="0"/>
              <w:bottom w:val="single" w:color="auto" w:sz="4" w:space="0"/>
              <w:right w:val="single" w:color="auto" w:sz="4" w:space="0"/>
            </w:tcBorders>
            <w:vAlign w:val="center"/>
          </w:tcPr>
          <w:p w14:paraId="6A99300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4931FA15">
        <w:tblPrEx>
          <w:tblCellMar>
            <w:top w:w="0" w:type="dxa"/>
            <w:left w:w="108" w:type="dxa"/>
            <w:bottom w:w="0" w:type="dxa"/>
            <w:right w:w="108" w:type="dxa"/>
          </w:tblCellMar>
        </w:tblPrEx>
        <w:trPr>
          <w:trHeight w:val="8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4B24BFF">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5639B8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0" w:type="auto"/>
            <w:tcBorders>
              <w:top w:val="single" w:color="auto" w:sz="4" w:space="0"/>
              <w:left w:val="single" w:color="auto" w:sz="4" w:space="0"/>
              <w:bottom w:val="single" w:color="auto" w:sz="4" w:space="0"/>
              <w:right w:val="single" w:color="auto" w:sz="4" w:space="0"/>
            </w:tcBorders>
            <w:vAlign w:val="center"/>
          </w:tcPr>
          <w:p w14:paraId="4782AF0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消防水泵及控制柜</w:t>
            </w:r>
          </w:p>
        </w:tc>
        <w:tc>
          <w:tcPr>
            <w:tcW w:w="0" w:type="auto"/>
            <w:tcBorders>
              <w:top w:val="single" w:color="auto" w:sz="4" w:space="0"/>
              <w:left w:val="single" w:color="auto" w:sz="4" w:space="0"/>
              <w:bottom w:val="single" w:color="auto" w:sz="4" w:space="0"/>
              <w:right w:val="single" w:color="auto" w:sz="4" w:space="0"/>
            </w:tcBorders>
            <w:vAlign w:val="center"/>
          </w:tcPr>
          <w:p w14:paraId="624EF02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凯泉</w:t>
            </w:r>
          </w:p>
        </w:tc>
        <w:tc>
          <w:tcPr>
            <w:tcW w:w="0" w:type="auto"/>
            <w:tcBorders>
              <w:top w:val="single" w:color="auto" w:sz="4" w:space="0"/>
              <w:left w:val="single" w:color="auto" w:sz="4" w:space="0"/>
              <w:bottom w:val="single" w:color="auto" w:sz="4" w:space="0"/>
              <w:right w:val="single" w:color="auto" w:sz="4" w:space="0"/>
            </w:tcBorders>
            <w:vAlign w:val="center"/>
          </w:tcPr>
          <w:p w14:paraId="2DF1DDE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双轮</w:t>
            </w:r>
          </w:p>
        </w:tc>
        <w:tc>
          <w:tcPr>
            <w:tcW w:w="0" w:type="auto"/>
            <w:tcBorders>
              <w:top w:val="single" w:color="auto" w:sz="4" w:space="0"/>
              <w:left w:val="single" w:color="auto" w:sz="4" w:space="0"/>
              <w:bottom w:val="single" w:color="auto" w:sz="4" w:space="0"/>
              <w:right w:val="single" w:color="auto" w:sz="4" w:space="0"/>
            </w:tcBorders>
            <w:vAlign w:val="center"/>
          </w:tcPr>
          <w:p w14:paraId="11D4D3C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肯富来</w:t>
            </w:r>
          </w:p>
        </w:tc>
        <w:tc>
          <w:tcPr>
            <w:tcW w:w="0" w:type="auto"/>
            <w:tcBorders>
              <w:top w:val="single" w:color="auto" w:sz="4" w:space="0"/>
              <w:left w:val="single" w:color="auto" w:sz="4" w:space="0"/>
              <w:bottom w:val="single" w:color="auto" w:sz="4" w:space="0"/>
              <w:right w:val="single" w:color="auto" w:sz="4" w:space="0"/>
            </w:tcBorders>
            <w:vAlign w:val="center"/>
          </w:tcPr>
          <w:p w14:paraId="1AC55F9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29537CC7">
        <w:tblPrEx>
          <w:tblCellMar>
            <w:top w:w="0" w:type="dxa"/>
            <w:left w:w="108" w:type="dxa"/>
            <w:bottom w:w="0" w:type="dxa"/>
            <w:right w:w="108" w:type="dxa"/>
          </w:tblCellMar>
        </w:tblPrEx>
        <w:trPr>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B167D3F">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46CB4C2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0" w:type="auto"/>
            <w:tcBorders>
              <w:top w:val="single" w:color="auto" w:sz="4" w:space="0"/>
              <w:left w:val="single" w:color="auto" w:sz="4" w:space="0"/>
              <w:bottom w:val="single" w:color="auto" w:sz="4" w:space="0"/>
              <w:right w:val="single" w:color="auto" w:sz="4" w:space="0"/>
            </w:tcBorders>
            <w:vAlign w:val="center"/>
          </w:tcPr>
          <w:p w14:paraId="278D4F8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七氟丙烷自动灭火系统</w:t>
            </w:r>
          </w:p>
        </w:tc>
        <w:tc>
          <w:tcPr>
            <w:tcW w:w="0" w:type="auto"/>
            <w:tcBorders>
              <w:top w:val="single" w:color="auto" w:sz="4" w:space="0"/>
              <w:left w:val="single" w:color="auto" w:sz="4" w:space="0"/>
              <w:bottom w:val="single" w:color="auto" w:sz="4" w:space="0"/>
              <w:right w:val="single" w:color="auto" w:sz="4" w:space="0"/>
            </w:tcBorders>
            <w:vAlign w:val="center"/>
          </w:tcPr>
          <w:p w14:paraId="0B6361B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广东鹰穗</w:t>
            </w:r>
          </w:p>
        </w:tc>
        <w:tc>
          <w:tcPr>
            <w:tcW w:w="0" w:type="auto"/>
            <w:tcBorders>
              <w:top w:val="single" w:color="auto" w:sz="4" w:space="0"/>
              <w:left w:val="single" w:color="auto" w:sz="4" w:space="0"/>
              <w:bottom w:val="single" w:color="auto" w:sz="4" w:space="0"/>
              <w:right w:val="single" w:color="auto" w:sz="4" w:space="0"/>
            </w:tcBorders>
            <w:vAlign w:val="center"/>
          </w:tcPr>
          <w:p w14:paraId="2B90F49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胜捷</w:t>
            </w:r>
          </w:p>
        </w:tc>
        <w:tc>
          <w:tcPr>
            <w:tcW w:w="0" w:type="auto"/>
            <w:tcBorders>
              <w:top w:val="single" w:color="auto" w:sz="4" w:space="0"/>
              <w:left w:val="single" w:color="auto" w:sz="4" w:space="0"/>
              <w:bottom w:val="single" w:color="auto" w:sz="4" w:space="0"/>
              <w:right w:val="single" w:color="auto" w:sz="4" w:space="0"/>
            </w:tcBorders>
            <w:vAlign w:val="center"/>
          </w:tcPr>
          <w:p w14:paraId="1BF5B86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上海瑞泰</w:t>
            </w:r>
          </w:p>
        </w:tc>
        <w:tc>
          <w:tcPr>
            <w:tcW w:w="0" w:type="auto"/>
            <w:tcBorders>
              <w:top w:val="single" w:color="auto" w:sz="4" w:space="0"/>
              <w:left w:val="single" w:color="auto" w:sz="4" w:space="0"/>
              <w:bottom w:val="single" w:color="auto" w:sz="4" w:space="0"/>
              <w:right w:val="single" w:color="auto" w:sz="4" w:space="0"/>
            </w:tcBorders>
            <w:vAlign w:val="center"/>
          </w:tcPr>
          <w:p w14:paraId="41C5E67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4ABF905E">
        <w:tblPrEx>
          <w:tblCellMar>
            <w:top w:w="0" w:type="dxa"/>
            <w:left w:w="108" w:type="dxa"/>
            <w:bottom w:w="0" w:type="dxa"/>
            <w:right w:w="108" w:type="dxa"/>
          </w:tblCellMar>
        </w:tblPrEx>
        <w:trPr>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45684CA">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78DA0E1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0" w:type="auto"/>
            <w:tcBorders>
              <w:top w:val="single" w:color="auto" w:sz="4" w:space="0"/>
              <w:left w:val="single" w:color="auto" w:sz="4" w:space="0"/>
              <w:bottom w:val="single" w:color="auto" w:sz="4" w:space="0"/>
              <w:right w:val="single" w:color="auto" w:sz="4" w:space="0"/>
            </w:tcBorders>
            <w:vAlign w:val="center"/>
          </w:tcPr>
          <w:p w14:paraId="24AE865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消防水泵接合器</w:t>
            </w:r>
          </w:p>
        </w:tc>
        <w:tc>
          <w:tcPr>
            <w:tcW w:w="0" w:type="auto"/>
            <w:tcBorders>
              <w:top w:val="single" w:color="auto" w:sz="4" w:space="0"/>
              <w:left w:val="single" w:color="auto" w:sz="4" w:space="0"/>
              <w:bottom w:val="single" w:color="auto" w:sz="4" w:space="0"/>
              <w:right w:val="single" w:color="auto" w:sz="4" w:space="0"/>
            </w:tcBorders>
            <w:vAlign w:val="center"/>
          </w:tcPr>
          <w:p w14:paraId="59E8C51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三鲸</w:t>
            </w:r>
          </w:p>
        </w:tc>
        <w:tc>
          <w:tcPr>
            <w:tcW w:w="0" w:type="auto"/>
            <w:tcBorders>
              <w:top w:val="single" w:color="auto" w:sz="4" w:space="0"/>
              <w:left w:val="single" w:color="auto" w:sz="4" w:space="0"/>
              <w:bottom w:val="single" w:color="auto" w:sz="4" w:space="0"/>
              <w:right w:val="single" w:color="auto" w:sz="4" w:space="0"/>
            </w:tcBorders>
            <w:vAlign w:val="center"/>
          </w:tcPr>
          <w:p w14:paraId="4FCBB16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胜捷</w:t>
            </w:r>
          </w:p>
        </w:tc>
        <w:tc>
          <w:tcPr>
            <w:tcW w:w="0" w:type="auto"/>
            <w:tcBorders>
              <w:top w:val="single" w:color="auto" w:sz="4" w:space="0"/>
              <w:left w:val="single" w:color="auto" w:sz="4" w:space="0"/>
              <w:bottom w:val="single" w:color="auto" w:sz="4" w:space="0"/>
              <w:right w:val="single" w:color="auto" w:sz="4" w:space="0"/>
            </w:tcBorders>
            <w:vAlign w:val="center"/>
          </w:tcPr>
          <w:p w14:paraId="46796D5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天广</w:t>
            </w:r>
          </w:p>
        </w:tc>
        <w:tc>
          <w:tcPr>
            <w:tcW w:w="0" w:type="auto"/>
            <w:tcBorders>
              <w:top w:val="single" w:color="auto" w:sz="4" w:space="0"/>
              <w:left w:val="single" w:color="auto" w:sz="4" w:space="0"/>
              <w:bottom w:val="single" w:color="auto" w:sz="4" w:space="0"/>
              <w:right w:val="single" w:color="auto" w:sz="4" w:space="0"/>
            </w:tcBorders>
            <w:vAlign w:val="center"/>
          </w:tcPr>
          <w:p w14:paraId="18B2E0B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7D957986">
        <w:tblPrEx>
          <w:tblCellMar>
            <w:top w:w="0" w:type="dxa"/>
            <w:left w:w="108" w:type="dxa"/>
            <w:bottom w:w="0" w:type="dxa"/>
            <w:right w:w="108" w:type="dxa"/>
          </w:tblCellMar>
        </w:tblPrEx>
        <w:trPr>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CB675F0">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99A799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0" w:type="auto"/>
            <w:tcBorders>
              <w:top w:val="single" w:color="auto" w:sz="4" w:space="0"/>
              <w:left w:val="single" w:color="auto" w:sz="4" w:space="0"/>
              <w:bottom w:val="single" w:color="auto" w:sz="4" w:space="0"/>
              <w:right w:val="single" w:color="auto" w:sz="4" w:space="0"/>
            </w:tcBorders>
            <w:vAlign w:val="center"/>
          </w:tcPr>
          <w:p w14:paraId="52BDB76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水流指示器/湿式报警装置</w:t>
            </w:r>
          </w:p>
        </w:tc>
        <w:tc>
          <w:tcPr>
            <w:tcW w:w="0" w:type="auto"/>
            <w:tcBorders>
              <w:top w:val="single" w:color="auto" w:sz="4" w:space="0"/>
              <w:left w:val="single" w:color="auto" w:sz="4" w:space="0"/>
              <w:bottom w:val="single" w:color="auto" w:sz="4" w:space="0"/>
              <w:right w:val="single" w:color="auto" w:sz="4" w:space="0"/>
            </w:tcBorders>
            <w:vAlign w:val="center"/>
          </w:tcPr>
          <w:p w14:paraId="4F164D9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三鲸</w:t>
            </w:r>
          </w:p>
        </w:tc>
        <w:tc>
          <w:tcPr>
            <w:tcW w:w="0" w:type="auto"/>
            <w:tcBorders>
              <w:top w:val="single" w:color="auto" w:sz="4" w:space="0"/>
              <w:left w:val="single" w:color="auto" w:sz="4" w:space="0"/>
              <w:bottom w:val="single" w:color="auto" w:sz="4" w:space="0"/>
              <w:right w:val="single" w:color="auto" w:sz="4" w:space="0"/>
            </w:tcBorders>
            <w:vAlign w:val="center"/>
          </w:tcPr>
          <w:p w14:paraId="4C66A47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胜捷</w:t>
            </w:r>
          </w:p>
        </w:tc>
        <w:tc>
          <w:tcPr>
            <w:tcW w:w="0" w:type="auto"/>
            <w:tcBorders>
              <w:top w:val="single" w:color="auto" w:sz="4" w:space="0"/>
              <w:left w:val="single" w:color="auto" w:sz="4" w:space="0"/>
              <w:bottom w:val="single" w:color="auto" w:sz="4" w:space="0"/>
              <w:right w:val="single" w:color="auto" w:sz="4" w:space="0"/>
            </w:tcBorders>
            <w:vAlign w:val="center"/>
          </w:tcPr>
          <w:p w14:paraId="77C6112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天广</w:t>
            </w:r>
          </w:p>
        </w:tc>
        <w:tc>
          <w:tcPr>
            <w:tcW w:w="0" w:type="auto"/>
            <w:tcBorders>
              <w:top w:val="single" w:color="auto" w:sz="4" w:space="0"/>
              <w:left w:val="single" w:color="auto" w:sz="4" w:space="0"/>
              <w:bottom w:val="single" w:color="auto" w:sz="4" w:space="0"/>
              <w:right w:val="single" w:color="auto" w:sz="4" w:space="0"/>
            </w:tcBorders>
            <w:vAlign w:val="center"/>
          </w:tcPr>
          <w:p w14:paraId="6CC0BF4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225C16CB">
        <w:tblPrEx>
          <w:tblCellMar>
            <w:top w:w="0" w:type="dxa"/>
            <w:left w:w="108" w:type="dxa"/>
            <w:bottom w:w="0" w:type="dxa"/>
            <w:right w:w="108" w:type="dxa"/>
          </w:tblCellMar>
        </w:tblPrEx>
        <w:trPr>
          <w:trHeight w:val="39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EDEEBB2">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1439A5D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0" w:type="auto"/>
            <w:tcBorders>
              <w:top w:val="single" w:color="auto" w:sz="4" w:space="0"/>
              <w:left w:val="single" w:color="auto" w:sz="4" w:space="0"/>
              <w:bottom w:val="single" w:color="auto" w:sz="4" w:space="0"/>
              <w:right w:val="single" w:color="auto" w:sz="4" w:space="0"/>
            </w:tcBorders>
            <w:vAlign w:val="center"/>
          </w:tcPr>
          <w:p w14:paraId="4C2C69F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镀锌钢管</w:t>
            </w:r>
          </w:p>
        </w:tc>
        <w:tc>
          <w:tcPr>
            <w:tcW w:w="0" w:type="auto"/>
            <w:tcBorders>
              <w:top w:val="single" w:color="auto" w:sz="4" w:space="0"/>
              <w:left w:val="single" w:color="auto" w:sz="4" w:space="0"/>
              <w:bottom w:val="single" w:color="auto" w:sz="4" w:space="0"/>
              <w:right w:val="single" w:color="auto" w:sz="4" w:space="0"/>
            </w:tcBorders>
            <w:vAlign w:val="center"/>
          </w:tcPr>
          <w:p w14:paraId="3FC0C72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珠江管业</w:t>
            </w:r>
          </w:p>
        </w:tc>
        <w:tc>
          <w:tcPr>
            <w:tcW w:w="0" w:type="auto"/>
            <w:tcBorders>
              <w:top w:val="single" w:color="auto" w:sz="4" w:space="0"/>
              <w:left w:val="single" w:color="auto" w:sz="4" w:space="0"/>
              <w:bottom w:val="single" w:color="auto" w:sz="4" w:space="0"/>
              <w:right w:val="single" w:color="auto" w:sz="4" w:space="0"/>
            </w:tcBorders>
            <w:vAlign w:val="center"/>
          </w:tcPr>
          <w:p w14:paraId="4C416D6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粤钢（广州）</w:t>
            </w:r>
          </w:p>
        </w:tc>
        <w:tc>
          <w:tcPr>
            <w:tcW w:w="0" w:type="auto"/>
            <w:tcBorders>
              <w:top w:val="single" w:color="auto" w:sz="4" w:space="0"/>
              <w:left w:val="single" w:color="auto" w:sz="4" w:space="0"/>
              <w:bottom w:val="single" w:color="auto" w:sz="4" w:space="0"/>
              <w:right w:val="single" w:color="auto" w:sz="4" w:space="0"/>
            </w:tcBorders>
            <w:vAlign w:val="center"/>
          </w:tcPr>
          <w:p w14:paraId="4DE89E2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民乐管业</w:t>
            </w:r>
          </w:p>
        </w:tc>
        <w:tc>
          <w:tcPr>
            <w:tcW w:w="0" w:type="auto"/>
            <w:tcBorders>
              <w:top w:val="single" w:color="auto" w:sz="4" w:space="0"/>
              <w:left w:val="single" w:color="auto" w:sz="4" w:space="0"/>
              <w:bottom w:val="single" w:color="auto" w:sz="4" w:space="0"/>
              <w:right w:val="single" w:color="auto" w:sz="4" w:space="0"/>
            </w:tcBorders>
            <w:vAlign w:val="center"/>
          </w:tcPr>
          <w:p w14:paraId="59E6E9E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高档</w:t>
            </w:r>
          </w:p>
        </w:tc>
      </w:tr>
      <w:tr w14:paraId="21540F3A">
        <w:tblPrEx>
          <w:tblCellMar>
            <w:top w:w="0" w:type="dxa"/>
            <w:left w:w="108" w:type="dxa"/>
            <w:bottom w:w="0" w:type="dxa"/>
            <w:right w:w="108" w:type="dxa"/>
          </w:tblCellMar>
        </w:tblPrEx>
        <w:trPr>
          <w:trHeight w:val="56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98F2A7">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4268578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0" w:type="auto"/>
            <w:tcBorders>
              <w:top w:val="single" w:color="auto" w:sz="4" w:space="0"/>
              <w:left w:val="single" w:color="auto" w:sz="4" w:space="0"/>
              <w:bottom w:val="single" w:color="auto" w:sz="4" w:space="0"/>
              <w:right w:val="single" w:color="auto" w:sz="4" w:space="0"/>
            </w:tcBorders>
            <w:vAlign w:val="center"/>
          </w:tcPr>
          <w:p w14:paraId="06371E2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自动报警系统</w:t>
            </w:r>
          </w:p>
        </w:tc>
        <w:tc>
          <w:tcPr>
            <w:tcW w:w="0" w:type="auto"/>
            <w:tcBorders>
              <w:top w:val="single" w:color="auto" w:sz="4" w:space="0"/>
              <w:left w:val="single" w:color="auto" w:sz="4" w:space="0"/>
              <w:bottom w:val="single" w:color="auto" w:sz="4" w:space="0"/>
              <w:right w:val="single" w:color="auto" w:sz="4" w:space="0"/>
            </w:tcBorders>
            <w:vAlign w:val="center"/>
          </w:tcPr>
          <w:p w14:paraId="2394B78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泰和安</w:t>
            </w:r>
          </w:p>
        </w:tc>
        <w:tc>
          <w:tcPr>
            <w:tcW w:w="0" w:type="auto"/>
            <w:tcBorders>
              <w:top w:val="single" w:color="auto" w:sz="4" w:space="0"/>
              <w:left w:val="single" w:color="auto" w:sz="4" w:space="0"/>
              <w:bottom w:val="single" w:color="auto" w:sz="4" w:space="0"/>
              <w:right w:val="single" w:color="auto" w:sz="4" w:space="0"/>
            </w:tcBorders>
            <w:vAlign w:val="center"/>
          </w:tcPr>
          <w:p w14:paraId="27B67A4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海湾</w:t>
            </w:r>
          </w:p>
        </w:tc>
        <w:tc>
          <w:tcPr>
            <w:tcW w:w="0" w:type="auto"/>
            <w:tcBorders>
              <w:top w:val="single" w:color="auto" w:sz="4" w:space="0"/>
              <w:left w:val="single" w:color="auto" w:sz="4" w:space="0"/>
              <w:bottom w:val="single" w:color="auto" w:sz="4" w:space="0"/>
              <w:right w:val="single" w:color="auto" w:sz="4" w:space="0"/>
            </w:tcBorders>
            <w:vAlign w:val="center"/>
          </w:tcPr>
          <w:p w14:paraId="3A0CC87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赋安</w:t>
            </w:r>
          </w:p>
        </w:tc>
        <w:tc>
          <w:tcPr>
            <w:tcW w:w="0" w:type="auto"/>
            <w:tcBorders>
              <w:top w:val="single" w:color="auto" w:sz="4" w:space="0"/>
              <w:left w:val="single" w:color="auto" w:sz="4" w:space="0"/>
              <w:bottom w:val="single" w:color="auto" w:sz="4" w:space="0"/>
              <w:right w:val="single" w:color="auto" w:sz="4" w:space="0"/>
            </w:tcBorders>
            <w:vAlign w:val="center"/>
          </w:tcPr>
          <w:p w14:paraId="46C7ED8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0139853A">
        <w:tblPrEx>
          <w:tblCellMar>
            <w:top w:w="0" w:type="dxa"/>
            <w:left w:w="108" w:type="dxa"/>
            <w:bottom w:w="0" w:type="dxa"/>
            <w:right w:w="108" w:type="dxa"/>
          </w:tblCellMar>
        </w:tblPrEx>
        <w:trPr>
          <w:trHeight w:val="9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EC08F4">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059D19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0" w:type="auto"/>
            <w:tcBorders>
              <w:top w:val="single" w:color="auto" w:sz="4" w:space="0"/>
              <w:left w:val="single" w:color="auto" w:sz="4" w:space="0"/>
              <w:bottom w:val="single" w:color="auto" w:sz="4" w:space="0"/>
              <w:right w:val="single" w:color="auto" w:sz="4" w:space="0"/>
            </w:tcBorders>
            <w:vAlign w:val="center"/>
          </w:tcPr>
          <w:p w14:paraId="5A09612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消防电源监控系统</w:t>
            </w:r>
          </w:p>
        </w:tc>
        <w:tc>
          <w:tcPr>
            <w:tcW w:w="0" w:type="auto"/>
            <w:tcBorders>
              <w:top w:val="single" w:color="auto" w:sz="4" w:space="0"/>
              <w:left w:val="single" w:color="auto" w:sz="4" w:space="0"/>
              <w:bottom w:val="single" w:color="auto" w:sz="4" w:space="0"/>
              <w:right w:val="single" w:color="auto" w:sz="4" w:space="0"/>
            </w:tcBorders>
            <w:vAlign w:val="center"/>
          </w:tcPr>
          <w:p w14:paraId="7C36B31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泰和安</w:t>
            </w:r>
          </w:p>
        </w:tc>
        <w:tc>
          <w:tcPr>
            <w:tcW w:w="0" w:type="auto"/>
            <w:tcBorders>
              <w:top w:val="single" w:color="auto" w:sz="4" w:space="0"/>
              <w:left w:val="single" w:color="auto" w:sz="4" w:space="0"/>
              <w:bottom w:val="single" w:color="auto" w:sz="4" w:space="0"/>
              <w:right w:val="single" w:color="auto" w:sz="4" w:space="0"/>
            </w:tcBorders>
            <w:vAlign w:val="center"/>
          </w:tcPr>
          <w:p w14:paraId="0F3C756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海湾</w:t>
            </w:r>
          </w:p>
        </w:tc>
        <w:tc>
          <w:tcPr>
            <w:tcW w:w="0" w:type="auto"/>
            <w:tcBorders>
              <w:top w:val="single" w:color="auto" w:sz="4" w:space="0"/>
              <w:left w:val="single" w:color="auto" w:sz="4" w:space="0"/>
              <w:bottom w:val="single" w:color="auto" w:sz="4" w:space="0"/>
              <w:right w:val="single" w:color="auto" w:sz="4" w:space="0"/>
            </w:tcBorders>
            <w:vAlign w:val="center"/>
          </w:tcPr>
          <w:p w14:paraId="76C1B6A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赋安</w:t>
            </w:r>
          </w:p>
        </w:tc>
        <w:tc>
          <w:tcPr>
            <w:tcW w:w="0" w:type="auto"/>
            <w:tcBorders>
              <w:top w:val="single" w:color="auto" w:sz="4" w:space="0"/>
              <w:left w:val="single" w:color="auto" w:sz="4" w:space="0"/>
              <w:bottom w:val="single" w:color="auto" w:sz="4" w:space="0"/>
              <w:right w:val="single" w:color="auto" w:sz="4" w:space="0"/>
            </w:tcBorders>
            <w:vAlign w:val="center"/>
          </w:tcPr>
          <w:p w14:paraId="00C4DF9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699A9110">
        <w:tblPrEx>
          <w:tblCellMar>
            <w:top w:w="0" w:type="dxa"/>
            <w:left w:w="108" w:type="dxa"/>
            <w:bottom w:w="0" w:type="dxa"/>
            <w:right w:w="108" w:type="dxa"/>
          </w:tblCellMar>
        </w:tblPrEx>
        <w:trPr>
          <w:trHeight w:val="80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9FC79CE">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6C3D365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0" w:type="auto"/>
            <w:tcBorders>
              <w:top w:val="single" w:color="auto" w:sz="4" w:space="0"/>
              <w:left w:val="single" w:color="auto" w:sz="4" w:space="0"/>
              <w:bottom w:val="single" w:color="auto" w:sz="4" w:space="0"/>
              <w:right w:val="single" w:color="auto" w:sz="4" w:space="0"/>
            </w:tcBorders>
            <w:vAlign w:val="center"/>
          </w:tcPr>
          <w:p w14:paraId="1E84D80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喷头</w:t>
            </w:r>
          </w:p>
        </w:tc>
        <w:tc>
          <w:tcPr>
            <w:tcW w:w="0" w:type="auto"/>
            <w:tcBorders>
              <w:top w:val="single" w:color="auto" w:sz="4" w:space="0"/>
              <w:left w:val="single" w:color="auto" w:sz="4" w:space="0"/>
              <w:bottom w:val="single" w:color="auto" w:sz="4" w:space="0"/>
              <w:right w:val="single" w:color="auto" w:sz="4" w:space="0"/>
            </w:tcBorders>
            <w:vAlign w:val="center"/>
          </w:tcPr>
          <w:p w14:paraId="345AAE3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三鲸</w:t>
            </w:r>
          </w:p>
        </w:tc>
        <w:tc>
          <w:tcPr>
            <w:tcW w:w="0" w:type="auto"/>
            <w:tcBorders>
              <w:top w:val="single" w:color="auto" w:sz="4" w:space="0"/>
              <w:left w:val="single" w:color="auto" w:sz="4" w:space="0"/>
              <w:bottom w:val="single" w:color="auto" w:sz="4" w:space="0"/>
              <w:right w:val="single" w:color="auto" w:sz="4" w:space="0"/>
            </w:tcBorders>
            <w:vAlign w:val="center"/>
          </w:tcPr>
          <w:p w14:paraId="7D23244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胜捷</w:t>
            </w:r>
          </w:p>
        </w:tc>
        <w:tc>
          <w:tcPr>
            <w:tcW w:w="0" w:type="auto"/>
            <w:tcBorders>
              <w:top w:val="single" w:color="auto" w:sz="4" w:space="0"/>
              <w:left w:val="single" w:color="auto" w:sz="4" w:space="0"/>
              <w:bottom w:val="single" w:color="auto" w:sz="4" w:space="0"/>
              <w:right w:val="single" w:color="auto" w:sz="4" w:space="0"/>
            </w:tcBorders>
            <w:vAlign w:val="center"/>
          </w:tcPr>
          <w:p w14:paraId="149D402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天广</w:t>
            </w:r>
          </w:p>
        </w:tc>
        <w:tc>
          <w:tcPr>
            <w:tcW w:w="0" w:type="auto"/>
            <w:tcBorders>
              <w:top w:val="single" w:color="auto" w:sz="4" w:space="0"/>
              <w:left w:val="single" w:color="auto" w:sz="4" w:space="0"/>
              <w:bottom w:val="single" w:color="auto" w:sz="4" w:space="0"/>
              <w:right w:val="single" w:color="auto" w:sz="4" w:space="0"/>
            </w:tcBorders>
            <w:vAlign w:val="center"/>
          </w:tcPr>
          <w:p w14:paraId="1EEE733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5B6A538E">
        <w:tblPrEx>
          <w:tblCellMar>
            <w:top w:w="0" w:type="dxa"/>
            <w:left w:w="108" w:type="dxa"/>
            <w:bottom w:w="0" w:type="dxa"/>
            <w:right w:w="108" w:type="dxa"/>
          </w:tblCellMar>
        </w:tblPrEx>
        <w:trPr>
          <w:trHeight w:val="70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6B95DF5">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4322AE8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0" w:type="auto"/>
            <w:tcBorders>
              <w:top w:val="single" w:color="auto" w:sz="4" w:space="0"/>
              <w:left w:val="single" w:color="auto" w:sz="4" w:space="0"/>
              <w:bottom w:val="single" w:color="auto" w:sz="4" w:space="0"/>
              <w:right w:val="single" w:color="auto" w:sz="4" w:space="0"/>
            </w:tcBorders>
            <w:vAlign w:val="center"/>
          </w:tcPr>
          <w:p w14:paraId="60072E3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漏电火灾报警系统</w:t>
            </w:r>
          </w:p>
        </w:tc>
        <w:tc>
          <w:tcPr>
            <w:tcW w:w="0" w:type="auto"/>
            <w:tcBorders>
              <w:top w:val="single" w:color="auto" w:sz="4" w:space="0"/>
              <w:left w:val="single" w:color="auto" w:sz="4" w:space="0"/>
              <w:bottom w:val="single" w:color="auto" w:sz="4" w:space="0"/>
              <w:right w:val="single" w:color="auto" w:sz="4" w:space="0"/>
            </w:tcBorders>
            <w:vAlign w:val="center"/>
          </w:tcPr>
          <w:p w14:paraId="2016922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泰和安</w:t>
            </w:r>
          </w:p>
        </w:tc>
        <w:tc>
          <w:tcPr>
            <w:tcW w:w="0" w:type="auto"/>
            <w:tcBorders>
              <w:top w:val="single" w:color="auto" w:sz="4" w:space="0"/>
              <w:left w:val="single" w:color="auto" w:sz="4" w:space="0"/>
              <w:bottom w:val="single" w:color="auto" w:sz="4" w:space="0"/>
              <w:right w:val="single" w:color="auto" w:sz="4" w:space="0"/>
            </w:tcBorders>
            <w:vAlign w:val="center"/>
          </w:tcPr>
          <w:p w14:paraId="391251B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海湾</w:t>
            </w:r>
          </w:p>
        </w:tc>
        <w:tc>
          <w:tcPr>
            <w:tcW w:w="0" w:type="auto"/>
            <w:tcBorders>
              <w:top w:val="single" w:color="auto" w:sz="4" w:space="0"/>
              <w:left w:val="single" w:color="auto" w:sz="4" w:space="0"/>
              <w:bottom w:val="single" w:color="auto" w:sz="4" w:space="0"/>
              <w:right w:val="single" w:color="auto" w:sz="4" w:space="0"/>
            </w:tcBorders>
            <w:vAlign w:val="center"/>
          </w:tcPr>
          <w:p w14:paraId="5AA1F54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赋安</w:t>
            </w:r>
          </w:p>
        </w:tc>
        <w:tc>
          <w:tcPr>
            <w:tcW w:w="0" w:type="auto"/>
            <w:tcBorders>
              <w:top w:val="single" w:color="auto" w:sz="4" w:space="0"/>
              <w:left w:val="single" w:color="auto" w:sz="4" w:space="0"/>
              <w:bottom w:val="single" w:color="auto" w:sz="4" w:space="0"/>
              <w:right w:val="single" w:color="auto" w:sz="4" w:space="0"/>
            </w:tcBorders>
            <w:vAlign w:val="center"/>
          </w:tcPr>
          <w:p w14:paraId="26D175D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4B69260D">
        <w:tblPrEx>
          <w:tblCellMar>
            <w:top w:w="0" w:type="dxa"/>
            <w:left w:w="108" w:type="dxa"/>
            <w:bottom w:w="0" w:type="dxa"/>
            <w:right w:w="108" w:type="dxa"/>
          </w:tblCellMar>
        </w:tblPrEx>
        <w:trPr>
          <w:trHeight w:val="80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5895B1">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1BB8559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0" w:type="auto"/>
            <w:tcBorders>
              <w:top w:val="single" w:color="auto" w:sz="4" w:space="0"/>
              <w:left w:val="single" w:color="auto" w:sz="4" w:space="0"/>
              <w:bottom w:val="single" w:color="auto" w:sz="4" w:space="0"/>
              <w:right w:val="single" w:color="auto" w:sz="4" w:space="0"/>
            </w:tcBorders>
            <w:vAlign w:val="center"/>
          </w:tcPr>
          <w:p w14:paraId="2AE5259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消防设备电源监控系统</w:t>
            </w:r>
          </w:p>
        </w:tc>
        <w:tc>
          <w:tcPr>
            <w:tcW w:w="0" w:type="auto"/>
            <w:tcBorders>
              <w:top w:val="single" w:color="auto" w:sz="4" w:space="0"/>
              <w:left w:val="single" w:color="auto" w:sz="4" w:space="0"/>
              <w:bottom w:val="single" w:color="auto" w:sz="4" w:space="0"/>
              <w:right w:val="single" w:color="auto" w:sz="4" w:space="0"/>
            </w:tcBorders>
            <w:vAlign w:val="center"/>
          </w:tcPr>
          <w:p w14:paraId="1EADD02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泰和安</w:t>
            </w:r>
          </w:p>
        </w:tc>
        <w:tc>
          <w:tcPr>
            <w:tcW w:w="0" w:type="auto"/>
            <w:tcBorders>
              <w:top w:val="single" w:color="auto" w:sz="4" w:space="0"/>
              <w:left w:val="single" w:color="auto" w:sz="4" w:space="0"/>
              <w:bottom w:val="single" w:color="auto" w:sz="4" w:space="0"/>
              <w:right w:val="single" w:color="auto" w:sz="4" w:space="0"/>
            </w:tcBorders>
            <w:vAlign w:val="center"/>
          </w:tcPr>
          <w:p w14:paraId="33747BB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海湾</w:t>
            </w:r>
          </w:p>
        </w:tc>
        <w:tc>
          <w:tcPr>
            <w:tcW w:w="0" w:type="auto"/>
            <w:tcBorders>
              <w:top w:val="single" w:color="auto" w:sz="4" w:space="0"/>
              <w:left w:val="single" w:color="auto" w:sz="4" w:space="0"/>
              <w:bottom w:val="single" w:color="auto" w:sz="4" w:space="0"/>
              <w:right w:val="single" w:color="auto" w:sz="4" w:space="0"/>
            </w:tcBorders>
            <w:vAlign w:val="center"/>
          </w:tcPr>
          <w:p w14:paraId="1FD9701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赋安</w:t>
            </w:r>
          </w:p>
        </w:tc>
        <w:tc>
          <w:tcPr>
            <w:tcW w:w="0" w:type="auto"/>
            <w:tcBorders>
              <w:top w:val="single" w:color="auto" w:sz="4" w:space="0"/>
              <w:left w:val="single" w:color="auto" w:sz="4" w:space="0"/>
              <w:bottom w:val="single" w:color="auto" w:sz="4" w:space="0"/>
              <w:right w:val="single" w:color="auto" w:sz="4" w:space="0"/>
            </w:tcBorders>
            <w:vAlign w:val="center"/>
          </w:tcPr>
          <w:p w14:paraId="7915184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218A9516">
        <w:tblPrEx>
          <w:tblCellMar>
            <w:top w:w="0" w:type="dxa"/>
            <w:left w:w="108" w:type="dxa"/>
            <w:bottom w:w="0" w:type="dxa"/>
            <w:right w:w="108" w:type="dxa"/>
          </w:tblCellMar>
        </w:tblPrEx>
        <w:trPr>
          <w:trHeight w:val="58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CACCE46">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5FD797F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0" w:type="auto"/>
            <w:tcBorders>
              <w:top w:val="single" w:color="auto" w:sz="4" w:space="0"/>
              <w:left w:val="single" w:color="auto" w:sz="4" w:space="0"/>
              <w:bottom w:val="single" w:color="auto" w:sz="4" w:space="0"/>
              <w:right w:val="single" w:color="auto" w:sz="4" w:space="0"/>
            </w:tcBorders>
            <w:vAlign w:val="center"/>
          </w:tcPr>
          <w:p w14:paraId="530EF83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消火栓</w:t>
            </w:r>
          </w:p>
        </w:tc>
        <w:tc>
          <w:tcPr>
            <w:tcW w:w="0" w:type="auto"/>
            <w:tcBorders>
              <w:top w:val="single" w:color="auto" w:sz="4" w:space="0"/>
              <w:left w:val="single" w:color="auto" w:sz="4" w:space="0"/>
              <w:bottom w:val="single" w:color="auto" w:sz="4" w:space="0"/>
              <w:right w:val="single" w:color="auto" w:sz="4" w:space="0"/>
            </w:tcBorders>
            <w:vAlign w:val="center"/>
          </w:tcPr>
          <w:p w14:paraId="6B7590E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胜捷</w:t>
            </w:r>
          </w:p>
        </w:tc>
        <w:tc>
          <w:tcPr>
            <w:tcW w:w="0" w:type="auto"/>
            <w:tcBorders>
              <w:top w:val="single" w:color="auto" w:sz="4" w:space="0"/>
              <w:left w:val="single" w:color="auto" w:sz="4" w:space="0"/>
              <w:bottom w:val="single" w:color="auto" w:sz="4" w:space="0"/>
              <w:right w:val="single" w:color="auto" w:sz="4" w:space="0"/>
            </w:tcBorders>
            <w:vAlign w:val="center"/>
          </w:tcPr>
          <w:p w14:paraId="24295BC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白沙</w:t>
            </w:r>
          </w:p>
        </w:tc>
        <w:tc>
          <w:tcPr>
            <w:tcW w:w="0" w:type="auto"/>
            <w:tcBorders>
              <w:top w:val="single" w:color="auto" w:sz="4" w:space="0"/>
              <w:left w:val="single" w:color="auto" w:sz="4" w:space="0"/>
              <w:bottom w:val="single" w:color="auto" w:sz="4" w:space="0"/>
              <w:right w:val="single" w:color="auto" w:sz="4" w:space="0"/>
            </w:tcBorders>
            <w:vAlign w:val="center"/>
          </w:tcPr>
          <w:p w14:paraId="7634D37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天广</w:t>
            </w:r>
          </w:p>
        </w:tc>
        <w:tc>
          <w:tcPr>
            <w:tcW w:w="0" w:type="auto"/>
            <w:tcBorders>
              <w:top w:val="single" w:color="auto" w:sz="4" w:space="0"/>
              <w:left w:val="single" w:color="auto" w:sz="4" w:space="0"/>
              <w:bottom w:val="single" w:color="auto" w:sz="4" w:space="0"/>
              <w:right w:val="single" w:color="auto" w:sz="4" w:space="0"/>
            </w:tcBorders>
            <w:vAlign w:val="center"/>
          </w:tcPr>
          <w:p w14:paraId="3B827F5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165DD042">
        <w:tblPrEx>
          <w:tblCellMar>
            <w:top w:w="0" w:type="dxa"/>
            <w:left w:w="108" w:type="dxa"/>
            <w:bottom w:w="0" w:type="dxa"/>
            <w:right w:w="108" w:type="dxa"/>
          </w:tblCellMar>
        </w:tblPrEx>
        <w:trPr>
          <w:trHeight w:val="39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A8D09D6">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7A04CEB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0" w:type="auto"/>
            <w:tcBorders>
              <w:top w:val="single" w:color="auto" w:sz="4" w:space="0"/>
              <w:left w:val="single" w:color="auto" w:sz="4" w:space="0"/>
              <w:bottom w:val="single" w:color="auto" w:sz="4" w:space="0"/>
              <w:right w:val="single" w:color="auto" w:sz="4" w:space="0"/>
            </w:tcBorders>
            <w:vAlign w:val="center"/>
          </w:tcPr>
          <w:p w14:paraId="0F883C1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应急照明控制器</w:t>
            </w:r>
          </w:p>
        </w:tc>
        <w:tc>
          <w:tcPr>
            <w:tcW w:w="0" w:type="auto"/>
            <w:tcBorders>
              <w:top w:val="single" w:color="auto" w:sz="4" w:space="0"/>
              <w:left w:val="single" w:color="auto" w:sz="4" w:space="0"/>
              <w:bottom w:val="single" w:color="auto" w:sz="4" w:space="0"/>
              <w:right w:val="single" w:color="auto" w:sz="4" w:space="0"/>
            </w:tcBorders>
            <w:vAlign w:val="center"/>
          </w:tcPr>
          <w:p w14:paraId="71C9637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西顿照明</w:t>
            </w:r>
          </w:p>
        </w:tc>
        <w:tc>
          <w:tcPr>
            <w:tcW w:w="0" w:type="auto"/>
            <w:tcBorders>
              <w:top w:val="single" w:color="auto" w:sz="4" w:space="0"/>
              <w:left w:val="single" w:color="auto" w:sz="4" w:space="0"/>
              <w:bottom w:val="single" w:color="auto" w:sz="4" w:space="0"/>
              <w:right w:val="single" w:color="auto" w:sz="4" w:space="0"/>
            </w:tcBorders>
            <w:vAlign w:val="center"/>
          </w:tcPr>
          <w:p w14:paraId="48A650D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西蒙电气（中国）</w:t>
            </w:r>
          </w:p>
        </w:tc>
        <w:tc>
          <w:tcPr>
            <w:tcW w:w="0" w:type="auto"/>
            <w:tcBorders>
              <w:top w:val="single" w:color="auto" w:sz="4" w:space="0"/>
              <w:left w:val="single" w:color="auto" w:sz="4" w:space="0"/>
              <w:bottom w:val="single" w:color="auto" w:sz="4" w:space="0"/>
              <w:right w:val="single" w:color="auto" w:sz="4" w:space="0"/>
            </w:tcBorders>
            <w:vAlign w:val="center"/>
          </w:tcPr>
          <w:p w14:paraId="0973FBB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佛山国星光电</w:t>
            </w:r>
          </w:p>
        </w:tc>
        <w:tc>
          <w:tcPr>
            <w:tcW w:w="0" w:type="auto"/>
            <w:tcBorders>
              <w:top w:val="single" w:color="auto" w:sz="4" w:space="0"/>
              <w:left w:val="single" w:color="auto" w:sz="4" w:space="0"/>
              <w:bottom w:val="single" w:color="auto" w:sz="4" w:space="0"/>
              <w:right w:val="single" w:color="auto" w:sz="4" w:space="0"/>
            </w:tcBorders>
            <w:vAlign w:val="center"/>
          </w:tcPr>
          <w:p w14:paraId="70311A6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31E1C0AA">
        <w:tblPrEx>
          <w:tblCellMar>
            <w:top w:w="0" w:type="dxa"/>
            <w:left w:w="108" w:type="dxa"/>
            <w:bottom w:w="0" w:type="dxa"/>
            <w:right w:w="108" w:type="dxa"/>
          </w:tblCellMar>
        </w:tblPrEx>
        <w:trPr>
          <w:trHeight w:val="46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199AB8">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116DC1C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0" w:type="auto"/>
            <w:tcBorders>
              <w:top w:val="single" w:color="auto" w:sz="4" w:space="0"/>
              <w:left w:val="single" w:color="auto" w:sz="4" w:space="0"/>
              <w:bottom w:val="single" w:color="auto" w:sz="4" w:space="0"/>
              <w:right w:val="single" w:color="auto" w:sz="4" w:space="0"/>
            </w:tcBorders>
            <w:vAlign w:val="center"/>
          </w:tcPr>
          <w:p w14:paraId="6E8A3C7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余压监控系统</w:t>
            </w:r>
          </w:p>
        </w:tc>
        <w:tc>
          <w:tcPr>
            <w:tcW w:w="0" w:type="auto"/>
            <w:tcBorders>
              <w:top w:val="single" w:color="auto" w:sz="4" w:space="0"/>
              <w:left w:val="single" w:color="auto" w:sz="4" w:space="0"/>
              <w:bottom w:val="single" w:color="auto" w:sz="4" w:space="0"/>
              <w:right w:val="single" w:color="auto" w:sz="4" w:space="0"/>
            </w:tcBorders>
            <w:vAlign w:val="center"/>
          </w:tcPr>
          <w:p w14:paraId="2F4FAF0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泰和安</w:t>
            </w:r>
          </w:p>
        </w:tc>
        <w:tc>
          <w:tcPr>
            <w:tcW w:w="0" w:type="auto"/>
            <w:tcBorders>
              <w:top w:val="single" w:color="auto" w:sz="4" w:space="0"/>
              <w:left w:val="single" w:color="auto" w:sz="4" w:space="0"/>
              <w:bottom w:val="single" w:color="auto" w:sz="4" w:space="0"/>
              <w:right w:val="single" w:color="auto" w:sz="4" w:space="0"/>
            </w:tcBorders>
            <w:vAlign w:val="center"/>
          </w:tcPr>
          <w:p w14:paraId="6BAF43C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海湾</w:t>
            </w:r>
          </w:p>
        </w:tc>
        <w:tc>
          <w:tcPr>
            <w:tcW w:w="0" w:type="auto"/>
            <w:tcBorders>
              <w:top w:val="single" w:color="auto" w:sz="4" w:space="0"/>
              <w:left w:val="single" w:color="auto" w:sz="4" w:space="0"/>
              <w:bottom w:val="single" w:color="auto" w:sz="4" w:space="0"/>
              <w:right w:val="single" w:color="auto" w:sz="4" w:space="0"/>
            </w:tcBorders>
            <w:vAlign w:val="center"/>
          </w:tcPr>
          <w:p w14:paraId="7B18246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赋安</w:t>
            </w:r>
          </w:p>
        </w:tc>
        <w:tc>
          <w:tcPr>
            <w:tcW w:w="0" w:type="auto"/>
            <w:tcBorders>
              <w:top w:val="single" w:color="auto" w:sz="4" w:space="0"/>
              <w:left w:val="single" w:color="auto" w:sz="4" w:space="0"/>
              <w:bottom w:val="single" w:color="auto" w:sz="4" w:space="0"/>
              <w:right w:val="single" w:color="auto" w:sz="4" w:space="0"/>
            </w:tcBorders>
            <w:vAlign w:val="center"/>
          </w:tcPr>
          <w:p w14:paraId="76276AF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272380DF">
        <w:tblPrEx>
          <w:tblCellMar>
            <w:top w:w="0" w:type="dxa"/>
            <w:left w:w="108" w:type="dxa"/>
            <w:bottom w:w="0" w:type="dxa"/>
            <w:right w:w="108" w:type="dxa"/>
          </w:tblCellMar>
        </w:tblPrEx>
        <w:trPr>
          <w:trHeight w:val="60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1A11EC0">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607D52B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0" w:type="auto"/>
            <w:tcBorders>
              <w:top w:val="single" w:color="auto" w:sz="4" w:space="0"/>
              <w:left w:val="single" w:color="auto" w:sz="4" w:space="0"/>
              <w:bottom w:val="single" w:color="auto" w:sz="4" w:space="0"/>
              <w:right w:val="single" w:color="auto" w:sz="4" w:space="0"/>
            </w:tcBorders>
            <w:vAlign w:val="center"/>
          </w:tcPr>
          <w:p w14:paraId="0C6ECE3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防火卷帘</w:t>
            </w:r>
          </w:p>
        </w:tc>
        <w:tc>
          <w:tcPr>
            <w:tcW w:w="0" w:type="auto"/>
            <w:tcBorders>
              <w:top w:val="single" w:color="auto" w:sz="4" w:space="0"/>
              <w:left w:val="single" w:color="auto" w:sz="4" w:space="0"/>
              <w:bottom w:val="single" w:color="auto" w:sz="4" w:space="0"/>
              <w:right w:val="single" w:color="auto" w:sz="4" w:space="0"/>
            </w:tcBorders>
            <w:vAlign w:val="center"/>
          </w:tcPr>
          <w:p w14:paraId="4CB9569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胜捷</w:t>
            </w:r>
          </w:p>
        </w:tc>
        <w:tc>
          <w:tcPr>
            <w:tcW w:w="0" w:type="auto"/>
            <w:tcBorders>
              <w:top w:val="single" w:color="auto" w:sz="4" w:space="0"/>
              <w:left w:val="single" w:color="auto" w:sz="4" w:space="0"/>
              <w:bottom w:val="single" w:color="auto" w:sz="4" w:space="0"/>
              <w:right w:val="single" w:color="auto" w:sz="4" w:space="0"/>
            </w:tcBorders>
            <w:vAlign w:val="center"/>
          </w:tcPr>
          <w:p w14:paraId="6B76A5D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恒安</w:t>
            </w:r>
          </w:p>
        </w:tc>
        <w:tc>
          <w:tcPr>
            <w:tcW w:w="0" w:type="auto"/>
            <w:tcBorders>
              <w:top w:val="single" w:color="auto" w:sz="4" w:space="0"/>
              <w:left w:val="single" w:color="auto" w:sz="4" w:space="0"/>
              <w:bottom w:val="single" w:color="auto" w:sz="4" w:space="0"/>
              <w:right w:val="single" w:color="auto" w:sz="4" w:space="0"/>
            </w:tcBorders>
            <w:vAlign w:val="center"/>
          </w:tcPr>
          <w:p w14:paraId="2D70458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天广</w:t>
            </w:r>
          </w:p>
        </w:tc>
        <w:tc>
          <w:tcPr>
            <w:tcW w:w="0" w:type="auto"/>
            <w:tcBorders>
              <w:top w:val="single" w:color="auto" w:sz="4" w:space="0"/>
              <w:left w:val="single" w:color="auto" w:sz="4" w:space="0"/>
              <w:bottom w:val="single" w:color="auto" w:sz="4" w:space="0"/>
              <w:right w:val="single" w:color="auto" w:sz="4" w:space="0"/>
            </w:tcBorders>
            <w:vAlign w:val="center"/>
          </w:tcPr>
          <w:p w14:paraId="29DD865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186AD10C">
        <w:tblPrEx>
          <w:tblCellMar>
            <w:top w:w="0" w:type="dxa"/>
            <w:left w:w="108" w:type="dxa"/>
            <w:bottom w:w="0" w:type="dxa"/>
            <w:right w:w="108" w:type="dxa"/>
          </w:tblCellMar>
        </w:tblPrEx>
        <w:trPr>
          <w:trHeight w:val="2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512898B">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6D43F4C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0" w:type="auto"/>
            <w:tcBorders>
              <w:top w:val="single" w:color="auto" w:sz="4" w:space="0"/>
              <w:left w:val="single" w:color="auto" w:sz="4" w:space="0"/>
              <w:bottom w:val="single" w:color="auto" w:sz="4" w:space="0"/>
              <w:right w:val="single" w:color="auto" w:sz="4" w:space="0"/>
            </w:tcBorders>
            <w:vAlign w:val="center"/>
          </w:tcPr>
          <w:p w14:paraId="0634D66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消防水阀门</w:t>
            </w:r>
          </w:p>
        </w:tc>
        <w:tc>
          <w:tcPr>
            <w:tcW w:w="0" w:type="auto"/>
            <w:tcBorders>
              <w:top w:val="single" w:color="auto" w:sz="4" w:space="0"/>
              <w:left w:val="single" w:color="auto" w:sz="4" w:space="0"/>
              <w:bottom w:val="single" w:color="auto" w:sz="4" w:space="0"/>
              <w:right w:val="single" w:color="auto" w:sz="4" w:space="0"/>
            </w:tcBorders>
            <w:vAlign w:val="center"/>
          </w:tcPr>
          <w:p w14:paraId="15AB2C3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申高</w:t>
            </w:r>
          </w:p>
        </w:tc>
        <w:tc>
          <w:tcPr>
            <w:tcW w:w="0" w:type="auto"/>
            <w:tcBorders>
              <w:top w:val="single" w:color="auto" w:sz="4" w:space="0"/>
              <w:left w:val="single" w:color="auto" w:sz="4" w:space="0"/>
              <w:bottom w:val="single" w:color="auto" w:sz="4" w:space="0"/>
              <w:right w:val="single" w:color="auto" w:sz="4" w:space="0"/>
            </w:tcBorders>
            <w:vAlign w:val="center"/>
          </w:tcPr>
          <w:p w14:paraId="77BE366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良工</w:t>
            </w:r>
          </w:p>
        </w:tc>
        <w:tc>
          <w:tcPr>
            <w:tcW w:w="0" w:type="auto"/>
            <w:tcBorders>
              <w:top w:val="single" w:color="auto" w:sz="4" w:space="0"/>
              <w:left w:val="single" w:color="auto" w:sz="4" w:space="0"/>
              <w:bottom w:val="single" w:color="auto" w:sz="4" w:space="0"/>
              <w:right w:val="single" w:color="auto" w:sz="4" w:space="0"/>
            </w:tcBorders>
            <w:vAlign w:val="center"/>
          </w:tcPr>
          <w:p w14:paraId="3D8BF71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班尼戈</w:t>
            </w:r>
          </w:p>
        </w:tc>
        <w:tc>
          <w:tcPr>
            <w:tcW w:w="0" w:type="auto"/>
            <w:tcBorders>
              <w:top w:val="single" w:color="auto" w:sz="4" w:space="0"/>
              <w:left w:val="single" w:color="auto" w:sz="4" w:space="0"/>
              <w:bottom w:val="single" w:color="auto" w:sz="4" w:space="0"/>
              <w:right w:val="single" w:color="auto" w:sz="4" w:space="0"/>
            </w:tcBorders>
            <w:vAlign w:val="center"/>
          </w:tcPr>
          <w:p w14:paraId="0432BE7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6E81875E">
        <w:tblPrEx>
          <w:tblCellMar>
            <w:top w:w="0" w:type="dxa"/>
            <w:left w:w="108" w:type="dxa"/>
            <w:bottom w:w="0" w:type="dxa"/>
            <w:right w:w="108" w:type="dxa"/>
          </w:tblCellMar>
        </w:tblPrEx>
        <w:trPr>
          <w:trHeight w:val="39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7037CF7">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5AAFA06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0" w:type="auto"/>
            <w:tcBorders>
              <w:top w:val="single" w:color="auto" w:sz="4" w:space="0"/>
              <w:left w:val="single" w:color="auto" w:sz="4" w:space="0"/>
              <w:bottom w:val="single" w:color="auto" w:sz="4" w:space="0"/>
              <w:right w:val="single" w:color="auto" w:sz="4" w:space="0"/>
            </w:tcBorders>
            <w:vAlign w:val="center"/>
          </w:tcPr>
          <w:p w14:paraId="2896598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烟感</w:t>
            </w:r>
          </w:p>
        </w:tc>
        <w:tc>
          <w:tcPr>
            <w:tcW w:w="0" w:type="auto"/>
            <w:tcBorders>
              <w:top w:val="single" w:color="auto" w:sz="4" w:space="0"/>
              <w:left w:val="single" w:color="auto" w:sz="4" w:space="0"/>
              <w:bottom w:val="single" w:color="auto" w:sz="4" w:space="0"/>
              <w:right w:val="single" w:color="auto" w:sz="4" w:space="0"/>
            </w:tcBorders>
            <w:vAlign w:val="center"/>
          </w:tcPr>
          <w:p w14:paraId="4F80D4B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海湾</w:t>
            </w:r>
          </w:p>
        </w:tc>
        <w:tc>
          <w:tcPr>
            <w:tcW w:w="0" w:type="auto"/>
            <w:tcBorders>
              <w:top w:val="single" w:color="auto" w:sz="4" w:space="0"/>
              <w:left w:val="single" w:color="auto" w:sz="4" w:space="0"/>
              <w:bottom w:val="single" w:color="auto" w:sz="4" w:space="0"/>
              <w:right w:val="single" w:color="auto" w:sz="4" w:space="0"/>
            </w:tcBorders>
            <w:vAlign w:val="center"/>
          </w:tcPr>
          <w:p w14:paraId="781D627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松下</w:t>
            </w:r>
          </w:p>
        </w:tc>
        <w:tc>
          <w:tcPr>
            <w:tcW w:w="0" w:type="auto"/>
            <w:tcBorders>
              <w:top w:val="single" w:color="auto" w:sz="4" w:space="0"/>
              <w:left w:val="single" w:color="auto" w:sz="4" w:space="0"/>
              <w:bottom w:val="single" w:color="auto" w:sz="4" w:space="0"/>
              <w:right w:val="single" w:color="auto" w:sz="4" w:space="0"/>
            </w:tcBorders>
            <w:vAlign w:val="center"/>
          </w:tcPr>
          <w:p w14:paraId="355BD93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豪恩安防</w:t>
            </w:r>
          </w:p>
        </w:tc>
        <w:tc>
          <w:tcPr>
            <w:tcW w:w="0" w:type="auto"/>
            <w:tcBorders>
              <w:top w:val="single" w:color="auto" w:sz="4" w:space="0"/>
              <w:left w:val="single" w:color="auto" w:sz="4" w:space="0"/>
              <w:bottom w:val="single" w:color="auto" w:sz="4" w:space="0"/>
              <w:right w:val="single" w:color="auto" w:sz="4" w:space="0"/>
            </w:tcBorders>
            <w:vAlign w:val="center"/>
          </w:tcPr>
          <w:p w14:paraId="140F78C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中高档</w:t>
            </w:r>
          </w:p>
        </w:tc>
      </w:tr>
      <w:tr w14:paraId="6EA5E7A8">
        <w:tblPrEx>
          <w:tblCellMar>
            <w:top w:w="0" w:type="dxa"/>
            <w:left w:w="108" w:type="dxa"/>
            <w:bottom w:w="0" w:type="dxa"/>
            <w:right w:w="108" w:type="dxa"/>
          </w:tblCellMar>
        </w:tblPrEx>
        <w:trPr>
          <w:trHeight w:val="589"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14:paraId="312D85C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弱电工程</w:t>
            </w:r>
          </w:p>
        </w:tc>
        <w:tc>
          <w:tcPr>
            <w:tcW w:w="0" w:type="auto"/>
            <w:tcBorders>
              <w:top w:val="single" w:color="auto" w:sz="4" w:space="0"/>
              <w:left w:val="single" w:color="auto" w:sz="4" w:space="0"/>
              <w:bottom w:val="single" w:color="auto" w:sz="4" w:space="0"/>
              <w:right w:val="single" w:color="auto" w:sz="4" w:space="0"/>
            </w:tcBorders>
            <w:vAlign w:val="center"/>
          </w:tcPr>
          <w:p w14:paraId="6EEEEAC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14:paraId="1A16B39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综合布线系统</w:t>
            </w:r>
          </w:p>
        </w:tc>
        <w:tc>
          <w:tcPr>
            <w:tcW w:w="0" w:type="auto"/>
            <w:tcBorders>
              <w:top w:val="single" w:color="auto" w:sz="4" w:space="0"/>
              <w:left w:val="single" w:color="auto" w:sz="4" w:space="0"/>
              <w:bottom w:val="single" w:color="auto" w:sz="4" w:space="0"/>
              <w:right w:val="single" w:color="auto" w:sz="4" w:space="0"/>
            </w:tcBorders>
            <w:vAlign w:val="center"/>
          </w:tcPr>
          <w:p w14:paraId="6A53464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浙江一舟</w:t>
            </w:r>
          </w:p>
        </w:tc>
        <w:tc>
          <w:tcPr>
            <w:tcW w:w="0" w:type="auto"/>
            <w:tcBorders>
              <w:top w:val="single" w:color="auto" w:sz="4" w:space="0"/>
              <w:left w:val="single" w:color="auto" w:sz="4" w:space="0"/>
              <w:bottom w:val="single" w:color="auto" w:sz="4" w:space="0"/>
              <w:right w:val="single" w:color="auto" w:sz="4" w:space="0"/>
            </w:tcBorders>
            <w:vAlign w:val="center"/>
          </w:tcPr>
          <w:p w14:paraId="2D93960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德特威勒</w:t>
            </w:r>
          </w:p>
        </w:tc>
        <w:tc>
          <w:tcPr>
            <w:tcW w:w="0" w:type="auto"/>
            <w:tcBorders>
              <w:top w:val="single" w:color="auto" w:sz="4" w:space="0"/>
              <w:left w:val="single" w:color="auto" w:sz="4" w:space="0"/>
              <w:bottom w:val="single" w:color="auto" w:sz="4" w:space="0"/>
              <w:right w:val="single" w:color="auto" w:sz="4" w:space="0"/>
            </w:tcBorders>
            <w:vAlign w:val="center"/>
          </w:tcPr>
          <w:p w14:paraId="7312727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南京普天</w:t>
            </w:r>
          </w:p>
        </w:tc>
        <w:tc>
          <w:tcPr>
            <w:tcW w:w="0" w:type="auto"/>
            <w:tcBorders>
              <w:top w:val="single" w:color="auto" w:sz="4" w:space="0"/>
              <w:left w:val="single" w:color="auto" w:sz="4" w:space="0"/>
              <w:bottom w:val="single" w:color="auto" w:sz="4" w:space="0"/>
              <w:right w:val="single" w:color="auto" w:sz="4" w:space="0"/>
            </w:tcBorders>
            <w:vAlign w:val="center"/>
          </w:tcPr>
          <w:p w14:paraId="7B30380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2EA65E31">
        <w:tblPrEx>
          <w:tblCellMar>
            <w:top w:w="0" w:type="dxa"/>
            <w:left w:w="108" w:type="dxa"/>
            <w:bottom w:w="0" w:type="dxa"/>
            <w:right w:w="108" w:type="dxa"/>
          </w:tblCellMar>
        </w:tblPrEx>
        <w:trPr>
          <w:trHeight w:val="6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BDC65EA">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B429D8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0" w:type="auto"/>
            <w:tcBorders>
              <w:top w:val="single" w:color="auto" w:sz="4" w:space="0"/>
              <w:left w:val="single" w:color="auto" w:sz="4" w:space="0"/>
              <w:bottom w:val="single" w:color="auto" w:sz="4" w:space="0"/>
              <w:right w:val="single" w:color="auto" w:sz="4" w:space="0"/>
            </w:tcBorders>
            <w:vAlign w:val="center"/>
          </w:tcPr>
          <w:p w14:paraId="1532950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视频监控系统</w:t>
            </w:r>
          </w:p>
        </w:tc>
        <w:tc>
          <w:tcPr>
            <w:tcW w:w="0" w:type="auto"/>
            <w:tcBorders>
              <w:top w:val="single" w:color="auto" w:sz="4" w:space="0"/>
              <w:left w:val="single" w:color="auto" w:sz="4" w:space="0"/>
              <w:bottom w:val="single" w:color="auto" w:sz="4" w:space="0"/>
              <w:right w:val="single" w:color="auto" w:sz="4" w:space="0"/>
            </w:tcBorders>
            <w:vAlign w:val="center"/>
          </w:tcPr>
          <w:p w14:paraId="524E2DF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ABB</w:t>
            </w:r>
          </w:p>
        </w:tc>
        <w:tc>
          <w:tcPr>
            <w:tcW w:w="0" w:type="auto"/>
            <w:tcBorders>
              <w:top w:val="single" w:color="auto" w:sz="4" w:space="0"/>
              <w:left w:val="single" w:color="auto" w:sz="4" w:space="0"/>
              <w:bottom w:val="single" w:color="auto" w:sz="4" w:space="0"/>
              <w:right w:val="single" w:color="auto" w:sz="4" w:space="0"/>
            </w:tcBorders>
            <w:vAlign w:val="center"/>
          </w:tcPr>
          <w:p w14:paraId="6304E3D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海康威视</w:t>
            </w:r>
          </w:p>
        </w:tc>
        <w:tc>
          <w:tcPr>
            <w:tcW w:w="0" w:type="auto"/>
            <w:tcBorders>
              <w:top w:val="single" w:color="auto" w:sz="4" w:space="0"/>
              <w:left w:val="single" w:color="auto" w:sz="4" w:space="0"/>
              <w:bottom w:val="single" w:color="auto" w:sz="4" w:space="0"/>
              <w:right w:val="single" w:color="auto" w:sz="4" w:space="0"/>
            </w:tcBorders>
            <w:vAlign w:val="center"/>
          </w:tcPr>
          <w:p w14:paraId="18B1EF5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西门子</w:t>
            </w:r>
          </w:p>
        </w:tc>
        <w:tc>
          <w:tcPr>
            <w:tcW w:w="0" w:type="auto"/>
            <w:tcBorders>
              <w:top w:val="single" w:color="auto" w:sz="4" w:space="0"/>
              <w:left w:val="single" w:color="auto" w:sz="4" w:space="0"/>
              <w:bottom w:val="single" w:color="auto" w:sz="4" w:space="0"/>
              <w:right w:val="single" w:color="auto" w:sz="4" w:space="0"/>
            </w:tcBorders>
            <w:vAlign w:val="center"/>
          </w:tcPr>
          <w:p w14:paraId="3DB2A5E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212D45A0">
        <w:tblPrEx>
          <w:tblCellMar>
            <w:top w:w="0" w:type="dxa"/>
            <w:left w:w="108" w:type="dxa"/>
            <w:bottom w:w="0" w:type="dxa"/>
            <w:right w:w="108" w:type="dxa"/>
          </w:tblCellMar>
        </w:tblPrEx>
        <w:trPr>
          <w:trHeight w:val="479" w:hRule="atLeast"/>
          <w:jc w:val="center"/>
        </w:trPr>
        <w:tc>
          <w:tcPr>
            <w:tcW w:w="0" w:type="auto"/>
            <w:vMerge w:val="restart"/>
            <w:tcBorders>
              <w:top w:val="single" w:color="auto" w:sz="4" w:space="0"/>
              <w:left w:val="single" w:color="auto" w:sz="4" w:space="0"/>
              <w:bottom w:val="single" w:color="000000" w:sz="4" w:space="0"/>
              <w:right w:val="single" w:color="auto" w:sz="4" w:space="0"/>
            </w:tcBorders>
            <w:vAlign w:val="center"/>
          </w:tcPr>
          <w:p w14:paraId="02F8B51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暖通工程</w:t>
            </w:r>
          </w:p>
        </w:tc>
        <w:tc>
          <w:tcPr>
            <w:tcW w:w="0" w:type="auto"/>
            <w:tcBorders>
              <w:top w:val="single" w:color="auto" w:sz="4" w:space="0"/>
              <w:left w:val="nil"/>
              <w:bottom w:val="single" w:color="auto" w:sz="4" w:space="0"/>
              <w:right w:val="single" w:color="auto" w:sz="4" w:space="0"/>
            </w:tcBorders>
            <w:vAlign w:val="center"/>
          </w:tcPr>
          <w:p w14:paraId="60B069D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0" w:type="auto"/>
            <w:tcBorders>
              <w:top w:val="single" w:color="auto" w:sz="4" w:space="0"/>
              <w:left w:val="nil"/>
              <w:bottom w:val="single" w:color="auto" w:sz="4" w:space="0"/>
              <w:right w:val="single" w:color="auto" w:sz="4" w:space="0"/>
            </w:tcBorders>
            <w:vAlign w:val="center"/>
          </w:tcPr>
          <w:p w14:paraId="4A5A7C2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多联机空调</w:t>
            </w:r>
          </w:p>
        </w:tc>
        <w:tc>
          <w:tcPr>
            <w:tcW w:w="0" w:type="auto"/>
            <w:tcBorders>
              <w:top w:val="single" w:color="auto" w:sz="4" w:space="0"/>
              <w:left w:val="nil"/>
              <w:bottom w:val="single" w:color="auto" w:sz="4" w:space="0"/>
              <w:right w:val="single" w:color="auto" w:sz="4" w:space="0"/>
            </w:tcBorders>
            <w:vAlign w:val="center"/>
          </w:tcPr>
          <w:p w14:paraId="3A3BA61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美的</w:t>
            </w:r>
          </w:p>
        </w:tc>
        <w:tc>
          <w:tcPr>
            <w:tcW w:w="0" w:type="auto"/>
            <w:tcBorders>
              <w:top w:val="single" w:color="auto" w:sz="4" w:space="0"/>
              <w:left w:val="nil"/>
              <w:bottom w:val="single" w:color="auto" w:sz="4" w:space="0"/>
              <w:right w:val="single" w:color="auto" w:sz="4" w:space="0"/>
            </w:tcBorders>
            <w:vAlign w:val="center"/>
          </w:tcPr>
          <w:p w14:paraId="1A5079E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格力</w:t>
            </w:r>
          </w:p>
        </w:tc>
        <w:tc>
          <w:tcPr>
            <w:tcW w:w="0" w:type="auto"/>
            <w:tcBorders>
              <w:top w:val="single" w:color="auto" w:sz="4" w:space="0"/>
              <w:left w:val="nil"/>
              <w:bottom w:val="single" w:color="auto" w:sz="4" w:space="0"/>
              <w:right w:val="single" w:color="auto" w:sz="4" w:space="0"/>
            </w:tcBorders>
            <w:vAlign w:val="center"/>
          </w:tcPr>
          <w:p w14:paraId="49FE1BD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大金</w:t>
            </w:r>
          </w:p>
        </w:tc>
        <w:tc>
          <w:tcPr>
            <w:tcW w:w="0" w:type="auto"/>
            <w:tcBorders>
              <w:top w:val="single" w:color="auto" w:sz="4" w:space="0"/>
              <w:left w:val="nil"/>
              <w:bottom w:val="single" w:color="auto" w:sz="4" w:space="0"/>
              <w:right w:val="single" w:color="auto" w:sz="4" w:space="0"/>
            </w:tcBorders>
            <w:vAlign w:val="center"/>
          </w:tcPr>
          <w:p w14:paraId="5A56BD3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301BD627">
        <w:tblPrEx>
          <w:tblCellMar>
            <w:top w:w="0" w:type="dxa"/>
            <w:left w:w="108" w:type="dxa"/>
            <w:bottom w:w="0" w:type="dxa"/>
            <w:right w:w="108" w:type="dxa"/>
          </w:tblCellMar>
        </w:tblPrEx>
        <w:trPr>
          <w:trHeight w:val="588" w:hRule="atLeast"/>
          <w:jc w:val="center"/>
        </w:trPr>
        <w:tc>
          <w:tcPr>
            <w:tcW w:w="0" w:type="auto"/>
            <w:vMerge w:val="continue"/>
            <w:tcBorders>
              <w:top w:val="nil"/>
              <w:left w:val="single" w:color="auto" w:sz="4" w:space="0"/>
              <w:bottom w:val="single" w:color="000000" w:sz="4" w:space="0"/>
              <w:right w:val="single" w:color="auto" w:sz="4" w:space="0"/>
            </w:tcBorders>
            <w:vAlign w:val="center"/>
          </w:tcPr>
          <w:p w14:paraId="1B0DF7DE">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325D6E0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0" w:type="auto"/>
            <w:tcBorders>
              <w:top w:val="nil"/>
              <w:left w:val="nil"/>
              <w:bottom w:val="single" w:color="auto" w:sz="4" w:space="0"/>
              <w:right w:val="single" w:color="auto" w:sz="4" w:space="0"/>
            </w:tcBorders>
            <w:vAlign w:val="center"/>
          </w:tcPr>
          <w:p w14:paraId="0838126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分体机空调</w:t>
            </w:r>
          </w:p>
        </w:tc>
        <w:tc>
          <w:tcPr>
            <w:tcW w:w="0" w:type="auto"/>
            <w:tcBorders>
              <w:top w:val="nil"/>
              <w:left w:val="nil"/>
              <w:bottom w:val="single" w:color="auto" w:sz="4" w:space="0"/>
              <w:right w:val="single" w:color="auto" w:sz="4" w:space="0"/>
            </w:tcBorders>
            <w:vAlign w:val="center"/>
          </w:tcPr>
          <w:p w14:paraId="13ED565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美的</w:t>
            </w:r>
          </w:p>
        </w:tc>
        <w:tc>
          <w:tcPr>
            <w:tcW w:w="0" w:type="auto"/>
            <w:tcBorders>
              <w:top w:val="nil"/>
              <w:left w:val="nil"/>
              <w:bottom w:val="single" w:color="auto" w:sz="4" w:space="0"/>
              <w:right w:val="single" w:color="auto" w:sz="4" w:space="0"/>
            </w:tcBorders>
            <w:vAlign w:val="center"/>
          </w:tcPr>
          <w:p w14:paraId="515CC73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格力</w:t>
            </w:r>
          </w:p>
        </w:tc>
        <w:tc>
          <w:tcPr>
            <w:tcW w:w="0" w:type="auto"/>
            <w:tcBorders>
              <w:top w:val="nil"/>
              <w:left w:val="nil"/>
              <w:bottom w:val="single" w:color="auto" w:sz="4" w:space="0"/>
              <w:right w:val="single" w:color="auto" w:sz="4" w:space="0"/>
            </w:tcBorders>
            <w:vAlign w:val="center"/>
          </w:tcPr>
          <w:p w14:paraId="737A737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海尔</w:t>
            </w:r>
          </w:p>
        </w:tc>
        <w:tc>
          <w:tcPr>
            <w:tcW w:w="0" w:type="auto"/>
            <w:tcBorders>
              <w:top w:val="nil"/>
              <w:left w:val="nil"/>
              <w:bottom w:val="single" w:color="auto" w:sz="4" w:space="0"/>
              <w:right w:val="single" w:color="auto" w:sz="4" w:space="0"/>
            </w:tcBorders>
            <w:vAlign w:val="center"/>
          </w:tcPr>
          <w:p w14:paraId="643DD85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66628516">
        <w:tblPrEx>
          <w:tblCellMar>
            <w:top w:w="0" w:type="dxa"/>
            <w:left w:w="108" w:type="dxa"/>
            <w:bottom w:w="0" w:type="dxa"/>
            <w:right w:w="108" w:type="dxa"/>
          </w:tblCellMar>
        </w:tblPrEx>
        <w:trPr>
          <w:trHeight w:val="398" w:hRule="atLeast"/>
          <w:jc w:val="center"/>
        </w:trPr>
        <w:tc>
          <w:tcPr>
            <w:tcW w:w="0" w:type="auto"/>
            <w:vMerge w:val="continue"/>
            <w:tcBorders>
              <w:top w:val="nil"/>
              <w:left w:val="single" w:color="auto" w:sz="4" w:space="0"/>
              <w:bottom w:val="single" w:color="000000" w:sz="4" w:space="0"/>
              <w:right w:val="single" w:color="auto" w:sz="4" w:space="0"/>
            </w:tcBorders>
            <w:vAlign w:val="center"/>
          </w:tcPr>
          <w:p w14:paraId="7E1E91DF">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3090E39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0" w:type="auto"/>
            <w:tcBorders>
              <w:top w:val="nil"/>
              <w:left w:val="nil"/>
              <w:bottom w:val="single" w:color="auto" w:sz="4" w:space="0"/>
              <w:right w:val="single" w:color="auto" w:sz="4" w:space="0"/>
            </w:tcBorders>
            <w:vAlign w:val="center"/>
          </w:tcPr>
          <w:p w14:paraId="21C7973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风机</w:t>
            </w:r>
          </w:p>
        </w:tc>
        <w:tc>
          <w:tcPr>
            <w:tcW w:w="0" w:type="auto"/>
            <w:tcBorders>
              <w:top w:val="nil"/>
              <w:left w:val="nil"/>
              <w:bottom w:val="single" w:color="auto" w:sz="4" w:space="0"/>
              <w:right w:val="single" w:color="auto" w:sz="4" w:space="0"/>
            </w:tcBorders>
            <w:vAlign w:val="center"/>
          </w:tcPr>
          <w:p w14:paraId="682E5EB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广州加禾</w:t>
            </w:r>
          </w:p>
        </w:tc>
        <w:tc>
          <w:tcPr>
            <w:tcW w:w="0" w:type="auto"/>
            <w:tcBorders>
              <w:top w:val="nil"/>
              <w:left w:val="nil"/>
              <w:bottom w:val="single" w:color="auto" w:sz="4" w:space="0"/>
              <w:right w:val="single" w:color="auto" w:sz="4" w:space="0"/>
            </w:tcBorders>
            <w:vAlign w:val="center"/>
          </w:tcPr>
          <w:p w14:paraId="66C6B3F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佛山永风牌</w:t>
            </w:r>
          </w:p>
        </w:tc>
        <w:tc>
          <w:tcPr>
            <w:tcW w:w="0" w:type="auto"/>
            <w:tcBorders>
              <w:top w:val="nil"/>
              <w:left w:val="nil"/>
              <w:bottom w:val="single" w:color="auto" w:sz="4" w:space="0"/>
              <w:right w:val="single" w:color="auto" w:sz="4" w:space="0"/>
            </w:tcBorders>
            <w:vAlign w:val="center"/>
          </w:tcPr>
          <w:p w14:paraId="2FCEB7B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佛山顺安</w:t>
            </w:r>
          </w:p>
        </w:tc>
        <w:tc>
          <w:tcPr>
            <w:tcW w:w="0" w:type="auto"/>
            <w:tcBorders>
              <w:top w:val="nil"/>
              <w:left w:val="nil"/>
              <w:bottom w:val="single" w:color="auto" w:sz="4" w:space="0"/>
              <w:right w:val="single" w:color="auto" w:sz="4" w:space="0"/>
            </w:tcBorders>
            <w:vAlign w:val="center"/>
          </w:tcPr>
          <w:p w14:paraId="14BD8C3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1393F8BF">
        <w:tblPrEx>
          <w:tblCellMar>
            <w:top w:w="0" w:type="dxa"/>
            <w:left w:w="108" w:type="dxa"/>
            <w:bottom w:w="0" w:type="dxa"/>
            <w:right w:w="108" w:type="dxa"/>
          </w:tblCellMar>
        </w:tblPrEx>
        <w:trPr>
          <w:trHeight w:val="398" w:hRule="atLeast"/>
          <w:jc w:val="center"/>
        </w:trPr>
        <w:tc>
          <w:tcPr>
            <w:tcW w:w="0" w:type="auto"/>
            <w:vMerge w:val="continue"/>
            <w:tcBorders>
              <w:top w:val="nil"/>
              <w:left w:val="single" w:color="auto" w:sz="4" w:space="0"/>
              <w:bottom w:val="single" w:color="000000" w:sz="4" w:space="0"/>
              <w:right w:val="single" w:color="auto" w:sz="4" w:space="0"/>
            </w:tcBorders>
            <w:vAlign w:val="center"/>
          </w:tcPr>
          <w:p w14:paraId="270FFDDB">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065559E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0" w:type="auto"/>
            <w:tcBorders>
              <w:top w:val="nil"/>
              <w:left w:val="nil"/>
              <w:bottom w:val="single" w:color="auto" w:sz="4" w:space="0"/>
              <w:right w:val="single" w:color="auto" w:sz="4" w:space="0"/>
            </w:tcBorders>
            <w:vAlign w:val="center"/>
          </w:tcPr>
          <w:p w14:paraId="05DFBBE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镀锌钢管</w:t>
            </w:r>
          </w:p>
        </w:tc>
        <w:tc>
          <w:tcPr>
            <w:tcW w:w="0" w:type="auto"/>
            <w:tcBorders>
              <w:top w:val="nil"/>
              <w:left w:val="nil"/>
              <w:bottom w:val="single" w:color="auto" w:sz="4" w:space="0"/>
              <w:right w:val="single" w:color="auto" w:sz="4" w:space="0"/>
            </w:tcBorders>
            <w:vAlign w:val="center"/>
          </w:tcPr>
          <w:p w14:paraId="25F444D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珠江</w:t>
            </w:r>
          </w:p>
        </w:tc>
        <w:tc>
          <w:tcPr>
            <w:tcW w:w="0" w:type="auto"/>
            <w:tcBorders>
              <w:top w:val="nil"/>
              <w:left w:val="nil"/>
              <w:bottom w:val="single" w:color="auto" w:sz="4" w:space="0"/>
              <w:right w:val="single" w:color="auto" w:sz="4" w:space="0"/>
            </w:tcBorders>
            <w:vAlign w:val="center"/>
          </w:tcPr>
          <w:p w14:paraId="406B32C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广钢</w:t>
            </w:r>
          </w:p>
        </w:tc>
        <w:tc>
          <w:tcPr>
            <w:tcW w:w="0" w:type="auto"/>
            <w:tcBorders>
              <w:top w:val="nil"/>
              <w:left w:val="nil"/>
              <w:bottom w:val="single" w:color="auto" w:sz="4" w:space="0"/>
              <w:right w:val="single" w:color="auto" w:sz="4" w:space="0"/>
            </w:tcBorders>
            <w:vAlign w:val="center"/>
          </w:tcPr>
          <w:p w14:paraId="26DD7A2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新兴</w:t>
            </w:r>
          </w:p>
        </w:tc>
        <w:tc>
          <w:tcPr>
            <w:tcW w:w="0" w:type="auto"/>
            <w:tcBorders>
              <w:top w:val="nil"/>
              <w:left w:val="nil"/>
              <w:bottom w:val="single" w:color="auto" w:sz="4" w:space="0"/>
              <w:right w:val="single" w:color="auto" w:sz="4" w:space="0"/>
            </w:tcBorders>
            <w:vAlign w:val="center"/>
          </w:tcPr>
          <w:p w14:paraId="7BEF51B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1E4FD6B4">
        <w:tblPrEx>
          <w:tblCellMar>
            <w:top w:w="0" w:type="dxa"/>
            <w:left w:w="108" w:type="dxa"/>
            <w:bottom w:w="0" w:type="dxa"/>
            <w:right w:w="108" w:type="dxa"/>
          </w:tblCellMar>
        </w:tblPrEx>
        <w:trPr>
          <w:trHeight w:val="398" w:hRule="atLeast"/>
          <w:jc w:val="center"/>
        </w:trPr>
        <w:tc>
          <w:tcPr>
            <w:tcW w:w="0" w:type="auto"/>
            <w:vMerge w:val="continue"/>
            <w:tcBorders>
              <w:top w:val="nil"/>
              <w:left w:val="single" w:color="auto" w:sz="4" w:space="0"/>
              <w:bottom w:val="single" w:color="000000" w:sz="4" w:space="0"/>
              <w:right w:val="single" w:color="auto" w:sz="4" w:space="0"/>
            </w:tcBorders>
            <w:vAlign w:val="center"/>
          </w:tcPr>
          <w:p w14:paraId="26294DC5">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49F80CF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0" w:type="auto"/>
            <w:tcBorders>
              <w:top w:val="nil"/>
              <w:left w:val="nil"/>
              <w:bottom w:val="single" w:color="auto" w:sz="4" w:space="0"/>
              <w:right w:val="single" w:color="auto" w:sz="4" w:space="0"/>
            </w:tcBorders>
            <w:vAlign w:val="center"/>
          </w:tcPr>
          <w:p w14:paraId="651D062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排烟阀、排烟口</w:t>
            </w:r>
          </w:p>
        </w:tc>
        <w:tc>
          <w:tcPr>
            <w:tcW w:w="0" w:type="auto"/>
            <w:tcBorders>
              <w:top w:val="nil"/>
              <w:left w:val="nil"/>
              <w:bottom w:val="single" w:color="auto" w:sz="4" w:space="0"/>
              <w:right w:val="single" w:color="auto" w:sz="4" w:space="0"/>
            </w:tcBorders>
            <w:vAlign w:val="center"/>
          </w:tcPr>
          <w:p w14:paraId="5CA799A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泰昌实业</w:t>
            </w:r>
          </w:p>
        </w:tc>
        <w:tc>
          <w:tcPr>
            <w:tcW w:w="0" w:type="auto"/>
            <w:tcBorders>
              <w:top w:val="nil"/>
              <w:left w:val="nil"/>
              <w:bottom w:val="single" w:color="auto" w:sz="4" w:space="0"/>
              <w:right w:val="single" w:color="auto" w:sz="4" w:space="0"/>
            </w:tcBorders>
            <w:vAlign w:val="center"/>
          </w:tcPr>
          <w:p w14:paraId="31B75DD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广州加禾</w:t>
            </w:r>
          </w:p>
        </w:tc>
        <w:tc>
          <w:tcPr>
            <w:tcW w:w="0" w:type="auto"/>
            <w:tcBorders>
              <w:top w:val="nil"/>
              <w:left w:val="nil"/>
              <w:bottom w:val="single" w:color="auto" w:sz="4" w:space="0"/>
              <w:right w:val="single" w:color="auto" w:sz="4" w:space="0"/>
            </w:tcBorders>
            <w:vAlign w:val="center"/>
          </w:tcPr>
          <w:p w14:paraId="4F69D77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佛山顺安</w:t>
            </w:r>
          </w:p>
        </w:tc>
        <w:tc>
          <w:tcPr>
            <w:tcW w:w="0" w:type="auto"/>
            <w:tcBorders>
              <w:top w:val="nil"/>
              <w:left w:val="nil"/>
              <w:bottom w:val="single" w:color="auto" w:sz="4" w:space="0"/>
              <w:right w:val="single" w:color="auto" w:sz="4" w:space="0"/>
            </w:tcBorders>
            <w:vAlign w:val="center"/>
          </w:tcPr>
          <w:p w14:paraId="766BEDB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0D7EE8F4">
        <w:tblPrEx>
          <w:tblCellMar>
            <w:top w:w="0" w:type="dxa"/>
            <w:left w:w="108" w:type="dxa"/>
            <w:bottom w:w="0" w:type="dxa"/>
            <w:right w:w="108" w:type="dxa"/>
          </w:tblCellMar>
        </w:tblPrEx>
        <w:trPr>
          <w:trHeight w:val="398" w:hRule="atLeast"/>
          <w:jc w:val="center"/>
        </w:trPr>
        <w:tc>
          <w:tcPr>
            <w:tcW w:w="0" w:type="auto"/>
            <w:vMerge w:val="continue"/>
            <w:tcBorders>
              <w:top w:val="nil"/>
              <w:left w:val="single" w:color="auto" w:sz="4" w:space="0"/>
              <w:bottom w:val="single" w:color="000000" w:sz="4" w:space="0"/>
              <w:right w:val="single" w:color="auto" w:sz="4" w:space="0"/>
            </w:tcBorders>
            <w:vAlign w:val="center"/>
          </w:tcPr>
          <w:p w14:paraId="2F2C43C0">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36686A2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0" w:type="auto"/>
            <w:tcBorders>
              <w:top w:val="nil"/>
              <w:left w:val="nil"/>
              <w:bottom w:val="single" w:color="auto" w:sz="4" w:space="0"/>
              <w:right w:val="single" w:color="auto" w:sz="4" w:space="0"/>
            </w:tcBorders>
            <w:vAlign w:val="center"/>
          </w:tcPr>
          <w:p w14:paraId="2D12A30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镀锌钢板</w:t>
            </w:r>
          </w:p>
        </w:tc>
        <w:tc>
          <w:tcPr>
            <w:tcW w:w="0" w:type="auto"/>
            <w:tcBorders>
              <w:top w:val="nil"/>
              <w:left w:val="nil"/>
              <w:bottom w:val="single" w:color="auto" w:sz="4" w:space="0"/>
              <w:right w:val="single" w:color="auto" w:sz="4" w:space="0"/>
            </w:tcBorders>
            <w:vAlign w:val="center"/>
          </w:tcPr>
          <w:p w14:paraId="6849E06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武钢</w:t>
            </w:r>
          </w:p>
        </w:tc>
        <w:tc>
          <w:tcPr>
            <w:tcW w:w="0" w:type="auto"/>
            <w:tcBorders>
              <w:top w:val="nil"/>
              <w:left w:val="nil"/>
              <w:bottom w:val="single" w:color="auto" w:sz="4" w:space="0"/>
              <w:right w:val="single" w:color="auto" w:sz="4" w:space="0"/>
            </w:tcBorders>
            <w:vAlign w:val="center"/>
          </w:tcPr>
          <w:p w14:paraId="483AF69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中冶恒通</w:t>
            </w:r>
          </w:p>
        </w:tc>
        <w:tc>
          <w:tcPr>
            <w:tcW w:w="0" w:type="auto"/>
            <w:tcBorders>
              <w:top w:val="nil"/>
              <w:left w:val="nil"/>
              <w:bottom w:val="single" w:color="auto" w:sz="4" w:space="0"/>
              <w:right w:val="single" w:color="auto" w:sz="4" w:space="0"/>
            </w:tcBorders>
            <w:vAlign w:val="center"/>
          </w:tcPr>
          <w:p w14:paraId="27E63EB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鞍钢</w:t>
            </w:r>
          </w:p>
        </w:tc>
        <w:tc>
          <w:tcPr>
            <w:tcW w:w="0" w:type="auto"/>
            <w:tcBorders>
              <w:top w:val="nil"/>
              <w:left w:val="nil"/>
              <w:bottom w:val="single" w:color="auto" w:sz="4" w:space="0"/>
              <w:right w:val="single" w:color="auto" w:sz="4" w:space="0"/>
            </w:tcBorders>
            <w:vAlign w:val="center"/>
          </w:tcPr>
          <w:p w14:paraId="2D62261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085A6EE4">
        <w:tblPrEx>
          <w:tblCellMar>
            <w:top w:w="0" w:type="dxa"/>
            <w:left w:w="108" w:type="dxa"/>
            <w:bottom w:w="0" w:type="dxa"/>
            <w:right w:w="108" w:type="dxa"/>
          </w:tblCellMar>
        </w:tblPrEx>
        <w:trPr>
          <w:trHeight w:val="398" w:hRule="atLeast"/>
          <w:jc w:val="center"/>
        </w:trPr>
        <w:tc>
          <w:tcPr>
            <w:tcW w:w="0" w:type="auto"/>
            <w:vMerge w:val="continue"/>
            <w:tcBorders>
              <w:top w:val="nil"/>
              <w:left w:val="single" w:color="auto" w:sz="4" w:space="0"/>
              <w:bottom w:val="single" w:color="000000" w:sz="4" w:space="0"/>
              <w:right w:val="single" w:color="auto" w:sz="4" w:space="0"/>
            </w:tcBorders>
            <w:vAlign w:val="center"/>
          </w:tcPr>
          <w:p w14:paraId="227974D5">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2D4CA76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0" w:type="auto"/>
            <w:tcBorders>
              <w:top w:val="nil"/>
              <w:left w:val="nil"/>
              <w:bottom w:val="single" w:color="auto" w:sz="4" w:space="0"/>
              <w:right w:val="single" w:color="auto" w:sz="4" w:space="0"/>
            </w:tcBorders>
            <w:vAlign w:val="center"/>
          </w:tcPr>
          <w:p w14:paraId="0F1BFBA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风口风阀</w:t>
            </w:r>
          </w:p>
        </w:tc>
        <w:tc>
          <w:tcPr>
            <w:tcW w:w="0" w:type="auto"/>
            <w:tcBorders>
              <w:top w:val="nil"/>
              <w:left w:val="nil"/>
              <w:bottom w:val="single" w:color="auto" w:sz="4" w:space="0"/>
              <w:right w:val="single" w:color="auto" w:sz="4" w:space="0"/>
            </w:tcBorders>
            <w:vAlign w:val="center"/>
          </w:tcPr>
          <w:p w14:paraId="381B8E8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泰昌实业</w:t>
            </w:r>
          </w:p>
        </w:tc>
        <w:tc>
          <w:tcPr>
            <w:tcW w:w="0" w:type="auto"/>
            <w:tcBorders>
              <w:top w:val="nil"/>
              <w:left w:val="nil"/>
              <w:bottom w:val="single" w:color="auto" w:sz="4" w:space="0"/>
              <w:right w:val="single" w:color="auto" w:sz="4" w:space="0"/>
            </w:tcBorders>
            <w:vAlign w:val="center"/>
          </w:tcPr>
          <w:p w14:paraId="10D68A4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广州加禾</w:t>
            </w:r>
          </w:p>
        </w:tc>
        <w:tc>
          <w:tcPr>
            <w:tcW w:w="0" w:type="auto"/>
            <w:tcBorders>
              <w:top w:val="nil"/>
              <w:left w:val="nil"/>
              <w:bottom w:val="single" w:color="auto" w:sz="4" w:space="0"/>
              <w:right w:val="single" w:color="auto" w:sz="4" w:space="0"/>
            </w:tcBorders>
            <w:vAlign w:val="center"/>
          </w:tcPr>
          <w:p w14:paraId="1F83999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佛山顺安</w:t>
            </w:r>
          </w:p>
        </w:tc>
        <w:tc>
          <w:tcPr>
            <w:tcW w:w="0" w:type="auto"/>
            <w:tcBorders>
              <w:top w:val="nil"/>
              <w:left w:val="nil"/>
              <w:bottom w:val="single" w:color="auto" w:sz="4" w:space="0"/>
              <w:right w:val="single" w:color="auto" w:sz="4" w:space="0"/>
            </w:tcBorders>
            <w:vAlign w:val="center"/>
          </w:tcPr>
          <w:p w14:paraId="30D3FFD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373C9700">
        <w:tblPrEx>
          <w:tblCellMar>
            <w:top w:w="0" w:type="dxa"/>
            <w:left w:w="108" w:type="dxa"/>
            <w:bottom w:w="0" w:type="dxa"/>
            <w:right w:w="108" w:type="dxa"/>
          </w:tblCellMar>
        </w:tblPrEx>
        <w:trPr>
          <w:trHeight w:val="398" w:hRule="atLeast"/>
          <w:jc w:val="center"/>
        </w:trPr>
        <w:tc>
          <w:tcPr>
            <w:tcW w:w="0" w:type="auto"/>
            <w:vMerge w:val="continue"/>
            <w:tcBorders>
              <w:top w:val="nil"/>
              <w:left w:val="single" w:color="auto" w:sz="4" w:space="0"/>
              <w:bottom w:val="single" w:color="000000" w:sz="4" w:space="0"/>
              <w:right w:val="single" w:color="auto" w:sz="4" w:space="0"/>
            </w:tcBorders>
            <w:vAlign w:val="center"/>
          </w:tcPr>
          <w:p w14:paraId="06AEA0AB">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46D1485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0" w:type="auto"/>
            <w:tcBorders>
              <w:top w:val="nil"/>
              <w:left w:val="nil"/>
              <w:bottom w:val="single" w:color="auto" w:sz="4" w:space="0"/>
              <w:right w:val="single" w:color="auto" w:sz="4" w:space="0"/>
            </w:tcBorders>
            <w:vAlign w:val="center"/>
          </w:tcPr>
          <w:p w14:paraId="47DA4BF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保温材料</w:t>
            </w:r>
          </w:p>
        </w:tc>
        <w:tc>
          <w:tcPr>
            <w:tcW w:w="0" w:type="auto"/>
            <w:tcBorders>
              <w:top w:val="nil"/>
              <w:left w:val="nil"/>
              <w:bottom w:val="single" w:color="auto" w:sz="4" w:space="0"/>
              <w:right w:val="single" w:color="auto" w:sz="4" w:space="0"/>
            </w:tcBorders>
            <w:vAlign w:val="center"/>
          </w:tcPr>
          <w:p w14:paraId="43FF7A8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格瑞</w:t>
            </w:r>
          </w:p>
        </w:tc>
        <w:tc>
          <w:tcPr>
            <w:tcW w:w="0" w:type="auto"/>
            <w:tcBorders>
              <w:top w:val="nil"/>
              <w:left w:val="nil"/>
              <w:bottom w:val="single" w:color="auto" w:sz="4" w:space="0"/>
              <w:right w:val="single" w:color="auto" w:sz="4" w:space="0"/>
            </w:tcBorders>
            <w:vAlign w:val="center"/>
          </w:tcPr>
          <w:p w14:paraId="76D149B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阿乐斯</w:t>
            </w:r>
          </w:p>
        </w:tc>
        <w:tc>
          <w:tcPr>
            <w:tcW w:w="0" w:type="auto"/>
            <w:tcBorders>
              <w:top w:val="nil"/>
              <w:left w:val="nil"/>
              <w:bottom w:val="single" w:color="auto" w:sz="4" w:space="0"/>
              <w:right w:val="single" w:color="auto" w:sz="4" w:space="0"/>
            </w:tcBorders>
            <w:vAlign w:val="center"/>
          </w:tcPr>
          <w:p w14:paraId="7CA585B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正丰</w:t>
            </w:r>
          </w:p>
          <w:p w14:paraId="1D7C04A0">
            <w:pPr>
              <w:widowControl/>
              <w:jc w:val="center"/>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514EC80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15445C58">
        <w:tblPrEx>
          <w:tblCellMar>
            <w:top w:w="0" w:type="dxa"/>
            <w:left w:w="108" w:type="dxa"/>
            <w:bottom w:w="0" w:type="dxa"/>
            <w:right w:w="108" w:type="dxa"/>
          </w:tblCellMar>
        </w:tblPrEx>
        <w:trPr>
          <w:trHeight w:val="398" w:hRule="atLeast"/>
          <w:jc w:val="center"/>
        </w:trPr>
        <w:tc>
          <w:tcPr>
            <w:tcW w:w="0" w:type="auto"/>
            <w:vMerge w:val="continue"/>
            <w:tcBorders>
              <w:top w:val="nil"/>
              <w:left w:val="single" w:color="auto" w:sz="4" w:space="0"/>
              <w:bottom w:val="single" w:color="000000" w:sz="4" w:space="0"/>
              <w:right w:val="single" w:color="auto" w:sz="4" w:space="0"/>
            </w:tcBorders>
            <w:vAlign w:val="center"/>
          </w:tcPr>
          <w:p w14:paraId="6253D6DA">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3A83C3A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0" w:type="auto"/>
            <w:tcBorders>
              <w:top w:val="nil"/>
              <w:left w:val="nil"/>
              <w:bottom w:val="single" w:color="auto" w:sz="4" w:space="0"/>
              <w:right w:val="single" w:color="auto" w:sz="4" w:space="0"/>
            </w:tcBorders>
            <w:vAlign w:val="center"/>
          </w:tcPr>
          <w:p w14:paraId="0879DE7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紫铜管</w:t>
            </w:r>
          </w:p>
        </w:tc>
        <w:tc>
          <w:tcPr>
            <w:tcW w:w="0" w:type="auto"/>
            <w:tcBorders>
              <w:top w:val="nil"/>
              <w:left w:val="nil"/>
              <w:bottom w:val="single" w:color="auto" w:sz="4" w:space="0"/>
              <w:right w:val="single" w:color="auto" w:sz="4" w:space="0"/>
            </w:tcBorders>
            <w:vAlign w:val="center"/>
          </w:tcPr>
          <w:p w14:paraId="3FE0022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上海飞轮</w:t>
            </w:r>
          </w:p>
        </w:tc>
        <w:tc>
          <w:tcPr>
            <w:tcW w:w="0" w:type="auto"/>
            <w:tcBorders>
              <w:top w:val="nil"/>
              <w:left w:val="nil"/>
              <w:bottom w:val="single" w:color="auto" w:sz="4" w:space="0"/>
              <w:right w:val="single" w:color="auto" w:sz="4" w:space="0"/>
            </w:tcBorders>
            <w:vAlign w:val="center"/>
          </w:tcPr>
          <w:p w14:paraId="0794CCB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宏泰</w:t>
            </w:r>
          </w:p>
        </w:tc>
        <w:tc>
          <w:tcPr>
            <w:tcW w:w="0" w:type="auto"/>
            <w:tcBorders>
              <w:top w:val="nil"/>
              <w:left w:val="nil"/>
              <w:bottom w:val="single" w:color="auto" w:sz="4" w:space="0"/>
              <w:right w:val="single" w:color="auto" w:sz="4" w:space="0"/>
            </w:tcBorders>
            <w:vAlign w:val="center"/>
          </w:tcPr>
          <w:p w14:paraId="60D4A78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碧灵</w:t>
            </w:r>
          </w:p>
        </w:tc>
        <w:tc>
          <w:tcPr>
            <w:tcW w:w="0" w:type="auto"/>
            <w:tcBorders>
              <w:top w:val="nil"/>
              <w:left w:val="nil"/>
              <w:bottom w:val="single" w:color="auto" w:sz="4" w:space="0"/>
              <w:right w:val="single" w:color="auto" w:sz="4" w:space="0"/>
            </w:tcBorders>
            <w:vAlign w:val="center"/>
          </w:tcPr>
          <w:p w14:paraId="2650A1F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119D7C69">
        <w:tblPrEx>
          <w:tblCellMar>
            <w:top w:w="0" w:type="dxa"/>
            <w:left w:w="108" w:type="dxa"/>
            <w:bottom w:w="0" w:type="dxa"/>
            <w:right w:w="108" w:type="dxa"/>
          </w:tblCellMar>
        </w:tblPrEx>
        <w:trPr>
          <w:trHeight w:val="398" w:hRule="atLeast"/>
          <w:jc w:val="center"/>
        </w:trPr>
        <w:tc>
          <w:tcPr>
            <w:tcW w:w="0" w:type="auto"/>
            <w:vMerge w:val="restart"/>
            <w:tcBorders>
              <w:top w:val="nil"/>
              <w:left w:val="single" w:color="auto" w:sz="4" w:space="0"/>
              <w:bottom w:val="single" w:color="auto" w:sz="4" w:space="0"/>
              <w:right w:val="single" w:color="auto" w:sz="4" w:space="0"/>
            </w:tcBorders>
            <w:vAlign w:val="center"/>
          </w:tcPr>
          <w:p w14:paraId="711CDEA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给排水工程</w:t>
            </w:r>
          </w:p>
        </w:tc>
        <w:tc>
          <w:tcPr>
            <w:tcW w:w="0" w:type="auto"/>
            <w:tcBorders>
              <w:top w:val="nil"/>
              <w:left w:val="nil"/>
              <w:bottom w:val="single" w:color="auto" w:sz="4" w:space="0"/>
              <w:right w:val="single" w:color="auto" w:sz="4" w:space="0"/>
            </w:tcBorders>
            <w:vAlign w:val="center"/>
          </w:tcPr>
          <w:p w14:paraId="75478D1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0" w:type="auto"/>
            <w:tcBorders>
              <w:top w:val="nil"/>
              <w:left w:val="nil"/>
              <w:bottom w:val="single" w:color="auto" w:sz="4" w:space="0"/>
              <w:right w:val="single" w:color="auto" w:sz="4" w:space="0"/>
            </w:tcBorders>
            <w:vAlign w:val="center"/>
          </w:tcPr>
          <w:p w14:paraId="578BC86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钢塑复合管</w:t>
            </w:r>
          </w:p>
        </w:tc>
        <w:tc>
          <w:tcPr>
            <w:tcW w:w="0" w:type="auto"/>
            <w:tcBorders>
              <w:top w:val="nil"/>
              <w:left w:val="nil"/>
              <w:bottom w:val="single" w:color="auto" w:sz="4" w:space="0"/>
              <w:right w:val="single" w:color="auto" w:sz="4" w:space="0"/>
            </w:tcBorders>
            <w:vAlign w:val="center"/>
          </w:tcPr>
          <w:p w14:paraId="2E17E7F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新兴</w:t>
            </w:r>
          </w:p>
        </w:tc>
        <w:tc>
          <w:tcPr>
            <w:tcW w:w="0" w:type="auto"/>
            <w:tcBorders>
              <w:top w:val="nil"/>
              <w:left w:val="nil"/>
              <w:bottom w:val="single" w:color="auto" w:sz="4" w:space="0"/>
              <w:right w:val="single" w:color="auto" w:sz="4" w:space="0"/>
            </w:tcBorders>
            <w:vAlign w:val="center"/>
          </w:tcPr>
          <w:p w14:paraId="4258641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联塑-A</w:t>
            </w:r>
          </w:p>
        </w:tc>
        <w:tc>
          <w:tcPr>
            <w:tcW w:w="0" w:type="auto"/>
            <w:tcBorders>
              <w:top w:val="nil"/>
              <w:left w:val="nil"/>
              <w:bottom w:val="single" w:color="auto" w:sz="4" w:space="0"/>
              <w:right w:val="single" w:color="auto" w:sz="4" w:space="0"/>
            </w:tcBorders>
            <w:vAlign w:val="center"/>
          </w:tcPr>
          <w:p w14:paraId="1B5E908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珠江</w:t>
            </w:r>
          </w:p>
        </w:tc>
        <w:tc>
          <w:tcPr>
            <w:tcW w:w="0" w:type="auto"/>
            <w:tcBorders>
              <w:top w:val="nil"/>
              <w:left w:val="nil"/>
              <w:bottom w:val="single" w:color="auto" w:sz="4" w:space="0"/>
              <w:right w:val="single" w:color="auto" w:sz="4" w:space="0"/>
            </w:tcBorders>
            <w:vAlign w:val="center"/>
          </w:tcPr>
          <w:p w14:paraId="6463E97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0DF36E69">
        <w:tblPrEx>
          <w:tblCellMar>
            <w:top w:w="0" w:type="dxa"/>
            <w:left w:w="108" w:type="dxa"/>
            <w:bottom w:w="0" w:type="dxa"/>
            <w:right w:w="108" w:type="dxa"/>
          </w:tblCellMar>
        </w:tblPrEx>
        <w:trPr>
          <w:trHeight w:val="398" w:hRule="atLeast"/>
          <w:jc w:val="center"/>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459E28A4">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nil"/>
              <w:bottom w:val="single" w:color="auto" w:sz="4" w:space="0"/>
              <w:right w:val="single" w:color="auto" w:sz="4" w:space="0"/>
            </w:tcBorders>
            <w:vAlign w:val="center"/>
          </w:tcPr>
          <w:p w14:paraId="7B73E78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0" w:type="auto"/>
            <w:tcBorders>
              <w:top w:val="single" w:color="auto" w:sz="4" w:space="0"/>
              <w:left w:val="nil"/>
              <w:bottom w:val="single" w:color="auto" w:sz="4" w:space="0"/>
              <w:right w:val="single" w:color="auto" w:sz="4" w:space="0"/>
            </w:tcBorders>
            <w:vAlign w:val="center"/>
          </w:tcPr>
          <w:p w14:paraId="0912C51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PVC排水管</w:t>
            </w:r>
          </w:p>
        </w:tc>
        <w:tc>
          <w:tcPr>
            <w:tcW w:w="0" w:type="auto"/>
            <w:tcBorders>
              <w:top w:val="single" w:color="auto" w:sz="4" w:space="0"/>
              <w:left w:val="nil"/>
              <w:bottom w:val="single" w:color="auto" w:sz="4" w:space="0"/>
              <w:right w:val="single" w:color="auto" w:sz="4" w:space="0"/>
            </w:tcBorders>
            <w:vAlign w:val="center"/>
          </w:tcPr>
          <w:p w14:paraId="33B9BF5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南塑</w:t>
            </w:r>
          </w:p>
        </w:tc>
        <w:tc>
          <w:tcPr>
            <w:tcW w:w="0" w:type="auto"/>
            <w:tcBorders>
              <w:top w:val="single" w:color="auto" w:sz="4" w:space="0"/>
              <w:left w:val="nil"/>
              <w:bottom w:val="single" w:color="auto" w:sz="4" w:space="0"/>
              <w:right w:val="single" w:color="auto" w:sz="4" w:space="0"/>
            </w:tcBorders>
            <w:vAlign w:val="center"/>
          </w:tcPr>
          <w:p w14:paraId="1C88D65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联塑-A</w:t>
            </w:r>
          </w:p>
        </w:tc>
        <w:tc>
          <w:tcPr>
            <w:tcW w:w="0" w:type="auto"/>
            <w:tcBorders>
              <w:top w:val="single" w:color="auto" w:sz="4" w:space="0"/>
              <w:left w:val="nil"/>
              <w:bottom w:val="single" w:color="auto" w:sz="4" w:space="0"/>
              <w:right w:val="single" w:color="auto" w:sz="4" w:space="0"/>
            </w:tcBorders>
            <w:vAlign w:val="center"/>
          </w:tcPr>
          <w:p w14:paraId="214FEE6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顾地</w:t>
            </w:r>
          </w:p>
        </w:tc>
        <w:tc>
          <w:tcPr>
            <w:tcW w:w="0" w:type="auto"/>
            <w:tcBorders>
              <w:top w:val="single" w:color="auto" w:sz="4" w:space="0"/>
              <w:left w:val="nil"/>
              <w:bottom w:val="single" w:color="auto" w:sz="4" w:space="0"/>
              <w:right w:val="single" w:color="auto" w:sz="4" w:space="0"/>
            </w:tcBorders>
            <w:vAlign w:val="center"/>
          </w:tcPr>
          <w:p w14:paraId="389FC14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731EBC28">
        <w:tblPrEx>
          <w:tblCellMar>
            <w:top w:w="0" w:type="dxa"/>
            <w:left w:w="108" w:type="dxa"/>
            <w:bottom w:w="0" w:type="dxa"/>
            <w:right w:w="108" w:type="dxa"/>
          </w:tblCellMar>
        </w:tblPrEx>
        <w:trPr>
          <w:trHeight w:val="398" w:hRule="atLeast"/>
          <w:jc w:val="center"/>
        </w:trPr>
        <w:tc>
          <w:tcPr>
            <w:tcW w:w="0" w:type="auto"/>
            <w:vMerge w:val="continue"/>
            <w:tcBorders>
              <w:top w:val="nil"/>
              <w:left w:val="single" w:color="auto" w:sz="4" w:space="0"/>
              <w:bottom w:val="single" w:color="000000" w:sz="4" w:space="0"/>
              <w:right w:val="single" w:color="auto" w:sz="4" w:space="0"/>
            </w:tcBorders>
            <w:vAlign w:val="center"/>
          </w:tcPr>
          <w:p w14:paraId="3DA8ACA6">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3A42209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0" w:type="auto"/>
            <w:tcBorders>
              <w:top w:val="nil"/>
              <w:left w:val="nil"/>
              <w:bottom w:val="single" w:color="auto" w:sz="4" w:space="0"/>
              <w:right w:val="single" w:color="auto" w:sz="4" w:space="0"/>
            </w:tcBorders>
            <w:vAlign w:val="center"/>
          </w:tcPr>
          <w:p w14:paraId="3C2E2D1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给排水塑料管</w:t>
            </w:r>
          </w:p>
        </w:tc>
        <w:tc>
          <w:tcPr>
            <w:tcW w:w="0" w:type="auto"/>
            <w:tcBorders>
              <w:top w:val="nil"/>
              <w:left w:val="nil"/>
              <w:bottom w:val="single" w:color="auto" w:sz="4" w:space="0"/>
              <w:right w:val="single" w:color="auto" w:sz="4" w:space="0"/>
            </w:tcBorders>
            <w:vAlign w:val="center"/>
          </w:tcPr>
          <w:p w14:paraId="2618358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南塑</w:t>
            </w:r>
          </w:p>
        </w:tc>
        <w:tc>
          <w:tcPr>
            <w:tcW w:w="0" w:type="auto"/>
            <w:tcBorders>
              <w:top w:val="nil"/>
              <w:left w:val="nil"/>
              <w:bottom w:val="single" w:color="auto" w:sz="4" w:space="0"/>
              <w:right w:val="single" w:color="auto" w:sz="4" w:space="0"/>
            </w:tcBorders>
            <w:vAlign w:val="center"/>
          </w:tcPr>
          <w:p w14:paraId="502DFFD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联塑-A</w:t>
            </w:r>
          </w:p>
        </w:tc>
        <w:tc>
          <w:tcPr>
            <w:tcW w:w="0" w:type="auto"/>
            <w:tcBorders>
              <w:top w:val="nil"/>
              <w:left w:val="nil"/>
              <w:bottom w:val="single" w:color="auto" w:sz="4" w:space="0"/>
              <w:right w:val="single" w:color="auto" w:sz="4" w:space="0"/>
            </w:tcBorders>
            <w:vAlign w:val="center"/>
          </w:tcPr>
          <w:p w14:paraId="3461EA6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顾地</w:t>
            </w:r>
          </w:p>
        </w:tc>
        <w:tc>
          <w:tcPr>
            <w:tcW w:w="0" w:type="auto"/>
            <w:tcBorders>
              <w:top w:val="nil"/>
              <w:left w:val="nil"/>
              <w:bottom w:val="single" w:color="auto" w:sz="4" w:space="0"/>
              <w:right w:val="single" w:color="auto" w:sz="4" w:space="0"/>
            </w:tcBorders>
            <w:vAlign w:val="center"/>
          </w:tcPr>
          <w:p w14:paraId="710FBFD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4BBDC431">
        <w:tblPrEx>
          <w:tblCellMar>
            <w:top w:w="0" w:type="dxa"/>
            <w:left w:w="108" w:type="dxa"/>
            <w:bottom w:w="0" w:type="dxa"/>
            <w:right w:w="108" w:type="dxa"/>
          </w:tblCellMar>
        </w:tblPrEx>
        <w:trPr>
          <w:trHeight w:val="398"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5F7942DF">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6EE20E5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0" w:type="auto"/>
            <w:tcBorders>
              <w:top w:val="single" w:color="auto" w:sz="4" w:space="0"/>
              <w:left w:val="single" w:color="auto" w:sz="4" w:space="0"/>
              <w:bottom w:val="single" w:color="auto" w:sz="4" w:space="0"/>
              <w:right w:val="single" w:color="auto" w:sz="4" w:space="0"/>
            </w:tcBorders>
            <w:vAlign w:val="center"/>
          </w:tcPr>
          <w:p w14:paraId="314CB9F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铸铁管</w:t>
            </w:r>
          </w:p>
        </w:tc>
        <w:tc>
          <w:tcPr>
            <w:tcW w:w="0" w:type="auto"/>
            <w:tcBorders>
              <w:top w:val="single" w:color="auto" w:sz="4" w:space="0"/>
              <w:left w:val="nil"/>
              <w:bottom w:val="single" w:color="auto" w:sz="4" w:space="0"/>
              <w:right w:val="single" w:color="auto" w:sz="4" w:space="0"/>
            </w:tcBorders>
            <w:vAlign w:val="center"/>
          </w:tcPr>
          <w:p w14:paraId="7A979FD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新兴</w:t>
            </w:r>
          </w:p>
        </w:tc>
        <w:tc>
          <w:tcPr>
            <w:tcW w:w="0" w:type="auto"/>
            <w:tcBorders>
              <w:top w:val="single" w:color="auto" w:sz="4" w:space="0"/>
              <w:left w:val="nil"/>
              <w:bottom w:val="single" w:color="auto" w:sz="4" w:space="0"/>
              <w:right w:val="single" w:color="auto" w:sz="4" w:space="0"/>
            </w:tcBorders>
            <w:vAlign w:val="center"/>
          </w:tcPr>
          <w:p w14:paraId="57D1FFE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国铭</w:t>
            </w:r>
          </w:p>
        </w:tc>
        <w:tc>
          <w:tcPr>
            <w:tcW w:w="0" w:type="auto"/>
            <w:tcBorders>
              <w:top w:val="single" w:color="auto" w:sz="4" w:space="0"/>
              <w:left w:val="nil"/>
              <w:bottom w:val="single" w:color="auto" w:sz="4" w:space="0"/>
              <w:right w:val="nil"/>
            </w:tcBorders>
            <w:vAlign w:val="center"/>
          </w:tcPr>
          <w:p w14:paraId="5410565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新光</w:t>
            </w:r>
          </w:p>
        </w:tc>
        <w:tc>
          <w:tcPr>
            <w:tcW w:w="0" w:type="auto"/>
            <w:tcBorders>
              <w:top w:val="single" w:color="auto" w:sz="4" w:space="0"/>
              <w:left w:val="single" w:color="auto" w:sz="4" w:space="0"/>
              <w:bottom w:val="single" w:color="auto" w:sz="4" w:space="0"/>
              <w:right w:val="single" w:color="auto" w:sz="4" w:space="0"/>
            </w:tcBorders>
            <w:vAlign w:val="center"/>
          </w:tcPr>
          <w:p w14:paraId="46AC58C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75920F82">
        <w:tblPrEx>
          <w:tblCellMar>
            <w:top w:w="0" w:type="dxa"/>
            <w:left w:w="108" w:type="dxa"/>
            <w:bottom w:w="0" w:type="dxa"/>
            <w:right w:w="108" w:type="dxa"/>
          </w:tblCellMar>
        </w:tblPrEx>
        <w:trPr>
          <w:trHeight w:val="398" w:hRule="atLeast"/>
          <w:jc w:val="center"/>
        </w:trPr>
        <w:tc>
          <w:tcPr>
            <w:tcW w:w="0" w:type="auto"/>
            <w:vMerge w:val="continue"/>
            <w:tcBorders>
              <w:top w:val="single" w:color="auto" w:sz="4" w:space="0"/>
              <w:left w:val="single" w:color="auto" w:sz="4" w:space="0"/>
              <w:bottom w:val="single" w:color="000000" w:sz="4" w:space="0"/>
              <w:right w:val="single" w:color="auto" w:sz="4" w:space="0"/>
            </w:tcBorders>
            <w:vAlign w:val="center"/>
          </w:tcPr>
          <w:p w14:paraId="52567170">
            <w:pPr>
              <w:widowControl/>
              <w:jc w:val="left"/>
              <w:rPr>
                <w:rFonts w:hint="eastAsia" w:ascii="宋体" w:hAnsi="宋体" w:eastAsia="宋体" w:cs="宋体"/>
                <w:color w:val="auto"/>
                <w:kern w:val="0"/>
                <w:sz w:val="20"/>
                <w:szCs w:val="20"/>
                <w:highlight w:val="none"/>
              </w:rPr>
            </w:pPr>
          </w:p>
        </w:tc>
        <w:tc>
          <w:tcPr>
            <w:tcW w:w="0" w:type="auto"/>
            <w:tcBorders>
              <w:top w:val="single" w:color="auto" w:sz="4" w:space="0"/>
              <w:left w:val="nil"/>
              <w:bottom w:val="single" w:color="auto" w:sz="4" w:space="0"/>
              <w:right w:val="single" w:color="auto" w:sz="4" w:space="0"/>
            </w:tcBorders>
            <w:vAlign w:val="center"/>
          </w:tcPr>
          <w:p w14:paraId="66E16F3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0" w:type="auto"/>
            <w:tcBorders>
              <w:top w:val="single" w:color="auto" w:sz="4" w:space="0"/>
              <w:left w:val="nil"/>
              <w:bottom w:val="single" w:color="auto" w:sz="4" w:space="0"/>
              <w:right w:val="single" w:color="auto" w:sz="4" w:space="0"/>
            </w:tcBorders>
            <w:vAlign w:val="center"/>
          </w:tcPr>
          <w:p w14:paraId="111C05A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卫生洁具（坐便器）</w:t>
            </w:r>
          </w:p>
        </w:tc>
        <w:tc>
          <w:tcPr>
            <w:tcW w:w="0" w:type="auto"/>
            <w:tcBorders>
              <w:top w:val="single" w:color="auto" w:sz="4" w:space="0"/>
              <w:left w:val="nil"/>
              <w:bottom w:val="single" w:color="auto" w:sz="4" w:space="0"/>
              <w:right w:val="single" w:color="auto" w:sz="4" w:space="0"/>
            </w:tcBorders>
            <w:vAlign w:val="center"/>
          </w:tcPr>
          <w:p w14:paraId="7983F67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冠珠</w:t>
            </w:r>
          </w:p>
        </w:tc>
        <w:tc>
          <w:tcPr>
            <w:tcW w:w="0" w:type="auto"/>
            <w:tcBorders>
              <w:top w:val="single" w:color="auto" w:sz="4" w:space="0"/>
              <w:left w:val="nil"/>
              <w:bottom w:val="single" w:color="auto" w:sz="4" w:space="0"/>
              <w:right w:val="single" w:color="auto" w:sz="4" w:space="0"/>
            </w:tcBorders>
            <w:vAlign w:val="center"/>
          </w:tcPr>
          <w:p w14:paraId="3DCE1D8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箭牌</w:t>
            </w:r>
          </w:p>
        </w:tc>
        <w:tc>
          <w:tcPr>
            <w:tcW w:w="0" w:type="auto"/>
            <w:tcBorders>
              <w:top w:val="single" w:color="auto" w:sz="4" w:space="0"/>
              <w:left w:val="nil"/>
              <w:bottom w:val="single" w:color="auto" w:sz="4" w:space="0"/>
              <w:right w:val="single" w:color="auto" w:sz="4" w:space="0"/>
            </w:tcBorders>
            <w:vAlign w:val="center"/>
          </w:tcPr>
          <w:p w14:paraId="5669972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鹰牌</w:t>
            </w:r>
          </w:p>
        </w:tc>
        <w:tc>
          <w:tcPr>
            <w:tcW w:w="0" w:type="auto"/>
            <w:tcBorders>
              <w:top w:val="single" w:color="auto" w:sz="4" w:space="0"/>
              <w:left w:val="nil"/>
              <w:bottom w:val="single" w:color="auto" w:sz="4" w:space="0"/>
              <w:right w:val="single" w:color="auto" w:sz="4" w:space="0"/>
            </w:tcBorders>
            <w:vAlign w:val="center"/>
          </w:tcPr>
          <w:p w14:paraId="313DD85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09BCF4FB">
        <w:tblPrEx>
          <w:tblCellMar>
            <w:top w:w="0" w:type="dxa"/>
            <w:left w:w="108" w:type="dxa"/>
            <w:bottom w:w="0" w:type="dxa"/>
            <w:right w:w="108" w:type="dxa"/>
          </w:tblCellMar>
        </w:tblPrEx>
        <w:trPr>
          <w:trHeight w:val="629" w:hRule="atLeast"/>
          <w:jc w:val="center"/>
        </w:trPr>
        <w:tc>
          <w:tcPr>
            <w:tcW w:w="0" w:type="auto"/>
            <w:vMerge w:val="continue"/>
            <w:tcBorders>
              <w:top w:val="nil"/>
              <w:left w:val="single" w:color="auto" w:sz="4" w:space="0"/>
              <w:bottom w:val="single" w:color="000000" w:sz="4" w:space="0"/>
              <w:right w:val="single" w:color="auto" w:sz="4" w:space="0"/>
            </w:tcBorders>
            <w:vAlign w:val="center"/>
          </w:tcPr>
          <w:p w14:paraId="2F60AE25">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656B3B8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0" w:type="auto"/>
            <w:tcBorders>
              <w:top w:val="nil"/>
              <w:left w:val="nil"/>
              <w:bottom w:val="single" w:color="auto" w:sz="4" w:space="0"/>
              <w:right w:val="single" w:color="auto" w:sz="4" w:space="0"/>
            </w:tcBorders>
            <w:vAlign w:val="center"/>
          </w:tcPr>
          <w:p w14:paraId="4111DF5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阀门</w:t>
            </w:r>
          </w:p>
        </w:tc>
        <w:tc>
          <w:tcPr>
            <w:tcW w:w="0" w:type="auto"/>
            <w:tcBorders>
              <w:top w:val="nil"/>
              <w:left w:val="nil"/>
              <w:bottom w:val="single" w:color="auto" w:sz="4" w:space="0"/>
              <w:right w:val="single" w:color="auto" w:sz="4" w:space="0"/>
            </w:tcBorders>
            <w:vAlign w:val="center"/>
          </w:tcPr>
          <w:p w14:paraId="7B79678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申高</w:t>
            </w:r>
          </w:p>
        </w:tc>
        <w:tc>
          <w:tcPr>
            <w:tcW w:w="0" w:type="auto"/>
            <w:tcBorders>
              <w:top w:val="nil"/>
              <w:left w:val="nil"/>
              <w:bottom w:val="single" w:color="auto" w:sz="4" w:space="0"/>
              <w:right w:val="single" w:color="auto" w:sz="4" w:space="0"/>
            </w:tcBorders>
            <w:vAlign w:val="center"/>
          </w:tcPr>
          <w:p w14:paraId="64D3DBF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盖雷</w:t>
            </w:r>
          </w:p>
        </w:tc>
        <w:tc>
          <w:tcPr>
            <w:tcW w:w="0" w:type="auto"/>
            <w:tcBorders>
              <w:top w:val="nil"/>
              <w:left w:val="nil"/>
              <w:bottom w:val="single" w:color="auto" w:sz="4" w:space="0"/>
              <w:right w:val="single" w:color="auto" w:sz="4" w:space="0"/>
            </w:tcBorders>
            <w:vAlign w:val="center"/>
          </w:tcPr>
          <w:p w14:paraId="45CE1DF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春江牌</w:t>
            </w:r>
          </w:p>
        </w:tc>
        <w:tc>
          <w:tcPr>
            <w:tcW w:w="0" w:type="auto"/>
            <w:tcBorders>
              <w:top w:val="nil"/>
              <w:left w:val="nil"/>
              <w:bottom w:val="single" w:color="auto" w:sz="4" w:space="0"/>
              <w:right w:val="single" w:color="auto" w:sz="4" w:space="0"/>
            </w:tcBorders>
            <w:vAlign w:val="center"/>
          </w:tcPr>
          <w:p w14:paraId="4CF9555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48538F34">
        <w:tblPrEx>
          <w:tblCellMar>
            <w:top w:w="0" w:type="dxa"/>
            <w:left w:w="108" w:type="dxa"/>
            <w:bottom w:w="0" w:type="dxa"/>
            <w:right w:w="108" w:type="dxa"/>
          </w:tblCellMar>
        </w:tblPrEx>
        <w:trPr>
          <w:trHeight w:val="629" w:hRule="atLeast"/>
          <w:jc w:val="center"/>
        </w:trPr>
        <w:tc>
          <w:tcPr>
            <w:tcW w:w="0" w:type="auto"/>
            <w:vMerge w:val="continue"/>
            <w:tcBorders>
              <w:top w:val="nil"/>
              <w:left w:val="single" w:color="auto" w:sz="4" w:space="0"/>
              <w:bottom w:val="single" w:color="000000" w:sz="4" w:space="0"/>
              <w:right w:val="single" w:color="auto" w:sz="4" w:space="0"/>
            </w:tcBorders>
            <w:vAlign w:val="center"/>
          </w:tcPr>
          <w:p w14:paraId="2DED817E">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03EBCA7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0" w:type="auto"/>
            <w:tcBorders>
              <w:top w:val="nil"/>
              <w:left w:val="nil"/>
              <w:bottom w:val="single" w:color="auto" w:sz="4" w:space="0"/>
              <w:right w:val="single" w:color="auto" w:sz="4" w:space="0"/>
            </w:tcBorders>
            <w:vAlign w:val="center"/>
          </w:tcPr>
          <w:p w14:paraId="09F9E6E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水泵</w:t>
            </w:r>
          </w:p>
        </w:tc>
        <w:tc>
          <w:tcPr>
            <w:tcW w:w="0" w:type="auto"/>
            <w:tcBorders>
              <w:top w:val="nil"/>
              <w:left w:val="nil"/>
              <w:bottom w:val="single" w:color="auto" w:sz="4" w:space="0"/>
              <w:right w:val="single" w:color="auto" w:sz="4" w:space="0"/>
            </w:tcBorders>
            <w:vAlign w:val="center"/>
          </w:tcPr>
          <w:p w14:paraId="101DADA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赛莱默</w:t>
            </w:r>
          </w:p>
        </w:tc>
        <w:tc>
          <w:tcPr>
            <w:tcW w:w="0" w:type="auto"/>
            <w:tcBorders>
              <w:top w:val="nil"/>
              <w:left w:val="nil"/>
              <w:bottom w:val="single" w:color="auto" w:sz="4" w:space="0"/>
              <w:right w:val="single" w:color="auto" w:sz="4" w:space="0"/>
            </w:tcBorders>
            <w:vAlign w:val="center"/>
          </w:tcPr>
          <w:p w14:paraId="58E8C07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荏原机械</w:t>
            </w:r>
          </w:p>
        </w:tc>
        <w:tc>
          <w:tcPr>
            <w:tcW w:w="0" w:type="auto"/>
            <w:tcBorders>
              <w:top w:val="nil"/>
              <w:left w:val="nil"/>
              <w:bottom w:val="single" w:color="auto" w:sz="4" w:space="0"/>
              <w:right w:val="single" w:color="auto" w:sz="4" w:space="0"/>
            </w:tcBorders>
            <w:vAlign w:val="center"/>
          </w:tcPr>
          <w:p w14:paraId="481E7C1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上海凯士比</w:t>
            </w:r>
          </w:p>
        </w:tc>
        <w:tc>
          <w:tcPr>
            <w:tcW w:w="0" w:type="auto"/>
            <w:tcBorders>
              <w:top w:val="nil"/>
              <w:left w:val="nil"/>
              <w:bottom w:val="single" w:color="auto" w:sz="4" w:space="0"/>
              <w:right w:val="single" w:color="auto" w:sz="4" w:space="0"/>
            </w:tcBorders>
            <w:vAlign w:val="center"/>
          </w:tcPr>
          <w:p w14:paraId="3D52196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2743220C">
        <w:tblPrEx>
          <w:tblCellMar>
            <w:top w:w="0" w:type="dxa"/>
            <w:left w:w="108" w:type="dxa"/>
            <w:bottom w:w="0" w:type="dxa"/>
            <w:right w:w="108" w:type="dxa"/>
          </w:tblCellMar>
        </w:tblPrEx>
        <w:trPr>
          <w:trHeight w:val="629" w:hRule="atLeast"/>
          <w:jc w:val="center"/>
        </w:trPr>
        <w:tc>
          <w:tcPr>
            <w:tcW w:w="0" w:type="auto"/>
            <w:vMerge w:val="continue"/>
            <w:tcBorders>
              <w:top w:val="nil"/>
              <w:left w:val="single" w:color="auto" w:sz="4" w:space="0"/>
              <w:bottom w:val="single" w:color="000000" w:sz="4" w:space="0"/>
              <w:right w:val="single" w:color="auto" w:sz="4" w:space="0"/>
            </w:tcBorders>
            <w:vAlign w:val="center"/>
          </w:tcPr>
          <w:p w14:paraId="231B5CBC">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7B80FF9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0" w:type="auto"/>
            <w:tcBorders>
              <w:top w:val="nil"/>
              <w:left w:val="nil"/>
              <w:bottom w:val="single" w:color="auto" w:sz="4" w:space="0"/>
              <w:right w:val="single" w:color="auto" w:sz="4" w:space="0"/>
            </w:tcBorders>
            <w:vAlign w:val="center"/>
          </w:tcPr>
          <w:p w14:paraId="587DA72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水表</w:t>
            </w:r>
          </w:p>
        </w:tc>
        <w:tc>
          <w:tcPr>
            <w:tcW w:w="0" w:type="auto"/>
            <w:tcBorders>
              <w:top w:val="nil"/>
              <w:left w:val="nil"/>
              <w:bottom w:val="single" w:color="auto" w:sz="4" w:space="0"/>
              <w:right w:val="single" w:color="auto" w:sz="4" w:space="0"/>
            </w:tcBorders>
            <w:vAlign w:val="center"/>
          </w:tcPr>
          <w:p w14:paraId="0C5BA1F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广州自来水表公司</w:t>
            </w:r>
          </w:p>
        </w:tc>
        <w:tc>
          <w:tcPr>
            <w:tcW w:w="0" w:type="auto"/>
            <w:tcBorders>
              <w:top w:val="nil"/>
              <w:left w:val="nil"/>
              <w:bottom w:val="single" w:color="auto" w:sz="4" w:space="0"/>
              <w:right w:val="single" w:color="auto" w:sz="4" w:space="0"/>
            </w:tcBorders>
            <w:vAlign w:val="center"/>
          </w:tcPr>
          <w:p w14:paraId="12A4343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广州市兆基水表厂</w:t>
            </w:r>
          </w:p>
        </w:tc>
        <w:tc>
          <w:tcPr>
            <w:tcW w:w="0" w:type="auto"/>
            <w:tcBorders>
              <w:top w:val="nil"/>
              <w:left w:val="nil"/>
              <w:bottom w:val="single" w:color="auto" w:sz="4" w:space="0"/>
              <w:right w:val="single" w:color="auto" w:sz="4" w:space="0"/>
            </w:tcBorders>
            <w:vAlign w:val="center"/>
          </w:tcPr>
          <w:p w14:paraId="7253D11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宁波埃美柯</w:t>
            </w:r>
          </w:p>
        </w:tc>
        <w:tc>
          <w:tcPr>
            <w:tcW w:w="0" w:type="auto"/>
            <w:tcBorders>
              <w:top w:val="nil"/>
              <w:left w:val="nil"/>
              <w:bottom w:val="single" w:color="auto" w:sz="4" w:space="0"/>
              <w:right w:val="single" w:color="auto" w:sz="4" w:space="0"/>
            </w:tcBorders>
            <w:vAlign w:val="center"/>
          </w:tcPr>
          <w:p w14:paraId="5A90E41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6BD746EA">
        <w:tblPrEx>
          <w:tblCellMar>
            <w:top w:w="0" w:type="dxa"/>
            <w:left w:w="108" w:type="dxa"/>
            <w:bottom w:w="0" w:type="dxa"/>
            <w:right w:w="108" w:type="dxa"/>
          </w:tblCellMar>
        </w:tblPrEx>
        <w:trPr>
          <w:trHeight w:val="575" w:hRule="atLeast"/>
          <w:jc w:val="center"/>
        </w:trPr>
        <w:tc>
          <w:tcPr>
            <w:tcW w:w="0" w:type="auto"/>
            <w:vMerge w:val="continue"/>
            <w:tcBorders>
              <w:top w:val="nil"/>
              <w:left w:val="single" w:color="auto" w:sz="4" w:space="0"/>
              <w:bottom w:val="single" w:color="000000" w:sz="4" w:space="0"/>
              <w:right w:val="single" w:color="auto" w:sz="4" w:space="0"/>
            </w:tcBorders>
            <w:vAlign w:val="center"/>
          </w:tcPr>
          <w:p w14:paraId="260F1FF7">
            <w:pPr>
              <w:widowControl/>
              <w:jc w:val="left"/>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1AF494F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0" w:type="auto"/>
            <w:tcBorders>
              <w:top w:val="nil"/>
              <w:left w:val="nil"/>
              <w:bottom w:val="single" w:color="auto" w:sz="4" w:space="0"/>
              <w:right w:val="single" w:color="auto" w:sz="4" w:space="0"/>
            </w:tcBorders>
            <w:vAlign w:val="center"/>
          </w:tcPr>
          <w:p w14:paraId="229B50E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不锈钢管</w:t>
            </w:r>
          </w:p>
        </w:tc>
        <w:tc>
          <w:tcPr>
            <w:tcW w:w="0" w:type="auto"/>
            <w:tcBorders>
              <w:top w:val="nil"/>
              <w:left w:val="nil"/>
              <w:bottom w:val="single" w:color="auto" w:sz="4" w:space="0"/>
              <w:right w:val="single" w:color="auto" w:sz="4" w:space="0"/>
            </w:tcBorders>
            <w:vAlign w:val="center"/>
          </w:tcPr>
          <w:p w14:paraId="6D4D03E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联塑</w:t>
            </w:r>
          </w:p>
        </w:tc>
        <w:tc>
          <w:tcPr>
            <w:tcW w:w="0" w:type="auto"/>
            <w:tcBorders>
              <w:top w:val="nil"/>
              <w:left w:val="nil"/>
              <w:bottom w:val="single" w:color="auto" w:sz="4" w:space="0"/>
              <w:right w:val="single" w:color="auto" w:sz="4" w:space="0"/>
            </w:tcBorders>
            <w:vAlign w:val="center"/>
          </w:tcPr>
          <w:p w14:paraId="0199430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粤华</w:t>
            </w:r>
          </w:p>
        </w:tc>
        <w:tc>
          <w:tcPr>
            <w:tcW w:w="0" w:type="auto"/>
            <w:tcBorders>
              <w:top w:val="nil"/>
              <w:left w:val="nil"/>
              <w:bottom w:val="single" w:color="auto" w:sz="4" w:space="0"/>
              <w:right w:val="single" w:color="auto" w:sz="4" w:space="0"/>
            </w:tcBorders>
            <w:vAlign w:val="center"/>
          </w:tcPr>
          <w:p w14:paraId="23CB1D0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双兴新材料</w:t>
            </w:r>
          </w:p>
        </w:tc>
        <w:tc>
          <w:tcPr>
            <w:tcW w:w="0" w:type="auto"/>
            <w:tcBorders>
              <w:top w:val="nil"/>
              <w:left w:val="nil"/>
              <w:bottom w:val="single" w:color="auto" w:sz="4" w:space="0"/>
              <w:right w:val="single" w:color="auto" w:sz="4" w:space="0"/>
            </w:tcBorders>
            <w:vAlign w:val="center"/>
          </w:tcPr>
          <w:p w14:paraId="1F94215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64ADCF14">
        <w:tblPrEx>
          <w:tblCellMar>
            <w:top w:w="0" w:type="dxa"/>
            <w:left w:w="108" w:type="dxa"/>
            <w:bottom w:w="0" w:type="dxa"/>
            <w:right w:w="108" w:type="dxa"/>
          </w:tblCellMar>
        </w:tblPrEx>
        <w:trPr>
          <w:trHeight w:val="698" w:hRule="atLeast"/>
          <w:jc w:val="center"/>
        </w:trPr>
        <w:tc>
          <w:tcPr>
            <w:tcW w:w="0" w:type="auto"/>
            <w:tcBorders>
              <w:top w:val="nil"/>
              <w:left w:val="single" w:color="auto" w:sz="4" w:space="0"/>
              <w:bottom w:val="single" w:color="auto" w:sz="4" w:space="0"/>
              <w:right w:val="single" w:color="auto" w:sz="4" w:space="0"/>
            </w:tcBorders>
            <w:vAlign w:val="center"/>
          </w:tcPr>
          <w:p w14:paraId="4026938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门禁系统</w:t>
            </w:r>
          </w:p>
        </w:tc>
        <w:tc>
          <w:tcPr>
            <w:tcW w:w="0" w:type="auto"/>
            <w:tcBorders>
              <w:top w:val="nil"/>
              <w:left w:val="nil"/>
              <w:bottom w:val="single" w:color="auto" w:sz="4" w:space="0"/>
              <w:right w:val="single" w:color="auto" w:sz="4" w:space="0"/>
            </w:tcBorders>
            <w:vAlign w:val="center"/>
          </w:tcPr>
          <w:p w14:paraId="2A447F3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0" w:type="auto"/>
            <w:tcBorders>
              <w:top w:val="nil"/>
              <w:left w:val="nil"/>
              <w:bottom w:val="single" w:color="auto" w:sz="4" w:space="0"/>
              <w:right w:val="single" w:color="auto" w:sz="4" w:space="0"/>
            </w:tcBorders>
            <w:vAlign w:val="center"/>
          </w:tcPr>
          <w:p w14:paraId="2D9F607F">
            <w:pPr>
              <w:widowControl/>
              <w:jc w:val="center"/>
              <w:rPr>
                <w:rFonts w:hint="eastAsia" w:ascii="宋体" w:hAnsi="宋体" w:eastAsia="宋体" w:cs="宋体"/>
                <w:color w:val="auto"/>
                <w:kern w:val="0"/>
                <w:sz w:val="20"/>
                <w:szCs w:val="20"/>
                <w:highlight w:val="none"/>
              </w:rPr>
            </w:pPr>
          </w:p>
        </w:tc>
        <w:tc>
          <w:tcPr>
            <w:tcW w:w="0" w:type="auto"/>
            <w:tcBorders>
              <w:top w:val="nil"/>
              <w:left w:val="nil"/>
              <w:bottom w:val="single" w:color="auto" w:sz="4" w:space="0"/>
              <w:right w:val="single" w:color="auto" w:sz="4" w:space="0"/>
            </w:tcBorders>
            <w:vAlign w:val="center"/>
          </w:tcPr>
          <w:p w14:paraId="2D322D4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高堡仕</w:t>
            </w:r>
          </w:p>
        </w:tc>
        <w:tc>
          <w:tcPr>
            <w:tcW w:w="0" w:type="auto"/>
            <w:tcBorders>
              <w:top w:val="nil"/>
              <w:left w:val="nil"/>
              <w:bottom w:val="single" w:color="auto" w:sz="4" w:space="0"/>
              <w:right w:val="single" w:color="auto" w:sz="4" w:space="0"/>
            </w:tcBorders>
            <w:vAlign w:val="center"/>
          </w:tcPr>
          <w:p w14:paraId="50B2F3F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科松</w:t>
            </w:r>
          </w:p>
        </w:tc>
        <w:tc>
          <w:tcPr>
            <w:tcW w:w="0" w:type="auto"/>
            <w:tcBorders>
              <w:top w:val="nil"/>
              <w:left w:val="nil"/>
              <w:bottom w:val="single" w:color="auto" w:sz="4" w:space="0"/>
              <w:right w:val="single" w:color="auto" w:sz="4" w:space="0"/>
            </w:tcBorders>
            <w:vAlign w:val="center"/>
          </w:tcPr>
          <w:p w14:paraId="5E5406D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ALTECH</w:t>
            </w:r>
          </w:p>
        </w:tc>
        <w:tc>
          <w:tcPr>
            <w:tcW w:w="0" w:type="auto"/>
            <w:tcBorders>
              <w:top w:val="nil"/>
              <w:left w:val="nil"/>
              <w:bottom w:val="single" w:color="auto" w:sz="4" w:space="0"/>
              <w:right w:val="single" w:color="auto" w:sz="4" w:space="0"/>
            </w:tcBorders>
            <w:vAlign w:val="center"/>
          </w:tcPr>
          <w:p w14:paraId="55051E9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7D20E109">
        <w:tblPrEx>
          <w:tblCellMar>
            <w:top w:w="0" w:type="dxa"/>
            <w:left w:w="108" w:type="dxa"/>
            <w:bottom w:w="0" w:type="dxa"/>
            <w:right w:w="108" w:type="dxa"/>
          </w:tblCellMar>
        </w:tblPrEx>
        <w:trPr>
          <w:trHeight w:val="398" w:hRule="atLeast"/>
          <w:jc w:val="center"/>
        </w:trPr>
        <w:tc>
          <w:tcPr>
            <w:tcW w:w="0" w:type="auto"/>
            <w:tcBorders>
              <w:top w:val="nil"/>
              <w:left w:val="single" w:color="auto" w:sz="4" w:space="0"/>
              <w:bottom w:val="single" w:color="auto" w:sz="4" w:space="0"/>
              <w:right w:val="single" w:color="auto" w:sz="4" w:space="0"/>
            </w:tcBorders>
            <w:vAlign w:val="center"/>
          </w:tcPr>
          <w:p w14:paraId="1AFCF6F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建筑智能化系统工程</w:t>
            </w:r>
          </w:p>
        </w:tc>
        <w:tc>
          <w:tcPr>
            <w:tcW w:w="0" w:type="auto"/>
            <w:tcBorders>
              <w:top w:val="nil"/>
              <w:left w:val="nil"/>
              <w:bottom w:val="single" w:color="auto" w:sz="4" w:space="0"/>
              <w:right w:val="single" w:color="auto" w:sz="4" w:space="0"/>
            </w:tcBorders>
            <w:vAlign w:val="center"/>
          </w:tcPr>
          <w:p w14:paraId="12658A1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14:paraId="2F1C2050">
            <w:pPr>
              <w:widowControl/>
              <w:jc w:val="center"/>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A30538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ABB</w:t>
            </w:r>
          </w:p>
        </w:tc>
        <w:tc>
          <w:tcPr>
            <w:tcW w:w="0" w:type="auto"/>
            <w:tcBorders>
              <w:top w:val="single" w:color="auto" w:sz="4" w:space="0"/>
              <w:left w:val="single" w:color="auto" w:sz="4" w:space="0"/>
              <w:bottom w:val="single" w:color="auto" w:sz="4" w:space="0"/>
              <w:right w:val="single" w:color="auto" w:sz="4" w:space="0"/>
            </w:tcBorders>
            <w:vAlign w:val="center"/>
          </w:tcPr>
          <w:p w14:paraId="1E93136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海康威视</w:t>
            </w:r>
          </w:p>
        </w:tc>
        <w:tc>
          <w:tcPr>
            <w:tcW w:w="0" w:type="auto"/>
            <w:tcBorders>
              <w:top w:val="single" w:color="auto" w:sz="4" w:space="0"/>
              <w:left w:val="single" w:color="auto" w:sz="4" w:space="0"/>
              <w:bottom w:val="single" w:color="auto" w:sz="4" w:space="0"/>
              <w:right w:val="single" w:color="auto" w:sz="4" w:space="0"/>
            </w:tcBorders>
            <w:vAlign w:val="center"/>
          </w:tcPr>
          <w:p w14:paraId="003909F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西门子</w:t>
            </w:r>
          </w:p>
        </w:tc>
        <w:tc>
          <w:tcPr>
            <w:tcW w:w="0" w:type="auto"/>
            <w:tcBorders>
              <w:top w:val="single" w:color="auto" w:sz="4" w:space="0"/>
              <w:left w:val="single" w:color="auto" w:sz="4" w:space="0"/>
              <w:bottom w:val="single" w:color="auto" w:sz="4" w:space="0"/>
              <w:right w:val="single" w:color="auto" w:sz="4" w:space="0"/>
            </w:tcBorders>
            <w:vAlign w:val="center"/>
          </w:tcPr>
          <w:p w14:paraId="1FC2A06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033FA2FA">
        <w:tblPrEx>
          <w:tblCellMar>
            <w:top w:w="0" w:type="dxa"/>
            <w:left w:w="108" w:type="dxa"/>
            <w:bottom w:w="0" w:type="dxa"/>
            <w:right w:w="108"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6B055A8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抗震支架工程</w:t>
            </w:r>
          </w:p>
        </w:tc>
        <w:tc>
          <w:tcPr>
            <w:tcW w:w="0" w:type="auto"/>
            <w:tcBorders>
              <w:top w:val="single" w:color="auto" w:sz="4" w:space="0"/>
              <w:left w:val="nil"/>
              <w:bottom w:val="single" w:color="auto" w:sz="4" w:space="0"/>
              <w:right w:val="single" w:color="auto" w:sz="4" w:space="0"/>
            </w:tcBorders>
            <w:vAlign w:val="center"/>
          </w:tcPr>
          <w:p w14:paraId="2C66415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14:paraId="3F373B45">
            <w:pPr>
              <w:widowControl/>
              <w:jc w:val="center"/>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0E25AD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深圳置华</w:t>
            </w:r>
          </w:p>
        </w:tc>
        <w:tc>
          <w:tcPr>
            <w:tcW w:w="0" w:type="auto"/>
            <w:tcBorders>
              <w:top w:val="single" w:color="auto" w:sz="4" w:space="0"/>
              <w:left w:val="single" w:color="auto" w:sz="4" w:space="0"/>
              <w:bottom w:val="single" w:color="auto" w:sz="4" w:space="0"/>
              <w:right w:val="single" w:color="auto" w:sz="4" w:space="0"/>
            </w:tcBorders>
            <w:vAlign w:val="center"/>
          </w:tcPr>
          <w:p w14:paraId="127F750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固稳科技</w:t>
            </w:r>
          </w:p>
        </w:tc>
        <w:tc>
          <w:tcPr>
            <w:tcW w:w="0" w:type="auto"/>
            <w:tcBorders>
              <w:top w:val="single" w:color="auto" w:sz="4" w:space="0"/>
              <w:left w:val="single" w:color="auto" w:sz="4" w:space="0"/>
              <w:bottom w:val="single" w:color="auto" w:sz="4" w:space="0"/>
              <w:right w:val="single" w:color="auto" w:sz="4" w:space="0"/>
            </w:tcBorders>
            <w:vAlign w:val="center"/>
          </w:tcPr>
          <w:p w14:paraId="0296BD2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金来电气</w:t>
            </w:r>
          </w:p>
        </w:tc>
        <w:tc>
          <w:tcPr>
            <w:tcW w:w="0" w:type="auto"/>
            <w:tcBorders>
              <w:top w:val="single" w:color="auto" w:sz="4" w:space="0"/>
              <w:left w:val="single" w:color="auto" w:sz="4" w:space="0"/>
              <w:bottom w:val="single" w:color="auto" w:sz="4" w:space="0"/>
              <w:right w:val="single" w:color="auto" w:sz="4" w:space="0"/>
            </w:tcBorders>
            <w:vAlign w:val="center"/>
          </w:tcPr>
          <w:p w14:paraId="053D392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r w14:paraId="279FB793">
        <w:tblPrEx>
          <w:tblCellMar>
            <w:top w:w="0" w:type="dxa"/>
            <w:left w:w="108" w:type="dxa"/>
            <w:bottom w:w="0" w:type="dxa"/>
            <w:right w:w="108"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63ABA13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电梯设备</w:t>
            </w:r>
          </w:p>
        </w:tc>
        <w:tc>
          <w:tcPr>
            <w:tcW w:w="0" w:type="auto"/>
            <w:tcBorders>
              <w:top w:val="single" w:color="auto" w:sz="4" w:space="0"/>
              <w:left w:val="nil"/>
              <w:bottom w:val="single" w:color="auto" w:sz="4" w:space="0"/>
              <w:right w:val="single" w:color="auto" w:sz="4" w:space="0"/>
            </w:tcBorders>
            <w:vAlign w:val="center"/>
          </w:tcPr>
          <w:p w14:paraId="755B73D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0" w:type="auto"/>
            <w:tcBorders>
              <w:top w:val="single" w:color="auto" w:sz="4" w:space="0"/>
              <w:left w:val="single" w:color="auto" w:sz="4" w:space="0"/>
              <w:bottom w:val="single" w:color="auto" w:sz="4" w:space="0"/>
              <w:right w:val="single" w:color="auto" w:sz="4" w:space="0"/>
            </w:tcBorders>
            <w:vAlign w:val="center"/>
          </w:tcPr>
          <w:p w14:paraId="172F36AA">
            <w:pPr>
              <w:widowControl/>
              <w:jc w:val="center"/>
              <w:rPr>
                <w:rFonts w:hint="eastAsia" w:ascii="宋体" w:hAnsi="宋体" w:eastAsia="宋体" w:cs="宋体"/>
                <w:color w:val="auto"/>
                <w:kern w:val="0"/>
                <w:sz w:val="20"/>
                <w:szCs w:val="20"/>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45EDA4E3">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奥的斯</w:t>
            </w:r>
          </w:p>
        </w:tc>
        <w:tc>
          <w:tcPr>
            <w:tcW w:w="0" w:type="auto"/>
            <w:tcBorders>
              <w:top w:val="single" w:color="auto" w:sz="4" w:space="0"/>
              <w:left w:val="single" w:color="auto" w:sz="4" w:space="0"/>
              <w:bottom w:val="single" w:color="auto" w:sz="4" w:space="0"/>
              <w:right w:val="single" w:color="auto" w:sz="4" w:space="0"/>
            </w:tcBorders>
            <w:vAlign w:val="center"/>
          </w:tcPr>
          <w:p w14:paraId="418FDC4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日立</w:t>
            </w:r>
          </w:p>
        </w:tc>
        <w:tc>
          <w:tcPr>
            <w:tcW w:w="0" w:type="auto"/>
            <w:tcBorders>
              <w:top w:val="single" w:color="auto" w:sz="4" w:space="0"/>
              <w:left w:val="single" w:color="auto" w:sz="4" w:space="0"/>
              <w:bottom w:val="single" w:color="auto" w:sz="4" w:space="0"/>
              <w:right w:val="single" w:color="auto" w:sz="4" w:space="0"/>
            </w:tcBorders>
            <w:vAlign w:val="center"/>
          </w:tcPr>
          <w:p w14:paraId="7490C19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三菱</w:t>
            </w:r>
          </w:p>
        </w:tc>
        <w:tc>
          <w:tcPr>
            <w:tcW w:w="0" w:type="auto"/>
            <w:tcBorders>
              <w:top w:val="single" w:color="auto" w:sz="4" w:space="0"/>
              <w:left w:val="single" w:color="auto" w:sz="4" w:space="0"/>
              <w:bottom w:val="single" w:color="auto" w:sz="4" w:space="0"/>
              <w:right w:val="single" w:color="auto" w:sz="4" w:space="0"/>
            </w:tcBorders>
            <w:vAlign w:val="center"/>
          </w:tcPr>
          <w:p w14:paraId="6CE1F4F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中档</w:t>
            </w:r>
          </w:p>
        </w:tc>
      </w:tr>
    </w:tbl>
    <w:p w14:paraId="59C8EAEF">
      <w:pPr>
        <w:pStyle w:val="25"/>
        <w:adjustRightInd w:val="0"/>
        <w:snapToGrid w:val="0"/>
        <w:spacing w:line="360" w:lineRule="auto"/>
        <w:ind w:firstLine="480" w:firstLineChars="200"/>
        <w:rPr>
          <w:rFonts w:hAnsi="宋体"/>
          <w:snapToGrid w:val="0"/>
          <w:color w:val="auto"/>
          <w:kern w:val="0"/>
          <w:sz w:val="24"/>
          <w:szCs w:val="24"/>
          <w:highlight w:val="none"/>
        </w:rPr>
      </w:pPr>
    </w:p>
    <w:p w14:paraId="765BF591">
      <w:pPr>
        <w:adjustRightInd w:val="0"/>
        <w:snapToGrid w:val="0"/>
        <w:spacing w:line="360" w:lineRule="auto"/>
        <w:ind w:right="11"/>
        <w:outlineLvl w:val="1"/>
        <w:rPr>
          <w:rFonts w:ascii="宋体" w:hAnsi="宋体"/>
          <w:b/>
          <w:bCs/>
          <w:snapToGrid w:val="0"/>
          <w:color w:val="auto"/>
          <w:kern w:val="0"/>
          <w:sz w:val="28"/>
          <w:szCs w:val="28"/>
          <w:highlight w:val="none"/>
        </w:rPr>
      </w:pPr>
      <w:r>
        <w:rPr>
          <w:rFonts w:hint="eastAsia" w:ascii="宋体" w:hAnsi="宋体"/>
          <w:b/>
          <w:bCs/>
          <w:snapToGrid w:val="0"/>
          <w:color w:val="auto"/>
          <w:kern w:val="0"/>
          <w:sz w:val="28"/>
          <w:szCs w:val="28"/>
          <w:highlight w:val="none"/>
        </w:rPr>
        <w:t>八、工程变更</w:t>
      </w:r>
    </w:p>
    <w:p w14:paraId="003B9AE7">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31、工程设计变更</w:t>
      </w:r>
    </w:p>
    <w:p w14:paraId="748E3321">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ascii="宋体" w:hAnsi="宋体"/>
          <w:snapToGrid w:val="0"/>
          <w:color w:val="auto"/>
          <w:kern w:val="0"/>
          <w:sz w:val="24"/>
          <w:highlight w:val="none"/>
        </w:rPr>
        <w:t>31.1</w:t>
      </w:r>
      <w:r>
        <w:rPr>
          <w:rFonts w:hint="eastAsia" w:ascii="宋体" w:hAnsi="宋体"/>
          <w:snapToGrid w:val="0"/>
          <w:color w:val="auto"/>
          <w:kern w:val="0"/>
          <w:sz w:val="24"/>
          <w:highlight w:val="none"/>
        </w:rPr>
        <w:t>工程设计变更是指任何改变这类工程的性质、质量、种类、数量。</w:t>
      </w:r>
    </w:p>
    <w:p w14:paraId="341BFE46">
      <w:pPr>
        <w:adjustRightInd w:val="0"/>
        <w:snapToGrid w:val="0"/>
        <w:spacing w:line="360" w:lineRule="auto"/>
        <w:ind w:right="11" w:firstLine="463" w:firstLineChars="192"/>
        <w:rPr>
          <w:rFonts w:ascii="宋体" w:hAnsi="宋体"/>
          <w:bCs/>
          <w:snapToGrid w:val="0"/>
          <w:color w:val="auto"/>
          <w:kern w:val="0"/>
          <w:sz w:val="24"/>
          <w:highlight w:val="none"/>
        </w:rPr>
      </w:pPr>
      <w:r>
        <w:rPr>
          <w:rFonts w:hint="eastAsia" w:ascii="宋体" w:hAnsi="宋体"/>
          <w:b/>
          <w:snapToGrid w:val="0"/>
          <w:color w:val="auto"/>
          <w:kern w:val="0"/>
          <w:sz w:val="24"/>
          <w:highlight w:val="none"/>
        </w:rPr>
        <w:t>承包人和发包人一致同意增加31.4、31.5：</w:t>
      </w:r>
    </w:p>
    <w:p w14:paraId="44D949F1">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ascii="宋体" w:hAnsi="宋体"/>
          <w:snapToGrid w:val="0"/>
          <w:color w:val="auto"/>
          <w:kern w:val="0"/>
          <w:sz w:val="24"/>
          <w:highlight w:val="none"/>
        </w:rPr>
        <w:t>31</w:t>
      </w:r>
      <w:r>
        <w:rPr>
          <w:rFonts w:hint="eastAsia" w:ascii="宋体" w:hAnsi="宋体"/>
          <w:snapToGrid w:val="0"/>
          <w:color w:val="auto"/>
          <w:kern w:val="0"/>
          <w:sz w:val="24"/>
          <w:highlight w:val="none"/>
        </w:rPr>
        <w:t>.4如承包人在实施过程中发现设计上有错误或严重不合理，应以书面形式通知发包人，由发包人与设计单位商定修改或变更设计方案进行实施。</w:t>
      </w:r>
    </w:p>
    <w:p w14:paraId="65B1F119">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ascii="宋体" w:hAnsi="宋体"/>
          <w:snapToGrid w:val="0"/>
          <w:color w:val="auto"/>
          <w:kern w:val="0"/>
          <w:sz w:val="24"/>
          <w:highlight w:val="none"/>
        </w:rPr>
        <w:t>31</w:t>
      </w:r>
      <w:r>
        <w:rPr>
          <w:rFonts w:hint="eastAsia" w:ascii="宋体" w:hAnsi="宋体"/>
          <w:snapToGrid w:val="0"/>
          <w:color w:val="auto"/>
          <w:kern w:val="0"/>
          <w:sz w:val="24"/>
          <w:highlight w:val="none"/>
        </w:rPr>
        <w:t>.5所有涉及工期的变更均应获得发包人正式批准才能生效。</w:t>
      </w:r>
    </w:p>
    <w:p w14:paraId="29C74FEE">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32、其他变更</w:t>
      </w:r>
    </w:p>
    <w:p w14:paraId="7345F431">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按合同专用条款相关约定和发包人的有关管理制度及实施细则执行。</w:t>
      </w:r>
    </w:p>
    <w:p w14:paraId="79FAB8B6">
      <w:pPr>
        <w:adjustRightInd w:val="0"/>
        <w:snapToGrid w:val="0"/>
        <w:spacing w:line="360" w:lineRule="auto"/>
        <w:ind w:right="11" w:firstLine="482" w:firstLineChars="200"/>
        <w:rPr>
          <w:rFonts w:ascii="宋体" w:hAnsi="宋体"/>
          <w:b/>
          <w:snapToGrid w:val="0"/>
          <w:color w:val="auto"/>
          <w:kern w:val="0"/>
          <w:sz w:val="24"/>
          <w:highlight w:val="none"/>
        </w:rPr>
      </w:pPr>
      <w:r>
        <w:rPr>
          <w:rFonts w:hint="eastAsia" w:ascii="宋体" w:hAnsi="宋体"/>
          <w:b/>
          <w:snapToGrid w:val="0"/>
          <w:color w:val="auto"/>
          <w:kern w:val="0"/>
          <w:sz w:val="24"/>
          <w:highlight w:val="none"/>
        </w:rPr>
        <w:t>承包人和发包人一致同意不适用合同通用条款第33条的约定，代之以：</w:t>
      </w:r>
    </w:p>
    <w:p w14:paraId="082F657B">
      <w:pPr>
        <w:adjustRightInd w:val="0"/>
        <w:snapToGrid w:val="0"/>
        <w:spacing w:line="360" w:lineRule="auto"/>
        <w:ind w:right="11" w:firstLine="482" w:firstLineChars="200"/>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33、确定变更价款</w:t>
      </w:r>
    </w:p>
    <w:p w14:paraId="66B8A3AA">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在整个合同执行期内综合单价均不作任何调整。除非发生以下因素，合同价款作相应的调整。</w:t>
      </w:r>
    </w:p>
    <w:p w14:paraId="1105C902">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1）在施工过程中，若发生设计变更、现场签证等原因造成招标时的工程量清单内容及数量发生变更，其工程量以依据中华人民共和国国家标准《建设工程工程量清单计价规范》（GB50500-2013）、计价办法、工程量计算规则、图纸等规定计量确认的实际工程量为准；其综合单价计算办法为：</w:t>
      </w:r>
    </w:p>
    <w:p w14:paraId="71B0B40A">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①若原投标报价有相同的子目，按原投标报价相同子目的综合单价执行；</w:t>
      </w:r>
    </w:p>
    <w:p w14:paraId="524E8D8E">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②若原投标报价无相同的子目，但有类似的子目，则按类似项目的综合单价对相应子目、消耗量、单价等进行调整换算，原管理费、利润水平不变（若招标文件的工程量清单列出多个同类项目，而中标的投标报价有不同的综合单价，则该类项目的单价换取工料机水平最高即消耗量最少的、管理费和利润取费最低的综合单价进行分析换算）。新增材料单价按照施工期广州市造价管理站的《广州地区建设工程常用材料综合价格》计算，《综合价格》没有的材料单价，则参照《建设工程材料(设备)厂商价格信息》并按规定下浮率下浮计算。综合价格及《建设工程材料（设备）厂商价格信息》都没有的材料单价，参考发包人及监理工程师审核确认的有效发票的材料单价计算，或由建设单位、代建单位、监理单位、施工单位按实际使用的厂家、品牌、规格、质量等进行市场询价后报相关部门审核确定。</w:t>
      </w:r>
    </w:p>
    <w:p w14:paraId="703C3454">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③中标的投标文件工程量清单中没有相同项目或类似项目的，则作为新增项目，采用清单计价方式，套用相对应现行最新定额（2018）计价子目。新增材料单价按照施工期广州市造价管理站的《广州地区建设工程常用材料综合价格》计算，《综合价格》没有的材料单价，则参照《建设工程材料(设备)厂商价格信息》并按规定下浮率下浮计算。综合价格及《建设工程材料（设备）厂商价格信息》都没有的材料单价，参考发包人及监理工程师审核确认的有效发票的材料单价计算，或由建设单位、代建单位、监理单位、施工单位按实际使用的厂家、品牌、规格、质量等进行市场询价后报相关部门审核确定。对于新增工程项目，按投标时投标下浮率下浮，投标下浮率=（招标控制价-中标价）/招标控制价*100%。其中发包人依法供应的材料价格原则上不下浮。</w:t>
      </w:r>
    </w:p>
    <w:p w14:paraId="40C5E31C">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④若相应定额都没有相关的子目由承包人提出申请，报监理单位及发包人审核确认后执行。</w:t>
      </w:r>
    </w:p>
    <w:p w14:paraId="5E227690">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2）若由于发包人的原因发生相同规格的主材用料变更的，不调整单价，单独结算主材价差，计算式为：（变更后的主材单价-原主材单价）×工程量×（1+损耗率）×（1+规费+税率）。投标书没有的材料按施工期广州地区的材料综合价格计算；若综合价格无的材料，参照《建设工程材料（设备）厂商价格信息》并按规定下浮率下浮计算，由发包人与承包人在施工前或采购前议商并按议商后的材料价格进行计算，综合价与厂商价格信息都没有的材料，由承包人报监理单位和发包人审核,并按审核后的材料价格后作为结算依据。</w:t>
      </w:r>
    </w:p>
    <w:p w14:paraId="216266D1">
      <w:pPr>
        <w:adjustRightInd w:val="0"/>
        <w:snapToGrid w:val="0"/>
        <w:spacing w:line="360" w:lineRule="auto"/>
        <w:ind w:right="11" w:firstLine="460" w:firstLineChars="192"/>
        <w:outlineLvl w:val="3"/>
        <w:rPr>
          <w:b/>
          <w:snapToGrid w:val="0"/>
          <w:color w:val="auto"/>
          <w:highlight w:val="none"/>
        </w:rPr>
      </w:pPr>
      <w:r>
        <w:rPr>
          <w:rFonts w:hint="eastAsia" w:ascii="宋体" w:hAnsi="宋体"/>
          <w:snapToGrid w:val="0"/>
          <w:color w:val="auto"/>
          <w:kern w:val="0"/>
          <w:sz w:val="24"/>
          <w:highlight w:val="none"/>
        </w:rPr>
        <w:t>（3）若在原施工图（招标工程清单）或承包范围外增加工程，其计价方法为：增加工程量×综合单价×（1+规费+税率）。</w:t>
      </w:r>
    </w:p>
    <w:p w14:paraId="1D73D571">
      <w:pPr>
        <w:adjustRightInd w:val="0"/>
        <w:snapToGrid w:val="0"/>
        <w:spacing w:line="360" w:lineRule="auto"/>
        <w:ind w:right="11"/>
        <w:outlineLvl w:val="1"/>
        <w:rPr>
          <w:rFonts w:ascii="宋体" w:hAnsi="宋体"/>
          <w:b/>
          <w:bCs/>
          <w:snapToGrid w:val="0"/>
          <w:color w:val="auto"/>
          <w:kern w:val="0"/>
          <w:sz w:val="28"/>
          <w:szCs w:val="28"/>
          <w:highlight w:val="none"/>
        </w:rPr>
      </w:pPr>
      <w:r>
        <w:rPr>
          <w:rFonts w:hint="eastAsia" w:ascii="宋体" w:hAnsi="宋体"/>
          <w:b/>
          <w:bCs/>
          <w:snapToGrid w:val="0"/>
          <w:color w:val="auto"/>
          <w:kern w:val="0"/>
          <w:sz w:val="28"/>
          <w:szCs w:val="28"/>
          <w:highlight w:val="none"/>
        </w:rPr>
        <w:t>九、竣工验收与结算</w:t>
      </w:r>
    </w:p>
    <w:p w14:paraId="705A417D">
      <w:pPr>
        <w:adjustRightInd w:val="0"/>
        <w:snapToGrid w:val="0"/>
        <w:spacing w:line="360" w:lineRule="auto"/>
        <w:ind w:firstLine="480"/>
        <w:rPr>
          <w:rFonts w:ascii="宋体" w:hAnsi="宋体"/>
          <w:b/>
          <w:snapToGrid w:val="0"/>
          <w:color w:val="auto"/>
          <w:kern w:val="0"/>
          <w:sz w:val="24"/>
          <w:highlight w:val="none"/>
        </w:rPr>
      </w:pPr>
      <w:r>
        <w:rPr>
          <w:rFonts w:hint="eastAsia" w:ascii="宋体" w:hAnsi="宋体"/>
          <w:b/>
          <w:snapToGrid w:val="0"/>
          <w:color w:val="auto"/>
          <w:kern w:val="0"/>
          <w:sz w:val="24"/>
          <w:highlight w:val="none"/>
        </w:rPr>
        <w:t>承包人与发包人一致同意不适用合同通用条款第34条的约定，代之以：</w:t>
      </w:r>
    </w:p>
    <w:p w14:paraId="128D3864">
      <w:pPr>
        <w:adjustRightInd w:val="0"/>
        <w:snapToGrid w:val="0"/>
        <w:spacing w:line="360" w:lineRule="auto"/>
        <w:ind w:right="11" w:firstLine="463" w:firstLineChars="192"/>
        <w:outlineLvl w:val="2"/>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34、竣工验收</w:t>
      </w:r>
    </w:p>
    <w:p w14:paraId="56652D97">
      <w:pPr>
        <w:adjustRightInd w:val="0"/>
        <w:snapToGrid w:val="0"/>
        <w:spacing w:line="360" w:lineRule="auto"/>
        <w:ind w:firstLine="48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34.1工程具备竣工验收条件，承包人按国家工程竣工验收有关规定，向发包人提供完整竣工资料（包含竣工图）及竣工验收报告。</w:t>
      </w:r>
    </w:p>
    <w:p w14:paraId="27B1957F">
      <w:pPr>
        <w:adjustRightInd w:val="0"/>
        <w:snapToGrid w:val="0"/>
        <w:spacing w:line="360" w:lineRule="auto"/>
        <w:ind w:firstLine="48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34.2发包人收到竣工验收报告并审核竣工文件后，如认为承包人竣工文件不能符合竣工要求，应书面通知承包人整改，承包人按要求整改后重新提出竣工验收报告。发包人收到竣工验收报告并审核竣工文件通过后28天内组织有关单位进行验收。</w:t>
      </w:r>
    </w:p>
    <w:p w14:paraId="304D7E18">
      <w:pPr>
        <w:adjustRightInd w:val="0"/>
        <w:snapToGrid w:val="0"/>
        <w:spacing w:line="360" w:lineRule="auto"/>
        <w:ind w:firstLine="48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34.3发包人应在验收后14天内给予认可或提出修改意见。承包人按要求修改，并承担由自身原因造成修改的费用。</w:t>
      </w:r>
    </w:p>
    <w:p w14:paraId="70322FA7">
      <w:pPr>
        <w:adjustRightInd w:val="0"/>
        <w:snapToGrid w:val="0"/>
        <w:spacing w:line="360" w:lineRule="auto"/>
        <w:ind w:firstLine="48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34.4发包人收到承包人送交的竣工验收报告后28天内无故不组织验收，或验收后14天内不提出修改意见，视为竣工验收报告已被认可。</w:t>
      </w:r>
    </w:p>
    <w:p w14:paraId="5CD2FD17">
      <w:pPr>
        <w:adjustRightInd w:val="0"/>
        <w:snapToGrid w:val="0"/>
        <w:spacing w:line="360" w:lineRule="auto"/>
        <w:ind w:firstLine="48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34.5工程竣工验收通过，承包人送交竣工验收报告的日期为实际竣工日期。工程按发包人要求修改后通过竣工验收的，实际竣工日期为承包人修改后提请发包人验收的日期。</w:t>
      </w:r>
    </w:p>
    <w:p w14:paraId="23EAB30C">
      <w:pPr>
        <w:adjustRightInd w:val="0"/>
        <w:snapToGrid w:val="0"/>
        <w:spacing w:line="360" w:lineRule="auto"/>
        <w:ind w:firstLine="48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34.6发包人收到承包人竣工验收报告后28天内无故不组织验收，从第29天起承担工程保管及一切意外责任。</w:t>
      </w:r>
    </w:p>
    <w:p w14:paraId="3DE63E18">
      <w:pPr>
        <w:adjustRightInd w:val="0"/>
        <w:snapToGrid w:val="0"/>
        <w:spacing w:line="360" w:lineRule="auto"/>
        <w:ind w:firstLine="48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34.7中间交工工程的验收按合同专用条款第17条的约定办理。</w:t>
      </w:r>
    </w:p>
    <w:p w14:paraId="214A2A91">
      <w:pPr>
        <w:adjustRightInd w:val="0"/>
        <w:snapToGrid w:val="0"/>
        <w:spacing w:line="360" w:lineRule="auto"/>
        <w:ind w:firstLine="48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34.8因特殊原因，发包人要求部分单位工程或工程部位甩项竣工的，双方另行签订甩项竣工协议，明确双方责任和工程价款的支付方法。</w:t>
      </w:r>
    </w:p>
    <w:p w14:paraId="4EFC9ED7">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34</w:t>
      </w:r>
      <w:r>
        <w:rPr>
          <w:rFonts w:ascii="宋体" w:hAnsi="宋体"/>
          <w:snapToGrid w:val="0"/>
          <w:color w:val="auto"/>
          <w:kern w:val="0"/>
          <w:sz w:val="24"/>
          <w:highlight w:val="none"/>
        </w:rPr>
        <w:t>.</w:t>
      </w:r>
      <w:r>
        <w:rPr>
          <w:rFonts w:hint="eastAsia" w:ascii="宋体" w:hAnsi="宋体"/>
          <w:snapToGrid w:val="0"/>
          <w:color w:val="auto"/>
          <w:kern w:val="0"/>
          <w:sz w:val="24"/>
          <w:highlight w:val="none"/>
        </w:rPr>
        <w:t>9经验收评定，工程质量及工程内容符合合同要求的，发包人、承包人、监理单位及设计单位均应在工程竣工验收证明书上盖章签字；工程质量不合格或工程内容有尚未完成者，由承包人在商定的期限内进行修补后，再进行竣工验收，直至达到完全符合合同要求为止，并按最后验收合格的日期作为竣工日期，由此产生的一切费用均由承包人负责。</w:t>
      </w:r>
    </w:p>
    <w:p w14:paraId="58943C53">
      <w:pPr>
        <w:adjustRightInd w:val="0"/>
        <w:snapToGrid w:val="0"/>
        <w:spacing w:line="360" w:lineRule="auto"/>
        <w:ind w:firstLine="48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34.10工程未经竣工验收或竣工验收未通过的，发包人不得使用。发包人强行使用时，由此发生的质量问题及其他问题，由发包人承担责任。</w:t>
      </w:r>
    </w:p>
    <w:p w14:paraId="6D06CD1C">
      <w:pPr>
        <w:adjustRightInd w:val="0"/>
        <w:snapToGrid w:val="0"/>
        <w:spacing w:line="360" w:lineRule="auto"/>
        <w:ind w:firstLine="48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34.11承包人应按如下程序进行竣工资料准备：</w:t>
      </w:r>
    </w:p>
    <w:p w14:paraId="53BBA633">
      <w:pPr>
        <w:adjustRightInd w:val="0"/>
        <w:snapToGrid w:val="0"/>
        <w:spacing w:line="360" w:lineRule="auto"/>
        <w:ind w:firstLine="480"/>
        <w:rPr>
          <w:rFonts w:ascii="宋体" w:hAnsi="宋体"/>
          <w:snapToGrid w:val="0"/>
          <w:color w:val="auto"/>
          <w:kern w:val="0"/>
          <w:sz w:val="24"/>
          <w:highlight w:val="none"/>
        </w:rPr>
      </w:pPr>
      <w:r>
        <w:rPr>
          <w:rFonts w:hint="eastAsia" w:ascii="宋体" w:hAnsi="宋体"/>
          <w:snapToGrid w:val="0"/>
          <w:color w:val="auto"/>
          <w:kern w:val="0"/>
          <w:sz w:val="24"/>
          <w:highlight w:val="none"/>
        </w:rPr>
        <w:t>（1）承包人有责任根据竣工验收要求对分包单位所绘制的竣工图进行符合性审查。</w:t>
      </w:r>
    </w:p>
    <w:p w14:paraId="7AFD63FC">
      <w:pPr>
        <w:adjustRightInd w:val="0"/>
        <w:snapToGrid w:val="0"/>
        <w:spacing w:line="360" w:lineRule="auto"/>
        <w:ind w:firstLine="480"/>
        <w:rPr>
          <w:rFonts w:ascii="宋体" w:hAnsi="宋体"/>
          <w:snapToGrid w:val="0"/>
          <w:color w:val="auto"/>
          <w:kern w:val="0"/>
          <w:sz w:val="24"/>
          <w:highlight w:val="none"/>
        </w:rPr>
      </w:pPr>
      <w:r>
        <w:rPr>
          <w:rFonts w:hint="eastAsia" w:ascii="宋体" w:hAnsi="宋体"/>
          <w:snapToGrid w:val="0"/>
          <w:color w:val="auto"/>
          <w:kern w:val="0"/>
          <w:sz w:val="24"/>
          <w:highlight w:val="none"/>
        </w:rPr>
        <w:t>（2）承包人有义务对专业管理、分包单位的工程资料按照国家《城市建设档案管理规定》、《建筑工程施工技术资料编制指南（2012年版）》（广州市建设工程质量监督站主编）、《广州市建设工程档案编制指南（2009版）》（广州市城市建设档案馆主编）、</w:t>
      </w:r>
      <w:r>
        <w:rPr>
          <w:rFonts w:hint="eastAsia"/>
          <w:color w:val="auto"/>
          <w:sz w:val="24"/>
          <w:szCs w:val="24"/>
          <w:highlight w:val="none"/>
        </w:rPr>
        <w:t>《广州市人民政府关于印发广州市城乡建设档案管理办法的通知》（穗府规[2018]11号）等相关文件要求</w:t>
      </w:r>
      <w:r>
        <w:rPr>
          <w:rFonts w:hint="eastAsia" w:ascii="宋体" w:hAnsi="宋体"/>
          <w:snapToGrid w:val="0"/>
          <w:color w:val="auto"/>
          <w:kern w:val="0"/>
          <w:sz w:val="24"/>
          <w:szCs w:val="24"/>
          <w:highlight w:val="none"/>
        </w:rPr>
        <w:t>和</w:t>
      </w:r>
      <w:r>
        <w:rPr>
          <w:rFonts w:hint="eastAsia" w:ascii="宋体" w:hAnsi="宋体"/>
          <w:snapToGrid w:val="0"/>
          <w:color w:val="auto"/>
          <w:kern w:val="0"/>
          <w:sz w:val="24"/>
          <w:highlight w:val="none"/>
        </w:rPr>
        <w:t>发包人的具体要求进行收集、整理、编制、汇总和管理。</w:t>
      </w:r>
    </w:p>
    <w:p w14:paraId="2A4B046E">
      <w:pPr>
        <w:adjustRightInd w:val="0"/>
        <w:snapToGrid w:val="0"/>
        <w:spacing w:line="360" w:lineRule="auto"/>
        <w:ind w:firstLine="48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34</w:t>
      </w:r>
      <w:r>
        <w:rPr>
          <w:rFonts w:ascii="宋体" w:hAnsi="宋体"/>
          <w:snapToGrid w:val="0"/>
          <w:color w:val="auto"/>
          <w:kern w:val="0"/>
          <w:sz w:val="24"/>
          <w:highlight w:val="none"/>
        </w:rPr>
        <w:t>.</w:t>
      </w:r>
      <w:r>
        <w:rPr>
          <w:rFonts w:hint="eastAsia" w:ascii="宋体" w:hAnsi="宋体"/>
          <w:snapToGrid w:val="0"/>
          <w:color w:val="auto"/>
          <w:kern w:val="0"/>
          <w:sz w:val="24"/>
          <w:highlight w:val="none"/>
        </w:rPr>
        <w:t>12验收依据和标准：施工图纸，图纸说明，设计变更资料和图纸，技术交底及会议纪要，国家颁布的施工验收规范、规定，以及本工程专家委员会根据国家有关标准、规范制订的针对本工程特殊子项的施工规范及验收标准。</w:t>
      </w:r>
    </w:p>
    <w:p w14:paraId="715D3F71">
      <w:pPr>
        <w:adjustRightInd w:val="0"/>
        <w:snapToGrid w:val="0"/>
        <w:spacing w:line="360" w:lineRule="auto"/>
        <w:ind w:firstLine="48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34.13专业分包工程需单独验收的，经承包人预验合格后，属专业分包项目的再报监理单位进行监理预验；不属专业分包项目的由房建施工监理单位进行监理预验，合格后由该分包单位与专业工程验收管理部门、监理单位、发包人协商确定验收时间，并及时通知承包人参与验收。</w:t>
      </w:r>
    </w:p>
    <w:p w14:paraId="0D35843B">
      <w:pPr>
        <w:adjustRightInd w:val="0"/>
        <w:snapToGrid w:val="0"/>
        <w:spacing w:line="360" w:lineRule="auto"/>
        <w:ind w:firstLine="48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34.14专业分包工程不需要办理单独验收的，经承包人预验合格后，属专业分包项目的再报监理单位进行监理预验；不属专业分包项目的由房建施工监理单位进行监理预验，合格后由分包单位、承包人、施工监理单位、发包人协商验收。</w:t>
      </w:r>
    </w:p>
    <w:p w14:paraId="3531929A">
      <w:pPr>
        <w:adjustRightInd w:val="0"/>
        <w:snapToGrid w:val="0"/>
        <w:spacing w:line="360" w:lineRule="auto"/>
        <w:ind w:firstLine="48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34.15承包人必须全力配合发包人组织的专项验收工作，包括但不限于消防验收、规划验收、电梯验收、环保验收、人防验收、卫生防疫验收等。</w:t>
      </w:r>
    </w:p>
    <w:p w14:paraId="63D24006">
      <w:pPr>
        <w:adjustRightInd w:val="0"/>
        <w:snapToGrid w:val="0"/>
        <w:spacing w:line="360" w:lineRule="auto"/>
        <w:ind w:right="11" w:firstLine="463" w:firstLineChars="192"/>
        <w:outlineLvl w:val="2"/>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35、工程移交</w:t>
      </w:r>
    </w:p>
    <w:p w14:paraId="667B1EE3">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ascii="宋体" w:hAnsi="宋体"/>
          <w:snapToGrid w:val="0"/>
          <w:color w:val="auto"/>
          <w:kern w:val="0"/>
          <w:sz w:val="24"/>
          <w:highlight w:val="none"/>
        </w:rPr>
        <w:t>3</w:t>
      </w:r>
      <w:r>
        <w:rPr>
          <w:rFonts w:hint="eastAsia" w:ascii="宋体" w:hAnsi="宋体"/>
          <w:snapToGrid w:val="0"/>
          <w:color w:val="auto"/>
          <w:kern w:val="0"/>
          <w:sz w:val="24"/>
          <w:highlight w:val="none"/>
        </w:rPr>
        <w:t>5</w:t>
      </w:r>
      <w:r>
        <w:rPr>
          <w:rFonts w:ascii="宋体" w:hAnsi="宋体"/>
          <w:snapToGrid w:val="0"/>
          <w:color w:val="auto"/>
          <w:kern w:val="0"/>
          <w:sz w:val="24"/>
          <w:highlight w:val="none"/>
        </w:rPr>
        <w:t>.1</w:t>
      </w:r>
      <w:r>
        <w:rPr>
          <w:rFonts w:hint="eastAsia" w:ascii="宋体" w:hAnsi="宋体"/>
          <w:snapToGrid w:val="0"/>
          <w:color w:val="auto"/>
          <w:kern w:val="0"/>
          <w:sz w:val="24"/>
          <w:highlight w:val="none"/>
        </w:rPr>
        <w:t>承包人应在工程项目移交前将场地清理干净，将无关机械设备及材料撤离现场，保证移交的工程项目环境洁净、安全卫生。</w:t>
      </w:r>
    </w:p>
    <w:p w14:paraId="7C70546A">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ascii="宋体" w:hAnsi="宋体"/>
          <w:snapToGrid w:val="0"/>
          <w:color w:val="auto"/>
          <w:kern w:val="0"/>
          <w:sz w:val="24"/>
          <w:highlight w:val="none"/>
        </w:rPr>
        <w:t>3</w:t>
      </w:r>
      <w:r>
        <w:rPr>
          <w:rFonts w:hint="eastAsia" w:ascii="宋体" w:hAnsi="宋体"/>
          <w:snapToGrid w:val="0"/>
          <w:color w:val="auto"/>
          <w:kern w:val="0"/>
          <w:sz w:val="24"/>
          <w:highlight w:val="none"/>
        </w:rPr>
        <w:t>5</w:t>
      </w:r>
      <w:r>
        <w:rPr>
          <w:rFonts w:ascii="宋体" w:hAnsi="宋体"/>
          <w:snapToGrid w:val="0"/>
          <w:color w:val="auto"/>
          <w:kern w:val="0"/>
          <w:sz w:val="24"/>
          <w:highlight w:val="none"/>
        </w:rPr>
        <w:t>.</w:t>
      </w:r>
      <w:r>
        <w:rPr>
          <w:rFonts w:hint="eastAsia" w:ascii="宋体" w:hAnsi="宋体"/>
          <w:snapToGrid w:val="0"/>
          <w:color w:val="auto"/>
          <w:kern w:val="0"/>
          <w:sz w:val="24"/>
          <w:highlight w:val="none"/>
        </w:rPr>
        <w:t>2承包人应于</w:t>
      </w:r>
      <w:r>
        <w:rPr>
          <w:rFonts w:ascii="宋体" w:hAnsi="宋体"/>
          <w:snapToGrid w:val="0"/>
          <w:color w:val="auto"/>
          <w:kern w:val="0"/>
          <w:sz w:val="24"/>
          <w:highlight w:val="none"/>
        </w:rPr>
        <w:t>工程</w:t>
      </w:r>
      <w:r>
        <w:rPr>
          <w:rFonts w:hint="eastAsia" w:ascii="宋体" w:hAnsi="宋体"/>
          <w:snapToGrid w:val="0"/>
          <w:color w:val="auto"/>
          <w:kern w:val="0"/>
          <w:sz w:val="24"/>
          <w:highlight w:val="none"/>
        </w:rPr>
        <w:t>竣工验收合格后</w:t>
      </w:r>
      <w:r>
        <w:rPr>
          <w:rFonts w:ascii="宋体" w:hAnsi="宋体"/>
          <w:snapToGrid w:val="0"/>
          <w:color w:val="auto"/>
          <w:kern w:val="0"/>
          <w:sz w:val="24"/>
          <w:highlight w:val="none"/>
        </w:rPr>
        <w:t>1</w:t>
      </w:r>
      <w:r>
        <w:rPr>
          <w:rFonts w:hint="eastAsia" w:ascii="宋体" w:hAnsi="宋体"/>
          <w:snapToGrid w:val="0"/>
          <w:color w:val="auto"/>
          <w:kern w:val="0"/>
          <w:sz w:val="24"/>
          <w:highlight w:val="none"/>
        </w:rPr>
        <w:t>5天内按要求提供相关资料，整理汇编成工程移交手册，</w:t>
      </w:r>
      <w:r>
        <w:rPr>
          <w:rFonts w:ascii="宋体" w:hAnsi="宋体"/>
          <w:snapToGrid w:val="0"/>
          <w:color w:val="auto"/>
          <w:kern w:val="0"/>
          <w:sz w:val="24"/>
          <w:highlight w:val="none"/>
        </w:rPr>
        <w:t>协助项目产权管理单位尽快熟悉工程项目各部分（建筑单体、小区市政、周边</w:t>
      </w:r>
      <w:r>
        <w:rPr>
          <w:rFonts w:hint="eastAsia" w:ascii="宋体" w:hAnsi="宋体"/>
          <w:snapToGrid w:val="0"/>
          <w:color w:val="auto"/>
          <w:kern w:val="0"/>
          <w:sz w:val="24"/>
          <w:highlight w:val="none"/>
        </w:rPr>
        <w:t>管线</w:t>
      </w:r>
      <w:r>
        <w:rPr>
          <w:rFonts w:ascii="宋体" w:hAnsi="宋体"/>
          <w:snapToGrid w:val="0"/>
          <w:color w:val="auto"/>
          <w:kern w:val="0"/>
          <w:sz w:val="24"/>
          <w:highlight w:val="none"/>
        </w:rPr>
        <w:t>等）</w:t>
      </w:r>
      <w:r>
        <w:rPr>
          <w:rFonts w:hint="eastAsia" w:ascii="宋体" w:hAnsi="宋体"/>
          <w:snapToGrid w:val="0"/>
          <w:color w:val="auto"/>
          <w:kern w:val="0"/>
          <w:sz w:val="24"/>
          <w:highlight w:val="none"/>
        </w:rPr>
        <w:t>、</w:t>
      </w:r>
      <w:r>
        <w:rPr>
          <w:rFonts w:ascii="宋体" w:hAnsi="宋体"/>
          <w:snapToGrid w:val="0"/>
          <w:color w:val="auto"/>
          <w:kern w:val="0"/>
          <w:sz w:val="24"/>
          <w:highlight w:val="none"/>
        </w:rPr>
        <w:t>各系统（电梯、消防、空调、供水、供电、弱电等）的情况，为项目产权管理单位的接收、使用、维护、管理</w:t>
      </w:r>
      <w:r>
        <w:rPr>
          <w:rFonts w:hint="eastAsia" w:ascii="宋体" w:hAnsi="宋体"/>
          <w:snapToGrid w:val="0"/>
          <w:color w:val="auto"/>
          <w:kern w:val="0"/>
          <w:sz w:val="24"/>
          <w:highlight w:val="none"/>
        </w:rPr>
        <w:t>作</w:t>
      </w:r>
      <w:r>
        <w:rPr>
          <w:rFonts w:ascii="宋体" w:hAnsi="宋体"/>
          <w:snapToGrid w:val="0"/>
          <w:color w:val="auto"/>
          <w:kern w:val="0"/>
          <w:sz w:val="24"/>
          <w:highlight w:val="none"/>
        </w:rPr>
        <w:t>准备。移交手册包括</w:t>
      </w:r>
      <w:r>
        <w:rPr>
          <w:rFonts w:hint="eastAsia" w:ascii="宋体" w:hAnsi="宋体"/>
          <w:snapToGrid w:val="0"/>
          <w:color w:val="auto"/>
          <w:kern w:val="0"/>
          <w:sz w:val="24"/>
          <w:highlight w:val="none"/>
        </w:rPr>
        <w:t>但不限于以下内容</w:t>
      </w:r>
      <w:r>
        <w:rPr>
          <w:rFonts w:ascii="宋体" w:hAnsi="宋体"/>
          <w:snapToGrid w:val="0"/>
          <w:color w:val="auto"/>
          <w:kern w:val="0"/>
          <w:sz w:val="24"/>
          <w:highlight w:val="none"/>
        </w:rPr>
        <w:t>：</w:t>
      </w:r>
    </w:p>
    <w:p w14:paraId="2F6BA343">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（1）</w:t>
      </w:r>
      <w:r>
        <w:rPr>
          <w:rFonts w:ascii="宋体" w:hAnsi="宋体"/>
          <w:snapToGrid w:val="0"/>
          <w:color w:val="auto"/>
          <w:kern w:val="0"/>
          <w:sz w:val="24"/>
          <w:highlight w:val="none"/>
        </w:rPr>
        <w:t>工程项目各部分、各系统的工程概况；</w:t>
      </w:r>
    </w:p>
    <w:p w14:paraId="6218D7E4">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（2）</w:t>
      </w:r>
      <w:r>
        <w:rPr>
          <w:rFonts w:ascii="宋体" w:hAnsi="宋体"/>
          <w:snapToGrid w:val="0"/>
          <w:color w:val="auto"/>
          <w:kern w:val="0"/>
          <w:sz w:val="24"/>
          <w:highlight w:val="none"/>
        </w:rPr>
        <w:t>工程项目全部的图纸</w:t>
      </w:r>
      <w:r>
        <w:rPr>
          <w:rFonts w:hint="eastAsia" w:ascii="宋体" w:hAnsi="宋体"/>
          <w:snapToGrid w:val="0"/>
          <w:color w:val="auto"/>
          <w:kern w:val="0"/>
          <w:sz w:val="24"/>
          <w:highlight w:val="none"/>
        </w:rPr>
        <w:t>及</w:t>
      </w:r>
      <w:r>
        <w:rPr>
          <w:rFonts w:ascii="宋体" w:hAnsi="宋体"/>
          <w:snapToGrid w:val="0"/>
          <w:color w:val="auto"/>
          <w:kern w:val="0"/>
          <w:sz w:val="24"/>
          <w:highlight w:val="none"/>
        </w:rPr>
        <w:t>清单；</w:t>
      </w:r>
    </w:p>
    <w:p w14:paraId="6ADC2DE1">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（3）</w:t>
      </w:r>
      <w:r>
        <w:rPr>
          <w:rFonts w:ascii="宋体" w:hAnsi="宋体"/>
          <w:snapToGrid w:val="0"/>
          <w:color w:val="auto"/>
          <w:kern w:val="0"/>
          <w:sz w:val="24"/>
          <w:highlight w:val="none"/>
        </w:rPr>
        <w:t>工程项目的承包人、主要材料设备供货商清单、联系人及电话；</w:t>
      </w:r>
    </w:p>
    <w:p w14:paraId="6FBC6664">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（4）</w:t>
      </w:r>
      <w:r>
        <w:rPr>
          <w:rFonts w:ascii="宋体" w:hAnsi="宋体"/>
          <w:snapToGrid w:val="0"/>
          <w:color w:val="auto"/>
          <w:kern w:val="0"/>
          <w:sz w:val="24"/>
          <w:highlight w:val="none"/>
        </w:rPr>
        <w:t>各系统的设计功能、使用功能或使用说明；</w:t>
      </w:r>
    </w:p>
    <w:p w14:paraId="6326389C">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（5）</w:t>
      </w:r>
      <w:r>
        <w:rPr>
          <w:rFonts w:ascii="宋体" w:hAnsi="宋体"/>
          <w:snapToGrid w:val="0"/>
          <w:color w:val="auto"/>
          <w:kern w:val="0"/>
          <w:sz w:val="24"/>
          <w:highlight w:val="none"/>
        </w:rPr>
        <w:t>电梯、空调、发电机等主要设备的运行参数；</w:t>
      </w:r>
    </w:p>
    <w:p w14:paraId="1C4E6E9C">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（6）</w:t>
      </w:r>
      <w:r>
        <w:rPr>
          <w:rFonts w:ascii="宋体" w:hAnsi="宋体"/>
          <w:snapToGrid w:val="0"/>
          <w:color w:val="auto"/>
          <w:kern w:val="0"/>
          <w:sz w:val="24"/>
          <w:highlight w:val="none"/>
        </w:rPr>
        <w:t>主要材料设备的数量；</w:t>
      </w:r>
    </w:p>
    <w:p w14:paraId="365A141D">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（7）工程、材料、设备的保修书（包括保修内容、期限、联系人、电话等）。</w:t>
      </w:r>
    </w:p>
    <w:p w14:paraId="686EF232">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ascii="宋体" w:hAnsi="宋体"/>
          <w:snapToGrid w:val="0"/>
          <w:color w:val="auto"/>
          <w:kern w:val="0"/>
          <w:sz w:val="24"/>
          <w:highlight w:val="none"/>
        </w:rPr>
        <w:t>3</w:t>
      </w:r>
      <w:r>
        <w:rPr>
          <w:rFonts w:hint="eastAsia" w:ascii="宋体" w:hAnsi="宋体"/>
          <w:snapToGrid w:val="0"/>
          <w:color w:val="auto"/>
          <w:kern w:val="0"/>
          <w:sz w:val="24"/>
          <w:highlight w:val="none"/>
        </w:rPr>
        <w:t>5</w:t>
      </w:r>
      <w:r>
        <w:rPr>
          <w:rFonts w:ascii="宋体" w:hAnsi="宋体"/>
          <w:snapToGrid w:val="0"/>
          <w:color w:val="auto"/>
          <w:kern w:val="0"/>
          <w:sz w:val="24"/>
          <w:highlight w:val="none"/>
        </w:rPr>
        <w:t>.</w:t>
      </w:r>
      <w:r>
        <w:rPr>
          <w:rFonts w:hint="eastAsia" w:ascii="宋体" w:hAnsi="宋体"/>
          <w:snapToGrid w:val="0"/>
          <w:color w:val="auto"/>
          <w:kern w:val="0"/>
          <w:sz w:val="24"/>
          <w:highlight w:val="none"/>
        </w:rPr>
        <w:t>3承包人应在进行本条第</w:t>
      </w:r>
      <w:r>
        <w:rPr>
          <w:rFonts w:ascii="宋体" w:hAnsi="宋体"/>
          <w:snapToGrid w:val="0"/>
          <w:color w:val="auto"/>
          <w:kern w:val="0"/>
          <w:sz w:val="24"/>
          <w:highlight w:val="none"/>
        </w:rPr>
        <w:t>3</w:t>
      </w:r>
      <w:r>
        <w:rPr>
          <w:rFonts w:hint="eastAsia" w:ascii="宋体" w:hAnsi="宋体"/>
          <w:snapToGrid w:val="0"/>
          <w:color w:val="auto"/>
          <w:kern w:val="0"/>
          <w:sz w:val="24"/>
          <w:highlight w:val="none"/>
        </w:rPr>
        <w:t>5</w:t>
      </w:r>
      <w:r>
        <w:rPr>
          <w:rFonts w:ascii="宋体" w:hAnsi="宋体"/>
          <w:snapToGrid w:val="0"/>
          <w:color w:val="auto"/>
          <w:kern w:val="0"/>
          <w:sz w:val="24"/>
          <w:highlight w:val="none"/>
        </w:rPr>
        <w:t>.</w:t>
      </w:r>
      <w:r>
        <w:rPr>
          <w:rFonts w:hint="eastAsia" w:ascii="宋体" w:hAnsi="宋体"/>
          <w:snapToGrid w:val="0"/>
          <w:color w:val="auto"/>
          <w:kern w:val="0"/>
          <w:sz w:val="24"/>
          <w:highlight w:val="none"/>
        </w:rPr>
        <w:t>2款工作的同时</w:t>
      </w:r>
      <w:r>
        <w:rPr>
          <w:rFonts w:ascii="宋体" w:hAnsi="宋体"/>
          <w:snapToGrid w:val="0"/>
          <w:color w:val="auto"/>
          <w:kern w:val="0"/>
          <w:sz w:val="24"/>
          <w:highlight w:val="none"/>
        </w:rPr>
        <w:t>编写工程项目移交计划，</w:t>
      </w:r>
      <w:r>
        <w:rPr>
          <w:rFonts w:hint="eastAsia" w:ascii="宋体" w:hAnsi="宋体"/>
          <w:snapToGrid w:val="0"/>
          <w:color w:val="auto"/>
          <w:kern w:val="0"/>
          <w:sz w:val="24"/>
          <w:highlight w:val="none"/>
        </w:rPr>
        <w:t>并于本条第</w:t>
      </w:r>
      <w:r>
        <w:rPr>
          <w:rFonts w:ascii="宋体" w:hAnsi="宋体"/>
          <w:snapToGrid w:val="0"/>
          <w:color w:val="auto"/>
          <w:kern w:val="0"/>
          <w:sz w:val="24"/>
          <w:highlight w:val="none"/>
        </w:rPr>
        <w:t>3</w:t>
      </w:r>
      <w:r>
        <w:rPr>
          <w:rFonts w:hint="eastAsia" w:ascii="宋体" w:hAnsi="宋体"/>
          <w:snapToGrid w:val="0"/>
          <w:color w:val="auto"/>
          <w:kern w:val="0"/>
          <w:sz w:val="24"/>
          <w:highlight w:val="none"/>
        </w:rPr>
        <w:t>5</w:t>
      </w:r>
      <w:r>
        <w:rPr>
          <w:rFonts w:ascii="宋体" w:hAnsi="宋体"/>
          <w:snapToGrid w:val="0"/>
          <w:color w:val="auto"/>
          <w:kern w:val="0"/>
          <w:sz w:val="24"/>
          <w:highlight w:val="none"/>
        </w:rPr>
        <w:t>.</w:t>
      </w:r>
      <w:r>
        <w:rPr>
          <w:rFonts w:hint="eastAsia" w:ascii="宋体" w:hAnsi="宋体"/>
          <w:snapToGrid w:val="0"/>
          <w:color w:val="auto"/>
          <w:kern w:val="0"/>
          <w:sz w:val="24"/>
          <w:highlight w:val="none"/>
        </w:rPr>
        <w:t>2款工作完成后3天内</w:t>
      </w:r>
      <w:r>
        <w:rPr>
          <w:rFonts w:ascii="宋体" w:hAnsi="宋体"/>
          <w:snapToGrid w:val="0"/>
          <w:color w:val="auto"/>
          <w:kern w:val="0"/>
          <w:sz w:val="24"/>
          <w:highlight w:val="none"/>
        </w:rPr>
        <w:t>组织发包人、承包人、项目产权管理单位</w:t>
      </w:r>
      <w:r>
        <w:rPr>
          <w:rFonts w:hint="eastAsia" w:ascii="宋体" w:hAnsi="宋体"/>
          <w:snapToGrid w:val="0"/>
          <w:color w:val="auto"/>
          <w:kern w:val="0"/>
          <w:sz w:val="24"/>
          <w:highlight w:val="none"/>
        </w:rPr>
        <w:t>按如下程序</w:t>
      </w:r>
      <w:r>
        <w:rPr>
          <w:rFonts w:ascii="宋体" w:hAnsi="宋体"/>
          <w:snapToGrid w:val="0"/>
          <w:color w:val="auto"/>
          <w:kern w:val="0"/>
          <w:sz w:val="24"/>
          <w:highlight w:val="none"/>
        </w:rPr>
        <w:t>进行</w:t>
      </w:r>
      <w:r>
        <w:rPr>
          <w:rFonts w:hint="eastAsia" w:ascii="宋体" w:hAnsi="宋体"/>
          <w:snapToGrid w:val="0"/>
          <w:color w:val="auto"/>
          <w:kern w:val="0"/>
          <w:sz w:val="24"/>
          <w:highlight w:val="none"/>
        </w:rPr>
        <w:t>工程</w:t>
      </w:r>
      <w:r>
        <w:rPr>
          <w:rFonts w:ascii="宋体" w:hAnsi="宋体"/>
          <w:snapToGrid w:val="0"/>
          <w:color w:val="auto"/>
          <w:kern w:val="0"/>
          <w:sz w:val="24"/>
          <w:highlight w:val="none"/>
        </w:rPr>
        <w:t>项目移交：</w:t>
      </w:r>
    </w:p>
    <w:p w14:paraId="471B1999">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（1）</w:t>
      </w:r>
      <w:r>
        <w:rPr>
          <w:rFonts w:ascii="宋体" w:hAnsi="宋体"/>
          <w:snapToGrid w:val="0"/>
          <w:color w:val="auto"/>
          <w:kern w:val="0"/>
          <w:sz w:val="24"/>
          <w:highlight w:val="none"/>
        </w:rPr>
        <w:t>按移交手册的资料清单移交图纸、资料；</w:t>
      </w:r>
    </w:p>
    <w:p w14:paraId="3D411402">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（2）</w:t>
      </w:r>
      <w:r>
        <w:rPr>
          <w:rFonts w:ascii="宋体" w:hAnsi="宋体"/>
          <w:snapToGrid w:val="0"/>
          <w:color w:val="auto"/>
          <w:kern w:val="0"/>
          <w:sz w:val="24"/>
          <w:highlight w:val="none"/>
        </w:rPr>
        <w:t>按移交手册的数量清单清点主要材料设备的数量；</w:t>
      </w:r>
    </w:p>
    <w:p w14:paraId="5FE00769">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（3）</w:t>
      </w:r>
      <w:r>
        <w:rPr>
          <w:rFonts w:ascii="宋体" w:hAnsi="宋体"/>
          <w:snapToGrid w:val="0"/>
          <w:color w:val="auto"/>
          <w:kern w:val="0"/>
          <w:sz w:val="24"/>
          <w:highlight w:val="none"/>
        </w:rPr>
        <w:t>按移交手册的设计、使用功能说明进行必要的功能性试验</w:t>
      </w:r>
      <w:r>
        <w:rPr>
          <w:rFonts w:hint="eastAsia" w:ascii="宋体" w:hAnsi="宋体"/>
          <w:snapToGrid w:val="0"/>
          <w:color w:val="auto"/>
          <w:kern w:val="0"/>
          <w:sz w:val="24"/>
          <w:highlight w:val="none"/>
        </w:rPr>
        <w:t>（或组织各方参加政府指定机构、第三方检测机构进行的功能性试验）</w:t>
      </w:r>
      <w:r>
        <w:rPr>
          <w:rFonts w:ascii="宋体" w:hAnsi="宋体"/>
          <w:snapToGrid w:val="0"/>
          <w:color w:val="auto"/>
          <w:kern w:val="0"/>
          <w:sz w:val="24"/>
          <w:highlight w:val="none"/>
        </w:rPr>
        <w:t>；</w:t>
      </w:r>
    </w:p>
    <w:p w14:paraId="245DC60F">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（4）</w:t>
      </w:r>
      <w:r>
        <w:rPr>
          <w:rFonts w:ascii="宋体" w:hAnsi="宋体"/>
          <w:snapToGrid w:val="0"/>
          <w:color w:val="auto"/>
          <w:kern w:val="0"/>
          <w:sz w:val="24"/>
          <w:highlight w:val="none"/>
        </w:rPr>
        <w:t>按移交手册的说明进行系统的试运行</w:t>
      </w:r>
      <w:r>
        <w:rPr>
          <w:rFonts w:hint="eastAsia" w:ascii="宋体" w:hAnsi="宋体"/>
          <w:snapToGrid w:val="0"/>
          <w:color w:val="auto"/>
          <w:kern w:val="0"/>
          <w:sz w:val="24"/>
          <w:highlight w:val="none"/>
        </w:rPr>
        <w:t>（或组织各方参加政府指定机构、第三方检测机构进行的功能性试验）</w:t>
      </w:r>
      <w:r>
        <w:rPr>
          <w:rFonts w:ascii="宋体" w:hAnsi="宋体"/>
          <w:snapToGrid w:val="0"/>
          <w:color w:val="auto"/>
          <w:kern w:val="0"/>
          <w:sz w:val="24"/>
          <w:highlight w:val="none"/>
        </w:rPr>
        <w:t>，测试主要设备的运行参数；</w:t>
      </w:r>
    </w:p>
    <w:p w14:paraId="1BDE75FF">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（5）</w:t>
      </w:r>
      <w:r>
        <w:rPr>
          <w:rFonts w:ascii="宋体" w:hAnsi="宋体"/>
          <w:snapToGrid w:val="0"/>
          <w:color w:val="auto"/>
          <w:kern w:val="0"/>
          <w:sz w:val="24"/>
          <w:highlight w:val="none"/>
        </w:rPr>
        <w:t>组织发包人、承包人、项目产权管理单位各方对上述移交过程进行签认；</w:t>
      </w:r>
    </w:p>
    <w:p w14:paraId="487A67BF">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（6）</w:t>
      </w:r>
      <w:r>
        <w:rPr>
          <w:rFonts w:ascii="宋体" w:hAnsi="宋体"/>
          <w:snapToGrid w:val="0"/>
          <w:color w:val="auto"/>
          <w:kern w:val="0"/>
          <w:sz w:val="24"/>
          <w:highlight w:val="none"/>
        </w:rPr>
        <w:t>对移交过程中发现的质量问题进行记录并及时组织责任方进行维修，验收合格后重新组织移交；</w:t>
      </w:r>
    </w:p>
    <w:p w14:paraId="0840211E">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（7）对于某些在操作上有专门要求的机电系统（如消防、智能化等）编制培训计划，并按合同要求对</w:t>
      </w:r>
      <w:r>
        <w:rPr>
          <w:rFonts w:ascii="宋体" w:hAnsi="宋体"/>
          <w:snapToGrid w:val="0"/>
          <w:color w:val="auto"/>
          <w:kern w:val="0"/>
          <w:sz w:val="24"/>
          <w:highlight w:val="none"/>
        </w:rPr>
        <w:t>项目产权管理单位</w:t>
      </w:r>
      <w:r>
        <w:rPr>
          <w:rFonts w:hint="eastAsia" w:ascii="宋体" w:hAnsi="宋体"/>
          <w:snapToGrid w:val="0"/>
          <w:color w:val="auto"/>
          <w:kern w:val="0"/>
          <w:sz w:val="24"/>
          <w:highlight w:val="none"/>
        </w:rPr>
        <w:t>人员进行培训。</w:t>
      </w:r>
    </w:p>
    <w:p w14:paraId="49DE489A">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ascii="宋体" w:hAnsi="宋体"/>
          <w:snapToGrid w:val="0"/>
          <w:color w:val="auto"/>
          <w:kern w:val="0"/>
          <w:sz w:val="24"/>
          <w:highlight w:val="none"/>
        </w:rPr>
        <w:t>3</w:t>
      </w:r>
      <w:r>
        <w:rPr>
          <w:rFonts w:hint="eastAsia" w:ascii="宋体" w:hAnsi="宋体"/>
          <w:snapToGrid w:val="0"/>
          <w:color w:val="auto"/>
          <w:kern w:val="0"/>
          <w:sz w:val="24"/>
          <w:highlight w:val="none"/>
        </w:rPr>
        <w:t>5</w:t>
      </w:r>
      <w:r>
        <w:rPr>
          <w:rFonts w:ascii="宋体" w:hAnsi="宋体"/>
          <w:snapToGrid w:val="0"/>
          <w:color w:val="auto"/>
          <w:kern w:val="0"/>
          <w:sz w:val="24"/>
          <w:highlight w:val="none"/>
        </w:rPr>
        <w:t>.</w:t>
      </w:r>
      <w:r>
        <w:rPr>
          <w:rFonts w:hint="eastAsia" w:ascii="宋体" w:hAnsi="宋体"/>
          <w:snapToGrid w:val="0"/>
          <w:color w:val="auto"/>
          <w:kern w:val="0"/>
          <w:sz w:val="24"/>
          <w:highlight w:val="none"/>
        </w:rPr>
        <w:t>4承包人应按照国家《城市建设档案管理规定》、《广州市城市建设档案管理办法》和发包人有关整理工程档案的要求，在工程施工期间及时收集、汇总、整理、编制竣工档案，包括：</w:t>
      </w:r>
    </w:p>
    <w:p w14:paraId="40EC1479">
      <w:pPr>
        <w:adjustRightInd w:val="0"/>
        <w:snapToGrid w:val="0"/>
        <w:spacing w:line="360" w:lineRule="auto"/>
        <w:ind w:left="480"/>
        <w:rPr>
          <w:rFonts w:ascii="宋体" w:hAnsi="宋体"/>
          <w:snapToGrid w:val="0"/>
          <w:color w:val="auto"/>
          <w:kern w:val="0"/>
          <w:sz w:val="24"/>
          <w:highlight w:val="none"/>
        </w:rPr>
      </w:pPr>
      <w:r>
        <w:rPr>
          <w:rFonts w:hint="eastAsia" w:ascii="宋体" w:hAnsi="宋体"/>
          <w:snapToGrid w:val="0"/>
          <w:color w:val="auto"/>
          <w:kern w:val="0"/>
          <w:sz w:val="24"/>
          <w:highlight w:val="none"/>
        </w:rPr>
        <w:t>（1）竣工文件资料、竣工图档案（原件）各一式四份；</w:t>
      </w:r>
    </w:p>
    <w:p w14:paraId="2171CDB9">
      <w:pPr>
        <w:adjustRightInd w:val="0"/>
        <w:snapToGrid w:val="0"/>
        <w:spacing w:line="360" w:lineRule="auto"/>
        <w:ind w:left="480"/>
        <w:rPr>
          <w:rFonts w:ascii="宋体" w:hAnsi="宋体"/>
          <w:snapToGrid w:val="0"/>
          <w:color w:val="auto"/>
          <w:kern w:val="0"/>
          <w:sz w:val="24"/>
          <w:highlight w:val="none"/>
        </w:rPr>
      </w:pPr>
      <w:r>
        <w:rPr>
          <w:rFonts w:hint="eastAsia" w:ascii="宋体" w:hAnsi="宋体"/>
          <w:snapToGrid w:val="0"/>
          <w:color w:val="auto"/>
          <w:kern w:val="0"/>
          <w:sz w:val="24"/>
          <w:highlight w:val="none"/>
        </w:rPr>
        <w:t>（2）与本款（1）项内容相同的电子版档案一式二份；</w:t>
      </w:r>
    </w:p>
    <w:p w14:paraId="6BE6A0C0">
      <w:pPr>
        <w:adjustRightInd w:val="0"/>
        <w:snapToGrid w:val="0"/>
        <w:spacing w:line="360" w:lineRule="auto"/>
        <w:ind w:left="480"/>
        <w:rPr>
          <w:rFonts w:ascii="宋体" w:hAnsi="宋体"/>
          <w:snapToGrid w:val="0"/>
          <w:color w:val="auto"/>
          <w:kern w:val="0"/>
          <w:sz w:val="24"/>
          <w:highlight w:val="none"/>
        </w:rPr>
      </w:pPr>
      <w:r>
        <w:rPr>
          <w:rFonts w:hint="eastAsia" w:ascii="宋体" w:hAnsi="宋体"/>
          <w:snapToGrid w:val="0"/>
          <w:color w:val="auto"/>
          <w:kern w:val="0"/>
          <w:sz w:val="24"/>
          <w:highlight w:val="none"/>
        </w:rPr>
        <w:t>（3）声像档案一式二份。</w:t>
      </w:r>
    </w:p>
    <w:p w14:paraId="6D2903DC">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ascii="宋体" w:hAnsi="宋体"/>
          <w:snapToGrid w:val="0"/>
          <w:color w:val="auto"/>
          <w:kern w:val="0"/>
          <w:sz w:val="24"/>
          <w:highlight w:val="none"/>
        </w:rPr>
        <w:t>3</w:t>
      </w:r>
      <w:r>
        <w:rPr>
          <w:rFonts w:hint="eastAsia" w:ascii="宋体" w:hAnsi="宋体"/>
          <w:snapToGrid w:val="0"/>
          <w:color w:val="auto"/>
          <w:kern w:val="0"/>
          <w:sz w:val="24"/>
          <w:highlight w:val="none"/>
        </w:rPr>
        <w:t>5</w:t>
      </w:r>
      <w:r>
        <w:rPr>
          <w:rFonts w:ascii="宋体" w:hAnsi="宋体"/>
          <w:snapToGrid w:val="0"/>
          <w:color w:val="auto"/>
          <w:kern w:val="0"/>
          <w:sz w:val="24"/>
          <w:highlight w:val="none"/>
        </w:rPr>
        <w:t>.</w:t>
      </w:r>
      <w:r>
        <w:rPr>
          <w:rFonts w:hint="eastAsia" w:ascii="宋体" w:hAnsi="宋体"/>
          <w:snapToGrid w:val="0"/>
          <w:color w:val="auto"/>
          <w:kern w:val="0"/>
          <w:sz w:val="24"/>
          <w:highlight w:val="none"/>
        </w:rPr>
        <w:t>5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w:t>
      </w:r>
      <w:r>
        <w:rPr>
          <w:rFonts w:ascii="宋体" w:hAnsi="宋体"/>
          <w:snapToGrid w:val="0"/>
          <w:color w:val="auto"/>
          <w:kern w:val="0"/>
          <w:sz w:val="24"/>
          <w:highlight w:val="none"/>
        </w:rPr>
        <w:t>10</w:t>
      </w:r>
      <w:r>
        <w:rPr>
          <w:rFonts w:hint="eastAsia" w:ascii="宋体" w:hAnsi="宋体"/>
          <w:snapToGrid w:val="0"/>
          <w:color w:val="auto"/>
          <w:kern w:val="0"/>
          <w:sz w:val="24"/>
          <w:highlight w:val="none"/>
        </w:rPr>
        <w:t>天内签署档案验收意见；不合格的，要求承包人限期补正，直至合格为止。</w:t>
      </w:r>
    </w:p>
    <w:p w14:paraId="3AD1A38E">
      <w:pPr>
        <w:adjustRightInd w:val="0"/>
        <w:snapToGrid w:val="0"/>
        <w:spacing w:line="360" w:lineRule="auto"/>
        <w:ind w:firstLine="480" w:firstLineChars="200"/>
        <w:outlineLvl w:val="3"/>
        <w:rPr>
          <w:rFonts w:ascii="宋体" w:hAnsi="宋体"/>
          <w:snapToGrid w:val="0"/>
          <w:color w:val="auto"/>
          <w:kern w:val="0"/>
          <w:sz w:val="24"/>
          <w:highlight w:val="none"/>
        </w:rPr>
      </w:pPr>
      <w:r>
        <w:rPr>
          <w:rFonts w:ascii="宋体" w:hAnsi="宋体"/>
          <w:snapToGrid w:val="0"/>
          <w:color w:val="auto"/>
          <w:kern w:val="0"/>
          <w:sz w:val="24"/>
          <w:highlight w:val="none"/>
        </w:rPr>
        <w:t>3</w:t>
      </w:r>
      <w:r>
        <w:rPr>
          <w:rFonts w:hint="eastAsia" w:ascii="宋体" w:hAnsi="宋体"/>
          <w:snapToGrid w:val="0"/>
          <w:color w:val="auto"/>
          <w:kern w:val="0"/>
          <w:sz w:val="24"/>
          <w:highlight w:val="none"/>
        </w:rPr>
        <w:t>5</w:t>
      </w:r>
      <w:r>
        <w:rPr>
          <w:rFonts w:ascii="宋体" w:hAnsi="宋体"/>
          <w:snapToGrid w:val="0"/>
          <w:color w:val="auto"/>
          <w:kern w:val="0"/>
          <w:sz w:val="24"/>
          <w:highlight w:val="none"/>
        </w:rPr>
        <w:t>.</w:t>
      </w:r>
      <w:r>
        <w:rPr>
          <w:rFonts w:hint="eastAsia" w:ascii="宋体" w:hAnsi="宋体"/>
          <w:snapToGrid w:val="0"/>
          <w:color w:val="auto"/>
          <w:kern w:val="0"/>
          <w:sz w:val="24"/>
          <w:highlight w:val="none"/>
        </w:rPr>
        <w:t>6电子版竣工图的编制，以发包人提供的电子版施工图为基础。承包人在移交竣工档案时，应一并移交发包人提供的电子版施工图。</w:t>
      </w:r>
    </w:p>
    <w:p w14:paraId="3573042A">
      <w:pPr>
        <w:adjustRightInd w:val="0"/>
        <w:snapToGrid w:val="0"/>
        <w:spacing w:line="360" w:lineRule="auto"/>
        <w:ind w:firstLine="480" w:firstLineChars="200"/>
        <w:outlineLvl w:val="3"/>
        <w:rPr>
          <w:rFonts w:ascii="宋体" w:hAnsi="宋体"/>
          <w:snapToGrid w:val="0"/>
          <w:color w:val="auto"/>
          <w:kern w:val="0"/>
          <w:sz w:val="24"/>
          <w:highlight w:val="none"/>
        </w:rPr>
      </w:pPr>
      <w:r>
        <w:rPr>
          <w:rFonts w:ascii="宋体" w:hAnsi="宋体"/>
          <w:snapToGrid w:val="0"/>
          <w:color w:val="auto"/>
          <w:kern w:val="0"/>
          <w:sz w:val="24"/>
          <w:highlight w:val="none"/>
        </w:rPr>
        <w:t>3</w:t>
      </w:r>
      <w:r>
        <w:rPr>
          <w:rFonts w:hint="eastAsia" w:ascii="宋体" w:hAnsi="宋体"/>
          <w:snapToGrid w:val="0"/>
          <w:color w:val="auto"/>
          <w:kern w:val="0"/>
          <w:sz w:val="24"/>
          <w:highlight w:val="none"/>
        </w:rPr>
        <w:t>5</w:t>
      </w:r>
      <w:r>
        <w:rPr>
          <w:rFonts w:ascii="宋体" w:hAnsi="宋体"/>
          <w:snapToGrid w:val="0"/>
          <w:color w:val="auto"/>
          <w:kern w:val="0"/>
          <w:sz w:val="24"/>
          <w:highlight w:val="none"/>
        </w:rPr>
        <w:t>.</w:t>
      </w:r>
      <w:r>
        <w:rPr>
          <w:rFonts w:hint="eastAsia" w:ascii="宋体" w:hAnsi="宋体"/>
          <w:snapToGrid w:val="0"/>
          <w:color w:val="auto"/>
          <w:kern w:val="0"/>
          <w:sz w:val="24"/>
          <w:highlight w:val="none"/>
        </w:rPr>
        <w:t>7电子版施工图和电子版竣工图的知识产权归属发包人所有，非经发包人许可，承包人不得以任何方式复制、备份、转让和利用，否则由此引起的任何纠纷和责任由承包人承担。</w:t>
      </w:r>
    </w:p>
    <w:p w14:paraId="4E554179">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ascii="宋体" w:hAnsi="宋体"/>
          <w:snapToGrid w:val="0"/>
          <w:color w:val="auto"/>
          <w:kern w:val="0"/>
          <w:sz w:val="24"/>
          <w:highlight w:val="none"/>
        </w:rPr>
        <w:t>3</w:t>
      </w:r>
      <w:r>
        <w:rPr>
          <w:rFonts w:hint="eastAsia" w:ascii="宋体" w:hAnsi="宋体"/>
          <w:snapToGrid w:val="0"/>
          <w:color w:val="auto"/>
          <w:kern w:val="0"/>
          <w:sz w:val="24"/>
          <w:highlight w:val="none"/>
        </w:rPr>
        <w:t>5</w:t>
      </w:r>
      <w:r>
        <w:rPr>
          <w:rFonts w:ascii="宋体" w:hAnsi="宋体"/>
          <w:snapToGrid w:val="0"/>
          <w:color w:val="auto"/>
          <w:kern w:val="0"/>
          <w:sz w:val="24"/>
          <w:highlight w:val="none"/>
        </w:rPr>
        <w:t>.</w:t>
      </w:r>
      <w:r>
        <w:rPr>
          <w:rFonts w:hint="eastAsia" w:ascii="宋体" w:hAnsi="宋体"/>
          <w:snapToGrid w:val="0"/>
          <w:color w:val="auto"/>
          <w:kern w:val="0"/>
          <w:sz w:val="24"/>
          <w:highlight w:val="none"/>
        </w:rPr>
        <w:t>8承包人应督促其工程分包单位及时做好竣工资料整理工作，于分包工程竣工验收后</w:t>
      </w:r>
      <w:r>
        <w:rPr>
          <w:rFonts w:ascii="宋体" w:hAnsi="宋体"/>
          <w:snapToGrid w:val="0"/>
          <w:color w:val="auto"/>
          <w:kern w:val="0"/>
          <w:sz w:val="24"/>
          <w:highlight w:val="none"/>
        </w:rPr>
        <w:t>25</w:t>
      </w:r>
      <w:r>
        <w:rPr>
          <w:rFonts w:hint="eastAsia" w:ascii="宋体" w:hAnsi="宋体"/>
          <w:snapToGrid w:val="0"/>
          <w:color w:val="auto"/>
          <w:kern w:val="0"/>
          <w:sz w:val="24"/>
          <w:highlight w:val="none"/>
        </w:rPr>
        <w:t>天内将全部档案资料移交给承包人，由承包人汇总、归档，并在承包人移交竣工档案时一并移交。</w:t>
      </w:r>
    </w:p>
    <w:p w14:paraId="251F7C57">
      <w:pPr>
        <w:adjustRightInd w:val="0"/>
        <w:snapToGrid w:val="0"/>
        <w:spacing w:line="360" w:lineRule="auto"/>
        <w:ind w:firstLine="480" w:firstLineChars="200"/>
        <w:outlineLvl w:val="3"/>
        <w:rPr>
          <w:rFonts w:ascii="宋体" w:hAnsi="宋体"/>
          <w:snapToGrid w:val="0"/>
          <w:color w:val="auto"/>
          <w:kern w:val="0"/>
          <w:sz w:val="24"/>
          <w:highlight w:val="none"/>
        </w:rPr>
      </w:pPr>
      <w:r>
        <w:rPr>
          <w:rFonts w:ascii="宋体" w:hAnsi="宋体"/>
          <w:snapToGrid w:val="0"/>
          <w:color w:val="auto"/>
          <w:kern w:val="0"/>
          <w:sz w:val="24"/>
          <w:highlight w:val="none"/>
        </w:rPr>
        <w:t>3</w:t>
      </w:r>
      <w:r>
        <w:rPr>
          <w:rFonts w:hint="eastAsia" w:ascii="宋体" w:hAnsi="宋体"/>
          <w:snapToGrid w:val="0"/>
          <w:color w:val="auto"/>
          <w:kern w:val="0"/>
          <w:sz w:val="24"/>
          <w:highlight w:val="none"/>
        </w:rPr>
        <w:t>5</w:t>
      </w:r>
      <w:r>
        <w:rPr>
          <w:rFonts w:ascii="宋体" w:hAnsi="宋体"/>
          <w:snapToGrid w:val="0"/>
          <w:color w:val="auto"/>
          <w:kern w:val="0"/>
          <w:sz w:val="24"/>
          <w:highlight w:val="none"/>
        </w:rPr>
        <w:t>.</w:t>
      </w:r>
      <w:r>
        <w:rPr>
          <w:rFonts w:hint="eastAsia" w:ascii="宋体" w:hAnsi="宋体"/>
          <w:snapToGrid w:val="0"/>
          <w:color w:val="auto"/>
          <w:kern w:val="0"/>
          <w:sz w:val="24"/>
          <w:highlight w:val="none"/>
        </w:rPr>
        <w:t>9发包人留取合同协议书第6条约定的合同价款的2%作为承包人按时、完整移交竣工档案的保证金。承包人按时、完整移交竣工档案的，发包人在向政府有关部门移交档案后15日内给承包人付还该保证金；承包人不按时移交竣工档案，或者移交的竣工档案不完整且在发包人规定的期限内不补充完整的，发包人有权扣取部分或者全部保证金，同时，并不免除承包人完整移交竣工档案的义务。</w:t>
      </w:r>
    </w:p>
    <w:p w14:paraId="473141CE">
      <w:pPr>
        <w:adjustRightInd w:val="0"/>
        <w:snapToGrid w:val="0"/>
        <w:spacing w:line="360" w:lineRule="auto"/>
        <w:ind w:firstLine="480" w:firstLineChars="200"/>
        <w:outlineLvl w:val="3"/>
        <w:rPr>
          <w:rFonts w:ascii="宋体" w:hAnsi="宋体"/>
          <w:snapToGrid w:val="0"/>
          <w:color w:val="auto"/>
          <w:kern w:val="0"/>
          <w:sz w:val="24"/>
          <w:highlight w:val="none"/>
        </w:rPr>
      </w:pPr>
      <w:r>
        <w:rPr>
          <w:rFonts w:ascii="宋体" w:hAnsi="宋体"/>
          <w:snapToGrid w:val="0"/>
          <w:color w:val="auto"/>
          <w:kern w:val="0"/>
          <w:sz w:val="24"/>
          <w:highlight w:val="none"/>
        </w:rPr>
        <w:t>3</w:t>
      </w:r>
      <w:r>
        <w:rPr>
          <w:rFonts w:hint="eastAsia" w:ascii="宋体" w:hAnsi="宋体"/>
          <w:snapToGrid w:val="0"/>
          <w:color w:val="auto"/>
          <w:kern w:val="0"/>
          <w:sz w:val="24"/>
          <w:highlight w:val="none"/>
        </w:rPr>
        <w:t>5</w:t>
      </w:r>
      <w:r>
        <w:rPr>
          <w:rFonts w:ascii="宋体" w:hAnsi="宋体"/>
          <w:snapToGrid w:val="0"/>
          <w:color w:val="auto"/>
          <w:kern w:val="0"/>
          <w:sz w:val="24"/>
          <w:highlight w:val="none"/>
        </w:rPr>
        <w:t>.</w:t>
      </w:r>
      <w:r>
        <w:rPr>
          <w:rFonts w:hint="eastAsia" w:ascii="宋体" w:hAnsi="宋体"/>
          <w:snapToGrid w:val="0"/>
          <w:color w:val="auto"/>
          <w:kern w:val="0"/>
          <w:sz w:val="24"/>
          <w:highlight w:val="none"/>
        </w:rPr>
        <w:t>10因承包人的原因致使发包人未能按照国家规定向政府有关部门移交工程竣工档案而受到经济处罚的，由承包人承担全额赔偿责任。</w:t>
      </w:r>
    </w:p>
    <w:p w14:paraId="5508FF16">
      <w:pPr>
        <w:adjustRightInd w:val="0"/>
        <w:snapToGrid w:val="0"/>
        <w:spacing w:line="360" w:lineRule="auto"/>
        <w:ind w:firstLine="480" w:firstLineChars="200"/>
        <w:outlineLvl w:val="3"/>
        <w:rPr>
          <w:rFonts w:ascii="宋体" w:hAnsi="宋体"/>
          <w:snapToGrid w:val="0"/>
          <w:color w:val="auto"/>
          <w:kern w:val="0"/>
          <w:sz w:val="24"/>
          <w:highlight w:val="none"/>
        </w:rPr>
      </w:pPr>
      <w:r>
        <w:rPr>
          <w:rFonts w:ascii="宋体" w:hAnsi="宋体"/>
          <w:snapToGrid w:val="0"/>
          <w:color w:val="auto"/>
          <w:kern w:val="0"/>
          <w:sz w:val="24"/>
          <w:highlight w:val="none"/>
        </w:rPr>
        <w:t>3</w:t>
      </w:r>
      <w:r>
        <w:rPr>
          <w:rFonts w:hint="eastAsia" w:ascii="宋体" w:hAnsi="宋体"/>
          <w:snapToGrid w:val="0"/>
          <w:color w:val="auto"/>
          <w:kern w:val="0"/>
          <w:sz w:val="24"/>
          <w:highlight w:val="none"/>
        </w:rPr>
        <w:t>5</w:t>
      </w:r>
      <w:r>
        <w:rPr>
          <w:rFonts w:ascii="宋体" w:hAnsi="宋体"/>
          <w:snapToGrid w:val="0"/>
          <w:color w:val="auto"/>
          <w:kern w:val="0"/>
          <w:sz w:val="24"/>
          <w:highlight w:val="none"/>
        </w:rPr>
        <w:t>.</w:t>
      </w:r>
      <w:r>
        <w:rPr>
          <w:rFonts w:hint="eastAsia" w:ascii="宋体" w:hAnsi="宋体"/>
          <w:snapToGrid w:val="0"/>
          <w:color w:val="auto"/>
          <w:kern w:val="0"/>
          <w:sz w:val="24"/>
          <w:highlight w:val="none"/>
        </w:rPr>
        <w:t>11由承包人先移交给发包人、然后再由发包人移交给</w:t>
      </w:r>
      <w:r>
        <w:rPr>
          <w:rFonts w:ascii="宋体" w:hAnsi="宋体"/>
          <w:snapToGrid w:val="0"/>
          <w:color w:val="auto"/>
          <w:kern w:val="0"/>
          <w:sz w:val="24"/>
          <w:highlight w:val="none"/>
        </w:rPr>
        <w:t>项目产权管理单位</w:t>
      </w:r>
      <w:r>
        <w:rPr>
          <w:rFonts w:hint="eastAsia" w:ascii="宋体" w:hAnsi="宋体"/>
          <w:snapToGrid w:val="0"/>
          <w:color w:val="auto"/>
          <w:kern w:val="0"/>
          <w:sz w:val="24"/>
          <w:highlight w:val="none"/>
        </w:rPr>
        <w:t>的工程项目，承包人仍应按发包人的要求及上述约定予以协助。</w:t>
      </w:r>
    </w:p>
    <w:p w14:paraId="7B6B77C2">
      <w:pPr>
        <w:adjustRightInd w:val="0"/>
        <w:snapToGrid w:val="0"/>
        <w:spacing w:line="360" w:lineRule="auto"/>
        <w:ind w:firstLine="480" w:firstLineChars="200"/>
        <w:outlineLvl w:val="3"/>
        <w:rPr>
          <w:rFonts w:ascii="宋体" w:hAnsi="宋体"/>
          <w:snapToGrid w:val="0"/>
          <w:color w:val="auto"/>
          <w:kern w:val="0"/>
          <w:sz w:val="24"/>
          <w:highlight w:val="none"/>
        </w:rPr>
      </w:pPr>
      <w:r>
        <w:rPr>
          <w:rFonts w:ascii="宋体" w:hAnsi="宋体"/>
          <w:snapToGrid w:val="0"/>
          <w:color w:val="auto"/>
          <w:kern w:val="0"/>
          <w:sz w:val="24"/>
          <w:highlight w:val="none"/>
        </w:rPr>
        <w:t>3</w:t>
      </w:r>
      <w:r>
        <w:rPr>
          <w:rFonts w:hint="eastAsia" w:ascii="宋体" w:hAnsi="宋体"/>
          <w:snapToGrid w:val="0"/>
          <w:color w:val="auto"/>
          <w:kern w:val="0"/>
          <w:sz w:val="24"/>
          <w:highlight w:val="none"/>
        </w:rPr>
        <w:t>5</w:t>
      </w:r>
      <w:r>
        <w:rPr>
          <w:rFonts w:ascii="宋体" w:hAnsi="宋体"/>
          <w:snapToGrid w:val="0"/>
          <w:color w:val="auto"/>
          <w:kern w:val="0"/>
          <w:sz w:val="24"/>
          <w:highlight w:val="none"/>
        </w:rPr>
        <w:t>.</w:t>
      </w:r>
      <w:r>
        <w:rPr>
          <w:rFonts w:hint="eastAsia" w:ascii="宋体" w:hAnsi="宋体"/>
          <w:snapToGrid w:val="0"/>
          <w:color w:val="auto"/>
          <w:kern w:val="0"/>
          <w:sz w:val="24"/>
          <w:highlight w:val="none"/>
        </w:rPr>
        <w:t>12工程项目移交给</w:t>
      </w:r>
      <w:r>
        <w:rPr>
          <w:rFonts w:ascii="宋体" w:hAnsi="宋体"/>
          <w:snapToGrid w:val="0"/>
          <w:color w:val="auto"/>
          <w:kern w:val="0"/>
          <w:sz w:val="24"/>
          <w:highlight w:val="none"/>
        </w:rPr>
        <w:t>项目产权管理单位</w:t>
      </w:r>
      <w:r>
        <w:rPr>
          <w:rFonts w:hint="eastAsia" w:ascii="宋体" w:hAnsi="宋体"/>
          <w:snapToGrid w:val="0"/>
          <w:color w:val="auto"/>
          <w:kern w:val="0"/>
          <w:sz w:val="24"/>
          <w:highlight w:val="none"/>
        </w:rPr>
        <w:t>后，由</w:t>
      </w:r>
      <w:r>
        <w:rPr>
          <w:rFonts w:ascii="宋体" w:hAnsi="宋体"/>
          <w:snapToGrid w:val="0"/>
          <w:color w:val="auto"/>
          <w:kern w:val="0"/>
          <w:sz w:val="24"/>
          <w:highlight w:val="none"/>
        </w:rPr>
        <w:t>项目产权管理单位</w:t>
      </w:r>
      <w:r>
        <w:rPr>
          <w:rFonts w:hint="eastAsia" w:ascii="宋体" w:hAnsi="宋体"/>
          <w:snapToGrid w:val="0"/>
          <w:color w:val="auto"/>
          <w:kern w:val="0"/>
          <w:sz w:val="24"/>
          <w:highlight w:val="none"/>
        </w:rPr>
        <w:t>替代发包人在本合同中的地位，承继发包人的权利和义务。</w:t>
      </w:r>
    </w:p>
    <w:p w14:paraId="170E1740">
      <w:pPr>
        <w:adjustRightInd w:val="0"/>
        <w:snapToGrid w:val="0"/>
        <w:spacing w:line="360" w:lineRule="auto"/>
        <w:ind w:firstLine="480" w:firstLineChars="200"/>
        <w:outlineLvl w:val="3"/>
        <w:rPr>
          <w:rFonts w:ascii="宋体" w:hAnsi="宋体"/>
          <w:snapToGrid w:val="0"/>
          <w:color w:val="auto"/>
          <w:kern w:val="0"/>
          <w:sz w:val="24"/>
          <w:highlight w:val="none"/>
        </w:rPr>
      </w:pPr>
      <w:r>
        <w:rPr>
          <w:rFonts w:ascii="宋体" w:hAnsi="宋体"/>
          <w:snapToGrid w:val="0"/>
          <w:color w:val="auto"/>
          <w:kern w:val="0"/>
          <w:sz w:val="24"/>
          <w:highlight w:val="none"/>
        </w:rPr>
        <w:t>3</w:t>
      </w:r>
      <w:r>
        <w:rPr>
          <w:rFonts w:hint="eastAsia" w:ascii="宋体" w:hAnsi="宋体"/>
          <w:snapToGrid w:val="0"/>
          <w:color w:val="auto"/>
          <w:kern w:val="0"/>
          <w:sz w:val="24"/>
          <w:highlight w:val="none"/>
        </w:rPr>
        <w:t>5</w:t>
      </w:r>
      <w:r>
        <w:rPr>
          <w:rFonts w:ascii="宋体" w:hAnsi="宋体"/>
          <w:snapToGrid w:val="0"/>
          <w:color w:val="auto"/>
          <w:kern w:val="0"/>
          <w:sz w:val="24"/>
          <w:highlight w:val="none"/>
        </w:rPr>
        <w:t>.</w:t>
      </w:r>
      <w:r>
        <w:rPr>
          <w:rFonts w:hint="eastAsia" w:ascii="宋体" w:hAnsi="宋体"/>
          <w:snapToGrid w:val="0"/>
          <w:color w:val="auto"/>
          <w:kern w:val="0"/>
          <w:sz w:val="24"/>
          <w:highlight w:val="none"/>
        </w:rPr>
        <w:t>13承包人参与移交或协助移交的所有费用均已包含在合同价款之内。</w:t>
      </w:r>
    </w:p>
    <w:p w14:paraId="654C3D93">
      <w:pPr>
        <w:adjustRightInd w:val="0"/>
        <w:snapToGrid w:val="0"/>
        <w:spacing w:line="360" w:lineRule="auto"/>
        <w:ind w:firstLine="480"/>
        <w:rPr>
          <w:rFonts w:ascii="宋体" w:hAnsi="宋体"/>
          <w:b/>
          <w:snapToGrid w:val="0"/>
          <w:color w:val="auto"/>
          <w:kern w:val="0"/>
          <w:sz w:val="24"/>
          <w:highlight w:val="none"/>
        </w:rPr>
      </w:pPr>
      <w:r>
        <w:rPr>
          <w:rFonts w:hint="eastAsia" w:ascii="宋体" w:hAnsi="宋体"/>
          <w:b/>
          <w:snapToGrid w:val="0"/>
          <w:color w:val="auto"/>
          <w:kern w:val="0"/>
          <w:sz w:val="24"/>
          <w:highlight w:val="none"/>
        </w:rPr>
        <w:t>承包人与发包人一致同意不适用合同通用条款第36条的约定，代之以：</w:t>
      </w:r>
    </w:p>
    <w:p w14:paraId="12BDA645">
      <w:pPr>
        <w:adjustRightInd w:val="0"/>
        <w:snapToGrid w:val="0"/>
        <w:spacing w:line="360" w:lineRule="auto"/>
        <w:ind w:right="11" w:firstLine="463" w:firstLineChars="192"/>
        <w:outlineLvl w:val="2"/>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36、竣工结算</w:t>
      </w:r>
    </w:p>
    <w:p w14:paraId="376C1AD9">
      <w:pPr>
        <w:adjustRightInd w:val="0"/>
        <w:snapToGrid w:val="0"/>
        <w:spacing w:line="360" w:lineRule="auto"/>
        <w:ind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36.1结算方式：按招标文件及本合同有关规定办理，承包人按发包人提供的《竣工结算编制办法》的具体要求编制结算书，并提交分段结算及竣工结算资料。</w:t>
      </w:r>
    </w:p>
    <w:p w14:paraId="69FDE9B0">
      <w:pPr>
        <w:adjustRightInd w:val="0"/>
        <w:snapToGrid w:val="0"/>
        <w:spacing w:line="360" w:lineRule="auto"/>
        <w:ind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36.2承包人提交结算报告的时间</w:t>
      </w:r>
    </w:p>
    <w:p w14:paraId="39B3D03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（1）承包人提交分段结算报告的时间：按承包人提交给发包人并经发包人审定的分段结算工作计划执行。</w:t>
      </w:r>
    </w:p>
    <w:p w14:paraId="4BE368A6">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（2）承包人提交竣工结算报告的时间：竣工验收合格后45天内。</w:t>
      </w:r>
    </w:p>
    <w:p w14:paraId="107D3761">
      <w:pPr>
        <w:adjustRightInd w:val="0"/>
        <w:snapToGrid w:val="0"/>
        <w:spacing w:line="360" w:lineRule="auto"/>
        <w:ind w:right="11" w:firstLine="460" w:firstLineChars="192"/>
        <w:outlineLvl w:val="3"/>
        <w:rPr>
          <w:rFonts w:ascii="宋体" w:hAnsi="宋体"/>
          <w:b/>
          <w:snapToGrid w:val="0"/>
          <w:color w:val="auto"/>
          <w:kern w:val="0"/>
          <w:sz w:val="24"/>
          <w:highlight w:val="none"/>
        </w:rPr>
      </w:pPr>
      <w:r>
        <w:rPr>
          <w:rFonts w:hint="eastAsia" w:ascii="宋体" w:hAnsi="宋体"/>
          <w:snapToGrid w:val="0"/>
          <w:color w:val="auto"/>
          <w:kern w:val="0"/>
          <w:sz w:val="24"/>
          <w:highlight w:val="none"/>
        </w:rPr>
        <w:t>36.3发包人审核结算报告的时间：发包人收到承包人提交的[分段结算报告后45天内（其中含监理单位审核时间25天）、]总结算报告后60天内（其中含监理单位审核时间30天）出具初审意见，</w:t>
      </w:r>
      <w:r>
        <w:rPr>
          <w:rFonts w:hint="eastAsia" w:cs="宋体"/>
          <w:color w:val="auto"/>
          <w:sz w:val="24"/>
          <w:szCs w:val="24"/>
          <w:highlight w:val="none"/>
        </w:rPr>
        <w:t>结算</w:t>
      </w:r>
      <w:r>
        <w:rPr>
          <w:rFonts w:hint="eastAsia" w:cs="宋体"/>
          <w:color w:val="auto"/>
          <w:sz w:val="24"/>
          <w:szCs w:val="24"/>
          <w:highlight w:val="none"/>
          <w:lang w:eastAsia="zh-CN"/>
        </w:rPr>
        <w:t>以发包人委托的造价咨询单位审核价作为结算送审价（承包人须在上述约定的时间内提出意见，逾期视为无意见），</w:t>
      </w:r>
      <w:r>
        <w:rPr>
          <w:rFonts w:hint="eastAsia" w:ascii="宋体" w:hAnsi="宋体"/>
          <w:snapToGrid w:val="0"/>
          <w:color w:val="auto"/>
          <w:kern w:val="0"/>
          <w:sz w:val="24"/>
          <w:highlight w:val="none"/>
        </w:rPr>
        <w:t>并及时报有关部门对结算进行终审。</w:t>
      </w:r>
    </w:p>
    <w:p w14:paraId="3A544514">
      <w:pPr>
        <w:suppressAutoHyphens/>
        <w:adjustRightInd w:val="0"/>
        <w:snapToGrid w:val="0"/>
        <w:spacing w:line="360" w:lineRule="auto"/>
        <w:ind w:firstLine="360" w:firstLineChars="150"/>
        <w:outlineLvl w:val="3"/>
        <w:rPr>
          <w:rFonts w:ascii="宋体" w:hAnsi="宋体"/>
          <w:bCs/>
          <w:snapToGrid w:val="0"/>
          <w:color w:val="auto"/>
          <w:kern w:val="0"/>
          <w:sz w:val="24"/>
          <w:highlight w:val="none"/>
        </w:rPr>
      </w:pPr>
      <w:r>
        <w:rPr>
          <w:rFonts w:hint="eastAsia" w:ascii="宋体" w:hAnsi="宋体"/>
          <w:iCs/>
          <w:snapToGrid w:val="0"/>
          <w:color w:val="auto"/>
          <w:kern w:val="0"/>
          <w:sz w:val="24"/>
          <w:highlight w:val="none"/>
        </w:rPr>
        <w:t>36.4</w:t>
      </w:r>
      <w:r>
        <w:rPr>
          <w:rFonts w:hint="eastAsia" w:ascii="宋体" w:hAnsi="宋体"/>
          <w:snapToGrid w:val="0"/>
          <w:color w:val="auto"/>
          <w:kern w:val="0"/>
          <w:sz w:val="24"/>
          <w:highlight w:val="none"/>
        </w:rPr>
        <w:t>承包人应当向</w:t>
      </w:r>
      <w:r>
        <w:rPr>
          <w:rFonts w:hint="eastAsia" w:ascii="宋体" w:hAnsi="宋体"/>
          <w:iCs/>
          <w:snapToGrid w:val="0"/>
          <w:color w:val="auto"/>
          <w:kern w:val="0"/>
          <w:sz w:val="24"/>
          <w:highlight w:val="none"/>
        </w:rPr>
        <w:t>发包人</w:t>
      </w:r>
      <w:r>
        <w:rPr>
          <w:rFonts w:hint="eastAsia" w:ascii="宋体" w:hAnsi="宋体"/>
          <w:bCs/>
          <w:snapToGrid w:val="0"/>
          <w:color w:val="auto"/>
          <w:kern w:val="0"/>
          <w:sz w:val="24"/>
          <w:highlight w:val="none"/>
        </w:rPr>
        <w:t>提供如下竣工结算资料（包括但不限于以下）：</w:t>
      </w:r>
    </w:p>
    <w:p w14:paraId="19719EA4">
      <w:pPr>
        <w:suppressAutoHyphens/>
        <w:adjustRightInd w:val="0"/>
        <w:snapToGrid w:val="0"/>
        <w:spacing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（1）工程结算书；</w:t>
      </w:r>
    </w:p>
    <w:p w14:paraId="4458E31D">
      <w:pPr>
        <w:suppressAutoHyphens/>
        <w:adjustRightInd w:val="0"/>
        <w:snapToGrid w:val="0"/>
        <w:spacing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（2）工程量计算书（即计算底稿）；</w:t>
      </w:r>
    </w:p>
    <w:p w14:paraId="5EA42919">
      <w:pPr>
        <w:suppressAutoHyphens/>
        <w:adjustRightInd w:val="0"/>
        <w:snapToGrid w:val="0"/>
        <w:spacing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（3）钢筋抽料表（建筑、市政、园林景观等工程适用）；</w:t>
      </w:r>
    </w:p>
    <w:p w14:paraId="2F83FE2C">
      <w:pPr>
        <w:suppressAutoHyphens/>
        <w:adjustRightInd w:val="0"/>
        <w:snapToGrid w:val="0"/>
        <w:spacing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（4）合同文件；</w:t>
      </w:r>
    </w:p>
    <w:p w14:paraId="42900BF9">
      <w:pPr>
        <w:suppressAutoHyphens/>
        <w:adjustRightInd w:val="0"/>
        <w:snapToGrid w:val="0"/>
        <w:spacing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（5）工程竣工图（必要时提供电子版）；</w:t>
      </w:r>
    </w:p>
    <w:p w14:paraId="378891E3">
      <w:pPr>
        <w:suppressAutoHyphens/>
        <w:adjustRightInd w:val="0"/>
        <w:snapToGrid w:val="0"/>
        <w:spacing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（6）工程竣工资料（必要时提供电子版）；</w:t>
      </w:r>
    </w:p>
    <w:p w14:paraId="00938FF9">
      <w:pPr>
        <w:suppressAutoHyphens/>
        <w:adjustRightInd w:val="0"/>
        <w:snapToGrid w:val="0"/>
        <w:spacing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（7）图纸会审记录；</w:t>
      </w:r>
    </w:p>
    <w:p w14:paraId="35EA38B9">
      <w:pPr>
        <w:suppressAutoHyphens/>
        <w:adjustRightInd w:val="0"/>
        <w:snapToGrid w:val="0"/>
        <w:spacing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（8）设计变更单；</w:t>
      </w:r>
    </w:p>
    <w:p w14:paraId="0139959E">
      <w:pPr>
        <w:suppressAutoHyphens/>
        <w:adjustRightInd w:val="0"/>
        <w:snapToGrid w:val="0"/>
        <w:spacing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（9）工程洽商记录；</w:t>
      </w:r>
    </w:p>
    <w:p w14:paraId="5F83F318">
      <w:pPr>
        <w:suppressAutoHyphens/>
        <w:adjustRightInd w:val="0"/>
        <w:snapToGrid w:val="0"/>
        <w:spacing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（10）总监理工程师通知或发包人施工指令；</w:t>
      </w:r>
    </w:p>
    <w:p w14:paraId="59B0848E">
      <w:pPr>
        <w:suppressAutoHyphens/>
        <w:adjustRightInd w:val="0"/>
        <w:snapToGrid w:val="0"/>
        <w:spacing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（11）会议纪要；</w:t>
      </w:r>
    </w:p>
    <w:p w14:paraId="570AEBCF">
      <w:pPr>
        <w:suppressAutoHyphens/>
        <w:adjustRightInd w:val="0"/>
        <w:snapToGrid w:val="0"/>
        <w:spacing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（12）工程签证；</w:t>
      </w:r>
    </w:p>
    <w:p w14:paraId="41F6EC8F">
      <w:pPr>
        <w:suppressAutoHyphens/>
        <w:adjustRightInd w:val="0"/>
        <w:snapToGrid w:val="0"/>
        <w:spacing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（13）材料设备单价呈批审核单；</w:t>
      </w:r>
    </w:p>
    <w:p w14:paraId="05ED7F1A">
      <w:pPr>
        <w:suppressAutoHyphens/>
        <w:adjustRightInd w:val="0"/>
        <w:snapToGrid w:val="0"/>
        <w:spacing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（14）综合单价呈批审核单；</w:t>
      </w:r>
    </w:p>
    <w:p w14:paraId="0830E29D">
      <w:pPr>
        <w:suppressAutoHyphens/>
        <w:adjustRightInd w:val="0"/>
        <w:snapToGrid w:val="0"/>
        <w:spacing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（15）发包人供应材料收货验收签收单；</w:t>
      </w:r>
    </w:p>
    <w:p w14:paraId="7EEC1EF4">
      <w:pPr>
        <w:suppressAutoHyphens/>
        <w:adjustRightInd w:val="0"/>
        <w:snapToGrid w:val="0"/>
        <w:spacing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（16）其他结算资料；</w:t>
      </w:r>
    </w:p>
    <w:p w14:paraId="7B902E4E">
      <w:pPr>
        <w:suppressAutoHyphens/>
        <w:adjustRightInd w:val="0"/>
        <w:snapToGrid w:val="0"/>
        <w:spacing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（17）移交资料签收表。</w:t>
      </w:r>
    </w:p>
    <w:p w14:paraId="4A8D8F32">
      <w:pPr>
        <w:suppressAutoHyphens/>
        <w:adjustRightInd w:val="0"/>
        <w:snapToGrid w:val="0"/>
        <w:spacing w:line="360" w:lineRule="auto"/>
        <w:ind w:firstLine="480" w:firstLineChars="200"/>
        <w:outlineLvl w:val="3"/>
        <w:rPr>
          <w:rFonts w:ascii="宋体" w:hAnsi="宋体"/>
          <w:bCs/>
          <w:snapToGrid w:val="0"/>
          <w:color w:val="auto"/>
          <w:kern w:val="0"/>
          <w:sz w:val="24"/>
          <w:highlight w:val="none"/>
        </w:rPr>
      </w:pPr>
      <w:r>
        <w:rPr>
          <w:rFonts w:hint="eastAsia" w:ascii="宋体" w:hAnsi="宋体"/>
          <w:iCs/>
          <w:snapToGrid w:val="0"/>
          <w:color w:val="auto"/>
          <w:kern w:val="0"/>
          <w:sz w:val="24"/>
          <w:highlight w:val="none"/>
        </w:rPr>
        <w:t>36.5</w:t>
      </w:r>
      <w:r>
        <w:rPr>
          <w:rFonts w:hint="eastAsia" w:ascii="宋体" w:hAnsi="宋体"/>
          <w:bCs/>
          <w:snapToGrid w:val="0"/>
          <w:color w:val="auto"/>
          <w:kern w:val="0"/>
          <w:sz w:val="24"/>
          <w:highlight w:val="none"/>
        </w:rPr>
        <w:t>发包人对送审结算资料的具体要求：</w:t>
      </w:r>
    </w:p>
    <w:p w14:paraId="532DBB22">
      <w:pPr>
        <w:tabs>
          <w:tab w:val="left" w:pos="1875"/>
        </w:tabs>
        <w:suppressAutoHyphens/>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结算书：每项工程的结算书要求分两部分编制：第一部分以竣工图为依据编制，包括竣工图、图纸会审记录、设计变更等内容；第二部分为工程签证及其他有关费用等。上述两部分不应有重复列项的内容，结算书须提供相应的电子文件。</w:t>
      </w:r>
    </w:p>
    <w:p w14:paraId="2E081BB0">
      <w:pPr>
        <w:tabs>
          <w:tab w:val="left" w:pos="1875"/>
        </w:tabs>
        <w:suppressAutoHyphens/>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（2）工程量计算书（即计算底稿）：工程量计算书由工程量汇总表和详细的工程量计算表达式组成，结算书须提供相应的电子文件。</w:t>
      </w:r>
    </w:p>
    <w:p w14:paraId="17A2BB71">
      <w:pPr>
        <w:tabs>
          <w:tab w:val="left" w:pos="1875"/>
        </w:tabs>
        <w:suppressAutoHyphens/>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钢筋抽料表（建筑、市政、园林景观等工程适用）：用电脑抽料的钢筋用量表要求提供相应的拷贝磁盘，用手工抽料的钢筋用量表要求提供详细的抽料表和明细汇总表，详细的抽料表应注明钢筋所在构件名称、施工部位、钢筋编号等。</w:t>
      </w:r>
    </w:p>
    <w:p w14:paraId="252467EE">
      <w:pPr>
        <w:tabs>
          <w:tab w:val="left" w:pos="1875"/>
        </w:tabs>
        <w:suppressAutoHyphens/>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（4）合同文件：包括发包人与承包人签订的合同文件、经发包人确认的承包人与第三方签订的分包合同、各类补充合同、合同附件等，要求将上述合同文件列出总目录按顺序整理装订成册。</w:t>
      </w:r>
    </w:p>
    <w:p w14:paraId="34B467B4">
      <w:pPr>
        <w:tabs>
          <w:tab w:val="left" w:pos="1875"/>
        </w:tabs>
        <w:suppressAutoHyphens/>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竣工图：用于结算的竣工图必须有承包人图纸专用章、设计院章及其相关人员签字，并须有监理单位盖章确认。经发包人、设计、监理等单位确认的图纸会审记录、设计变更、工程洽商记录等内容均应反映在相应的竣工图上。</w:t>
      </w:r>
    </w:p>
    <w:p w14:paraId="025271E4">
      <w:pPr>
        <w:tabs>
          <w:tab w:val="left" w:pos="1875"/>
        </w:tabs>
        <w:suppressAutoHyphens/>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6）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整理装订成册的竣工资料需编制总目录，并在每一页的下方统一编号，以便于查找。以上资料以国家规范或竣工图编制指南为准。</w:t>
      </w:r>
    </w:p>
    <w:p w14:paraId="58D0C06A">
      <w:pPr>
        <w:tabs>
          <w:tab w:val="left" w:pos="1875"/>
        </w:tabs>
        <w:suppressAutoHyphens/>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（7）图纸会审记录：要求按图纸会审的时间先后整理装订成册，图纸会审记录须有各单位参加会审人员签字及会审单位盖章确认。</w:t>
      </w:r>
    </w:p>
    <w:p w14:paraId="3BC3026B">
      <w:pPr>
        <w:tabs>
          <w:tab w:val="left" w:pos="1875"/>
        </w:tabs>
        <w:suppressAutoHyphens/>
        <w:adjustRightInd w:val="0"/>
        <w:snapToGrid w:val="0"/>
        <w:spacing w:line="360" w:lineRule="auto"/>
        <w:ind w:firstLine="480" w:firstLineChars="200"/>
        <w:rPr>
          <w:rFonts w:ascii="宋体" w:hAnsi="宋体"/>
          <w:b/>
          <w:snapToGrid w:val="0"/>
          <w:color w:val="auto"/>
          <w:kern w:val="0"/>
          <w:sz w:val="24"/>
          <w:highlight w:val="none"/>
        </w:rPr>
      </w:pPr>
      <w:r>
        <w:rPr>
          <w:rFonts w:hint="eastAsia" w:ascii="宋体" w:hAnsi="宋体"/>
          <w:snapToGrid w:val="0"/>
          <w:color w:val="auto"/>
          <w:kern w:val="0"/>
          <w:sz w:val="24"/>
          <w:highlight w:val="none"/>
        </w:rPr>
        <w:t>（8）设计变更单：要求按设计变更的时间先后整理（安装工程要分专业）装订成册。</w:t>
      </w:r>
    </w:p>
    <w:p w14:paraId="180A2094">
      <w:pPr>
        <w:tabs>
          <w:tab w:val="left" w:pos="1875"/>
        </w:tabs>
        <w:suppressAutoHyphens/>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（9）工程洽商记录：要求根据工程洽商记录的时间先后整理装订成册，然后在每一页的下方统一编号，以便于查找。工程洽商记录须符合发包人制定的有关规定。</w:t>
      </w:r>
    </w:p>
    <w:p w14:paraId="5C9E5690">
      <w:pPr>
        <w:tabs>
          <w:tab w:val="left" w:pos="1875"/>
        </w:tabs>
        <w:suppressAutoHyphens/>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10）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14:paraId="538896BD">
      <w:pPr>
        <w:tabs>
          <w:tab w:val="left" w:pos="1875"/>
        </w:tabs>
        <w:suppressAutoHyphens/>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（11）会议纪要：指工程质量、安全、技术、经济等现场协调会会议纪要等。要求根据会议纪要的时间先后整理装订成册，然后在每一页的下方统一编号。会议纪要须符合发包人制定的有关规定。</w:t>
      </w:r>
    </w:p>
    <w:p w14:paraId="68AFE0BA">
      <w:pPr>
        <w:tabs>
          <w:tab w:val="left" w:pos="1875"/>
        </w:tabs>
        <w:suppressAutoHyphens/>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（12）工程签证：要求根据工程签证的时间先后整理装订成册，然后在每一页的下方统一编号，工程签证单上应有工程数量的计算过程和施工简图。</w:t>
      </w:r>
    </w:p>
    <w:p w14:paraId="5FFA7168">
      <w:pPr>
        <w:tabs>
          <w:tab w:val="left" w:pos="1875"/>
        </w:tabs>
        <w:suppressAutoHyphens/>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13）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14:paraId="245BE250">
      <w:pPr>
        <w:tabs>
          <w:tab w:val="left" w:pos="1875"/>
        </w:tabs>
        <w:suppressAutoHyphens/>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14）综合单价呈批审核单：在招投标文件工程量清单中未列但在施工过程中发生的项目，应由承包人编制单价分析表，盖章确认后报监理单位和发包人审核综合单价。在结算资料送审时，要求按综合单价呈批审核单的编号顺序整理装订成册。每项审核单应附有相关的资料或注明相关资料在送审结算资料的哪一部分和哪一页位置上，如材料设备专题会议纪要、设计变更、工程洽商记录、总监理工程师通知等。每份综合单价呈批审核单手续必需完备，要求有监理单位和发包人相关人员的签字和单位盖章确认，并且有上述单位的造价工程师对综合单价进行审核的签字和盖章。</w:t>
      </w:r>
    </w:p>
    <w:p w14:paraId="5B0CFE58">
      <w:pPr>
        <w:tabs>
          <w:tab w:val="left" w:pos="1875"/>
        </w:tabs>
        <w:suppressAutoHyphens/>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（15）发包人供应材料收货验收签收单：按发包人供应材料收货验收签收单的编号顺序及不同材料分类整理装订成册。</w:t>
      </w:r>
    </w:p>
    <w:p w14:paraId="22435C2B">
      <w:pPr>
        <w:tabs>
          <w:tab w:val="left" w:pos="1875"/>
        </w:tabs>
        <w:suppressAutoHyphens/>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16）其他结算资料：凡上述未提及而在结算时需要的资料均需提供，例如：施工日记、地质勘察报告、非常用的标准图集、应由承包人承担而由发包人代为支付的费用证明（如：发包人代缴的施工水电费票据、余泥排放费证明）等。</w:t>
      </w:r>
    </w:p>
    <w:p w14:paraId="7F54B633">
      <w:pPr>
        <w:tabs>
          <w:tab w:val="left" w:pos="1378"/>
          <w:tab w:val="left" w:pos="1875"/>
        </w:tabs>
        <w:suppressAutoHyphens/>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17）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单位的印章。</w:t>
      </w:r>
    </w:p>
    <w:p w14:paraId="1FBA3913">
      <w:pPr>
        <w:adjustRightInd w:val="0"/>
        <w:snapToGrid w:val="0"/>
        <w:spacing w:line="360" w:lineRule="auto"/>
        <w:ind w:right="11" w:firstLine="480" w:firstLineChars="200"/>
        <w:outlineLvl w:val="3"/>
        <w:rPr>
          <w:rFonts w:ascii="宋体" w:hAnsi="宋体"/>
          <w:iCs/>
          <w:snapToGrid w:val="0"/>
          <w:color w:val="auto"/>
          <w:kern w:val="0"/>
          <w:sz w:val="24"/>
          <w:highlight w:val="none"/>
        </w:rPr>
      </w:pPr>
      <w:r>
        <w:rPr>
          <w:rFonts w:hint="eastAsia" w:ascii="宋体" w:hAnsi="宋体"/>
          <w:iCs/>
          <w:snapToGrid w:val="0"/>
          <w:color w:val="auto"/>
          <w:kern w:val="0"/>
          <w:sz w:val="24"/>
          <w:highlight w:val="none"/>
        </w:rPr>
        <w:t>36.6承包人迟延提交竣工</w:t>
      </w:r>
      <w:r>
        <w:rPr>
          <w:rFonts w:hint="eastAsia" w:ascii="宋体" w:hAnsi="宋体"/>
          <w:snapToGrid w:val="0"/>
          <w:color w:val="auto"/>
          <w:kern w:val="0"/>
          <w:sz w:val="24"/>
          <w:highlight w:val="none"/>
        </w:rPr>
        <w:t>结算报告的，</w:t>
      </w:r>
      <w:r>
        <w:rPr>
          <w:rFonts w:hint="eastAsia" w:ascii="宋体" w:hAnsi="宋体"/>
          <w:iCs/>
          <w:snapToGrid w:val="0"/>
          <w:color w:val="auto"/>
          <w:kern w:val="0"/>
          <w:sz w:val="24"/>
          <w:highlight w:val="none"/>
        </w:rPr>
        <w:t>发包人完成审核相应结算报告的时间相应顺延。由于</w:t>
      </w:r>
      <w:r>
        <w:rPr>
          <w:rFonts w:hint="eastAsia" w:ascii="宋体" w:hAnsi="宋体"/>
          <w:snapToGrid w:val="0"/>
          <w:color w:val="auto"/>
          <w:kern w:val="0"/>
          <w:sz w:val="24"/>
          <w:highlight w:val="none"/>
        </w:rPr>
        <w:t>结算报告存在错误或不完整而退回承包人修改或补充的，</w:t>
      </w:r>
      <w:r>
        <w:rPr>
          <w:rFonts w:hint="eastAsia" w:ascii="宋体" w:hAnsi="宋体"/>
          <w:iCs/>
          <w:snapToGrid w:val="0"/>
          <w:color w:val="auto"/>
          <w:kern w:val="0"/>
          <w:sz w:val="24"/>
          <w:highlight w:val="none"/>
        </w:rPr>
        <w:t>发包人完成审核相应结算报告的时间从收到</w:t>
      </w:r>
      <w:r>
        <w:rPr>
          <w:rFonts w:hint="eastAsia" w:ascii="宋体" w:hAnsi="宋体"/>
          <w:snapToGrid w:val="0"/>
          <w:color w:val="auto"/>
          <w:kern w:val="0"/>
          <w:sz w:val="24"/>
          <w:highlight w:val="none"/>
        </w:rPr>
        <w:t>修改或补充的结算报告后重新计算。</w:t>
      </w:r>
    </w:p>
    <w:p w14:paraId="13CC27BE">
      <w:pPr>
        <w:adjustRightInd w:val="0"/>
        <w:snapToGrid w:val="0"/>
        <w:spacing w:line="360" w:lineRule="auto"/>
        <w:ind w:right="11" w:firstLine="480" w:firstLineChars="200"/>
        <w:outlineLvl w:val="3"/>
        <w:rPr>
          <w:rFonts w:ascii="宋体" w:hAnsi="宋体"/>
          <w:iCs/>
          <w:snapToGrid w:val="0"/>
          <w:color w:val="auto"/>
          <w:kern w:val="0"/>
          <w:sz w:val="24"/>
          <w:highlight w:val="none"/>
        </w:rPr>
      </w:pPr>
      <w:r>
        <w:rPr>
          <w:rFonts w:hint="eastAsia" w:ascii="宋体" w:hAnsi="宋体"/>
          <w:iCs/>
          <w:snapToGrid w:val="0"/>
          <w:color w:val="auto"/>
          <w:kern w:val="0"/>
          <w:sz w:val="24"/>
          <w:highlight w:val="none"/>
        </w:rPr>
        <w:t>36.7承包人提交的竣工</w:t>
      </w:r>
      <w:r>
        <w:rPr>
          <w:rFonts w:hint="eastAsia" w:ascii="宋体" w:hAnsi="宋体"/>
          <w:snapToGrid w:val="0"/>
          <w:color w:val="auto"/>
          <w:kern w:val="0"/>
          <w:sz w:val="24"/>
          <w:highlight w:val="none"/>
        </w:rPr>
        <w:t>结算报告虽有错误或不完整，但其中有部分手续齐全并可以单独结算的，发包人可就该部分先行审核。</w:t>
      </w:r>
    </w:p>
    <w:p w14:paraId="1A376C88">
      <w:pPr>
        <w:adjustRightInd w:val="0"/>
        <w:snapToGrid w:val="0"/>
        <w:spacing w:line="360" w:lineRule="auto"/>
        <w:ind w:right="11" w:firstLine="480" w:firstLineChars="200"/>
        <w:outlineLvl w:val="3"/>
        <w:rPr>
          <w:rFonts w:ascii="宋体" w:hAnsi="宋体" w:cs="宋体"/>
          <w:snapToGrid w:val="0"/>
          <w:color w:val="auto"/>
          <w:kern w:val="0"/>
          <w:sz w:val="24"/>
          <w:highlight w:val="none"/>
        </w:rPr>
      </w:pPr>
      <w:r>
        <w:rPr>
          <w:rFonts w:hint="eastAsia" w:ascii="宋体" w:hAnsi="宋体"/>
          <w:iCs/>
          <w:snapToGrid w:val="0"/>
          <w:color w:val="auto"/>
          <w:kern w:val="0"/>
          <w:sz w:val="24"/>
          <w:highlight w:val="none"/>
        </w:rPr>
        <w:t>36.8</w:t>
      </w:r>
      <w:r>
        <w:rPr>
          <w:rFonts w:hint="eastAsia" w:ascii="宋体" w:hAnsi="宋体" w:cs="宋体"/>
          <w:snapToGrid w:val="0"/>
          <w:color w:val="auto"/>
          <w:kern w:val="0"/>
          <w:sz w:val="24"/>
          <w:highlight w:val="none"/>
        </w:rPr>
        <w:t>由于承包人未按发包人要求及时报送</w:t>
      </w:r>
      <w:r>
        <w:rPr>
          <w:rFonts w:hint="eastAsia" w:ascii="宋体" w:hAnsi="宋体"/>
          <w:iCs/>
          <w:snapToGrid w:val="0"/>
          <w:color w:val="auto"/>
          <w:kern w:val="0"/>
          <w:sz w:val="24"/>
          <w:highlight w:val="none"/>
        </w:rPr>
        <w:t>竣工</w:t>
      </w:r>
      <w:r>
        <w:rPr>
          <w:rFonts w:hint="eastAsia" w:ascii="宋体" w:hAnsi="宋体" w:cs="宋体"/>
          <w:snapToGrid w:val="0"/>
          <w:color w:val="auto"/>
          <w:kern w:val="0"/>
          <w:sz w:val="24"/>
          <w:highlight w:val="none"/>
        </w:rPr>
        <w:t>结算资料或报送资料不齐全、不完整引起的相应结算滞后或影响支付，应由承包人负责，承包人所主张的材料款、人工工资等申请将不被接受，应由承包人承担责任。</w:t>
      </w:r>
    </w:p>
    <w:p w14:paraId="24CFB41C">
      <w:pPr>
        <w:adjustRightInd w:val="0"/>
        <w:snapToGrid w:val="0"/>
        <w:spacing w:line="360" w:lineRule="auto"/>
        <w:ind w:right="11" w:firstLine="480" w:firstLineChars="200"/>
        <w:outlineLvl w:val="3"/>
        <w:rPr>
          <w:rFonts w:ascii="宋体" w:hAnsi="宋体" w:cs="宋体"/>
          <w:snapToGrid w:val="0"/>
          <w:color w:val="auto"/>
          <w:kern w:val="0"/>
          <w:sz w:val="24"/>
          <w:highlight w:val="none"/>
        </w:rPr>
      </w:pPr>
      <w:r>
        <w:rPr>
          <w:rFonts w:hint="eastAsia" w:ascii="宋体" w:hAnsi="宋体"/>
          <w:iCs/>
          <w:snapToGrid w:val="0"/>
          <w:color w:val="auto"/>
          <w:kern w:val="0"/>
          <w:sz w:val="24"/>
          <w:highlight w:val="none"/>
        </w:rPr>
        <w:t>36.9</w:t>
      </w:r>
      <w:r>
        <w:rPr>
          <w:rFonts w:hint="eastAsia" w:ascii="宋体" w:hAnsi="宋体" w:cs="宋体"/>
          <w:snapToGrid w:val="0"/>
          <w:color w:val="auto"/>
          <w:kern w:val="0"/>
          <w:sz w:val="24"/>
          <w:highlight w:val="none"/>
        </w:rPr>
        <w:t>根据项目建设的实际需要，发包人有权要求与承包人按招标文件提供的格式签订工程结算工作协议书，双方严格按照工程结算工作协议书的约定进行工程结算，承包人必须无条件服从。</w:t>
      </w:r>
    </w:p>
    <w:p w14:paraId="16CB6FAD">
      <w:pPr>
        <w:adjustRightInd w:val="0"/>
        <w:snapToGrid w:val="0"/>
        <w:spacing w:line="360" w:lineRule="auto"/>
        <w:ind w:right="11" w:firstLine="480" w:firstLineChars="200"/>
        <w:outlineLvl w:val="3"/>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36.10若承包人不按</w:t>
      </w:r>
      <w:r>
        <w:rPr>
          <w:rFonts w:hint="eastAsia" w:ascii="宋体" w:hAnsi="宋体" w:cs="宋体"/>
          <w:snapToGrid w:val="0"/>
          <w:color w:val="auto"/>
          <w:kern w:val="0"/>
          <w:sz w:val="24"/>
          <w:highlight w:val="none"/>
          <w:lang w:eastAsia="zh-CN"/>
        </w:rPr>
        <w:t>发包人要求按实完成结算送审工作、不</w:t>
      </w:r>
      <w:r>
        <w:rPr>
          <w:rFonts w:hint="eastAsia" w:ascii="宋体" w:hAnsi="宋体" w:cs="宋体"/>
          <w:snapToGrid w:val="0"/>
          <w:color w:val="auto"/>
          <w:kern w:val="0"/>
          <w:sz w:val="24"/>
          <w:highlight w:val="none"/>
        </w:rPr>
        <w:t>配合</w:t>
      </w:r>
      <w:r>
        <w:rPr>
          <w:rFonts w:hint="eastAsia" w:ascii="宋体" w:hAnsi="宋体"/>
          <w:iCs/>
          <w:snapToGrid w:val="0"/>
          <w:color w:val="auto"/>
          <w:kern w:val="0"/>
          <w:sz w:val="24"/>
          <w:highlight w:val="none"/>
        </w:rPr>
        <w:t>竣工</w:t>
      </w:r>
      <w:r>
        <w:rPr>
          <w:rFonts w:hint="eastAsia" w:ascii="宋体" w:hAnsi="宋体" w:cs="宋体"/>
          <w:snapToGrid w:val="0"/>
          <w:color w:val="auto"/>
          <w:kern w:val="0"/>
          <w:sz w:val="24"/>
          <w:highlight w:val="none"/>
        </w:rPr>
        <w:t>结算审核工作以至工程结算迟迟不能定案或承包人对有权结算终审部门的审核结果拒不确认，在规定时间内又提不出正当理由的，</w:t>
      </w:r>
      <w:r>
        <w:rPr>
          <w:rFonts w:hint="eastAsia" w:ascii="宋体" w:hAnsi="宋体" w:cs="宋体"/>
          <w:snapToGrid w:val="0"/>
          <w:color w:val="auto"/>
          <w:kern w:val="0"/>
          <w:sz w:val="24"/>
          <w:highlight w:val="none"/>
          <w:lang w:eastAsia="zh-CN"/>
        </w:rPr>
        <w:t>承包人须</w:t>
      </w:r>
      <w:r>
        <w:rPr>
          <w:rFonts w:hint="eastAsia"/>
          <w:b w:val="0"/>
          <w:bCs/>
          <w:snapToGrid w:val="0"/>
          <w:color w:val="auto"/>
          <w:kern w:val="0"/>
          <w:sz w:val="24"/>
          <w:szCs w:val="20"/>
          <w:highlight w:val="none"/>
          <w:u w:val="single"/>
          <w:lang w:eastAsia="zh-CN"/>
        </w:rPr>
        <w:t>按专用条款第</w:t>
      </w:r>
      <w:r>
        <w:rPr>
          <w:rFonts w:hint="eastAsia"/>
          <w:b w:val="0"/>
          <w:bCs/>
          <w:snapToGrid w:val="0"/>
          <w:color w:val="auto"/>
          <w:kern w:val="0"/>
          <w:sz w:val="24"/>
          <w:szCs w:val="20"/>
          <w:highlight w:val="none"/>
          <w:u w:val="single"/>
          <w:lang w:val="en-US" w:eastAsia="zh-CN"/>
        </w:rPr>
        <w:t>38款承担一般承担违约责任或严重违约责任，</w:t>
      </w:r>
      <w:r>
        <w:rPr>
          <w:rFonts w:hint="eastAsia" w:ascii="宋体" w:hAnsi="宋体" w:cs="宋体"/>
          <w:snapToGrid w:val="0"/>
          <w:color w:val="auto"/>
          <w:kern w:val="0"/>
          <w:sz w:val="24"/>
          <w:highlight w:val="none"/>
        </w:rPr>
        <w:t>最终的审核结果由发包人与有权结算终审部门共同盖章确认。</w:t>
      </w:r>
    </w:p>
    <w:p w14:paraId="64852B78">
      <w:pPr>
        <w:adjustRightInd w:val="0"/>
        <w:snapToGrid w:val="0"/>
        <w:spacing w:line="360" w:lineRule="auto"/>
        <w:ind w:right="11" w:firstLine="480" w:firstLineChars="200"/>
        <w:outlineLvl w:val="3"/>
        <w:rPr>
          <w:rFonts w:ascii="宋体" w:hAnsi="宋体"/>
          <w:b/>
          <w:bCs/>
          <w:snapToGrid w:val="0"/>
          <w:color w:val="auto"/>
          <w:kern w:val="0"/>
          <w:sz w:val="28"/>
          <w:szCs w:val="28"/>
          <w:highlight w:val="none"/>
        </w:rPr>
      </w:pPr>
      <w:r>
        <w:rPr>
          <w:rFonts w:hint="eastAsia" w:ascii="宋体" w:hAnsi="宋体"/>
          <w:bCs/>
          <w:snapToGrid w:val="0"/>
          <w:color w:val="auto"/>
          <w:sz w:val="24"/>
          <w:szCs w:val="24"/>
          <w:highlight w:val="none"/>
        </w:rPr>
        <w:t>36.11若</w:t>
      </w:r>
      <w:r>
        <w:rPr>
          <w:rFonts w:hint="eastAsia" w:ascii="宋体" w:hAnsi="宋体"/>
          <w:color w:val="auto"/>
          <w:sz w:val="24"/>
          <w:szCs w:val="24"/>
          <w:highlight w:val="none"/>
        </w:rPr>
        <w:t>承包人送审结算价与有权结算终审部门审定价的净核减率大于或等于8%，则发包人有权要求承包人按粤价函[2011]742号文规定的竣工结算审核咨询费标准向发包人承担违约责任。</w:t>
      </w:r>
    </w:p>
    <w:p w14:paraId="512BC104">
      <w:pPr>
        <w:adjustRightInd w:val="0"/>
        <w:snapToGrid w:val="0"/>
        <w:spacing w:line="360" w:lineRule="auto"/>
        <w:ind w:right="11"/>
        <w:outlineLvl w:val="1"/>
        <w:rPr>
          <w:rFonts w:ascii="宋体" w:hAnsi="宋体"/>
          <w:b/>
          <w:bCs/>
          <w:snapToGrid w:val="0"/>
          <w:color w:val="auto"/>
          <w:kern w:val="0"/>
          <w:sz w:val="28"/>
          <w:szCs w:val="28"/>
          <w:highlight w:val="none"/>
        </w:rPr>
      </w:pPr>
      <w:r>
        <w:rPr>
          <w:rFonts w:hint="eastAsia" w:ascii="宋体" w:hAnsi="宋体"/>
          <w:b/>
          <w:bCs/>
          <w:snapToGrid w:val="0"/>
          <w:color w:val="auto"/>
          <w:kern w:val="0"/>
          <w:sz w:val="28"/>
          <w:szCs w:val="28"/>
          <w:highlight w:val="none"/>
        </w:rPr>
        <w:t>十、违约、索赔和争议</w:t>
      </w:r>
    </w:p>
    <w:p w14:paraId="725F79EA">
      <w:pPr>
        <w:adjustRightInd w:val="0"/>
        <w:snapToGrid w:val="0"/>
        <w:spacing w:line="360" w:lineRule="auto"/>
        <w:ind w:right="11" w:firstLine="463" w:firstLineChars="192"/>
        <w:outlineLvl w:val="2"/>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38、违约</w:t>
      </w:r>
    </w:p>
    <w:p w14:paraId="276B38D1">
      <w:pPr>
        <w:adjustRightInd w:val="0"/>
        <w:snapToGrid w:val="0"/>
        <w:spacing w:line="360" w:lineRule="auto"/>
        <w:ind w:right="11" w:firstLine="463" w:firstLineChars="192"/>
        <w:rPr>
          <w:rFonts w:ascii="宋体" w:hAnsi="宋体"/>
          <w:b/>
          <w:snapToGrid w:val="0"/>
          <w:color w:val="auto"/>
          <w:kern w:val="0"/>
          <w:sz w:val="24"/>
          <w:highlight w:val="none"/>
        </w:rPr>
      </w:pPr>
      <w:r>
        <w:rPr>
          <w:rFonts w:hint="eastAsia" w:ascii="宋体" w:hAnsi="宋体"/>
          <w:b/>
          <w:snapToGrid w:val="0"/>
          <w:color w:val="auto"/>
          <w:kern w:val="0"/>
          <w:sz w:val="24"/>
          <w:highlight w:val="none"/>
        </w:rPr>
        <w:t>承包人与发包人一致同意不适用合同通用条款第38.1款的约定，代之以：</w:t>
      </w:r>
    </w:p>
    <w:p w14:paraId="57FC14C0">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bCs/>
          <w:snapToGrid w:val="0"/>
          <w:color w:val="auto"/>
          <w:kern w:val="0"/>
          <w:sz w:val="24"/>
          <w:highlight w:val="none"/>
        </w:rPr>
        <w:t>38.1</w:t>
      </w:r>
      <w:r>
        <w:rPr>
          <w:rFonts w:hint="eastAsia" w:ascii="宋体" w:hAnsi="宋体"/>
          <w:snapToGrid w:val="0"/>
          <w:color w:val="auto"/>
          <w:kern w:val="0"/>
          <w:sz w:val="24"/>
          <w:highlight w:val="none"/>
        </w:rPr>
        <w:t>发包人的违约责任</w:t>
      </w:r>
    </w:p>
    <w:p w14:paraId="2F60DC53">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（1）发包人无正当理由不按合同约定支付工程预付款、进度款和竣工结算款的，除应继续支付本合同约定的工程预付款、进度款和竣工结算款外，还应按同期银行活期存款利率向承包人计付拖欠期间的利息。</w:t>
      </w:r>
    </w:p>
    <w:p w14:paraId="14BB054B">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（2）因发包人违约或者过错给承包人造成损失的，在承包人提交足够证据并经查证属实的情况下，发包人应赔偿其直接经济损失。</w:t>
      </w:r>
    </w:p>
    <w:p w14:paraId="61D019B7">
      <w:pPr>
        <w:adjustRightInd w:val="0"/>
        <w:snapToGrid w:val="0"/>
        <w:spacing w:line="360" w:lineRule="auto"/>
        <w:ind w:right="11" w:firstLine="463" w:firstLineChars="192"/>
        <w:rPr>
          <w:rFonts w:ascii="宋体" w:hAnsi="宋体"/>
          <w:b/>
          <w:snapToGrid w:val="0"/>
          <w:color w:val="auto"/>
          <w:kern w:val="0"/>
          <w:sz w:val="24"/>
          <w:highlight w:val="none"/>
        </w:rPr>
      </w:pPr>
      <w:r>
        <w:rPr>
          <w:rFonts w:hint="eastAsia" w:ascii="宋体" w:hAnsi="宋体"/>
          <w:b/>
          <w:snapToGrid w:val="0"/>
          <w:color w:val="auto"/>
          <w:kern w:val="0"/>
          <w:sz w:val="24"/>
          <w:highlight w:val="none"/>
        </w:rPr>
        <w:t>承包人与发包人一致同意增加38.4至38.16：</w:t>
      </w:r>
    </w:p>
    <w:p w14:paraId="00593D1C">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38.4承包人承担违约责任的方式包括但不限于：</w:t>
      </w:r>
    </w:p>
    <w:p w14:paraId="03B843A2">
      <w:pPr>
        <w:tabs>
          <w:tab w:val="left" w:pos="1125"/>
        </w:tabs>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书面警告。承包人不履行或不完全履行合同约定的义务及责任，或者不执行总监理工程师或发包人（含主管人员）的指令时，发包人有权向承包人发出书面警告。承包人必须在书面警告限定的时间内改正，逾期未改正的，发包人有权要求其指挥长驻场办公，直至改正为止。</w:t>
      </w:r>
    </w:p>
    <w:p w14:paraId="10561C48">
      <w:pPr>
        <w:tabs>
          <w:tab w:val="left" w:pos="1125"/>
        </w:tabs>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（2）轻度违约责任。承包人违反本合同的约定须承担轻度违约责任时，必须向发包人交纳违约金</w:t>
      </w:r>
      <w:r>
        <w:rPr>
          <w:rFonts w:hint="eastAsia" w:ascii="宋体" w:hAnsi="宋体"/>
          <w:snapToGrid w:val="0"/>
          <w:color w:val="auto"/>
          <w:kern w:val="0"/>
          <w:szCs w:val="21"/>
          <w:highlight w:val="none"/>
        </w:rPr>
        <w:t>3000元</w:t>
      </w:r>
      <w:r>
        <w:rPr>
          <w:rFonts w:hint="eastAsia" w:ascii="宋体" w:hAnsi="宋体"/>
          <w:snapToGrid w:val="0"/>
          <w:color w:val="auto"/>
          <w:kern w:val="0"/>
          <w:sz w:val="24"/>
          <w:highlight w:val="none"/>
        </w:rPr>
        <w:t>）</w:t>
      </w:r>
      <w:r>
        <w:rPr>
          <w:rFonts w:hint="eastAsia" w:ascii="宋体" w:hAnsi="宋体"/>
          <w:bCs/>
          <w:snapToGrid w:val="0"/>
          <w:color w:val="auto"/>
          <w:kern w:val="0"/>
          <w:sz w:val="24"/>
          <w:highlight w:val="none"/>
        </w:rPr>
        <w:t>/次。</w:t>
      </w:r>
    </w:p>
    <w:p w14:paraId="2EB37C23">
      <w:pPr>
        <w:adjustRightInd w:val="0"/>
        <w:snapToGrid w:val="0"/>
        <w:spacing w:line="360" w:lineRule="auto"/>
        <w:ind w:firstLine="480" w:firstLineChars="200"/>
        <w:jc w:val="left"/>
        <w:rPr>
          <w:rFonts w:ascii="宋体" w:hAnsi="宋体"/>
          <w:snapToGrid w:val="0"/>
          <w:color w:val="auto"/>
          <w:kern w:val="0"/>
          <w:sz w:val="24"/>
          <w:highlight w:val="none"/>
        </w:rPr>
      </w:pPr>
      <w:r>
        <w:rPr>
          <w:rFonts w:hint="eastAsia" w:ascii="宋体" w:hAnsi="宋体"/>
          <w:bCs/>
          <w:snapToGrid w:val="0"/>
          <w:color w:val="auto"/>
          <w:kern w:val="0"/>
          <w:sz w:val="24"/>
          <w:highlight w:val="none"/>
        </w:rPr>
        <w:t>（3）一般违约责任。承包人违反本合同的约定须承担一般违约责任时，必须向发包人交纳违约金</w:t>
      </w:r>
      <w:r>
        <w:rPr>
          <w:rFonts w:hint="eastAsia" w:ascii="宋体" w:hAnsi="宋体"/>
          <w:snapToGrid w:val="0"/>
          <w:color w:val="auto"/>
          <w:kern w:val="0"/>
          <w:szCs w:val="21"/>
          <w:highlight w:val="none"/>
        </w:rPr>
        <w:t>10000元</w:t>
      </w:r>
      <w:r>
        <w:rPr>
          <w:rFonts w:hint="eastAsia" w:ascii="宋体" w:hAnsi="宋体"/>
          <w:snapToGrid w:val="0"/>
          <w:color w:val="auto"/>
          <w:kern w:val="0"/>
          <w:sz w:val="24"/>
          <w:highlight w:val="none"/>
        </w:rPr>
        <w:t>）</w:t>
      </w:r>
      <w:r>
        <w:rPr>
          <w:rFonts w:hint="eastAsia" w:ascii="宋体" w:hAnsi="宋体"/>
          <w:bCs/>
          <w:snapToGrid w:val="0"/>
          <w:color w:val="auto"/>
          <w:kern w:val="0"/>
          <w:sz w:val="24"/>
          <w:highlight w:val="none"/>
        </w:rPr>
        <w:t>/次</w:t>
      </w:r>
      <w:r>
        <w:rPr>
          <w:rFonts w:hint="eastAsia" w:ascii="宋体" w:hAnsi="宋体"/>
          <w:snapToGrid w:val="0"/>
          <w:color w:val="auto"/>
          <w:kern w:val="0"/>
          <w:sz w:val="24"/>
          <w:highlight w:val="none"/>
        </w:rPr>
        <w:t>。相关违约情形详见包括但不限于附件20《各项工作进度要求表》。</w:t>
      </w:r>
    </w:p>
    <w:p w14:paraId="56DFB627">
      <w:pPr>
        <w:tabs>
          <w:tab w:val="left" w:pos="1125"/>
        </w:tabs>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（4）严重违约责任。承包人违反本合同的约定须承担严重违约责任时，必须向发包人交纳违约金</w:t>
      </w:r>
      <w:r>
        <w:rPr>
          <w:rFonts w:hint="eastAsia" w:ascii="宋体" w:hAnsi="宋体"/>
          <w:snapToGrid w:val="0"/>
          <w:color w:val="auto"/>
          <w:kern w:val="0"/>
          <w:szCs w:val="21"/>
          <w:highlight w:val="none"/>
        </w:rPr>
        <w:t>50000元</w:t>
      </w:r>
      <w:r>
        <w:rPr>
          <w:rFonts w:hint="eastAsia" w:ascii="宋体" w:hAnsi="宋体"/>
          <w:snapToGrid w:val="0"/>
          <w:color w:val="auto"/>
          <w:kern w:val="0"/>
          <w:sz w:val="24"/>
          <w:highlight w:val="none"/>
        </w:rPr>
        <w:t>）</w:t>
      </w:r>
      <w:r>
        <w:rPr>
          <w:rFonts w:hint="eastAsia" w:ascii="宋体" w:hAnsi="宋体"/>
          <w:bCs/>
          <w:snapToGrid w:val="0"/>
          <w:color w:val="auto"/>
          <w:kern w:val="0"/>
          <w:sz w:val="24"/>
          <w:highlight w:val="none"/>
        </w:rPr>
        <w:t>/次。</w:t>
      </w:r>
    </w:p>
    <w:p w14:paraId="09315B87">
      <w:pPr>
        <w:tabs>
          <w:tab w:val="left" w:pos="1125"/>
        </w:tabs>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5）部分解除合同。当承包人违反本合同的约定符合部分解除合同的条件时，发包人有权向承包人发出书面部分解除合同的通知，该通知在送达承包人时即生效。发包人有权从本合同价款中直接扣除被解除部分工程所需的全部费用，同时，</w:t>
      </w:r>
      <w:r>
        <w:rPr>
          <w:rFonts w:hint="eastAsia" w:ascii="宋体" w:hAnsi="宋体"/>
          <w:snapToGrid w:val="0"/>
          <w:color w:val="auto"/>
          <w:kern w:val="0"/>
          <w:sz w:val="24"/>
          <w:highlight w:val="none"/>
        </w:rPr>
        <w:t>承包人应在部分解除合同之日起七日内向发包人支付</w:t>
      </w:r>
      <w:r>
        <w:rPr>
          <w:rFonts w:hint="eastAsia" w:ascii="宋体" w:hAnsi="宋体"/>
          <w:bCs/>
          <w:snapToGrid w:val="0"/>
          <w:color w:val="auto"/>
          <w:kern w:val="0"/>
          <w:sz w:val="24"/>
          <w:highlight w:val="none"/>
        </w:rPr>
        <w:t>被解除部分工程</w:t>
      </w:r>
      <w:r>
        <w:rPr>
          <w:rFonts w:hint="eastAsia" w:ascii="宋体" w:hAnsi="宋体"/>
          <w:snapToGrid w:val="0"/>
          <w:color w:val="auto"/>
          <w:kern w:val="0"/>
          <w:sz w:val="24"/>
          <w:highlight w:val="none"/>
        </w:rPr>
        <w:t>合同价款20%的违约金并赔偿发包人的实际损失</w:t>
      </w:r>
      <w:r>
        <w:rPr>
          <w:rFonts w:hint="eastAsia" w:ascii="宋体" w:hAnsi="宋体"/>
          <w:bCs/>
          <w:snapToGrid w:val="0"/>
          <w:color w:val="auto"/>
          <w:kern w:val="0"/>
          <w:sz w:val="24"/>
          <w:highlight w:val="none"/>
        </w:rPr>
        <w:t>。</w:t>
      </w:r>
    </w:p>
    <w:p w14:paraId="03EFB2DE">
      <w:pPr>
        <w:tabs>
          <w:tab w:val="left" w:pos="1125"/>
        </w:tabs>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w:t>
      </w:r>
      <w:r>
        <w:rPr>
          <w:rFonts w:hint="eastAsia" w:ascii="宋体" w:hAnsi="宋体"/>
          <w:bCs/>
          <w:snapToGrid w:val="0"/>
          <w:color w:val="auto"/>
          <w:kern w:val="0"/>
          <w:sz w:val="24"/>
          <w:highlight w:val="none"/>
          <w:lang w:val="en-US" w:eastAsia="zh-CN"/>
        </w:rPr>
        <w:t>6</w:t>
      </w:r>
      <w:r>
        <w:rPr>
          <w:rFonts w:hint="eastAsia" w:ascii="宋体" w:hAnsi="宋体"/>
          <w:bCs/>
          <w:snapToGrid w:val="0"/>
          <w:color w:val="auto"/>
          <w:kern w:val="0"/>
          <w:sz w:val="24"/>
          <w:highlight w:val="none"/>
        </w:rPr>
        <w:t>）解除合同。当承包人违反本合同的约定符合解除合同的条件时，发包人有权向承包人发出书面解除合同的通知，该通知在送达承包人时即生效，</w:t>
      </w:r>
      <w:r>
        <w:rPr>
          <w:rFonts w:hint="eastAsia" w:ascii="宋体" w:hAnsi="宋体"/>
          <w:snapToGrid w:val="0"/>
          <w:color w:val="auto"/>
          <w:kern w:val="0"/>
          <w:sz w:val="24"/>
          <w:highlight w:val="none"/>
        </w:rPr>
        <w:t>承包人应在解除合同之日起七日内向发包人支付本合同价款20%的违约金并赔偿发包人的实际损失</w:t>
      </w:r>
      <w:r>
        <w:rPr>
          <w:rFonts w:hint="eastAsia" w:ascii="宋体" w:hAnsi="宋体"/>
          <w:bCs/>
          <w:snapToGrid w:val="0"/>
          <w:color w:val="auto"/>
          <w:kern w:val="0"/>
          <w:sz w:val="24"/>
          <w:highlight w:val="none"/>
        </w:rPr>
        <w:t>。</w:t>
      </w:r>
    </w:p>
    <w:p w14:paraId="2BEFF8C9">
      <w:pPr>
        <w:tabs>
          <w:tab w:val="left" w:pos="1125"/>
        </w:tabs>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w:t>
      </w:r>
      <w:r>
        <w:rPr>
          <w:rFonts w:hint="eastAsia" w:ascii="宋体" w:hAnsi="宋体"/>
          <w:bCs/>
          <w:snapToGrid w:val="0"/>
          <w:color w:val="auto"/>
          <w:kern w:val="0"/>
          <w:sz w:val="24"/>
          <w:highlight w:val="none"/>
          <w:lang w:val="en-US" w:eastAsia="zh-CN"/>
        </w:rPr>
        <w:t>7</w:t>
      </w:r>
      <w:r>
        <w:rPr>
          <w:rFonts w:hint="eastAsia" w:ascii="宋体" w:hAnsi="宋体"/>
          <w:bCs/>
          <w:snapToGrid w:val="0"/>
          <w:color w:val="auto"/>
          <w:kern w:val="0"/>
          <w:sz w:val="24"/>
          <w:highlight w:val="none"/>
        </w:rPr>
        <w:t>）赔偿损失。因承包人原因造成发包人经济损失的，承包人应赔偿发包人的经济损失。</w:t>
      </w:r>
    </w:p>
    <w:p w14:paraId="2A7DA789">
      <w:pPr>
        <w:tabs>
          <w:tab w:val="left" w:pos="1125"/>
        </w:tabs>
        <w:adjustRightInd w:val="0"/>
        <w:snapToGrid w:val="0"/>
        <w:spacing w:line="360" w:lineRule="auto"/>
        <w:ind w:firstLine="480" w:firstLineChars="20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38.5在本合同有效期内，承包人累计承担三次轻度违约责任的，需要额外承担一次一般违约责任，承包人累计额外承担三次一般违约责任的，需要额外承担一次严重违约责任，承包人累计承担三次严重违约责任的，发包人可根据工程实际情况所需而有权单方面部分或全部解除合同。承包人应当按违约处罚决定确定的时间向发包人交纳，否则，发包人有权从应支付给承包人的工程款中直接扣除。</w:t>
      </w:r>
    </w:p>
    <w:p w14:paraId="6F0FE16F">
      <w:pPr>
        <w:tabs>
          <w:tab w:val="left" w:pos="1125"/>
        </w:tabs>
        <w:adjustRightInd w:val="0"/>
        <w:snapToGrid w:val="0"/>
        <w:spacing w:line="360" w:lineRule="auto"/>
        <w:ind w:firstLine="480" w:firstLineChars="200"/>
        <w:outlineLvl w:val="3"/>
        <w:rPr>
          <w:rFonts w:ascii="宋体" w:hAnsi="宋体"/>
          <w:bCs/>
          <w:snapToGrid w:val="0"/>
          <w:color w:val="auto"/>
          <w:kern w:val="0"/>
          <w:sz w:val="24"/>
          <w:highlight w:val="none"/>
        </w:rPr>
      </w:pPr>
      <w:r>
        <w:rPr>
          <w:rFonts w:hint="eastAsia" w:ascii="宋体" w:hAnsi="宋体"/>
          <w:snapToGrid w:val="0"/>
          <w:color w:val="auto"/>
          <w:kern w:val="0"/>
          <w:sz w:val="24"/>
          <w:highlight w:val="none"/>
        </w:rPr>
        <w:t>38.6</w:t>
      </w:r>
      <w:r>
        <w:rPr>
          <w:rFonts w:hint="eastAsia" w:ascii="宋体" w:hAnsi="宋体"/>
          <w:bCs/>
          <w:snapToGrid w:val="0"/>
          <w:color w:val="auto"/>
          <w:kern w:val="0"/>
          <w:sz w:val="24"/>
          <w:highlight w:val="none"/>
        </w:rPr>
        <w:t>承包人按本合同约定应交纳的违约金和赔偿金属于合同专用条款第38.10款“工程质量方面的违约责任”、第38.11款“安全生产方面的违约责任”的，承包人应当按违约处罚决定确定的时间向发包人交纳，否则，发包人有权从应支付给承包人的工程款中直接扣除。</w:t>
      </w:r>
    </w:p>
    <w:p w14:paraId="2BC236EF">
      <w:pPr>
        <w:tabs>
          <w:tab w:val="left" w:pos="1125"/>
        </w:tabs>
        <w:adjustRightInd w:val="0"/>
        <w:snapToGrid w:val="0"/>
        <w:spacing w:line="360" w:lineRule="auto"/>
        <w:ind w:firstLine="480" w:firstLineChars="200"/>
        <w:rPr>
          <w:rFonts w:hint="eastAsia" w:ascii="宋体" w:hAnsi="宋体"/>
          <w:bCs/>
          <w:snapToGrid w:val="0"/>
          <w:color w:val="auto"/>
          <w:kern w:val="0"/>
          <w:sz w:val="24"/>
          <w:highlight w:val="none"/>
        </w:rPr>
      </w:pPr>
      <w:r>
        <w:rPr>
          <w:rFonts w:hint="eastAsia" w:ascii="宋体" w:hAnsi="宋体"/>
          <w:bCs/>
          <w:snapToGrid w:val="0"/>
          <w:color w:val="auto"/>
          <w:kern w:val="0"/>
          <w:sz w:val="24"/>
          <w:highlight w:val="none"/>
        </w:rPr>
        <w:t>承包人按本合同约定应交纳的违约金和赔偿金属于合同专用条款第38.10款、第38.11款约定以外的其他违约责任的，发包人可决定暂不收取违约金和赔偿金，作为对承包人享有的应收款项债权，发包人将根据承包人履行合同的实际情况随时通知承包人交纳或在工程结算时予以扣除。若相关违约责任非承包人原因引起的，或相关违约责任对合同的履行未造成实质性影响的，或承包人在合同后续履行过程中已采取足够措施来弥补违约责任造成的损失的，由承包人提出申请，经监理单位、发包人批准后，可予以免除。</w:t>
      </w:r>
    </w:p>
    <w:p w14:paraId="0D7CCC09">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38.7工程组织管理方面的违约责任</w:t>
      </w:r>
    </w:p>
    <w:p w14:paraId="43EF250C">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承包人违反合同专用条款总则第2条、第5条的约定，不服从发包人及监理单位的管理，对发包人、监理单位的指令和书面通知公开或变相拒不执行的，发包人视情节严重程度有权要求其承担1次一般违约责任或者1次严重违约责任，并由承包人承担由此造成的一切经济损失。情节较轻的，可给予书面警告或者1次轻度违约；情节特别严重的，承包人需承担严重违约责任</w:t>
      </w:r>
      <w:r>
        <w:rPr>
          <w:rFonts w:hint="eastAsia" w:ascii="宋体" w:hAnsi="宋体"/>
          <w:snapToGrid w:val="0"/>
          <w:color w:val="auto"/>
          <w:kern w:val="0"/>
          <w:sz w:val="24"/>
          <w:highlight w:val="none"/>
        </w:rPr>
        <w:t>。</w:t>
      </w:r>
    </w:p>
    <w:p w14:paraId="57CA0AF3">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（2）承包人不遵守发包人依据合同专用条款总则第6条约定所制定的各项制度、规定的，由承包人按所触犯制度、规定的有关规定承担违约责任。所触犯制度、规定没有明确规定的，由发包人参照</w:t>
      </w:r>
      <w:r>
        <w:rPr>
          <w:rFonts w:hint="eastAsia" w:ascii="宋体" w:hAnsi="宋体"/>
          <w:snapToGrid w:val="0"/>
          <w:color w:val="auto"/>
          <w:kern w:val="0"/>
          <w:sz w:val="24"/>
          <w:highlight w:val="none"/>
        </w:rPr>
        <w:t>合同专用条款第38.7（1）款</w:t>
      </w:r>
      <w:r>
        <w:rPr>
          <w:rFonts w:hint="eastAsia" w:ascii="宋体" w:hAnsi="宋体"/>
          <w:bCs/>
          <w:snapToGrid w:val="0"/>
          <w:color w:val="auto"/>
          <w:kern w:val="0"/>
          <w:sz w:val="24"/>
          <w:highlight w:val="none"/>
        </w:rPr>
        <w:t>的约定处理。</w:t>
      </w:r>
    </w:p>
    <w:p w14:paraId="2C19A7D8">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（3）承包人不按</w:t>
      </w:r>
      <w:r>
        <w:rPr>
          <w:rFonts w:hint="eastAsia" w:ascii="宋体" w:hAnsi="宋体"/>
          <w:snapToGrid w:val="0"/>
          <w:color w:val="auto"/>
          <w:kern w:val="0"/>
          <w:sz w:val="24"/>
          <w:highlight w:val="none"/>
        </w:rPr>
        <w:t>合同专用条款第7</w:t>
      </w:r>
      <w:r>
        <w:rPr>
          <w:rFonts w:hint="eastAsia" w:ascii="宋体" w:hAnsi="宋体"/>
          <w:bCs/>
          <w:snapToGrid w:val="0"/>
          <w:color w:val="auto"/>
          <w:kern w:val="0"/>
          <w:sz w:val="24"/>
          <w:highlight w:val="none"/>
        </w:rPr>
        <w:t>条、第9条的有关约定投入</w:t>
      </w:r>
      <w:r>
        <w:rPr>
          <w:rFonts w:hint="eastAsia" w:ascii="宋体" w:hAnsi="宋体"/>
          <w:snapToGrid w:val="0"/>
          <w:color w:val="auto"/>
          <w:kern w:val="0"/>
          <w:sz w:val="24"/>
          <w:highlight w:val="none"/>
        </w:rPr>
        <w:t>现场组织管理人员、施工作业人员、施工机械设备，或者擅自变更资源投入计划或者擅自对已投入的资源进行调整的，</w:t>
      </w:r>
      <w:r>
        <w:rPr>
          <w:rFonts w:hint="eastAsia" w:ascii="宋体" w:hAnsi="宋体"/>
          <w:bCs/>
          <w:snapToGrid w:val="0"/>
          <w:color w:val="auto"/>
          <w:kern w:val="0"/>
          <w:sz w:val="24"/>
          <w:highlight w:val="none"/>
        </w:rPr>
        <w:t>承包人必须按照总监理工程师或者发包人的指令限期改正；承包人拒不限期改正的，发包人有权要求其承担1次一般违约责任或者1次严重违约责任。情节较轻的，可给予书面警告；情节特别严重的，承包人需承担严重违约责任</w:t>
      </w:r>
      <w:r>
        <w:rPr>
          <w:rFonts w:hint="eastAsia" w:ascii="宋体" w:hAnsi="宋体"/>
          <w:snapToGrid w:val="0"/>
          <w:color w:val="auto"/>
          <w:kern w:val="0"/>
          <w:sz w:val="24"/>
          <w:highlight w:val="none"/>
        </w:rPr>
        <w:t>。</w:t>
      </w:r>
    </w:p>
    <w:p w14:paraId="114EB845">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经发包人或总监理工程师考核，承包人投入的</w:t>
      </w:r>
      <w:r>
        <w:rPr>
          <w:rFonts w:hint="eastAsia" w:ascii="宋体" w:hAnsi="宋体"/>
          <w:snapToGrid w:val="0"/>
          <w:color w:val="auto"/>
          <w:kern w:val="0"/>
          <w:sz w:val="24"/>
          <w:highlight w:val="none"/>
        </w:rPr>
        <w:t>现场组织</w:t>
      </w:r>
      <w:r>
        <w:rPr>
          <w:rFonts w:hint="eastAsia" w:ascii="宋体" w:hAnsi="宋体"/>
          <w:bCs/>
          <w:snapToGrid w:val="0"/>
          <w:color w:val="auto"/>
          <w:kern w:val="0"/>
          <w:sz w:val="24"/>
          <w:highlight w:val="none"/>
        </w:rPr>
        <w:t>管理人员不能满足本工程建设要求的，承包人必须无条件按发包人的要求更换，直至满足本工程建设要求为止。而且，不能满足本工程建设要求的</w:t>
      </w:r>
      <w:r>
        <w:rPr>
          <w:rFonts w:hint="eastAsia" w:ascii="宋体" w:hAnsi="宋体"/>
          <w:snapToGrid w:val="0"/>
          <w:color w:val="auto"/>
          <w:kern w:val="0"/>
          <w:sz w:val="24"/>
          <w:highlight w:val="none"/>
        </w:rPr>
        <w:t>现场组织</w:t>
      </w:r>
      <w:r>
        <w:rPr>
          <w:rFonts w:hint="eastAsia" w:ascii="宋体" w:hAnsi="宋体"/>
          <w:bCs/>
          <w:snapToGrid w:val="0"/>
          <w:color w:val="auto"/>
          <w:kern w:val="0"/>
          <w:sz w:val="24"/>
          <w:highlight w:val="none"/>
        </w:rPr>
        <w:t>管理人员按缺勤处理。</w:t>
      </w:r>
    </w:p>
    <w:p w14:paraId="68C62682">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snapToGrid w:val="0"/>
          <w:color w:val="auto"/>
          <w:kern w:val="0"/>
          <w:sz w:val="24"/>
          <w:highlight w:val="none"/>
        </w:rPr>
        <w:t>如承包人违背投标承诺，除按上述约定承担违约责任之外，还应同时</w:t>
      </w:r>
      <w:r>
        <w:rPr>
          <w:rFonts w:hint="eastAsia" w:ascii="宋体" w:hAnsi="宋体"/>
          <w:bCs/>
          <w:snapToGrid w:val="0"/>
          <w:color w:val="auto"/>
          <w:kern w:val="0"/>
          <w:sz w:val="24"/>
          <w:highlight w:val="none"/>
        </w:rPr>
        <w:t>无条件按下表约定的金额向发包人支付违约金（承包人报发包人同意且办理相关备案手续的情况除外）：</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2694"/>
        <w:gridCol w:w="4447"/>
      </w:tblGrid>
      <w:tr w14:paraId="2791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Align w:val="center"/>
          </w:tcPr>
          <w:p w14:paraId="463F1454">
            <w:pPr>
              <w:adjustRightInd w:val="0"/>
              <w:snapToGrid w:val="0"/>
              <w:spacing w:line="30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承诺项目</w:t>
            </w:r>
          </w:p>
        </w:tc>
        <w:tc>
          <w:tcPr>
            <w:tcW w:w="2694" w:type="dxa"/>
            <w:vAlign w:val="center"/>
          </w:tcPr>
          <w:p w14:paraId="299B534B">
            <w:pPr>
              <w:adjustRightInd w:val="0"/>
              <w:snapToGrid w:val="0"/>
              <w:spacing w:line="30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违约说明</w:t>
            </w:r>
          </w:p>
        </w:tc>
        <w:tc>
          <w:tcPr>
            <w:tcW w:w="4447" w:type="dxa"/>
            <w:vAlign w:val="center"/>
          </w:tcPr>
          <w:p w14:paraId="46E85A54">
            <w:pPr>
              <w:adjustRightInd w:val="0"/>
              <w:snapToGrid w:val="0"/>
              <w:spacing w:line="30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承包人承诺的违约金额（元）</w:t>
            </w:r>
          </w:p>
        </w:tc>
      </w:tr>
      <w:tr w14:paraId="0830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1286" w:type="dxa"/>
            <w:vMerge w:val="restart"/>
            <w:vAlign w:val="center"/>
          </w:tcPr>
          <w:p w14:paraId="13D56BD9">
            <w:pPr>
              <w:adjustRightInd w:val="0"/>
              <w:snapToGrid w:val="0"/>
              <w:spacing w:line="300" w:lineRule="auto"/>
              <w:ind w:left="315" w:hanging="315" w:hangingChars="150"/>
              <w:rPr>
                <w:rFonts w:ascii="宋体" w:hAnsi="宋体"/>
                <w:snapToGrid w:val="0"/>
                <w:color w:val="auto"/>
                <w:kern w:val="0"/>
                <w:szCs w:val="21"/>
                <w:highlight w:val="none"/>
              </w:rPr>
            </w:pPr>
            <w:r>
              <w:rPr>
                <w:rFonts w:hint="eastAsia" w:ascii="宋体" w:hAnsi="宋体"/>
                <w:bCs/>
                <w:snapToGrid w:val="0"/>
                <w:color w:val="auto"/>
                <w:kern w:val="0"/>
                <w:szCs w:val="21"/>
                <w:highlight w:val="none"/>
                <w:bdr w:val="single" w:color="auto" w:sz="4" w:space="0"/>
              </w:rPr>
              <w:t>√</w:t>
            </w:r>
            <w:r>
              <w:rPr>
                <w:rFonts w:ascii="宋体" w:hAnsi="宋体"/>
                <w:snapToGrid w:val="0"/>
                <w:color w:val="auto"/>
                <w:kern w:val="0"/>
                <w:szCs w:val="21"/>
                <w:highlight w:val="none"/>
              </w:rPr>
              <w:t xml:space="preserve"> 总承包管理部</w:t>
            </w:r>
          </w:p>
        </w:tc>
        <w:tc>
          <w:tcPr>
            <w:tcW w:w="2694" w:type="dxa"/>
            <w:vAlign w:val="center"/>
          </w:tcPr>
          <w:p w14:paraId="0E738975">
            <w:pPr>
              <w:adjustRightInd w:val="0"/>
              <w:snapToGrid w:val="0"/>
              <w:spacing w:line="300" w:lineRule="auto"/>
              <w:rPr>
                <w:rFonts w:ascii="宋体" w:hAnsi="宋体"/>
                <w:color w:val="auto"/>
                <w:kern w:val="0"/>
                <w:szCs w:val="21"/>
                <w:highlight w:val="none"/>
              </w:rPr>
            </w:pPr>
            <w:r>
              <w:rPr>
                <w:rFonts w:hint="eastAsia" w:ascii="宋体" w:hAnsi="宋体"/>
                <w:snapToGrid w:val="0"/>
                <w:color w:val="auto"/>
                <w:kern w:val="0"/>
                <w:szCs w:val="21"/>
                <w:highlight w:val="none"/>
              </w:rPr>
              <w:t>更换项目指挥长或项目经理</w:t>
            </w:r>
          </w:p>
        </w:tc>
        <w:tc>
          <w:tcPr>
            <w:tcW w:w="4447" w:type="dxa"/>
            <w:vAlign w:val="center"/>
          </w:tcPr>
          <w:p w14:paraId="5E5D4507">
            <w:pPr>
              <w:adjustRightInd w:val="0"/>
              <w:snapToGrid w:val="0"/>
              <w:spacing w:line="300"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300000</w:t>
            </w:r>
          </w:p>
          <w:p w14:paraId="1D97FAEA">
            <w:pPr>
              <w:adjustRightInd w:val="0"/>
              <w:snapToGrid w:val="0"/>
              <w:spacing w:line="300" w:lineRule="auto"/>
              <w:jc w:val="center"/>
              <w:rPr>
                <w:rFonts w:ascii="宋体" w:hAnsi="宋体"/>
                <w:snapToGrid w:val="0"/>
                <w:color w:val="auto"/>
                <w:kern w:val="0"/>
                <w:szCs w:val="21"/>
                <w:highlight w:val="none"/>
              </w:rPr>
            </w:pPr>
          </w:p>
        </w:tc>
      </w:tr>
      <w:tr w14:paraId="0FB8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1286" w:type="dxa"/>
            <w:vMerge w:val="continue"/>
            <w:vAlign w:val="center"/>
          </w:tcPr>
          <w:p w14:paraId="2675561B">
            <w:pPr>
              <w:adjustRightInd w:val="0"/>
              <w:snapToGrid w:val="0"/>
              <w:spacing w:line="300" w:lineRule="auto"/>
              <w:rPr>
                <w:rFonts w:ascii="宋体" w:hAnsi="宋体"/>
                <w:snapToGrid w:val="0"/>
                <w:color w:val="auto"/>
                <w:kern w:val="0"/>
                <w:szCs w:val="21"/>
                <w:highlight w:val="none"/>
              </w:rPr>
            </w:pPr>
          </w:p>
        </w:tc>
        <w:tc>
          <w:tcPr>
            <w:tcW w:w="2694" w:type="dxa"/>
            <w:vAlign w:val="center"/>
          </w:tcPr>
          <w:p w14:paraId="28BDAFF3">
            <w:pPr>
              <w:adjustRightInd w:val="0"/>
              <w:snapToGrid w:val="0"/>
              <w:spacing w:line="300" w:lineRule="auto"/>
              <w:rPr>
                <w:rFonts w:ascii="宋体" w:hAnsi="宋体"/>
                <w:color w:val="auto"/>
                <w:kern w:val="0"/>
                <w:szCs w:val="21"/>
                <w:highlight w:val="none"/>
              </w:rPr>
            </w:pPr>
            <w:r>
              <w:rPr>
                <w:rFonts w:hint="eastAsia" w:ascii="宋体" w:hAnsi="宋体"/>
                <w:color w:val="auto"/>
                <w:kern w:val="0"/>
                <w:szCs w:val="21"/>
                <w:highlight w:val="none"/>
              </w:rPr>
              <w:t>更换项目技术负责人</w:t>
            </w:r>
          </w:p>
        </w:tc>
        <w:tc>
          <w:tcPr>
            <w:tcW w:w="4447" w:type="dxa"/>
            <w:vAlign w:val="center"/>
          </w:tcPr>
          <w:p w14:paraId="1A1081C3">
            <w:pPr>
              <w:adjustRightInd w:val="0"/>
              <w:snapToGrid w:val="0"/>
              <w:spacing w:line="300"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150000</w:t>
            </w:r>
          </w:p>
          <w:p w14:paraId="68403064">
            <w:pPr>
              <w:adjustRightInd w:val="0"/>
              <w:snapToGrid w:val="0"/>
              <w:spacing w:line="300" w:lineRule="auto"/>
              <w:jc w:val="center"/>
              <w:rPr>
                <w:rFonts w:ascii="宋体" w:hAnsi="宋体"/>
                <w:snapToGrid w:val="0"/>
                <w:color w:val="auto"/>
                <w:kern w:val="0"/>
                <w:szCs w:val="21"/>
                <w:highlight w:val="none"/>
              </w:rPr>
            </w:pPr>
          </w:p>
        </w:tc>
      </w:tr>
      <w:tr w14:paraId="5F8D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286" w:type="dxa"/>
            <w:vMerge w:val="continue"/>
            <w:vAlign w:val="center"/>
          </w:tcPr>
          <w:p w14:paraId="4262683D">
            <w:pPr>
              <w:adjustRightInd w:val="0"/>
              <w:snapToGrid w:val="0"/>
              <w:spacing w:line="300" w:lineRule="auto"/>
              <w:rPr>
                <w:rFonts w:ascii="宋体" w:hAnsi="宋体"/>
                <w:snapToGrid w:val="0"/>
                <w:color w:val="auto"/>
                <w:kern w:val="0"/>
                <w:szCs w:val="21"/>
                <w:highlight w:val="none"/>
              </w:rPr>
            </w:pPr>
          </w:p>
        </w:tc>
        <w:tc>
          <w:tcPr>
            <w:tcW w:w="2694" w:type="dxa"/>
            <w:vAlign w:val="center"/>
          </w:tcPr>
          <w:p w14:paraId="637F1249">
            <w:pPr>
              <w:adjustRightInd w:val="0"/>
              <w:snapToGrid w:val="0"/>
              <w:spacing w:line="300" w:lineRule="auto"/>
              <w:rPr>
                <w:rFonts w:ascii="宋体" w:hAnsi="宋体"/>
                <w:color w:val="auto"/>
                <w:kern w:val="0"/>
                <w:szCs w:val="21"/>
                <w:highlight w:val="none"/>
              </w:rPr>
            </w:pPr>
            <w:r>
              <w:rPr>
                <w:rFonts w:hint="eastAsia" w:ascii="宋体" w:hAnsi="宋体"/>
                <w:color w:val="auto"/>
                <w:kern w:val="0"/>
                <w:szCs w:val="21"/>
                <w:highlight w:val="none"/>
              </w:rPr>
              <w:t>更换安全负责人或质量管理负责人</w:t>
            </w:r>
          </w:p>
        </w:tc>
        <w:tc>
          <w:tcPr>
            <w:tcW w:w="4447" w:type="dxa"/>
            <w:vAlign w:val="center"/>
          </w:tcPr>
          <w:p w14:paraId="14FFD0AC">
            <w:pPr>
              <w:adjustRightInd w:val="0"/>
              <w:snapToGrid w:val="0"/>
              <w:spacing w:line="300"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100000</w:t>
            </w:r>
          </w:p>
          <w:p w14:paraId="74ABAE4C">
            <w:pPr>
              <w:adjustRightInd w:val="0"/>
              <w:snapToGrid w:val="0"/>
              <w:spacing w:line="300" w:lineRule="auto"/>
              <w:jc w:val="center"/>
              <w:rPr>
                <w:rFonts w:ascii="宋体" w:hAnsi="宋体"/>
                <w:snapToGrid w:val="0"/>
                <w:color w:val="auto"/>
                <w:kern w:val="0"/>
                <w:szCs w:val="21"/>
                <w:highlight w:val="none"/>
              </w:rPr>
            </w:pPr>
          </w:p>
        </w:tc>
      </w:tr>
      <w:tr w14:paraId="5C1E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286" w:type="dxa"/>
            <w:vMerge w:val="restart"/>
            <w:vAlign w:val="center"/>
          </w:tcPr>
          <w:p w14:paraId="056AAA4F">
            <w:pPr>
              <w:adjustRightInd w:val="0"/>
              <w:snapToGrid w:val="0"/>
              <w:spacing w:line="300" w:lineRule="auto"/>
              <w:rPr>
                <w:rFonts w:ascii="宋体" w:hAnsi="宋体"/>
                <w:snapToGrid w:val="0"/>
                <w:color w:val="auto"/>
                <w:kern w:val="0"/>
                <w:szCs w:val="21"/>
                <w:highlight w:val="none"/>
              </w:rPr>
            </w:pPr>
            <w:r>
              <w:rPr>
                <w:rFonts w:hint="eastAsia" w:ascii="宋体" w:hAnsi="宋体"/>
                <w:bCs/>
                <w:snapToGrid w:val="0"/>
                <w:color w:val="auto"/>
                <w:kern w:val="0"/>
                <w:szCs w:val="21"/>
                <w:highlight w:val="none"/>
                <w:bdr w:val="single" w:color="auto" w:sz="4" w:space="0"/>
              </w:rPr>
              <w:t>√</w:t>
            </w:r>
            <w:r>
              <w:rPr>
                <w:rFonts w:hint="eastAsia" w:ascii="宋体" w:hAnsi="宋体"/>
                <w:snapToGrid w:val="0"/>
                <w:color w:val="auto"/>
                <w:kern w:val="0"/>
                <w:szCs w:val="21"/>
                <w:highlight w:val="none"/>
              </w:rPr>
              <w:t>材料管理部</w:t>
            </w:r>
          </w:p>
        </w:tc>
        <w:tc>
          <w:tcPr>
            <w:tcW w:w="2694" w:type="dxa"/>
            <w:vAlign w:val="center"/>
          </w:tcPr>
          <w:p w14:paraId="5EED85E1">
            <w:pPr>
              <w:adjustRightInd w:val="0"/>
              <w:snapToGrid w:val="0"/>
              <w:spacing w:line="300" w:lineRule="auto"/>
              <w:rPr>
                <w:rFonts w:ascii="宋体" w:hAnsi="宋体"/>
                <w:color w:val="auto"/>
                <w:kern w:val="0"/>
                <w:szCs w:val="21"/>
                <w:highlight w:val="none"/>
              </w:rPr>
            </w:pPr>
            <w:r>
              <w:rPr>
                <w:rFonts w:hint="eastAsia" w:ascii="宋体" w:hAnsi="宋体"/>
                <w:color w:val="auto"/>
                <w:kern w:val="0"/>
                <w:szCs w:val="21"/>
                <w:highlight w:val="none"/>
              </w:rPr>
              <w:t>更换部门经理或空缺</w:t>
            </w:r>
          </w:p>
        </w:tc>
        <w:tc>
          <w:tcPr>
            <w:tcW w:w="4447" w:type="dxa"/>
            <w:vAlign w:val="center"/>
          </w:tcPr>
          <w:p w14:paraId="2B197119">
            <w:pPr>
              <w:adjustRightInd w:val="0"/>
              <w:snapToGrid w:val="0"/>
              <w:spacing w:line="300"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250000</w:t>
            </w:r>
          </w:p>
          <w:p w14:paraId="6719746E">
            <w:pPr>
              <w:adjustRightInd w:val="0"/>
              <w:snapToGrid w:val="0"/>
              <w:spacing w:line="300" w:lineRule="auto"/>
              <w:jc w:val="center"/>
              <w:rPr>
                <w:rFonts w:ascii="宋体" w:hAnsi="宋体"/>
                <w:snapToGrid w:val="0"/>
                <w:color w:val="auto"/>
                <w:kern w:val="0"/>
                <w:szCs w:val="21"/>
                <w:highlight w:val="none"/>
              </w:rPr>
            </w:pPr>
          </w:p>
        </w:tc>
      </w:tr>
      <w:tr w14:paraId="3AD2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1286" w:type="dxa"/>
            <w:vMerge w:val="continue"/>
            <w:vAlign w:val="center"/>
          </w:tcPr>
          <w:p w14:paraId="42A7FBFE">
            <w:pPr>
              <w:adjustRightInd w:val="0"/>
              <w:snapToGrid w:val="0"/>
              <w:spacing w:line="300" w:lineRule="auto"/>
              <w:rPr>
                <w:rFonts w:ascii="宋体" w:hAnsi="宋体"/>
                <w:snapToGrid w:val="0"/>
                <w:color w:val="auto"/>
                <w:kern w:val="0"/>
                <w:szCs w:val="21"/>
                <w:highlight w:val="none"/>
              </w:rPr>
            </w:pPr>
          </w:p>
        </w:tc>
        <w:tc>
          <w:tcPr>
            <w:tcW w:w="2694" w:type="dxa"/>
            <w:vAlign w:val="center"/>
          </w:tcPr>
          <w:p w14:paraId="4CDF6EA9">
            <w:pPr>
              <w:adjustRightInd w:val="0"/>
              <w:snapToGrid w:val="0"/>
              <w:spacing w:line="300" w:lineRule="auto"/>
              <w:rPr>
                <w:rFonts w:ascii="宋体" w:hAnsi="宋体"/>
                <w:color w:val="auto"/>
                <w:kern w:val="0"/>
                <w:szCs w:val="21"/>
                <w:highlight w:val="none"/>
              </w:rPr>
            </w:pPr>
            <w:r>
              <w:rPr>
                <w:rFonts w:hint="eastAsia" w:ascii="宋体" w:hAnsi="宋体"/>
                <w:color w:val="auto"/>
                <w:kern w:val="0"/>
                <w:szCs w:val="21"/>
                <w:highlight w:val="none"/>
              </w:rPr>
              <w:t>更换其他人</w:t>
            </w:r>
          </w:p>
        </w:tc>
        <w:tc>
          <w:tcPr>
            <w:tcW w:w="4447" w:type="dxa"/>
            <w:vAlign w:val="center"/>
          </w:tcPr>
          <w:p w14:paraId="3D9F11BD">
            <w:pPr>
              <w:adjustRightInd w:val="0"/>
              <w:snapToGrid w:val="0"/>
              <w:spacing w:line="300"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100000</w:t>
            </w:r>
          </w:p>
          <w:p w14:paraId="03D9B115">
            <w:pPr>
              <w:adjustRightInd w:val="0"/>
              <w:snapToGrid w:val="0"/>
              <w:spacing w:line="300" w:lineRule="auto"/>
              <w:jc w:val="center"/>
              <w:rPr>
                <w:rFonts w:ascii="宋体" w:hAnsi="宋体"/>
                <w:snapToGrid w:val="0"/>
                <w:color w:val="auto"/>
                <w:kern w:val="0"/>
                <w:szCs w:val="21"/>
                <w:highlight w:val="none"/>
              </w:rPr>
            </w:pPr>
          </w:p>
        </w:tc>
      </w:tr>
      <w:tr w14:paraId="54E7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286" w:type="dxa"/>
            <w:vAlign w:val="center"/>
          </w:tcPr>
          <w:p w14:paraId="480CCB18">
            <w:pPr>
              <w:adjustRightInd w:val="0"/>
              <w:snapToGrid w:val="0"/>
              <w:spacing w:line="30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各阶段投入劳动力</w:t>
            </w:r>
          </w:p>
        </w:tc>
        <w:tc>
          <w:tcPr>
            <w:tcW w:w="2694" w:type="dxa"/>
            <w:vAlign w:val="center"/>
          </w:tcPr>
          <w:p w14:paraId="57B0F4D6">
            <w:pPr>
              <w:adjustRightInd w:val="0"/>
              <w:snapToGrid w:val="0"/>
              <w:spacing w:line="300" w:lineRule="auto"/>
              <w:rPr>
                <w:rFonts w:ascii="宋体" w:hAnsi="宋体"/>
                <w:color w:val="auto"/>
                <w:kern w:val="0"/>
                <w:szCs w:val="21"/>
                <w:highlight w:val="none"/>
              </w:rPr>
            </w:pPr>
            <w:r>
              <w:rPr>
                <w:rFonts w:hint="eastAsia" w:ascii="宋体" w:hAnsi="宋体"/>
                <w:snapToGrid w:val="0"/>
                <w:color w:val="auto"/>
                <w:kern w:val="0"/>
                <w:szCs w:val="21"/>
                <w:highlight w:val="none"/>
              </w:rPr>
              <w:t>每少</w:t>
            </w:r>
            <w:r>
              <w:rPr>
                <w:rFonts w:ascii="宋体" w:hAnsi="宋体"/>
                <w:snapToGrid w:val="0"/>
                <w:color w:val="auto"/>
                <w:kern w:val="0"/>
                <w:szCs w:val="21"/>
                <w:highlight w:val="none"/>
              </w:rPr>
              <w:t>1人</w:t>
            </w:r>
          </w:p>
        </w:tc>
        <w:tc>
          <w:tcPr>
            <w:tcW w:w="4447" w:type="dxa"/>
            <w:vAlign w:val="center"/>
          </w:tcPr>
          <w:p w14:paraId="2B3C7073">
            <w:pPr>
              <w:adjustRightInd w:val="0"/>
              <w:snapToGrid w:val="0"/>
              <w:spacing w:line="300" w:lineRule="auto"/>
              <w:jc w:val="center"/>
              <w:rPr>
                <w:rFonts w:ascii="宋体" w:hAnsi="宋体"/>
                <w:bCs/>
                <w:snapToGrid w:val="0"/>
                <w:color w:val="auto"/>
                <w:kern w:val="0"/>
                <w:szCs w:val="21"/>
                <w:highlight w:val="none"/>
                <w:bdr w:val="single" w:color="auto" w:sz="4" w:space="0"/>
              </w:rPr>
            </w:pPr>
            <w:r>
              <w:rPr>
                <w:rFonts w:ascii="宋体" w:hAnsi="宋体"/>
                <w:snapToGrid w:val="0"/>
                <w:color w:val="auto"/>
                <w:kern w:val="0"/>
                <w:szCs w:val="21"/>
                <w:highlight w:val="none"/>
              </w:rPr>
              <w:t>1000</w:t>
            </w:r>
          </w:p>
        </w:tc>
      </w:tr>
      <w:tr w14:paraId="53D1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286" w:type="dxa"/>
            <w:vAlign w:val="center"/>
          </w:tcPr>
          <w:p w14:paraId="7F01F882">
            <w:pPr>
              <w:adjustRightInd w:val="0"/>
              <w:snapToGrid w:val="0"/>
              <w:spacing w:line="30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各阶段投入主要材料</w:t>
            </w:r>
          </w:p>
        </w:tc>
        <w:tc>
          <w:tcPr>
            <w:tcW w:w="2694" w:type="dxa"/>
            <w:vAlign w:val="center"/>
          </w:tcPr>
          <w:p w14:paraId="1DE4D1EB">
            <w:pPr>
              <w:adjustRightInd w:val="0"/>
              <w:snapToGrid w:val="0"/>
              <w:spacing w:line="30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没有按发包人审定的总控或阶段计划投入，每少</w:t>
            </w:r>
            <w:r>
              <w:rPr>
                <w:rFonts w:ascii="宋体" w:hAnsi="宋体"/>
                <w:snapToGrid w:val="0"/>
                <w:color w:val="auto"/>
                <w:kern w:val="0"/>
                <w:szCs w:val="21"/>
                <w:highlight w:val="none"/>
              </w:rPr>
              <w:t>10%</w:t>
            </w:r>
          </w:p>
        </w:tc>
        <w:tc>
          <w:tcPr>
            <w:tcW w:w="4447" w:type="dxa"/>
            <w:vAlign w:val="center"/>
          </w:tcPr>
          <w:p w14:paraId="54C6D73C">
            <w:pPr>
              <w:adjustRightInd w:val="0"/>
              <w:snapToGrid w:val="0"/>
              <w:spacing w:line="300" w:lineRule="auto"/>
              <w:jc w:val="center"/>
              <w:rPr>
                <w:rFonts w:ascii="宋体" w:hAnsi="宋体"/>
                <w:snapToGrid w:val="0"/>
                <w:color w:val="auto"/>
                <w:kern w:val="0"/>
                <w:szCs w:val="21"/>
                <w:highlight w:val="none"/>
              </w:rPr>
            </w:pPr>
            <w:r>
              <w:rPr>
                <w:rFonts w:ascii="宋体" w:hAnsi="宋体"/>
                <w:snapToGrid w:val="0"/>
                <w:color w:val="auto"/>
                <w:kern w:val="0"/>
                <w:szCs w:val="21"/>
                <w:highlight w:val="none"/>
              </w:rPr>
              <w:t>300000</w:t>
            </w:r>
          </w:p>
          <w:p w14:paraId="4ED6C509">
            <w:pPr>
              <w:adjustRightInd w:val="0"/>
              <w:snapToGrid w:val="0"/>
              <w:spacing w:line="300" w:lineRule="auto"/>
              <w:jc w:val="center"/>
              <w:rPr>
                <w:rFonts w:ascii="宋体" w:hAnsi="宋体"/>
                <w:snapToGrid w:val="0"/>
                <w:color w:val="auto"/>
                <w:kern w:val="0"/>
                <w:szCs w:val="21"/>
                <w:highlight w:val="none"/>
              </w:rPr>
            </w:pPr>
          </w:p>
        </w:tc>
      </w:tr>
      <w:tr w14:paraId="6832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286" w:type="dxa"/>
            <w:vMerge w:val="restart"/>
            <w:vAlign w:val="center"/>
          </w:tcPr>
          <w:p w14:paraId="79A7CD83">
            <w:pPr>
              <w:adjustRightInd w:val="0"/>
              <w:snapToGrid w:val="0"/>
              <w:spacing w:line="30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各阶段投入施工设备</w:t>
            </w:r>
          </w:p>
        </w:tc>
        <w:tc>
          <w:tcPr>
            <w:tcW w:w="2694" w:type="dxa"/>
            <w:vAlign w:val="center"/>
          </w:tcPr>
          <w:p w14:paraId="21ED6B2E">
            <w:pPr>
              <w:adjustRightInd w:val="0"/>
              <w:snapToGrid w:val="0"/>
              <w:spacing w:line="276"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没有按发包人审定的总控或阶段计划投入，主要设备每少</w:t>
            </w:r>
            <w:r>
              <w:rPr>
                <w:rFonts w:ascii="宋体" w:hAnsi="宋体"/>
                <w:snapToGrid w:val="0"/>
                <w:color w:val="auto"/>
                <w:kern w:val="0"/>
                <w:szCs w:val="21"/>
                <w:highlight w:val="none"/>
              </w:rPr>
              <w:t>1台</w:t>
            </w:r>
          </w:p>
        </w:tc>
        <w:tc>
          <w:tcPr>
            <w:tcW w:w="4447" w:type="dxa"/>
            <w:vAlign w:val="center"/>
          </w:tcPr>
          <w:p w14:paraId="0B53900B">
            <w:pPr>
              <w:adjustRightInd w:val="0"/>
              <w:snapToGrid w:val="0"/>
              <w:spacing w:line="300" w:lineRule="auto"/>
              <w:jc w:val="center"/>
              <w:rPr>
                <w:rFonts w:ascii="宋体" w:hAnsi="宋体"/>
                <w:bCs/>
                <w:snapToGrid w:val="0"/>
                <w:color w:val="auto"/>
                <w:kern w:val="0"/>
                <w:szCs w:val="21"/>
                <w:highlight w:val="none"/>
                <w:bdr w:val="single" w:color="auto" w:sz="4" w:space="0"/>
              </w:rPr>
            </w:pPr>
            <w:r>
              <w:rPr>
                <w:rFonts w:ascii="宋体" w:hAnsi="宋体"/>
                <w:snapToGrid w:val="0"/>
                <w:color w:val="auto"/>
                <w:kern w:val="0"/>
                <w:szCs w:val="21"/>
                <w:highlight w:val="none"/>
              </w:rPr>
              <w:t>50000</w:t>
            </w:r>
          </w:p>
        </w:tc>
      </w:tr>
      <w:tr w14:paraId="5175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86" w:type="dxa"/>
            <w:vMerge w:val="continue"/>
            <w:vAlign w:val="center"/>
          </w:tcPr>
          <w:p w14:paraId="7D846639">
            <w:pPr>
              <w:adjustRightInd w:val="0"/>
              <w:snapToGrid w:val="0"/>
              <w:spacing w:line="300" w:lineRule="auto"/>
              <w:rPr>
                <w:rFonts w:ascii="宋体" w:hAnsi="宋体"/>
                <w:snapToGrid w:val="0"/>
                <w:color w:val="auto"/>
                <w:kern w:val="0"/>
                <w:szCs w:val="21"/>
                <w:highlight w:val="none"/>
              </w:rPr>
            </w:pPr>
          </w:p>
        </w:tc>
        <w:tc>
          <w:tcPr>
            <w:tcW w:w="2694" w:type="dxa"/>
            <w:vAlign w:val="center"/>
          </w:tcPr>
          <w:p w14:paraId="4A9FDF59">
            <w:pPr>
              <w:adjustRightInd w:val="0"/>
              <w:snapToGrid w:val="0"/>
              <w:spacing w:line="276"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没有按发包人审定的总控或阶段计划投入，一般设备每少</w:t>
            </w:r>
            <w:r>
              <w:rPr>
                <w:rFonts w:ascii="宋体" w:hAnsi="宋体"/>
                <w:snapToGrid w:val="0"/>
                <w:color w:val="auto"/>
                <w:kern w:val="0"/>
                <w:szCs w:val="21"/>
                <w:highlight w:val="none"/>
              </w:rPr>
              <w:t>1台</w:t>
            </w:r>
          </w:p>
        </w:tc>
        <w:tc>
          <w:tcPr>
            <w:tcW w:w="4447" w:type="dxa"/>
            <w:vAlign w:val="center"/>
          </w:tcPr>
          <w:p w14:paraId="4909ADCC">
            <w:pPr>
              <w:adjustRightInd w:val="0"/>
              <w:snapToGrid w:val="0"/>
              <w:spacing w:line="300" w:lineRule="auto"/>
              <w:jc w:val="center"/>
              <w:rPr>
                <w:rFonts w:ascii="宋体" w:hAnsi="宋体"/>
                <w:bCs/>
                <w:snapToGrid w:val="0"/>
                <w:color w:val="auto"/>
                <w:kern w:val="0"/>
                <w:szCs w:val="21"/>
                <w:highlight w:val="none"/>
                <w:bdr w:val="single" w:color="auto" w:sz="4" w:space="0"/>
              </w:rPr>
            </w:pPr>
            <w:r>
              <w:rPr>
                <w:rFonts w:ascii="宋体" w:hAnsi="宋体"/>
                <w:snapToGrid w:val="0"/>
                <w:color w:val="auto"/>
                <w:kern w:val="0"/>
                <w:szCs w:val="21"/>
                <w:highlight w:val="none"/>
              </w:rPr>
              <w:t>10000</w:t>
            </w:r>
          </w:p>
        </w:tc>
      </w:tr>
    </w:tbl>
    <w:p w14:paraId="52286F6A">
      <w:pPr>
        <w:adjustRightInd w:val="0"/>
        <w:snapToGrid w:val="0"/>
        <w:spacing w:line="360" w:lineRule="auto"/>
        <w:ind w:firstLine="480" w:firstLineChars="200"/>
        <w:rPr>
          <w:rFonts w:ascii="宋体" w:hAnsi="宋体"/>
          <w:snapToGrid w:val="0"/>
          <w:color w:val="auto"/>
          <w:kern w:val="0"/>
          <w:sz w:val="24"/>
          <w:highlight w:val="none"/>
          <w:shd w:val="clear" w:color="auto" w:fill="FFFF00"/>
        </w:rPr>
      </w:pPr>
      <w:r>
        <w:rPr>
          <w:rFonts w:hint="eastAsia" w:ascii="宋体" w:hAnsi="宋体"/>
          <w:snapToGrid w:val="0"/>
          <w:color w:val="auto"/>
          <w:kern w:val="0"/>
          <w:sz w:val="24"/>
          <w:highlight w:val="none"/>
        </w:rPr>
        <w:t>（4）对于监理人或发包人通知承包人参加的会议（包括但不限于进场会、现场问题处理会议、工程验收会议、结算问题处理会议、质保期工作的相关会议等），被通知人员（包括但不限于承包人法定代表人、经监理人或发包人批准同意的承包人法定代表人授权人、项目负责人、技术负责人等）未经监理人或发包人书面同意自行缺席的，</w:t>
      </w:r>
      <w:r>
        <w:rPr>
          <w:rFonts w:hint="eastAsia" w:ascii="宋体" w:hAnsi="宋体"/>
          <w:bCs/>
          <w:snapToGrid w:val="0"/>
          <w:color w:val="auto"/>
          <w:kern w:val="0"/>
          <w:sz w:val="24"/>
          <w:highlight w:val="none"/>
        </w:rPr>
        <w:t>每缺席一人次承包人承担1次轻度违约责任。</w:t>
      </w:r>
    </w:p>
    <w:p w14:paraId="68226FE2">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（5）承包人不按本合同约定做好施工总承包管理或配合工作，经总监理工程师或发包人发出限期改正通知后3天内，承包人仍未能整改至令总监理工程师或发包人满意的，由承包人参</w:t>
      </w:r>
      <w:r>
        <w:rPr>
          <w:rFonts w:hint="eastAsia" w:ascii="宋体" w:hAnsi="宋体"/>
          <w:bCs/>
          <w:snapToGrid w:val="0"/>
          <w:color w:val="auto"/>
          <w:kern w:val="0"/>
          <w:sz w:val="24"/>
          <w:highlight w:val="none"/>
        </w:rPr>
        <w:t>照</w:t>
      </w:r>
      <w:r>
        <w:rPr>
          <w:rFonts w:hint="eastAsia" w:ascii="宋体" w:hAnsi="宋体"/>
          <w:snapToGrid w:val="0"/>
          <w:color w:val="auto"/>
          <w:kern w:val="0"/>
          <w:sz w:val="24"/>
          <w:highlight w:val="none"/>
        </w:rPr>
        <w:t>合同专用条款第38.7（1）款</w:t>
      </w:r>
      <w:r>
        <w:rPr>
          <w:rFonts w:hint="eastAsia" w:ascii="宋体" w:hAnsi="宋体"/>
          <w:bCs/>
          <w:snapToGrid w:val="0"/>
          <w:color w:val="auto"/>
          <w:kern w:val="0"/>
          <w:sz w:val="24"/>
          <w:highlight w:val="none"/>
        </w:rPr>
        <w:t>的约定向发包人承担违约责任。</w:t>
      </w:r>
    </w:p>
    <w:p w14:paraId="7183F661">
      <w:pPr>
        <w:adjustRightInd w:val="0"/>
        <w:snapToGrid w:val="0"/>
        <w:spacing w:line="360" w:lineRule="auto"/>
        <w:ind w:right="11" w:firstLine="460" w:firstLineChars="192"/>
        <w:rPr>
          <w:rFonts w:ascii="宋体" w:hAnsi="宋体"/>
          <w:bCs/>
          <w:snapToGrid w:val="0"/>
          <w:color w:val="auto"/>
          <w:kern w:val="0"/>
          <w:sz w:val="24"/>
          <w:highlight w:val="none"/>
        </w:rPr>
      </w:pPr>
      <w:r>
        <w:rPr>
          <w:rFonts w:hint="eastAsia" w:ascii="宋体" w:hAnsi="宋体"/>
          <w:bCs/>
          <w:snapToGrid w:val="0"/>
          <w:color w:val="auto"/>
          <w:kern w:val="0"/>
          <w:sz w:val="24"/>
          <w:highlight w:val="none"/>
        </w:rPr>
        <w:t>（6）承包人在发包人组织的考评中不合格的，必须按照考评通报的要求限期改正，并承担1次一般违约责任；承包人拒不限期改正或整改效果不明显的，承包人必须承担1次严重违约责任。若连续2次或累计3次考评不合格，承包人必须承担1次严重违约责任，并必须按照总监理工程师或者发包人的指令限期改正；承包人拒不限期改正或整改效果不明显的，承包人需承担严重违约责任。</w:t>
      </w:r>
    </w:p>
    <w:p w14:paraId="239BAE77">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（7）承包人不按合同约定或发包人要求提交竣工结算资料的，每发生1次，承担1次一般违约责任。</w:t>
      </w:r>
    </w:p>
    <w:p w14:paraId="764AF6ED">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（8）承包人单方面擅自终止或解除本合同</w:t>
      </w:r>
      <w:r>
        <w:rPr>
          <w:rFonts w:hint="eastAsia" w:ascii="宋体" w:hAnsi="宋体"/>
          <w:snapToGrid w:val="0"/>
          <w:color w:val="auto"/>
          <w:kern w:val="0"/>
          <w:sz w:val="24"/>
          <w:highlight w:val="none"/>
        </w:rPr>
        <w:t>的，应按合同专用条款第38.4（5）款约定的标准向发包人支付违约金及赔偿损失</w:t>
      </w:r>
      <w:r>
        <w:rPr>
          <w:rFonts w:hint="eastAsia" w:ascii="宋体" w:hAnsi="宋体"/>
          <w:bCs/>
          <w:snapToGrid w:val="0"/>
          <w:color w:val="auto"/>
          <w:kern w:val="0"/>
          <w:sz w:val="24"/>
          <w:highlight w:val="none"/>
        </w:rPr>
        <w:t>。</w:t>
      </w:r>
    </w:p>
    <w:p w14:paraId="6E6FED34">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（9）承包人单方面擅自部分终止或者部分解除本合同的，</w:t>
      </w:r>
      <w:r>
        <w:rPr>
          <w:rFonts w:hint="eastAsia" w:ascii="宋体" w:hAnsi="宋体"/>
          <w:snapToGrid w:val="0"/>
          <w:color w:val="auto"/>
          <w:kern w:val="0"/>
          <w:sz w:val="24"/>
          <w:highlight w:val="none"/>
        </w:rPr>
        <w:t>应按合同专用条款第38.4（4）款约定的标准向发包人支付违约金及赔偿损失</w:t>
      </w:r>
      <w:r>
        <w:rPr>
          <w:rFonts w:hint="eastAsia" w:ascii="宋体" w:hAnsi="宋体"/>
          <w:bCs/>
          <w:snapToGrid w:val="0"/>
          <w:color w:val="auto"/>
          <w:kern w:val="0"/>
          <w:sz w:val="24"/>
          <w:highlight w:val="none"/>
        </w:rPr>
        <w:t>。</w:t>
      </w:r>
    </w:p>
    <w:p w14:paraId="6133D41E">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（10）如承包人违反合同协议书第9条、第10条的约定，未在相关信息发生变化时及时将变更情况书面通知发包人的，经发包人每确认1次，承包人承担1次一般违约责任。</w:t>
      </w:r>
    </w:p>
    <w:p w14:paraId="3C091E49">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（11）若承包人违法合同协议书第2.1条的规定，未按约定与本项目后续进场的施工总承包单位落实做好工作界面划分、场地移交、工完场清的，承包人应向发包人支付所在工程审定结算总价2％的违约金。</w:t>
      </w:r>
    </w:p>
    <w:p w14:paraId="7E55DAE6">
      <w:pPr>
        <w:adjustRightInd w:val="0"/>
        <w:snapToGrid w:val="0"/>
        <w:spacing w:line="360" w:lineRule="auto"/>
        <w:ind w:right="11"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38.8工期延误方面的违约责任</w:t>
      </w:r>
    </w:p>
    <w:p w14:paraId="262D18F9">
      <w:pPr>
        <w:adjustRightInd w:val="0"/>
        <w:snapToGrid w:val="0"/>
        <w:spacing w:line="360" w:lineRule="auto"/>
        <w:ind w:firstLine="480"/>
        <w:rPr>
          <w:rFonts w:ascii="宋体" w:hAnsi="宋体"/>
          <w:snapToGrid w:val="0"/>
          <w:color w:val="auto"/>
          <w:kern w:val="0"/>
          <w:sz w:val="24"/>
          <w:highlight w:val="none"/>
        </w:rPr>
      </w:pPr>
      <w:r>
        <w:rPr>
          <w:rFonts w:hint="eastAsia" w:ascii="宋体" w:hAnsi="宋体"/>
          <w:snapToGrid w:val="0"/>
          <w:color w:val="auto"/>
          <w:kern w:val="0"/>
          <w:sz w:val="24"/>
          <w:highlight w:val="none"/>
        </w:rPr>
        <w:t>（1）承包人违反合同协议书第3.1款约定延期开工的，每迟延开工1天，应向发包人支付本合同价款1‰的违约金；迟延开工超过</w:t>
      </w:r>
      <w:r>
        <w:rPr>
          <w:rFonts w:ascii="宋体" w:hAnsi="宋体"/>
          <w:snapToGrid w:val="0"/>
          <w:color w:val="auto"/>
          <w:kern w:val="0"/>
          <w:sz w:val="24"/>
          <w:highlight w:val="none"/>
        </w:rPr>
        <w:t>10天的，</w:t>
      </w:r>
      <w:r>
        <w:rPr>
          <w:rFonts w:hint="eastAsia" w:ascii="宋体" w:hAnsi="宋体"/>
          <w:bCs/>
          <w:snapToGrid w:val="0"/>
          <w:color w:val="auto"/>
          <w:kern w:val="0"/>
          <w:sz w:val="24"/>
          <w:highlight w:val="none"/>
        </w:rPr>
        <w:t>承包人需承担严重违约责任。</w:t>
      </w:r>
    </w:p>
    <w:p w14:paraId="25D42D40">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snapToGrid w:val="0"/>
          <w:color w:val="auto"/>
          <w:kern w:val="0"/>
          <w:sz w:val="24"/>
          <w:highlight w:val="none"/>
        </w:rPr>
        <w:t>（2）承包人违反合同专用条款第12.1款约定单方面停工的，每停工1天，应向发包人支付本合同价款1‰的违约金；连续停工超过</w:t>
      </w:r>
      <w:r>
        <w:rPr>
          <w:rFonts w:ascii="宋体" w:hAnsi="宋体"/>
          <w:snapToGrid w:val="0"/>
          <w:color w:val="auto"/>
          <w:kern w:val="0"/>
          <w:sz w:val="24"/>
          <w:highlight w:val="none"/>
        </w:rPr>
        <w:t>5天或累计停工超过10天的，</w:t>
      </w:r>
      <w:r>
        <w:rPr>
          <w:rFonts w:hint="eastAsia" w:ascii="宋体" w:hAnsi="宋体"/>
          <w:bCs/>
          <w:snapToGrid w:val="0"/>
          <w:color w:val="auto"/>
          <w:kern w:val="0"/>
          <w:sz w:val="24"/>
          <w:highlight w:val="none"/>
        </w:rPr>
        <w:t>承包人需承担严重违约责任。</w:t>
      </w:r>
    </w:p>
    <w:p w14:paraId="397E1D7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承包人违反合同专用条款第10.1款的约定，延期交付施工组织设计，延期3天以内的（含3天），发包人给予书面警告；延期4～7天的，承包人应承担1次一般违约责任；延期8～10天的，承包人应承担1次严重违约责任；延期</w:t>
      </w:r>
      <w:r>
        <w:rPr>
          <w:rFonts w:ascii="宋体" w:hAnsi="宋体"/>
          <w:snapToGrid w:val="0"/>
          <w:color w:val="auto"/>
          <w:kern w:val="0"/>
          <w:sz w:val="24"/>
          <w:highlight w:val="none"/>
        </w:rPr>
        <w:t>11天以上的（含11天），</w:t>
      </w:r>
      <w:r>
        <w:rPr>
          <w:rFonts w:hint="eastAsia" w:ascii="宋体" w:hAnsi="宋体"/>
          <w:bCs/>
          <w:snapToGrid w:val="0"/>
          <w:color w:val="auto"/>
          <w:kern w:val="0"/>
          <w:sz w:val="24"/>
          <w:highlight w:val="none"/>
        </w:rPr>
        <w:t>承包人需承担严重违约责任。</w:t>
      </w:r>
    </w:p>
    <w:p w14:paraId="1F684905">
      <w:pPr>
        <w:tabs>
          <w:tab w:val="left" w:pos="1846"/>
        </w:tabs>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承包人违反合同专用条款第13条约定造成本工程关键节点工期延误的，每延误1天，当期可支付工程进度款扣除本合同价款1‰的违约金；延误超过5天的，发包人有权停止支付当月的工程进度款；延误10天以上的，承包人应在2天内制定出具体可行的自行赶工措施，报总监理工程师和发包人批准。如发包人认为承包人的赶工计划不可行，</w:t>
      </w:r>
      <w:r>
        <w:rPr>
          <w:rFonts w:hint="eastAsia" w:ascii="宋体" w:hAnsi="宋体"/>
          <w:bCs/>
          <w:snapToGrid w:val="0"/>
          <w:color w:val="auto"/>
          <w:kern w:val="0"/>
          <w:sz w:val="24"/>
          <w:highlight w:val="none"/>
        </w:rPr>
        <w:t>承包人需承担一般违约责任。</w:t>
      </w:r>
    </w:p>
    <w:p w14:paraId="5113811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（5）承包人违反合同通用条款第14条约定造成本工程不能按照合同协议书第3条约定的竣工日期竣工的，每逾期1天，当期可支付工程进度款扣除本合同价款1‰的违约金，同时由</w:t>
      </w:r>
      <w:r>
        <w:rPr>
          <w:rFonts w:hint="eastAsia" w:ascii="宋体" w:hAnsi="宋体"/>
          <w:bCs/>
          <w:snapToGrid w:val="0"/>
          <w:color w:val="auto"/>
          <w:kern w:val="0"/>
          <w:sz w:val="24"/>
          <w:highlight w:val="none"/>
        </w:rPr>
        <w:t>发包人按照对本工程最有利的原则，按如下约定选择处理：</w:t>
      </w:r>
    </w:p>
    <w:p w14:paraId="139F41DC">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snapToGrid w:val="0"/>
          <w:color w:val="auto"/>
          <w:kern w:val="0"/>
          <w:sz w:val="24"/>
          <w:highlight w:val="none"/>
        </w:rPr>
        <w:t>1）</w:t>
      </w:r>
      <w:r>
        <w:rPr>
          <w:rFonts w:hint="eastAsia" w:ascii="宋体" w:hAnsi="宋体"/>
          <w:bCs/>
          <w:snapToGrid w:val="0"/>
          <w:color w:val="auto"/>
          <w:kern w:val="0"/>
          <w:sz w:val="24"/>
          <w:highlight w:val="none"/>
        </w:rPr>
        <w:t>按上述约定在工程进度款中扣除违约金并在发包人限定的时间内竣工；如承包人仍不能在发包人限定的时间内竣工，除按上述约定外（直至本工程全部竣工为止），还在工程结算时按本合同结算总价款下浮2%作为本合同的最终结算价款，同时承包人还应据实赔偿发包人的实际损失（非因乙方原因导致未按竣工时间移交的，经发包人确认同意后可免除违约）。</w:t>
      </w:r>
    </w:p>
    <w:p w14:paraId="6729B95F">
      <w:pPr>
        <w:adjustRightInd w:val="0"/>
        <w:snapToGrid w:val="0"/>
        <w:spacing w:line="360" w:lineRule="auto"/>
        <w:ind w:right="11" w:firstLine="480" w:firstLineChars="200"/>
        <w:rPr>
          <w:rFonts w:ascii="宋体" w:hAnsi="宋体"/>
          <w:bCs/>
          <w:snapToGrid w:val="0"/>
          <w:color w:val="auto"/>
          <w:kern w:val="0"/>
          <w:sz w:val="24"/>
          <w:highlight w:val="none"/>
        </w:rPr>
      </w:pPr>
      <w:r>
        <w:rPr>
          <w:rFonts w:hint="eastAsia" w:ascii="宋体" w:hAnsi="宋体"/>
          <w:snapToGrid w:val="0"/>
          <w:color w:val="auto"/>
          <w:kern w:val="0"/>
          <w:sz w:val="24"/>
          <w:highlight w:val="none"/>
        </w:rPr>
        <w:t>2）</w:t>
      </w:r>
      <w:r>
        <w:rPr>
          <w:rFonts w:hint="eastAsia" w:ascii="宋体" w:hAnsi="宋体"/>
          <w:bCs/>
          <w:snapToGrid w:val="0"/>
          <w:color w:val="auto"/>
          <w:kern w:val="0"/>
          <w:sz w:val="24"/>
          <w:highlight w:val="none"/>
        </w:rPr>
        <w:t>由发包人将未完工程量从本合同中分割，交由第三方完成，由此发生的费用全部从本合同价款中支付，同时</w:t>
      </w:r>
      <w:r>
        <w:rPr>
          <w:rFonts w:hint="eastAsia" w:ascii="宋体" w:hAnsi="宋体"/>
          <w:snapToGrid w:val="0"/>
          <w:color w:val="auto"/>
          <w:kern w:val="0"/>
          <w:sz w:val="24"/>
          <w:highlight w:val="none"/>
        </w:rPr>
        <w:t>由承包人向发包人支付</w:t>
      </w:r>
      <w:r>
        <w:rPr>
          <w:rFonts w:hint="eastAsia" w:ascii="宋体" w:hAnsi="宋体"/>
          <w:bCs/>
          <w:snapToGrid w:val="0"/>
          <w:color w:val="auto"/>
          <w:kern w:val="0"/>
          <w:sz w:val="24"/>
          <w:highlight w:val="none"/>
        </w:rPr>
        <w:t>未完工程量</w:t>
      </w:r>
      <w:r>
        <w:rPr>
          <w:rFonts w:hint="eastAsia" w:ascii="宋体" w:hAnsi="宋体"/>
          <w:snapToGrid w:val="0"/>
          <w:color w:val="auto"/>
          <w:kern w:val="0"/>
          <w:sz w:val="24"/>
          <w:highlight w:val="none"/>
        </w:rPr>
        <w:t>价款20%的违约金并赔偿发包人的实际损失</w:t>
      </w:r>
      <w:r>
        <w:rPr>
          <w:rFonts w:hint="eastAsia" w:ascii="宋体" w:hAnsi="宋体"/>
          <w:bCs/>
          <w:snapToGrid w:val="0"/>
          <w:color w:val="auto"/>
          <w:kern w:val="0"/>
          <w:sz w:val="24"/>
          <w:highlight w:val="none"/>
        </w:rPr>
        <w:t>。</w:t>
      </w:r>
    </w:p>
    <w:p w14:paraId="21AC1E7C">
      <w:pPr>
        <w:adjustRightInd w:val="0"/>
        <w:snapToGrid w:val="0"/>
        <w:spacing w:line="360" w:lineRule="auto"/>
        <w:ind w:right="11"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38.9材料设备管理方面的违约责任</w:t>
      </w:r>
    </w:p>
    <w:p w14:paraId="6CF1111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szCs w:val="24"/>
          <w:highlight w:val="none"/>
        </w:rPr>
        <w:t>（1）发包人（包括发包人委托的材料设备检验机构）或总监理工程师抽查承包人的工程材料设备（主要为：甲招乙供材料设备 、甲管乙供材料设备、乙供材料设备），发现所检查的材料与合同约定标准的任何一项不符合时，承包人除必须全部退货、返工，并赔偿发包人由此遭受的实际损失外，还应当根据该批次材料的价值，按照如下约定承担违约责任：</w:t>
      </w:r>
    </w:p>
    <w:p w14:paraId="07283037">
      <w:pPr>
        <w:tabs>
          <w:tab w:val="left" w:pos="1276"/>
        </w:tabs>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A、单宗或批次价值不到5万元的材料设备抽检不合格的，每发生3例，由承包人承担1次一般违约责任。</w:t>
      </w:r>
    </w:p>
    <w:p w14:paraId="1BDA9CB7">
      <w:pPr>
        <w:tabs>
          <w:tab w:val="left" w:pos="1276"/>
        </w:tabs>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B、单宗或批次价值达到5万元不到10万元的材料设备抽检不合格的，每发生1例，由承包人承担1次一般违约责任。</w:t>
      </w:r>
    </w:p>
    <w:p w14:paraId="3C61F536">
      <w:pPr>
        <w:tabs>
          <w:tab w:val="left" w:pos="1276"/>
        </w:tabs>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C、单宗或批次价值达到10万元不到50万元的材料设备抽检不合格的，每发生1例，由承包人承担1次严重违约责任。</w:t>
      </w:r>
    </w:p>
    <w:p w14:paraId="1CDD5508">
      <w:pPr>
        <w:tabs>
          <w:tab w:val="left" w:pos="1276"/>
        </w:tabs>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snapToGrid w:val="0"/>
          <w:color w:val="auto"/>
          <w:kern w:val="0"/>
          <w:sz w:val="24"/>
          <w:highlight w:val="none"/>
        </w:rPr>
        <w:t>D、单宗或批次价值达到</w:t>
      </w:r>
      <w:r>
        <w:rPr>
          <w:rFonts w:ascii="宋体" w:hAnsi="宋体"/>
          <w:snapToGrid w:val="0"/>
          <w:color w:val="auto"/>
          <w:kern w:val="0"/>
          <w:sz w:val="24"/>
          <w:highlight w:val="none"/>
        </w:rPr>
        <w:t>50万元以上的材料设备抽检不合格的，每发生1例，</w:t>
      </w:r>
      <w:r>
        <w:rPr>
          <w:rFonts w:hint="eastAsia" w:ascii="宋体" w:hAnsi="宋体"/>
          <w:bCs/>
          <w:snapToGrid w:val="0"/>
          <w:color w:val="auto"/>
          <w:kern w:val="0"/>
          <w:sz w:val="24"/>
          <w:highlight w:val="none"/>
        </w:rPr>
        <w:t>承包人需承担严重违约责任</w:t>
      </w:r>
      <w:r>
        <w:rPr>
          <w:rFonts w:ascii="宋体" w:hAnsi="宋体"/>
          <w:snapToGrid w:val="0"/>
          <w:color w:val="auto"/>
          <w:kern w:val="0"/>
          <w:sz w:val="24"/>
          <w:highlight w:val="none"/>
        </w:rPr>
        <w:t>。</w:t>
      </w:r>
    </w:p>
    <w:p w14:paraId="1EEF5F6A">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承包人必须保证用于本工程所有的材料设备的品牌、型号、规格、质量等符合本合同及招投标文件或公开择优竞价文件的要求。如发生不符合上述要求的情况（属于不可抗力或不可归责于承包人事由造成的除外），承包人必须无条件在发包人限定的时间内全部更换为符合要求的产品，并由承包人按所需更换的符合要求的货物价款的20%向发包人支付违约金，因此给发包人造成损失的，由承包人负责赔偿；同时，发包人有权将承包人的上述行为通过媒体公开披露，并移送有关主管部门依法处理。如因此致使发包人需要另行采购符合本合同及招投标文件或公开择优竞价文件要求的货物的，由承包人按另行采购的货物总价款的120%向发包人支付违约金。</w:t>
      </w:r>
    </w:p>
    <w:p w14:paraId="45A56DB4">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3）承包人不按合同专用条款第七章的约定对用于本工程的材料设备进行管理的，视同不服从发包人及监理单位管理，应按合同专用条款第38.7（1）款的约定承担违约责任；同时发包人有权暂停支付本工程进度款，直到承包人完成相关工作为止。</w:t>
      </w:r>
    </w:p>
    <w:p w14:paraId="7A97C9DE">
      <w:pPr>
        <w:adjustRightInd w:val="0"/>
        <w:snapToGrid w:val="0"/>
        <w:spacing w:line="360" w:lineRule="auto"/>
        <w:ind w:firstLine="480" w:firstLineChars="200"/>
        <w:outlineLvl w:val="3"/>
        <w:rPr>
          <w:rFonts w:ascii="宋体" w:hAnsi="宋体"/>
          <w:snapToGrid w:val="0"/>
          <w:color w:val="auto"/>
          <w:kern w:val="0"/>
          <w:sz w:val="24"/>
          <w:highlight w:val="none"/>
        </w:rPr>
      </w:pPr>
      <w:r>
        <w:rPr>
          <w:rFonts w:ascii="宋体" w:hAnsi="宋体"/>
          <w:snapToGrid w:val="0"/>
          <w:color w:val="auto"/>
          <w:kern w:val="0"/>
          <w:sz w:val="24"/>
          <w:highlight w:val="none"/>
        </w:rPr>
        <w:t>38.10工程质量方面的违约责任</w:t>
      </w:r>
    </w:p>
    <w:p w14:paraId="295558D8">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snapToGrid w:val="0"/>
          <w:color w:val="auto"/>
          <w:kern w:val="0"/>
          <w:sz w:val="24"/>
          <w:highlight w:val="none"/>
        </w:rPr>
        <w:t>（1）承包人必须对各工序报验核查质量控制点。承包人申请报验后，经总监理工程师或发包人检查发现存在较大质量问题（存在质量问题的部分超过检查部分工程的10%）的，则该工序质量为不合格，承包人必须</w:t>
      </w:r>
      <w:r>
        <w:rPr>
          <w:rFonts w:hint="eastAsia" w:ascii="宋体" w:hAnsi="宋体"/>
          <w:bCs/>
          <w:snapToGrid w:val="0"/>
          <w:color w:val="auto"/>
          <w:kern w:val="0"/>
          <w:sz w:val="24"/>
          <w:highlight w:val="none"/>
        </w:rPr>
        <w:t>对不合格部分进行返工，返工后经检查合格才准进入下一工序，工期不予顺延。复检的结果，按每一分项工程计算，总计发现3次或连续发现2次质量控制点不合格的，承包人承担1次一般违约责任；总计发现3次以上（不含本数）或连续发现2次以上（不含本数）质量控制点不合格的，承包人承担1次严重违约责任；承包人采取整改措施后效果仍不明显的，承包人需承担严重违约责任，将该分项工程另行发包，且不免除承包人应承担的违约赔偿责任。</w:t>
      </w:r>
    </w:p>
    <w:p w14:paraId="4B23E028">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2）工程竣工验收不符合国家强制性标准及规范要求或者未能实现一次验收合格的，承包人除应向发包人支付本工程合同价款的20%作为违约金并无偿采取补救措施及赔偿发包人的实际损失外，还应承担由此引起的一切责任。</w:t>
      </w:r>
    </w:p>
    <w:p w14:paraId="6983A24A">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3）在本工程质量保修期内发现有重大质量问题的（该重大质量问题应界定为达不到要求的质量标准，属质量保修的问题除外），承包人必须在规定的期限内返工达到合同约定的质量等级并赔偿由此给发包人造成的损失，同时按所在工程合同价款的5%向发包人支付违约金。</w:t>
      </w:r>
    </w:p>
    <w:p w14:paraId="5996D7A7">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（4）由于承包人的原因发生工程质量事故的，承包人应全额赔偿发包人的损失并承担相关法律责任。</w:t>
      </w:r>
    </w:p>
    <w:p w14:paraId="5C184269">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w:t>
      </w:r>
      <w:r>
        <w:rPr>
          <w:rFonts w:ascii="宋体" w:hAnsi="宋体"/>
          <w:bCs/>
          <w:snapToGrid w:val="0"/>
          <w:color w:val="auto"/>
          <w:kern w:val="0"/>
          <w:sz w:val="24"/>
          <w:highlight w:val="none"/>
        </w:rPr>
        <w:t>5）若工程未取得本合同约定的必须取得的工程质量奖，承包人应向发包人支付所在工程审定结算总价2.0％的违约金。</w:t>
      </w:r>
    </w:p>
    <w:p w14:paraId="4322A1A8">
      <w:pPr>
        <w:adjustRightInd w:val="0"/>
        <w:snapToGrid w:val="0"/>
        <w:spacing w:line="360" w:lineRule="auto"/>
        <w:ind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38.11安全生产方面的违约责任</w:t>
      </w:r>
    </w:p>
    <w:p w14:paraId="1FFD7E7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（1）承包人在政府行政主管部门组织的安全生产检查中，被发现存在严重的安全隐患，被通报批评，或被新闻媒体曝光造成不良影响的，被通报或被曝光一次，承包人必须承担</w:t>
      </w:r>
      <w:r>
        <w:rPr>
          <w:rFonts w:ascii="宋体" w:hAnsi="宋体"/>
          <w:snapToGrid w:val="0"/>
          <w:color w:val="auto"/>
          <w:kern w:val="0"/>
          <w:sz w:val="24"/>
          <w:highlight w:val="none"/>
        </w:rPr>
        <w:t>1次严重违约责任</w:t>
      </w:r>
      <w:r>
        <w:rPr>
          <w:rFonts w:hint="eastAsia" w:ascii="宋体" w:hAnsi="宋体"/>
          <w:bCs/>
          <w:snapToGrid w:val="0"/>
          <w:color w:val="auto"/>
          <w:kern w:val="0"/>
          <w:sz w:val="24"/>
          <w:highlight w:val="none"/>
        </w:rPr>
        <w:t>。</w:t>
      </w:r>
    </w:p>
    <w:p w14:paraId="360286EB">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snapToGrid w:val="0"/>
          <w:color w:val="auto"/>
          <w:kern w:val="0"/>
          <w:sz w:val="24"/>
          <w:highlight w:val="none"/>
        </w:rPr>
        <w:t>（2）承包人在发包人、总监理工程师进行的日常安全生产检查中，被发现存在安全隐患的，承包人应限期改正。若同样问题被发现2次或累计类似问题被发现3次的，承包人必须承担1次一般违约责任。此类问题的认定，以发包人、总监理工程师书面通知、指令、通报或会议纪要为准。</w:t>
      </w:r>
    </w:p>
    <w:p w14:paraId="221FE885">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（3）承包人因自身原因造成安全事故的，除按国家规定由主管部门处罚外，承包人必须依照下列约定承担违约责任：</w:t>
      </w:r>
    </w:p>
    <w:p w14:paraId="1BBD6AD6">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1）发生特别重大事故，承包人按事故所造成损失金额的15%向发包人支付违约金，同时违约金的数额不得低于40万元；</w:t>
      </w:r>
    </w:p>
    <w:p w14:paraId="1F32C602">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2）发生重大事故，承包人按事故所造成损失金额的12%向发包人支付违约金，同时违约金的数额不得低于30万元；</w:t>
      </w:r>
    </w:p>
    <w:p w14:paraId="6BB196A3">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3）发生较大事故，承包人按事故所造成损失金额的10%向发包人支付违约金，同时违约金数额不得低于20万元；</w:t>
      </w:r>
    </w:p>
    <w:p w14:paraId="1DC80C32">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4）发生一般事故，承包人按事故所造成损失金额的8%向发包人支付违约金，同时违约金数额不得低于10万元。</w:t>
      </w:r>
    </w:p>
    <w:p w14:paraId="7B577640">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发生上述安全事故，发包人给予承包人</w:t>
      </w:r>
      <w:r>
        <w:rPr>
          <w:rFonts w:ascii="宋体" w:hAnsi="宋体"/>
          <w:bCs/>
          <w:snapToGrid w:val="0"/>
          <w:color w:val="auto"/>
          <w:kern w:val="0"/>
          <w:sz w:val="24"/>
          <w:highlight w:val="none"/>
        </w:rPr>
        <w:t>1次严重违约处罚</w:t>
      </w:r>
      <w:r>
        <w:rPr>
          <w:rFonts w:hint="eastAsia" w:ascii="宋体" w:hAnsi="宋体"/>
          <w:bCs/>
          <w:snapToGrid w:val="0"/>
          <w:color w:val="auto"/>
          <w:kern w:val="0"/>
          <w:sz w:val="24"/>
          <w:highlight w:val="none"/>
        </w:rPr>
        <w:t>。情节较轻的，给予1次一般违约处罚。</w:t>
      </w:r>
    </w:p>
    <w:p w14:paraId="510DC9C6">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承包人依照上述约定支付违约金后，所支付的违约金不足以弥补由此给发包人造成的损失的，承包人还须补偿发包人的其他损失。</w:t>
      </w:r>
    </w:p>
    <w:p w14:paraId="72677033">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（4）若工程未取得本合同约定的必须取得的《</w:t>
      </w:r>
      <w:r>
        <w:rPr>
          <w:rFonts w:hint="eastAsia" w:ascii="宋体" w:hAnsi="宋体"/>
          <w:bCs/>
          <w:snapToGrid w:val="0"/>
          <w:color w:val="auto"/>
          <w:kern w:val="0"/>
          <w:sz w:val="24"/>
          <w:highlight w:val="none"/>
          <w:lang w:eastAsia="zh-CN"/>
        </w:rPr>
        <w:t>广东省</w:t>
      </w:r>
      <w:r>
        <w:rPr>
          <w:rFonts w:hint="eastAsia" w:ascii="宋体" w:hAnsi="宋体"/>
          <w:bCs/>
          <w:snapToGrid w:val="0"/>
          <w:color w:val="auto"/>
          <w:kern w:val="0"/>
          <w:sz w:val="24"/>
          <w:highlight w:val="none"/>
        </w:rPr>
        <w:t>安全文明样板工地》，承包人应向发包人支付所在工程审定结算总价0.5％的违约金。</w:t>
      </w:r>
    </w:p>
    <w:p w14:paraId="7727AF4E">
      <w:pPr>
        <w:adjustRightInd w:val="0"/>
        <w:snapToGrid w:val="0"/>
        <w:spacing w:line="360" w:lineRule="auto"/>
        <w:ind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38.12文明施工、环境保护方面的违约责任</w:t>
      </w:r>
    </w:p>
    <w:p w14:paraId="5B95836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发包人、总监理工程师按照合同专用条款第24.1款的约定，对承包人文明施工措施进行对照检查。经检查发现承包人因自身原因未能落实的，承包人必须承担1次一般违约责任，并限期改正；如限期届满未改正的，承包人须承担1次严重违约责任。</w:t>
      </w:r>
    </w:p>
    <w:p w14:paraId="37F29A7C">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在行业主管部门的检查中，承包人的施工场地被评为不合格工地或者被通报批评或者被新闻媒体曝光的，承包人必须承担1次严重违约责任，并立即采取切实有效措施予以整改；拒不采取切实有效措施整改或整改效果不明显的，发包人有权部分或全部解除合同。</w:t>
      </w:r>
    </w:p>
    <w:p w14:paraId="612C794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承包人在施工过程中因其自身原因造成周围环境卫生状况较差，被其他施工单位或周围居民投诉的，承包人必须在当天内整改。若故意拖延或类似问题累计被投诉2次以上且经查实的，承包人必须承担1次严重违约责任。</w:t>
      </w:r>
    </w:p>
    <w:p w14:paraId="01C63C5C">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38.13工程转包、分包方面的违约责任</w:t>
      </w:r>
    </w:p>
    <w:p w14:paraId="4EE015CA">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承包人转包工程或者违法分包工程，经建设行政主管部门调查核实并作出处理决定的，发包人将严格服从建设行政主管部门的处理决定，承包人承担严重违约责任。因承包人转包工程或者违法分包工程给发包人造成损失的，发包人有权要求赔偿</w:t>
      </w:r>
      <w:r>
        <w:rPr>
          <w:rFonts w:ascii="宋体" w:hAnsi="宋体"/>
          <w:snapToGrid w:val="0"/>
          <w:color w:val="auto"/>
          <w:kern w:val="0"/>
          <w:sz w:val="24"/>
          <w:highlight w:val="none"/>
        </w:rPr>
        <w:t>。</w:t>
      </w:r>
    </w:p>
    <w:p w14:paraId="1E2B70E6">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38.14施工人员工资支付方面的违约责任</w:t>
      </w:r>
    </w:p>
    <w:p w14:paraId="6D492318">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（1）承包人违反合同专用条款第9.5（2）款的约定，被施工人员投诉</w:t>
      </w:r>
      <w:r>
        <w:rPr>
          <w:rFonts w:ascii="宋体" w:hAnsi="宋体"/>
          <w:snapToGrid w:val="0"/>
          <w:color w:val="auto"/>
          <w:kern w:val="0"/>
          <w:sz w:val="24"/>
          <w:highlight w:val="none"/>
        </w:rPr>
        <w:t>或上访</w:t>
      </w:r>
      <w:r>
        <w:rPr>
          <w:rFonts w:hint="eastAsia" w:ascii="宋体" w:hAnsi="宋体"/>
          <w:snapToGrid w:val="0"/>
          <w:color w:val="auto"/>
          <w:kern w:val="0"/>
          <w:sz w:val="24"/>
          <w:highlight w:val="none"/>
        </w:rPr>
        <w:t>属实的，承包人必须在3天内发放拖欠的款项。若继续拖延被投诉2次及以上，经查实，承包人必须承担1次一般违约责任。若仍然不予整改并发放拖欠的款项，使施工人员采取停工、集聚围阻发包人办公地点甚至政府办公部门、阻塞交通要道、围堵或破坏、拆除已移交发包人的工程等过激行动的，承包人必须承担1次严重违约责任，并立即采取切实有效措施予以整改；拒不采取切实有效措施整改或整改效果不明显的，承包人承担严重违约责任。</w:t>
      </w:r>
    </w:p>
    <w:p w14:paraId="3AE5BA09">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2）由于承包人或其管理的分包单位（包括施工专业分包、供货分包及劳务分包单位等）拖欠施工人员工资致使发包人被投诉或起诉并被判令先行垫付施工人员工资的，承包人除承担1次严重违约责任外，还应向发包人支付发包人先行垫付的施工人员工资金额的120%作为补偿。</w:t>
      </w:r>
    </w:p>
    <w:p w14:paraId="3A544F69">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（3）因承包人违约导致发包人暂停支付工程款时，承包人不得以此为理由拖欠施工人员工资，在发包人和承包人就暂停支付工程款问题解决之前，承包人有义务先行支付其所属工人工资。</w:t>
      </w:r>
    </w:p>
    <w:p w14:paraId="619A6AB7">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（4）承包人</w:t>
      </w:r>
      <w:r>
        <w:rPr>
          <w:rFonts w:ascii="宋体" w:hAnsi="宋体"/>
          <w:snapToGrid w:val="0"/>
          <w:color w:val="auto"/>
          <w:kern w:val="0"/>
          <w:sz w:val="24"/>
          <w:highlight w:val="none"/>
        </w:rPr>
        <w:t>不按合同及有关规定按时</w:t>
      </w:r>
      <w:r>
        <w:rPr>
          <w:rFonts w:hint="eastAsia" w:ascii="宋体" w:hAnsi="宋体"/>
          <w:snapToGrid w:val="0"/>
          <w:color w:val="auto"/>
          <w:kern w:val="0"/>
          <w:sz w:val="24"/>
          <w:highlight w:val="none"/>
        </w:rPr>
        <w:t>、</w:t>
      </w:r>
      <w:r>
        <w:rPr>
          <w:rFonts w:ascii="宋体" w:hAnsi="宋体"/>
          <w:snapToGrid w:val="0"/>
          <w:color w:val="auto"/>
          <w:kern w:val="0"/>
          <w:sz w:val="24"/>
          <w:highlight w:val="none"/>
        </w:rPr>
        <w:t>足额支付分包单位合同价款及施工人员工资致使施工人员集体上访、集聚围阻</w:t>
      </w:r>
      <w:r>
        <w:rPr>
          <w:rFonts w:hint="eastAsia" w:ascii="宋体" w:hAnsi="宋体"/>
          <w:snapToGrid w:val="0"/>
          <w:color w:val="auto"/>
          <w:kern w:val="0"/>
          <w:sz w:val="24"/>
          <w:highlight w:val="none"/>
        </w:rPr>
        <w:t>而</w:t>
      </w:r>
      <w:r>
        <w:rPr>
          <w:rFonts w:ascii="宋体" w:hAnsi="宋体"/>
          <w:snapToGrid w:val="0"/>
          <w:color w:val="auto"/>
          <w:kern w:val="0"/>
          <w:sz w:val="24"/>
          <w:highlight w:val="none"/>
        </w:rPr>
        <w:t>造成</w:t>
      </w:r>
      <w:r>
        <w:rPr>
          <w:rFonts w:hint="eastAsia" w:ascii="宋体" w:hAnsi="宋体"/>
          <w:snapToGrid w:val="0"/>
          <w:color w:val="auto"/>
          <w:kern w:val="0"/>
          <w:sz w:val="24"/>
          <w:highlight w:val="none"/>
        </w:rPr>
        <w:t>社会</w:t>
      </w:r>
      <w:r>
        <w:rPr>
          <w:rFonts w:ascii="宋体" w:hAnsi="宋体"/>
          <w:snapToGrid w:val="0"/>
          <w:color w:val="auto"/>
          <w:kern w:val="0"/>
          <w:sz w:val="24"/>
          <w:highlight w:val="none"/>
        </w:rPr>
        <w:t>不良影响的，</w:t>
      </w:r>
      <w:r>
        <w:rPr>
          <w:rFonts w:hint="eastAsia" w:ascii="宋体" w:hAnsi="宋体"/>
          <w:snapToGrid w:val="0"/>
          <w:color w:val="auto"/>
          <w:kern w:val="0"/>
          <w:sz w:val="24"/>
          <w:highlight w:val="none"/>
        </w:rPr>
        <w:t>发包人</w:t>
      </w:r>
      <w:r>
        <w:rPr>
          <w:rFonts w:ascii="宋体" w:hAnsi="宋体"/>
          <w:snapToGrid w:val="0"/>
          <w:color w:val="auto"/>
          <w:kern w:val="0"/>
          <w:sz w:val="24"/>
          <w:highlight w:val="none"/>
        </w:rPr>
        <w:t>将立即终止与</w:t>
      </w:r>
      <w:r>
        <w:rPr>
          <w:rFonts w:hint="eastAsia" w:ascii="宋体" w:hAnsi="宋体"/>
          <w:snapToGrid w:val="0"/>
          <w:color w:val="auto"/>
          <w:kern w:val="0"/>
          <w:sz w:val="24"/>
          <w:highlight w:val="none"/>
        </w:rPr>
        <w:t>承包人</w:t>
      </w:r>
      <w:r>
        <w:rPr>
          <w:rFonts w:ascii="宋体" w:hAnsi="宋体"/>
          <w:snapToGrid w:val="0"/>
          <w:color w:val="auto"/>
          <w:kern w:val="0"/>
          <w:sz w:val="24"/>
          <w:highlight w:val="none"/>
        </w:rPr>
        <w:t>的合同，</w:t>
      </w:r>
      <w:r>
        <w:rPr>
          <w:rFonts w:hint="eastAsia" w:ascii="宋体" w:hAnsi="宋体"/>
          <w:snapToGrid w:val="0"/>
          <w:color w:val="auto"/>
          <w:kern w:val="0"/>
          <w:sz w:val="24"/>
          <w:highlight w:val="none"/>
          <w:lang w:eastAsia="zh-CN"/>
        </w:rPr>
        <w:t>自发包人发出通知之日起</w:t>
      </w:r>
      <w:r>
        <w:rPr>
          <w:rFonts w:hint="eastAsia" w:ascii="宋体" w:hAnsi="宋体"/>
          <w:snapToGrid w:val="0"/>
          <w:color w:val="auto"/>
          <w:kern w:val="0"/>
          <w:sz w:val="24"/>
          <w:highlight w:val="none"/>
          <w:lang w:val="en-US" w:eastAsia="zh-CN"/>
        </w:rPr>
        <w:t>2年内禁止参与发包人项目投标，</w:t>
      </w:r>
      <w:r>
        <w:rPr>
          <w:rFonts w:ascii="宋体" w:hAnsi="宋体"/>
          <w:snapToGrid w:val="0"/>
          <w:color w:val="auto"/>
          <w:kern w:val="0"/>
          <w:sz w:val="24"/>
          <w:highlight w:val="none"/>
        </w:rPr>
        <w:t>并上报省、市主管部门建议取消其参加广州地区省、市重大项目的投标资格并予以公告。如属恶意煽动并造成</w:t>
      </w:r>
      <w:r>
        <w:rPr>
          <w:rFonts w:hint="eastAsia" w:ascii="宋体" w:hAnsi="宋体"/>
          <w:snapToGrid w:val="0"/>
          <w:color w:val="auto"/>
          <w:kern w:val="0"/>
          <w:sz w:val="24"/>
          <w:highlight w:val="none"/>
        </w:rPr>
        <w:t>社会</w:t>
      </w:r>
      <w:r>
        <w:rPr>
          <w:rFonts w:ascii="宋体" w:hAnsi="宋体"/>
          <w:snapToGrid w:val="0"/>
          <w:color w:val="auto"/>
          <w:kern w:val="0"/>
          <w:sz w:val="24"/>
          <w:highlight w:val="none"/>
        </w:rPr>
        <w:t>不良影响的，</w:t>
      </w:r>
      <w:r>
        <w:rPr>
          <w:rFonts w:hint="eastAsia" w:ascii="宋体" w:hAnsi="宋体"/>
          <w:snapToGrid w:val="0"/>
          <w:color w:val="auto"/>
          <w:kern w:val="0"/>
          <w:sz w:val="24"/>
          <w:highlight w:val="none"/>
        </w:rPr>
        <w:t>发包人</w:t>
      </w:r>
      <w:r>
        <w:rPr>
          <w:rFonts w:ascii="宋体" w:hAnsi="宋体"/>
          <w:snapToGrid w:val="0"/>
          <w:color w:val="auto"/>
          <w:kern w:val="0"/>
          <w:sz w:val="24"/>
          <w:highlight w:val="none"/>
        </w:rPr>
        <w:t>将提请司法部门追究其法律责任。</w:t>
      </w:r>
    </w:p>
    <w:p w14:paraId="016F8ECC">
      <w:pPr>
        <w:pStyle w:val="2"/>
        <w:ind w:firstLine="480" w:firstLineChars="200"/>
        <w:rPr>
          <w:rFonts w:hint="default" w:ascii="宋体" w:hAnsi="宋体"/>
          <w:snapToGrid w:val="0"/>
          <w:color w:val="auto"/>
          <w:kern w:val="0"/>
          <w:sz w:val="24"/>
          <w:highlight w:val="none"/>
          <w:lang w:val="en-US" w:eastAsia="zh-CN"/>
        </w:rPr>
      </w:pPr>
      <w:r>
        <w:rPr>
          <w:rFonts w:hint="default" w:ascii="宋体" w:hAnsi="宋体"/>
          <w:snapToGrid w:val="0"/>
          <w:color w:val="auto"/>
          <w:kern w:val="0"/>
          <w:sz w:val="24"/>
          <w:highlight w:val="none"/>
          <w:lang w:val="en-US" w:eastAsia="zh-CN"/>
        </w:rPr>
        <w:t>38.15 结算违约责任</w:t>
      </w:r>
    </w:p>
    <w:p w14:paraId="7254DCB3">
      <w:pPr>
        <w:adjustRightInd w:val="0"/>
        <w:snapToGrid w:val="0"/>
        <w:spacing w:line="360" w:lineRule="auto"/>
        <w:ind w:right="11" w:firstLine="480" w:firstLineChars="200"/>
        <w:outlineLvl w:val="3"/>
        <w:rPr>
          <w:rFonts w:hint="default" w:ascii="宋体" w:hAnsi="宋体"/>
          <w:bCs/>
          <w:snapToGrid w:val="0"/>
          <w:color w:val="auto"/>
          <w:kern w:val="0"/>
          <w:sz w:val="24"/>
          <w:highlight w:val="none"/>
          <w:lang w:val="en-US" w:eastAsia="zh-CN"/>
        </w:rPr>
      </w:pPr>
      <w:r>
        <w:rPr>
          <w:rFonts w:hint="default" w:ascii="宋体" w:hAnsi="宋体"/>
          <w:bCs/>
          <w:snapToGrid w:val="0"/>
          <w:color w:val="auto"/>
          <w:kern w:val="0"/>
          <w:sz w:val="24"/>
          <w:highlight w:val="none"/>
          <w:lang w:val="en-US" w:eastAsia="zh-CN"/>
        </w:rPr>
        <w:t>（1）若承包人不按发包人要求按实完成结算送审工作、不配合竣工结算审核工作以至工程结算迟迟不能定案或承包人对有权结算终审部门的审核结果拒不确认，在规定时间内又提不出正当理由的，承包人须承担一般承担违约责任或严重违约责任</w:t>
      </w:r>
      <w:r>
        <w:rPr>
          <w:rFonts w:hint="eastAsia" w:ascii="宋体" w:hAnsi="宋体"/>
          <w:bCs/>
          <w:snapToGrid w:val="0"/>
          <w:color w:val="auto"/>
          <w:kern w:val="0"/>
          <w:sz w:val="24"/>
          <w:highlight w:val="none"/>
          <w:lang w:val="en-US" w:eastAsia="zh-CN"/>
        </w:rPr>
        <w:t>。</w:t>
      </w:r>
    </w:p>
    <w:p w14:paraId="1BD28CCC">
      <w:pPr>
        <w:adjustRightInd w:val="0"/>
        <w:snapToGrid w:val="0"/>
        <w:spacing w:line="360" w:lineRule="auto"/>
        <w:ind w:right="11" w:firstLine="480" w:firstLineChars="200"/>
        <w:outlineLvl w:val="3"/>
        <w:rPr>
          <w:rFonts w:hint="eastAsia" w:ascii="宋体" w:hAnsi="宋体"/>
          <w:bCs/>
          <w:snapToGrid w:val="0"/>
          <w:color w:val="auto"/>
          <w:kern w:val="0"/>
          <w:sz w:val="24"/>
          <w:highlight w:val="none"/>
          <w:lang w:val="en-US" w:eastAsia="zh-CN"/>
        </w:rPr>
      </w:pPr>
      <w:r>
        <w:rPr>
          <w:rFonts w:hint="default" w:ascii="宋体" w:hAnsi="宋体"/>
          <w:bCs/>
          <w:snapToGrid w:val="0"/>
          <w:color w:val="auto"/>
          <w:kern w:val="0"/>
          <w:sz w:val="24"/>
          <w:highlight w:val="none"/>
          <w:lang w:val="en-US" w:eastAsia="zh-CN"/>
        </w:rPr>
        <w:t>（2）</w:t>
      </w:r>
      <w:r>
        <w:rPr>
          <w:rFonts w:hint="eastAsia" w:ascii="宋体" w:hAnsi="宋体"/>
          <w:bCs/>
          <w:snapToGrid w:val="0"/>
          <w:color w:val="auto"/>
          <w:kern w:val="0"/>
          <w:sz w:val="24"/>
          <w:highlight w:val="none"/>
          <w:lang w:val="en-US" w:eastAsia="zh-CN"/>
        </w:rPr>
        <w:t>结算送审金额超过结算终审部门最终审定金额 8%及以上，承包人承担一般违约处罚一次；超过 10%及以上，承包人承担严重违约处罚一次。</w:t>
      </w:r>
    </w:p>
    <w:p w14:paraId="52CBFB24">
      <w:pPr>
        <w:adjustRightInd w:val="0"/>
        <w:snapToGrid w:val="0"/>
        <w:spacing w:line="360" w:lineRule="auto"/>
        <w:ind w:right="11" w:firstLine="480" w:firstLineChars="200"/>
        <w:outlineLvl w:val="3"/>
        <w:rPr>
          <w:rFonts w:hint="eastAsia" w:ascii="宋体" w:hAnsi="宋体"/>
          <w:bCs/>
          <w:snapToGrid w:val="0"/>
          <w:color w:val="auto"/>
          <w:kern w:val="0"/>
          <w:sz w:val="24"/>
          <w:highlight w:val="none"/>
          <w:lang w:val="en-US" w:eastAsia="zh-CN"/>
        </w:rPr>
      </w:pPr>
      <w:r>
        <w:rPr>
          <w:rFonts w:hint="default" w:ascii="宋体" w:hAnsi="宋体"/>
          <w:bCs/>
          <w:snapToGrid w:val="0"/>
          <w:color w:val="auto"/>
          <w:kern w:val="0"/>
          <w:sz w:val="24"/>
          <w:highlight w:val="none"/>
          <w:lang w:val="en-US" w:eastAsia="zh-CN"/>
        </w:rPr>
        <w:t>（3）</w:t>
      </w:r>
      <w:r>
        <w:rPr>
          <w:rFonts w:hint="eastAsia" w:ascii="宋体" w:hAnsi="宋体"/>
          <w:bCs/>
          <w:snapToGrid w:val="0"/>
          <w:color w:val="auto"/>
          <w:kern w:val="0"/>
          <w:sz w:val="24"/>
          <w:highlight w:val="none"/>
          <w:lang w:val="en-US" w:eastAsia="zh-CN"/>
        </w:rPr>
        <w:t>结算前累计已支付总承包单位金额超过终审部门最终审定金额，承包人应立即退还超付部分金额。其中不超过 2%的予以承包人一般违约处罚；超过 2%少于 5%的予以严重违约处罚；超过 5%及以上，一年内禁止承包人参与发包人项目投标。</w:t>
      </w:r>
    </w:p>
    <w:p w14:paraId="0D9B1D21">
      <w:pPr>
        <w:adjustRightInd w:val="0"/>
        <w:snapToGrid w:val="0"/>
        <w:spacing w:line="360" w:lineRule="auto"/>
        <w:ind w:right="11" w:firstLine="480" w:firstLineChars="200"/>
        <w:outlineLvl w:val="3"/>
        <w:rPr>
          <w:rFonts w:ascii="宋体" w:hAnsi="宋体"/>
          <w:bCs/>
          <w:snapToGrid w:val="0"/>
          <w:color w:val="auto"/>
          <w:kern w:val="0"/>
          <w:sz w:val="24"/>
          <w:highlight w:val="none"/>
        </w:rPr>
      </w:pPr>
      <w:r>
        <w:rPr>
          <w:rFonts w:hint="eastAsia" w:ascii="宋体" w:hAnsi="宋体"/>
          <w:bCs/>
          <w:snapToGrid w:val="0"/>
          <w:color w:val="auto"/>
          <w:kern w:val="0"/>
          <w:sz w:val="24"/>
          <w:highlight w:val="none"/>
        </w:rPr>
        <w:t>38.1</w:t>
      </w:r>
      <w:r>
        <w:rPr>
          <w:rFonts w:hint="eastAsia" w:ascii="宋体" w:hAnsi="宋体"/>
          <w:bCs/>
          <w:snapToGrid w:val="0"/>
          <w:color w:val="auto"/>
          <w:kern w:val="0"/>
          <w:sz w:val="24"/>
          <w:highlight w:val="none"/>
          <w:lang w:val="en-US" w:eastAsia="zh-CN"/>
        </w:rPr>
        <w:t>6</w:t>
      </w:r>
      <w:r>
        <w:rPr>
          <w:rFonts w:hint="eastAsia" w:ascii="宋体" w:hAnsi="宋体"/>
          <w:bCs/>
          <w:snapToGrid w:val="0"/>
          <w:color w:val="auto"/>
          <w:kern w:val="0"/>
          <w:sz w:val="24"/>
          <w:highlight w:val="none"/>
        </w:rPr>
        <w:t>除上述约定之外，承包人不履行或不完全履行合同其他义务的，均构成违约，应当承担1次一般违约责任。情节较轻的，可给予书面警告；情节较重的，应当承担1次严重违约责任。</w:t>
      </w:r>
    </w:p>
    <w:p w14:paraId="0E08EB15">
      <w:pPr>
        <w:adjustRightInd w:val="0"/>
        <w:snapToGrid w:val="0"/>
        <w:spacing w:line="360" w:lineRule="auto"/>
        <w:ind w:firstLine="480" w:firstLineChars="200"/>
        <w:outlineLvl w:val="3"/>
        <w:rPr>
          <w:rFonts w:asciiTheme="minorEastAsia" w:hAnsiTheme="minorEastAsia" w:eastAsiaTheme="minorEastAsia"/>
          <w:snapToGrid w:val="0"/>
          <w:color w:val="auto"/>
          <w:kern w:val="0"/>
          <w:sz w:val="24"/>
          <w:szCs w:val="24"/>
          <w:highlight w:val="none"/>
        </w:rPr>
      </w:pPr>
      <w:r>
        <w:rPr>
          <w:rFonts w:hint="eastAsia" w:ascii="宋体" w:hAnsi="宋体"/>
          <w:snapToGrid w:val="0"/>
          <w:color w:val="auto"/>
          <w:kern w:val="0"/>
          <w:sz w:val="24"/>
          <w:highlight w:val="none"/>
        </w:rPr>
        <w:t>38.1</w:t>
      </w:r>
      <w:r>
        <w:rPr>
          <w:rFonts w:hint="eastAsia" w:ascii="宋体" w:hAnsi="宋体"/>
          <w:snapToGrid w:val="0"/>
          <w:color w:val="auto"/>
          <w:kern w:val="0"/>
          <w:sz w:val="24"/>
          <w:highlight w:val="none"/>
          <w:lang w:val="en-US" w:eastAsia="zh-CN"/>
        </w:rPr>
        <w:t>7</w:t>
      </w:r>
      <w:r>
        <w:rPr>
          <w:rFonts w:hint="eastAsia" w:ascii="宋体" w:hAnsi="宋体"/>
          <w:snapToGrid w:val="0"/>
          <w:color w:val="auto"/>
          <w:kern w:val="0"/>
          <w:sz w:val="24"/>
          <w:highlight w:val="none"/>
        </w:rPr>
        <w:t>承包人违</w:t>
      </w:r>
      <w:r>
        <w:rPr>
          <w:rFonts w:hint="eastAsia" w:asciiTheme="minorEastAsia" w:hAnsiTheme="minorEastAsia" w:eastAsiaTheme="minorEastAsia"/>
          <w:snapToGrid w:val="0"/>
          <w:color w:val="auto"/>
          <w:kern w:val="0"/>
          <w:sz w:val="24"/>
          <w:szCs w:val="24"/>
          <w:highlight w:val="none"/>
        </w:rPr>
        <w:t>约责任的认定方式、送达程序及违约金的处理</w:t>
      </w:r>
    </w:p>
    <w:p w14:paraId="4FC051A1">
      <w:pPr>
        <w:adjustRightInd w:val="0"/>
        <w:snapToGrid w:val="0"/>
        <w:spacing w:line="360" w:lineRule="auto"/>
        <w:ind w:firstLine="480" w:firstLineChars="200"/>
        <w:rPr>
          <w:rFonts w:asciiTheme="minorEastAsia" w:hAnsiTheme="minorEastAsia" w:eastAsiaTheme="minorEastAsia"/>
          <w:snapToGrid w:val="0"/>
          <w:color w:val="auto"/>
          <w:kern w:val="0"/>
          <w:sz w:val="24"/>
          <w:szCs w:val="24"/>
          <w:highlight w:val="none"/>
        </w:rPr>
      </w:pPr>
      <w:r>
        <w:rPr>
          <w:rFonts w:hint="eastAsia" w:asciiTheme="minorEastAsia" w:hAnsiTheme="minorEastAsia" w:eastAsiaTheme="minorEastAsia"/>
          <w:snapToGrid w:val="0"/>
          <w:color w:val="auto"/>
          <w:kern w:val="0"/>
          <w:sz w:val="24"/>
          <w:szCs w:val="24"/>
          <w:highlight w:val="none"/>
        </w:rPr>
        <w:t>（1）认定方式：</w:t>
      </w:r>
      <w:r>
        <w:rPr>
          <w:rFonts w:asciiTheme="minorEastAsia" w:hAnsiTheme="minorEastAsia" w:eastAsiaTheme="minorEastAsia"/>
          <w:color w:val="auto"/>
          <w:sz w:val="24"/>
          <w:szCs w:val="24"/>
          <w:highlight w:val="none"/>
        </w:rPr>
        <w:t>发包人</w:t>
      </w:r>
      <w:r>
        <w:rPr>
          <w:rFonts w:hint="eastAsia" w:asciiTheme="minorEastAsia" w:hAnsiTheme="minorEastAsia" w:eastAsiaTheme="minorEastAsia"/>
          <w:color w:val="auto"/>
          <w:sz w:val="24"/>
          <w:szCs w:val="24"/>
          <w:highlight w:val="none"/>
        </w:rPr>
        <w:t>依据整改通知单、督办通知单、</w:t>
      </w:r>
      <w:r>
        <w:rPr>
          <w:rFonts w:asciiTheme="minorEastAsia" w:hAnsiTheme="minorEastAsia" w:eastAsiaTheme="minorEastAsia"/>
          <w:color w:val="auto"/>
          <w:sz w:val="24"/>
          <w:szCs w:val="24"/>
          <w:highlight w:val="none"/>
        </w:rPr>
        <w:t>通知、通报、会议纪要等书面文件</w:t>
      </w:r>
      <w:r>
        <w:rPr>
          <w:rFonts w:hint="eastAsia" w:asciiTheme="minorEastAsia" w:hAnsiTheme="minorEastAsia" w:eastAsiaTheme="minorEastAsia"/>
          <w:color w:val="auto"/>
          <w:sz w:val="24"/>
          <w:szCs w:val="24"/>
          <w:highlight w:val="none"/>
        </w:rPr>
        <w:t>，向承包人发出《违约处理决定书》，违约处理决定以</w:t>
      </w:r>
      <w:r>
        <w:rPr>
          <w:rFonts w:asciiTheme="minorEastAsia" w:hAnsiTheme="minorEastAsia" w:eastAsiaTheme="minorEastAsia"/>
          <w:color w:val="auto"/>
          <w:sz w:val="24"/>
          <w:szCs w:val="24"/>
          <w:highlight w:val="none"/>
        </w:rPr>
        <w:t>发包人</w:t>
      </w:r>
      <w:r>
        <w:rPr>
          <w:rFonts w:hint="eastAsia" w:asciiTheme="minorEastAsia" w:hAnsiTheme="minorEastAsia" w:eastAsiaTheme="minorEastAsia"/>
          <w:color w:val="auto"/>
          <w:sz w:val="24"/>
          <w:szCs w:val="24"/>
          <w:highlight w:val="none"/>
        </w:rPr>
        <w:t>出具的《违约处理决定书》</w:t>
      </w:r>
      <w:r>
        <w:rPr>
          <w:rFonts w:asciiTheme="minorEastAsia" w:hAnsiTheme="minorEastAsia" w:eastAsiaTheme="minorEastAsia"/>
          <w:color w:val="auto"/>
          <w:sz w:val="24"/>
          <w:szCs w:val="24"/>
          <w:highlight w:val="none"/>
        </w:rPr>
        <w:t>确定的内容为准</w:t>
      </w:r>
      <w:r>
        <w:rPr>
          <w:rFonts w:hint="eastAsia" w:asciiTheme="minorEastAsia" w:hAnsiTheme="minorEastAsia" w:eastAsiaTheme="minorEastAsia"/>
          <w:snapToGrid w:val="0"/>
          <w:color w:val="auto"/>
          <w:kern w:val="0"/>
          <w:sz w:val="24"/>
          <w:szCs w:val="24"/>
          <w:highlight w:val="none"/>
        </w:rPr>
        <w:t>。</w:t>
      </w:r>
    </w:p>
    <w:p w14:paraId="0CC6BDE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（2）送达程序：发包人以下列方式之一将书面违约处理决定送达承包人：</w:t>
      </w:r>
    </w:p>
    <w:p w14:paraId="114AF01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1）承包人现场管理机构工作人员签收。</w:t>
      </w:r>
    </w:p>
    <w:p w14:paraId="4D7F899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2）承包人其他工作人员签收。</w:t>
      </w:r>
    </w:p>
    <w:p w14:paraId="70F40A3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3）发包人邮寄送达。</w:t>
      </w:r>
    </w:p>
    <w:p w14:paraId="6B73FAB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（3）发包人以书面形式作出的</w:t>
      </w:r>
      <w:r>
        <w:rPr>
          <w:rFonts w:hint="eastAsia" w:asciiTheme="minorEastAsia" w:hAnsiTheme="minorEastAsia" w:eastAsiaTheme="minorEastAsia"/>
          <w:color w:val="auto"/>
          <w:sz w:val="24"/>
          <w:szCs w:val="24"/>
          <w:highlight w:val="none"/>
        </w:rPr>
        <w:t>《违约处理决定书》</w:t>
      </w:r>
      <w:r>
        <w:rPr>
          <w:rFonts w:hint="eastAsia" w:ascii="宋体" w:hAnsi="宋体"/>
          <w:snapToGrid w:val="0"/>
          <w:color w:val="auto"/>
          <w:kern w:val="0"/>
          <w:sz w:val="24"/>
          <w:highlight w:val="none"/>
        </w:rPr>
        <w:t>一经送达承包人立即生效。承包人如有足够证据证明不应由其承担违约责任的，属不需支付违约金的，应在收到违约处理决定后3天内以书面形式向发包人提出异议并附上有关证据；属需要支付违约金的，应在工程结算报告送达监理单位前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14:paraId="2806E151">
      <w:pPr>
        <w:adjustRightInd w:val="0"/>
        <w:snapToGrid w:val="0"/>
        <w:spacing w:line="360" w:lineRule="auto"/>
        <w:ind w:right="11" w:firstLine="463" w:firstLineChars="192"/>
        <w:outlineLvl w:val="2"/>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39、索赔</w:t>
      </w:r>
    </w:p>
    <w:p w14:paraId="019E4F92">
      <w:pPr>
        <w:adjustRightInd w:val="0"/>
        <w:snapToGrid w:val="0"/>
        <w:spacing w:line="360" w:lineRule="auto"/>
        <w:ind w:right="11" w:firstLine="463" w:firstLineChars="192"/>
        <w:rPr>
          <w:rFonts w:ascii="宋体" w:hAnsi="宋体"/>
          <w:b/>
          <w:snapToGrid w:val="0"/>
          <w:color w:val="auto"/>
          <w:kern w:val="0"/>
          <w:sz w:val="24"/>
          <w:highlight w:val="none"/>
        </w:rPr>
      </w:pPr>
      <w:r>
        <w:rPr>
          <w:rFonts w:hint="eastAsia" w:ascii="宋体" w:hAnsi="宋体"/>
          <w:b/>
          <w:snapToGrid w:val="0"/>
          <w:color w:val="auto"/>
          <w:kern w:val="0"/>
          <w:sz w:val="24"/>
          <w:highlight w:val="none"/>
        </w:rPr>
        <w:t>承包人与发包人一致同意不适用合同通用条款第39.2、39.3款的约定，代之以：</w:t>
      </w:r>
    </w:p>
    <w:p w14:paraId="5ECBD8FB">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39</w:t>
      </w:r>
      <w:r>
        <w:rPr>
          <w:rFonts w:ascii="宋体" w:hAnsi="宋体"/>
          <w:snapToGrid w:val="0"/>
          <w:color w:val="auto"/>
          <w:kern w:val="0"/>
          <w:sz w:val="24"/>
          <w:highlight w:val="none"/>
        </w:rPr>
        <w:t>.2</w:t>
      </w:r>
      <w:r>
        <w:rPr>
          <w:rFonts w:hint="eastAsia" w:ascii="宋体" w:hAnsi="宋体"/>
          <w:snapToGrid w:val="0"/>
          <w:color w:val="auto"/>
          <w:kern w:val="0"/>
          <w:sz w:val="24"/>
          <w:highlight w:val="none"/>
        </w:rPr>
        <w:t>承包人向发包人索赔的程序</w:t>
      </w:r>
    </w:p>
    <w:p w14:paraId="261D8CBC">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1）当索赔事件首次发生后的14天内，承包人将自己的索赔意向书面通知监理单位，并呈交给发包人一份副本。若索赔事件首次发生后的14天内，承包人未提出索赔意向书，则从第15天起，监理单位及发包人有权拒绝承包人的索赔要求。</w:t>
      </w:r>
    </w:p>
    <w:p w14:paraId="0F708E03">
      <w:pPr>
        <w:adjustRightInd w:val="0"/>
        <w:snapToGrid w:val="0"/>
        <w:spacing w:line="360" w:lineRule="auto"/>
        <w:ind w:right="11" w:firstLine="460" w:firstLineChars="192"/>
        <w:rPr>
          <w:rFonts w:ascii="宋体" w:hAnsi="宋体"/>
          <w:bCs/>
          <w:snapToGrid w:val="0"/>
          <w:color w:val="auto"/>
          <w:kern w:val="0"/>
          <w:sz w:val="24"/>
          <w:highlight w:val="none"/>
        </w:rPr>
      </w:pPr>
      <w:r>
        <w:rPr>
          <w:rFonts w:hint="eastAsia" w:ascii="宋体" w:hAnsi="宋体"/>
          <w:snapToGrid w:val="0"/>
          <w:color w:val="auto"/>
          <w:kern w:val="0"/>
          <w:sz w:val="24"/>
          <w:highlight w:val="none"/>
        </w:rPr>
        <w:t>（2）承包人应保持索赔事件同期记录，以便合理地证明承包人后来要申请的索赔。监理单位在收到承包人的索赔意向通知时，应先检查这些同期记录，并可指定承包人进一步做好同期记录，承包人应允许监理单位检查全部记录，并在监理单位发出指令时提供记录的副本。</w:t>
      </w:r>
    </w:p>
    <w:p w14:paraId="0191DAFC">
      <w:pPr>
        <w:adjustRightInd w:val="0"/>
        <w:snapToGrid w:val="0"/>
        <w:spacing w:line="360" w:lineRule="auto"/>
        <w:ind w:right="11" w:firstLine="460" w:firstLineChars="192"/>
        <w:rPr>
          <w:rFonts w:ascii="宋体" w:hAnsi="宋体"/>
          <w:bCs/>
          <w:snapToGrid w:val="0"/>
          <w:color w:val="auto"/>
          <w:kern w:val="0"/>
          <w:sz w:val="24"/>
          <w:highlight w:val="none"/>
        </w:rPr>
      </w:pPr>
      <w:r>
        <w:rPr>
          <w:rFonts w:hint="eastAsia" w:ascii="宋体" w:hAnsi="宋体"/>
          <w:snapToGrid w:val="0"/>
          <w:color w:val="auto"/>
          <w:kern w:val="0"/>
          <w:sz w:val="24"/>
          <w:highlight w:val="none"/>
        </w:rPr>
        <w:t>（3）承包人应在发出索赔意向通知后的14天内，向监理单位报送一份说明索赔所依据的理由和索赔款额的具体细节帐目的索赔报告。如果索赔事件尚未结束，承包人在索赔事件结束后的14天内，再报一份最终索赔报告给监理单位。</w:t>
      </w:r>
    </w:p>
    <w:p w14:paraId="093926C9">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4）监理单位在收到承包人索赔报告或最终索赔报告后14天内，将处理意见书面通知发包人、承包人双方。若双方接受，此索赔事件结束；若任何一方不接受，经再次协商仍达不成一致的，则按合同专用条款第40条的约定处理。</w:t>
      </w:r>
    </w:p>
    <w:p w14:paraId="692623CA">
      <w:pPr>
        <w:adjustRightInd w:val="0"/>
        <w:snapToGrid w:val="0"/>
        <w:spacing w:line="360" w:lineRule="auto"/>
        <w:ind w:firstLine="470" w:firstLineChars="196"/>
        <w:outlineLvl w:val="3"/>
        <w:rPr>
          <w:rFonts w:ascii="宋体" w:hAnsi="宋体"/>
          <w:snapToGrid w:val="0"/>
          <w:color w:val="auto"/>
          <w:kern w:val="0"/>
          <w:sz w:val="24"/>
          <w:highlight w:val="none"/>
        </w:rPr>
      </w:pPr>
      <w:r>
        <w:rPr>
          <w:rFonts w:ascii="宋体" w:hAnsi="宋体" w:cs="宋体"/>
          <w:snapToGrid w:val="0"/>
          <w:color w:val="auto"/>
          <w:kern w:val="0"/>
          <w:sz w:val="24"/>
          <w:highlight w:val="none"/>
          <w:lang w:val="zh-CN"/>
        </w:rPr>
        <w:t>3</w:t>
      </w:r>
      <w:r>
        <w:rPr>
          <w:rFonts w:hint="eastAsia" w:ascii="宋体" w:hAnsi="宋体" w:cs="宋体"/>
          <w:snapToGrid w:val="0"/>
          <w:color w:val="auto"/>
          <w:kern w:val="0"/>
          <w:sz w:val="24"/>
          <w:highlight w:val="none"/>
          <w:lang w:val="zh-CN"/>
        </w:rPr>
        <w:t>9</w:t>
      </w:r>
      <w:r>
        <w:rPr>
          <w:rFonts w:ascii="宋体" w:hAnsi="宋体" w:cs="宋体"/>
          <w:snapToGrid w:val="0"/>
          <w:color w:val="auto"/>
          <w:kern w:val="0"/>
          <w:sz w:val="24"/>
          <w:highlight w:val="none"/>
          <w:lang w:val="zh-CN"/>
        </w:rPr>
        <w:t>.</w:t>
      </w:r>
      <w:r>
        <w:rPr>
          <w:rFonts w:hint="eastAsia" w:ascii="宋体" w:hAnsi="宋体" w:cs="宋体"/>
          <w:snapToGrid w:val="0"/>
          <w:color w:val="auto"/>
          <w:kern w:val="0"/>
          <w:sz w:val="24"/>
          <w:highlight w:val="none"/>
          <w:lang w:val="zh-CN"/>
        </w:rPr>
        <w:t>3承包人未能按合同约定履行自己的各项义务或发生错误，发包人按</w:t>
      </w:r>
      <w:r>
        <w:rPr>
          <w:rFonts w:hint="eastAsia" w:ascii="宋体" w:hAnsi="宋体"/>
          <w:snapToGrid w:val="0"/>
          <w:color w:val="auto"/>
          <w:kern w:val="0"/>
          <w:sz w:val="24"/>
          <w:highlight w:val="none"/>
        </w:rPr>
        <w:t>如下约定向承包人索赔：</w:t>
      </w:r>
    </w:p>
    <w:p w14:paraId="52688DF0">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（1）发包人将自己的索赔意向书面通知承包人（同时抄送其担保银行），要求承包人在限期内纠正其违约行为，否则发包人将考虑按合同约定作出相关处理决定。</w:t>
      </w:r>
    </w:p>
    <w:p w14:paraId="3F2568A2">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（2）限期届满，承包人没有用实际行动纠正自己的违约行为或者纠正行为不能使发包人满意或者纠正行为无法弥补发包人的损失的，则发包人直接按合同约定作出相关处理决定并向银行发出正式书面索赔通知。</w:t>
      </w:r>
    </w:p>
    <w:p w14:paraId="29CC4A5A">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（3）如果通过向银行索赔的方式依然不能完全弥补发包人的损失，则发包人有权在应支付给承包人的工程款中直接扣取。同时发包人有权要求承包人在规定时间内按合同专用条款第44</w:t>
      </w:r>
      <w:r>
        <w:rPr>
          <w:rFonts w:ascii="宋体" w:hAnsi="宋体" w:cs="宋体"/>
          <w:snapToGrid w:val="0"/>
          <w:color w:val="auto"/>
          <w:kern w:val="0"/>
          <w:sz w:val="24"/>
          <w:highlight w:val="none"/>
          <w:lang w:val="zh-CN"/>
        </w:rPr>
        <w:t>.</w:t>
      </w:r>
      <w:r>
        <w:rPr>
          <w:rFonts w:hint="eastAsia" w:ascii="宋体" w:hAnsi="宋体"/>
          <w:snapToGrid w:val="0"/>
          <w:color w:val="auto"/>
          <w:kern w:val="0"/>
          <w:sz w:val="24"/>
          <w:highlight w:val="none"/>
        </w:rPr>
        <w:t>5款的约定向发包人补充提交履约银行保函。</w:t>
      </w:r>
    </w:p>
    <w:p w14:paraId="31170776">
      <w:pPr>
        <w:adjustRightInd w:val="0"/>
        <w:snapToGrid w:val="0"/>
        <w:spacing w:line="360" w:lineRule="auto"/>
        <w:ind w:right="11" w:firstLine="460" w:firstLineChars="192"/>
        <w:rPr>
          <w:rFonts w:ascii="宋体" w:hAnsi="宋体"/>
          <w:snapToGrid w:val="0"/>
          <w:color w:val="auto"/>
          <w:kern w:val="0"/>
          <w:sz w:val="24"/>
          <w:highlight w:val="none"/>
        </w:rPr>
      </w:pPr>
      <w:r>
        <w:rPr>
          <w:rFonts w:hint="eastAsia" w:ascii="宋体" w:hAnsi="宋体"/>
          <w:snapToGrid w:val="0"/>
          <w:color w:val="auto"/>
          <w:kern w:val="0"/>
          <w:sz w:val="24"/>
          <w:highlight w:val="none"/>
        </w:rPr>
        <w:t>（4）如果通过向银行索赔以及直接扣取工程款等方式依然不能完全弥补发包人损失的，承包人必须在发包人规定的时间内以现金形式支付剩余索赔额，否则发包人将按合同专用条款第40条的约定处理。</w:t>
      </w:r>
    </w:p>
    <w:p w14:paraId="7B12A92E">
      <w:pPr>
        <w:adjustRightInd w:val="0"/>
        <w:snapToGrid w:val="0"/>
        <w:spacing w:line="360" w:lineRule="auto"/>
        <w:ind w:right="11" w:firstLine="463" w:firstLineChars="192"/>
        <w:rPr>
          <w:rFonts w:ascii="宋体" w:hAnsi="宋体"/>
          <w:b/>
          <w:snapToGrid w:val="0"/>
          <w:color w:val="auto"/>
          <w:kern w:val="0"/>
          <w:sz w:val="24"/>
          <w:highlight w:val="none"/>
        </w:rPr>
      </w:pPr>
      <w:r>
        <w:rPr>
          <w:rFonts w:hint="eastAsia" w:ascii="宋体" w:hAnsi="宋体"/>
          <w:b/>
          <w:snapToGrid w:val="0"/>
          <w:color w:val="auto"/>
          <w:kern w:val="0"/>
          <w:sz w:val="24"/>
          <w:highlight w:val="none"/>
        </w:rPr>
        <w:t>承包人与发包人一致同意增加39.4：</w:t>
      </w:r>
    </w:p>
    <w:p w14:paraId="2CF6F2CA">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39.4在任何索赔期间，不论索赔是否有据，均不能免除承包人按合同约定履行合同义务。承包人不得以此为借口，拒不履行或拖延合同的履行，否则发包人有权单方面终止合同，并要求承包人赔偿由此导致的发包人的损失。</w:t>
      </w:r>
    </w:p>
    <w:p w14:paraId="726AB7CB">
      <w:pPr>
        <w:adjustRightInd w:val="0"/>
        <w:snapToGrid w:val="0"/>
        <w:spacing w:line="360" w:lineRule="auto"/>
        <w:ind w:right="11" w:firstLine="463" w:firstLineChars="192"/>
        <w:outlineLvl w:val="2"/>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40、争议</w:t>
      </w:r>
    </w:p>
    <w:p w14:paraId="6D751F6A">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40.1因本合同或者履行本合同所产生的争议</w:t>
      </w:r>
      <w:r>
        <w:rPr>
          <w:rFonts w:ascii="宋体" w:hAnsi="宋体"/>
          <w:snapToGrid w:val="0"/>
          <w:color w:val="auto"/>
          <w:kern w:val="0"/>
          <w:sz w:val="24"/>
          <w:highlight w:val="none"/>
        </w:rPr>
        <w:t>，</w:t>
      </w:r>
      <w:r>
        <w:rPr>
          <w:rFonts w:hint="eastAsia" w:ascii="宋体" w:hAnsi="宋体"/>
          <w:snapToGrid w:val="0"/>
          <w:color w:val="auto"/>
          <w:kern w:val="0"/>
          <w:sz w:val="24"/>
          <w:highlight w:val="none"/>
        </w:rPr>
        <w:t>由发包人与承包人双方协商解决，经协商达成一致意见的，应签订书面协议；协商不成的，可向工程所在地有关主管部门申请调解；调解不成的，双方均可向工程所在地人民法院提请诉讼。</w:t>
      </w:r>
    </w:p>
    <w:p w14:paraId="732ECAC7">
      <w:pPr>
        <w:adjustRightInd w:val="0"/>
        <w:snapToGrid w:val="0"/>
        <w:spacing w:line="360" w:lineRule="auto"/>
        <w:ind w:right="11" w:firstLine="463" w:firstLineChars="192"/>
        <w:rPr>
          <w:rFonts w:ascii="宋体" w:hAnsi="宋体"/>
          <w:b/>
          <w:snapToGrid w:val="0"/>
          <w:color w:val="auto"/>
          <w:kern w:val="0"/>
          <w:sz w:val="24"/>
          <w:highlight w:val="none"/>
        </w:rPr>
      </w:pPr>
      <w:r>
        <w:rPr>
          <w:rFonts w:hint="eastAsia" w:ascii="宋体" w:hAnsi="宋体"/>
          <w:b/>
          <w:snapToGrid w:val="0"/>
          <w:color w:val="auto"/>
          <w:kern w:val="0"/>
          <w:sz w:val="24"/>
          <w:highlight w:val="none"/>
        </w:rPr>
        <w:t>承包人与发包人一致同意增加40.3：</w:t>
      </w:r>
    </w:p>
    <w:p w14:paraId="534BFA11">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40.3承包人无条件承诺：争议发生后，承包人必须在做好现场证据保全后继续按照合同要求施工，不得以解决争议为由单方面停工，或者以争议解决需要时日为由拖延施工；否则，发包人有权先行解除与承包人的合同，承包人必须在7天内撤场。承包人的撤场不影响发包人另行解决争议和索赔的权利。</w:t>
      </w:r>
    </w:p>
    <w:p w14:paraId="338906E0">
      <w:pPr>
        <w:adjustRightInd w:val="0"/>
        <w:snapToGrid w:val="0"/>
        <w:spacing w:line="360" w:lineRule="auto"/>
        <w:ind w:right="11"/>
        <w:rPr>
          <w:rFonts w:ascii="宋体" w:hAnsi="宋体"/>
          <w:snapToGrid w:val="0"/>
          <w:color w:val="auto"/>
          <w:kern w:val="0"/>
          <w:sz w:val="24"/>
          <w:highlight w:val="none"/>
        </w:rPr>
      </w:pPr>
    </w:p>
    <w:p w14:paraId="3BC45724">
      <w:pPr>
        <w:adjustRightInd w:val="0"/>
        <w:snapToGrid w:val="0"/>
        <w:spacing w:line="360" w:lineRule="auto"/>
        <w:ind w:right="11"/>
        <w:outlineLvl w:val="1"/>
        <w:rPr>
          <w:rFonts w:ascii="宋体" w:hAnsi="宋体"/>
          <w:b/>
          <w:snapToGrid w:val="0"/>
          <w:color w:val="auto"/>
          <w:kern w:val="0"/>
          <w:sz w:val="28"/>
          <w:szCs w:val="28"/>
          <w:highlight w:val="none"/>
        </w:rPr>
      </w:pPr>
      <w:r>
        <w:rPr>
          <w:rFonts w:hint="eastAsia" w:ascii="宋体" w:hAnsi="宋体"/>
          <w:b/>
          <w:snapToGrid w:val="0"/>
          <w:color w:val="auto"/>
          <w:kern w:val="0"/>
          <w:sz w:val="28"/>
          <w:szCs w:val="28"/>
          <w:highlight w:val="none"/>
        </w:rPr>
        <w:t>十一、其他</w:t>
      </w:r>
    </w:p>
    <w:p w14:paraId="08EEA570">
      <w:pPr>
        <w:adjustRightInd w:val="0"/>
        <w:snapToGrid w:val="0"/>
        <w:spacing w:line="360" w:lineRule="auto"/>
        <w:ind w:right="11" w:firstLine="463" w:firstLineChars="192"/>
        <w:outlineLvl w:val="2"/>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41、工程分包</w:t>
      </w:r>
    </w:p>
    <w:p w14:paraId="1F5898F4">
      <w:pPr>
        <w:adjustRightInd w:val="0"/>
        <w:snapToGrid w:val="0"/>
        <w:spacing w:line="360" w:lineRule="auto"/>
        <w:ind w:firstLine="48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41.1本工程的主体及关键性工作必须由承包人自行完成，不得分包。非主体、非关键性工作的分包应当在投标文件中载明</w:t>
      </w:r>
      <w:r>
        <w:rPr>
          <w:rFonts w:ascii="宋体" w:hAnsi="宋体" w:cs="宋体"/>
          <w:snapToGrid w:val="0"/>
          <w:color w:val="auto"/>
          <w:kern w:val="0"/>
          <w:sz w:val="24"/>
          <w:highlight w:val="none"/>
        </w:rPr>
        <w:t>或者经</w:t>
      </w:r>
      <w:r>
        <w:rPr>
          <w:rFonts w:hint="eastAsia" w:ascii="宋体" w:hAnsi="宋体" w:cs="宋体"/>
          <w:snapToGrid w:val="0"/>
          <w:color w:val="auto"/>
          <w:kern w:val="0"/>
          <w:sz w:val="24"/>
          <w:highlight w:val="none"/>
        </w:rPr>
        <w:t>发包</w:t>
      </w:r>
      <w:r>
        <w:rPr>
          <w:rFonts w:ascii="宋体" w:hAnsi="宋体" w:cs="宋体"/>
          <w:snapToGrid w:val="0"/>
          <w:color w:val="auto"/>
          <w:kern w:val="0"/>
          <w:sz w:val="24"/>
          <w:highlight w:val="none"/>
        </w:rPr>
        <w:t>人同意</w:t>
      </w:r>
      <w:r>
        <w:rPr>
          <w:rFonts w:hint="eastAsia" w:ascii="宋体" w:hAnsi="宋体"/>
          <w:snapToGrid w:val="0"/>
          <w:color w:val="auto"/>
          <w:kern w:val="0"/>
          <w:sz w:val="24"/>
          <w:highlight w:val="none"/>
        </w:rPr>
        <w:t>，承包人应严格按照招投标文件的约定或发包人限定的时间与分包单位签订分包合同。</w:t>
      </w:r>
    </w:p>
    <w:p w14:paraId="7167E1E9">
      <w:pPr>
        <w:adjustRightInd w:val="0"/>
        <w:snapToGrid w:val="0"/>
        <w:spacing w:line="360" w:lineRule="auto"/>
        <w:ind w:firstLine="48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41.2承包人应严格按照《</w:t>
      </w:r>
      <w:r>
        <w:rPr>
          <w:rFonts w:ascii="宋体" w:hAnsi="宋体"/>
          <w:snapToGrid w:val="0"/>
          <w:color w:val="auto"/>
          <w:kern w:val="0"/>
          <w:sz w:val="24"/>
          <w:highlight w:val="none"/>
        </w:rPr>
        <w:t>房屋建筑和市政基础设施工程施工分包管理办法</w:t>
      </w:r>
      <w:r>
        <w:rPr>
          <w:rFonts w:hint="eastAsia" w:ascii="宋体" w:hAnsi="宋体"/>
          <w:snapToGrid w:val="0"/>
          <w:color w:val="auto"/>
          <w:kern w:val="0"/>
          <w:sz w:val="24"/>
          <w:highlight w:val="none"/>
        </w:rPr>
        <w:t>》（建设部令第124号）和本合同的约定做好分包管理工作，</w:t>
      </w:r>
      <w:r>
        <w:rPr>
          <w:rFonts w:ascii="宋体" w:hAnsi="宋体"/>
          <w:snapToGrid w:val="0"/>
          <w:color w:val="auto"/>
          <w:kern w:val="0"/>
          <w:sz w:val="24"/>
          <w:highlight w:val="none"/>
        </w:rPr>
        <w:t>禁止将承包的工程进行转包</w:t>
      </w:r>
      <w:r>
        <w:rPr>
          <w:rFonts w:hint="eastAsia" w:ascii="宋体" w:hAnsi="宋体"/>
          <w:snapToGrid w:val="0"/>
          <w:color w:val="auto"/>
          <w:kern w:val="0"/>
          <w:sz w:val="24"/>
          <w:highlight w:val="none"/>
        </w:rPr>
        <w:t>或违法分包，</w:t>
      </w:r>
      <w:r>
        <w:rPr>
          <w:rFonts w:ascii="宋体" w:hAnsi="宋体"/>
          <w:snapToGrid w:val="0"/>
          <w:color w:val="auto"/>
          <w:kern w:val="0"/>
          <w:sz w:val="24"/>
          <w:highlight w:val="none"/>
        </w:rPr>
        <w:t>禁止转让、出借企业资质证书或者以其他方式允许他人以本企业名义承揽工程</w:t>
      </w:r>
      <w:r>
        <w:rPr>
          <w:rFonts w:hint="eastAsia" w:ascii="宋体" w:hAnsi="宋体"/>
          <w:snapToGrid w:val="0"/>
          <w:color w:val="auto"/>
          <w:kern w:val="0"/>
          <w:sz w:val="24"/>
          <w:highlight w:val="none"/>
        </w:rPr>
        <w:t>，</w:t>
      </w:r>
      <w:r>
        <w:rPr>
          <w:rFonts w:ascii="宋体" w:hAnsi="宋体"/>
          <w:snapToGrid w:val="0"/>
          <w:color w:val="auto"/>
          <w:kern w:val="0"/>
          <w:sz w:val="24"/>
          <w:highlight w:val="none"/>
        </w:rPr>
        <w:t>严禁个人承揽分包工程业务。</w:t>
      </w:r>
    </w:p>
    <w:p w14:paraId="53F26843">
      <w:pPr>
        <w:adjustRightInd w:val="0"/>
        <w:snapToGrid w:val="0"/>
        <w:spacing w:line="360" w:lineRule="auto"/>
        <w:ind w:right="11" w:firstLine="463" w:firstLineChars="192"/>
        <w:rPr>
          <w:rFonts w:ascii="宋体" w:hAnsi="宋体"/>
          <w:b/>
          <w:snapToGrid w:val="0"/>
          <w:color w:val="auto"/>
          <w:kern w:val="0"/>
          <w:sz w:val="24"/>
          <w:highlight w:val="none"/>
        </w:rPr>
      </w:pPr>
      <w:r>
        <w:rPr>
          <w:rFonts w:hint="eastAsia" w:ascii="宋体" w:hAnsi="宋体"/>
          <w:b/>
          <w:snapToGrid w:val="0"/>
          <w:color w:val="auto"/>
          <w:kern w:val="0"/>
          <w:sz w:val="24"/>
          <w:highlight w:val="none"/>
        </w:rPr>
        <w:t>承包人与发包人一致同意增加41.5至41.11：</w:t>
      </w:r>
    </w:p>
    <w:p w14:paraId="6472D5BE">
      <w:pPr>
        <w:adjustRightInd w:val="0"/>
        <w:snapToGrid w:val="0"/>
        <w:spacing w:line="360" w:lineRule="auto"/>
        <w:ind w:firstLine="48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41.5承包人</w:t>
      </w:r>
      <w:r>
        <w:rPr>
          <w:rFonts w:ascii="宋体" w:hAnsi="宋体"/>
          <w:snapToGrid w:val="0"/>
          <w:color w:val="auto"/>
          <w:kern w:val="0"/>
          <w:sz w:val="24"/>
          <w:highlight w:val="none"/>
        </w:rPr>
        <w:t>不履行合同约定，将其承包的全部工程发包给他人，或者将其承包的全部工程肢解后以分包的名义分别发包给他人的，属于转包行为</w:t>
      </w:r>
      <w:r>
        <w:rPr>
          <w:rFonts w:hint="eastAsia" w:ascii="宋体" w:hAnsi="宋体"/>
          <w:snapToGrid w:val="0"/>
          <w:color w:val="auto"/>
          <w:kern w:val="0"/>
          <w:sz w:val="24"/>
          <w:highlight w:val="none"/>
        </w:rPr>
        <w:t>；</w:t>
      </w:r>
      <w:r>
        <w:rPr>
          <w:rFonts w:ascii="宋体" w:hAnsi="宋体"/>
          <w:snapToGrid w:val="0"/>
          <w:color w:val="auto"/>
          <w:kern w:val="0"/>
          <w:sz w:val="24"/>
          <w:highlight w:val="none"/>
        </w:rPr>
        <w:t>将工程分包后，未在施工现场设立项目管理机构和派驻相应人员，未对该工程的施工活动进行组织管理的，视同转包行为。</w:t>
      </w:r>
    </w:p>
    <w:p w14:paraId="552BAC9C">
      <w:pPr>
        <w:adjustRightInd w:val="0"/>
        <w:snapToGrid w:val="0"/>
        <w:spacing w:line="360" w:lineRule="auto"/>
        <w:ind w:firstLine="48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41.6</w:t>
      </w:r>
      <w:r>
        <w:rPr>
          <w:rFonts w:ascii="宋体" w:hAnsi="宋体"/>
          <w:snapToGrid w:val="0"/>
          <w:color w:val="auto"/>
          <w:kern w:val="0"/>
          <w:sz w:val="24"/>
          <w:highlight w:val="none"/>
        </w:rPr>
        <w:t>下列行为，属于违法分包：</w:t>
      </w:r>
    </w:p>
    <w:p w14:paraId="0A73BCC7">
      <w:pPr>
        <w:adjustRightInd w:val="0"/>
        <w:snapToGrid w:val="0"/>
        <w:spacing w:line="360" w:lineRule="auto"/>
        <w:ind w:firstLine="480"/>
        <w:rPr>
          <w:rFonts w:ascii="宋体" w:hAnsi="宋体"/>
          <w:snapToGrid w:val="0"/>
          <w:color w:val="auto"/>
          <w:kern w:val="0"/>
          <w:sz w:val="24"/>
          <w:highlight w:val="none"/>
        </w:rPr>
      </w:pPr>
      <w:r>
        <w:rPr>
          <w:rFonts w:hint="eastAsia" w:ascii="宋体" w:hAnsi="宋体"/>
          <w:snapToGrid w:val="0"/>
          <w:color w:val="auto"/>
          <w:kern w:val="0"/>
          <w:sz w:val="24"/>
          <w:highlight w:val="none"/>
        </w:rPr>
        <w:t>（1）承包人</w:t>
      </w:r>
      <w:r>
        <w:rPr>
          <w:rFonts w:ascii="宋体" w:hAnsi="宋体"/>
          <w:snapToGrid w:val="0"/>
          <w:color w:val="auto"/>
          <w:kern w:val="0"/>
          <w:sz w:val="24"/>
          <w:highlight w:val="none"/>
        </w:rPr>
        <w:t>将专业工程或者劳务作业分包给不具备相应资质条件的分包</w:t>
      </w:r>
      <w:r>
        <w:rPr>
          <w:rFonts w:hint="eastAsia" w:ascii="宋体" w:hAnsi="宋体"/>
          <w:snapToGrid w:val="0"/>
          <w:color w:val="auto"/>
          <w:kern w:val="0"/>
          <w:sz w:val="24"/>
          <w:highlight w:val="none"/>
        </w:rPr>
        <w:t>人</w:t>
      </w:r>
      <w:r>
        <w:rPr>
          <w:rFonts w:ascii="宋体" w:hAnsi="宋体"/>
          <w:snapToGrid w:val="0"/>
          <w:color w:val="auto"/>
          <w:kern w:val="0"/>
          <w:sz w:val="24"/>
          <w:highlight w:val="none"/>
        </w:rPr>
        <w:t>的；</w:t>
      </w:r>
    </w:p>
    <w:p w14:paraId="7CB72877">
      <w:pPr>
        <w:adjustRightInd w:val="0"/>
        <w:snapToGrid w:val="0"/>
        <w:spacing w:line="360" w:lineRule="auto"/>
        <w:ind w:firstLine="480"/>
        <w:rPr>
          <w:rFonts w:ascii="宋体" w:hAnsi="宋体"/>
          <w:snapToGrid w:val="0"/>
          <w:color w:val="auto"/>
          <w:kern w:val="0"/>
          <w:sz w:val="24"/>
          <w:highlight w:val="none"/>
        </w:rPr>
      </w:pPr>
      <w:r>
        <w:rPr>
          <w:rFonts w:hint="eastAsia" w:ascii="宋体" w:hAnsi="宋体"/>
          <w:snapToGrid w:val="0"/>
          <w:color w:val="auto"/>
          <w:kern w:val="0"/>
          <w:sz w:val="24"/>
          <w:highlight w:val="none"/>
        </w:rPr>
        <w:t>（2）本</w:t>
      </w:r>
      <w:r>
        <w:rPr>
          <w:rFonts w:ascii="宋体" w:hAnsi="宋体"/>
          <w:snapToGrid w:val="0"/>
          <w:color w:val="auto"/>
          <w:kern w:val="0"/>
          <w:sz w:val="24"/>
          <w:highlight w:val="none"/>
        </w:rPr>
        <w:t>合同中未有约定，又未经</w:t>
      </w:r>
      <w:r>
        <w:rPr>
          <w:rFonts w:hint="eastAsia" w:ascii="宋体" w:hAnsi="宋体"/>
          <w:snapToGrid w:val="0"/>
          <w:color w:val="auto"/>
          <w:kern w:val="0"/>
          <w:sz w:val="24"/>
          <w:highlight w:val="none"/>
        </w:rPr>
        <w:t>发包人</w:t>
      </w:r>
      <w:r>
        <w:rPr>
          <w:rFonts w:ascii="宋体" w:hAnsi="宋体"/>
          <w:snapToGrid w:val="0"/>
          <w:color w:val="auto"/>
          <w:kern w:val="0"/>
          <w:sz w:val="24"/>
          <w:highlight w:val="none"/>
        </w:rPr>
        <w:t>认可，</w:t>
      </w:r>
      <w:r>
        <w:rPr>
          <w:rFonts w:hint="eastAsia" w:ascii="宋体" w:hAnsi="宋体"/>
          <w:snapToGrid w:val="0"/>
          <w:color w:val="auto"/>
          <w:kern w:val="0"/>
          <w:sz w:val="24"/>
          <w:highlight w:val="none"/>
        </w:rPr>
        <w:t>承</w:t>
      </w:r>
      <w:r>
        <w:rPr>
          <w:rFonts w:ascii="宋体" w:hAnsi="宋体"/>
          <w:snapToGrid w:val="0"/>
          <w:color w:val="auto"/>
          <w:kern w:val="0"/>
          <w:sz w:val="24"/>
          <w:highlight w:val="none"/>
        </w:rPr>
        <w:t>包人将承包工程中的部分专业工程分包给他人的。</w:t>
      </w:r>
    </w:p>
    <w:p w14:paraId="0CDBFFB0">
      <w:pPr>
        <w:adjustRightInd w:val="0"/>
        <w:snapToGrid w:val="0"/>
        <w:spacing w:line="360" w:lineRule="auto"/>
        <w:ind w:firstLine="480"/>
        <w:outlineLvl w:val="3"/>
        <w:rPr>
          <w:rFonts w:asciiTheme="minorEastAsia" w:hAnsiTheme="minorEastAsia" w:eastAsiaTheme="minorEastAsia"/>
          <w:snapToGrid w:val="0"/>
          <w:color w:val="auto"/>
          <w:kern w:val="0"/>
          <w:sz w:val="24"/>
          <w:highlight w:val="none"/>
        </w:rPr>
      </w:pPr>
      <w:r>
        <w:rPr>
          <w:rFonts w:hint="eastAsia" w:ascii="宋体" w:hAnsi="宋体"/>
          <w:snapToGrid w:val="0"/>
          <w:color w:val="auto"/>
          <w:kern w:val="0"/>
          <w:sz w:val="24"/>
          <w:highlight w:val="none"/>
        </w:rPr>
        <w:t>41.7承</w:t>
      </w:r>
      <w:r>
        <w:rPr>
          <w:rFonts w:ascii="宋体" w:hAnsi="宋体"/>
          <w:snapToGrid w:val="0"/>
          <w:color w:val="auto"/>
          <w:kern w:val="0"/>
          <w:sz w:val="24"/>
          <w:highlight w:val="none"/>
        </w:rPr>
        <w:t>包人</w:t>
      </w:r>
      <w:r>
        <w:rPr>
          <w:rFonts w:hint="eastAsia" w:ascii="宋体" w:hAnsi="宋体"/>
          <w:snapToGrid w:val="0"/>
          <w:color w:val="auto"/>
          <w:kern w:val="0"/>
          <w:sz w:val="24"/>
          <w:highlight w:val="none"/>
        </w:rPr>
        <w:t>虽然</w:t>
      </w:r>
      <w:r>
        <w:rPr>
          <w:rFonts w:ascii="宋体" w:hAnsi="宋体"/>
          <w:snapToGrid w:val="0"/>
          <w:color w:val="auto"/>
          <w:kern w:val="0"/>
          <w:sz w:val="24"/>
          <w:highlight w:val="none"/>
        </w:rPr>
        <w:t>没有将其承包的工程进行分包，</w:t>
      </w:r>
      <w:r>
        <w:rPr>
          <w:rFonts w:hint="eastAsia" w:ascii="宋体" w:hAnsi="宋体"/>
          <w:snapToGrid w:val="0"/>
          <w:color w:val="auto"/>
          <w:kern w:val="0"/>
          <w:sz w:val="24"/>
          <w:highlight w:val="none"/>
        </w:rPr>
        <w:t>但</w:t>
      </w:r>
      <w:r>
        <w:rPr>
          <w:rFonts w:ascii="宋体" w:hAnsi="宋体"/>
          <w:snapToGrid w:val="0"/>
          <w:color w:val="auto"/>
          <w:kern w:val="0"/>
          <w:sz w:val="24"/>
          <w:highlight w:val="none"/>
        </w:rPr>
        <w:t>在施工现场所设项目管理机构的</w:t>
      </w:r>
      <w:r>
        <w:rPr>
          <w:rFonts w:hint="eastAsia" w:ascii="宋体" w:hAnsi="宋体"/>
          <w:snapToGrid w:val="0"/>
          <w:color w:val="auto"/>
          <w:kern w:val="0"/>
          <w:sz w:val="24"/>
          <w:highlight w:val="none"/>
        </w:rPr>
        <w:t>项目经理</w:t>
      </w:r>
      <w:r>
        <w:rPr>
          <w:rFonts w:ascii="宋体" w:hAnsi="宋体"/>
          <w:snapToGrid w:val="0"/>
          <w:color w:val="auto"/>
          <w:kern w:val="0"/>
          <w:sz w:val="24"/>
          <w:highlight w:val="none"/>
        </w:rPr>
        <w:t>、技术管理人员、核算管理人员、质量管理人员、安全管理人员不是承</w:t>
      </w:r>
      <w:r>
        <w:rPr>
          <w:rFonts w:asciiTheme="minorEastAsia" w:hAnsiTheme="minorEastAsia" w:eastAsiaTheme="minorEastAsia"/>
          <w:snapToGrid w:val="0"/>
          <w:color w:val="auto"/>
          <w:kern w:val="0"/>
          <w:sz w:val="24"/>
          <w:highlight w:val="none"/>
        </w:rPr>
        <w:t>包人本单位人员的，视同允许他人以本企业名义承揽工程。</w:t>
      </w:r>
    </w:p>
    <w:p w14:paraId="4FB0B6FE">
      <w:pPr>
        <w:adjustRightInd w:val="0"/>
        <w:snapToGrid w:val="0"/>
        <w:spacing w:line="360" w:lineRule="auto"/>
        <w:ind w:firstLine="480"/>
        <w:outlineLvl w:val="3"/>
        <w:rPr>
          <w:rFonts w:ascii="宋体" w:hAnsi="宋体"/>
          <w:snapToGrid w:val="0"/>
          <w:color w:val="auto"/>
          <w:kern w:val="0"/>
          <w:sz w:val="24"/>
          <w:highlight w:val="none"/>
        </w:rPr>
      </w:pPr>
      <w:r>
        <w:rPr>
          <w:rFonts w:hint="eastAsia" w:asciiTheme="minorEastAsia" w:hAnsiTheme="minorEastAsia" w:eastAsiaTheme="minorEastAsia"/>
          <w:snapToGrid w:val="0"/>
          <w:color w:val="auto"/>
          <w:kern w:val="0"/>
          <w:sz w:val="24"/>
          <w:highlight w:val="none"/>
        </w:rPr>
        <w:t>41.8</w:t>
      </w:r>
      <w:r>
        <w:rPr>
          <w:rFonts w:hint="eastAsia" w:asciiTheme="minorEastAsia" w:hAnsiTheme="minorEastAsia" w:eastAsiaTheme="minorEastAsia"/>
          <w:color w:val="auto"/>
          <w:sz w:val="24"/>
          <w:szCs w:val="24"/>
          <w:highlight w:val="none"/>
        </w:rPr>
        <w:t>承包人按照合同约定进行分包的，应确保分包人具有相应的资质和能力。工程分包不减轻或免除承包人的责任和义务，承包人和分包人就分包工程向发包人承担连带责任。</w:t>
      </w:r>
      <w:r>
        <w:rPr>
          <w:rFonts w:hint="eastAsia" w:asciiTheme="minorEastAsia" w:hAnsiTheme="minorEastAsia" w:eastAsiaTheme="minorEastAsia"/>
          <w:snapToGrid w:val="0"/>
          <w:color w:val="auto"/>
          <w:kern w:val="0"/>
          <w:sz w:val="24"/>
          <w:highlight w:val="none"/>
        </w:rPr>
        <w:t>承包</w:t>
      </w:r>
      <w:r>
        <w:rPr>
          <w:rFonts w:hint="eastAsia" w:ascii="宋体" w:hAnsi="宋体"/>
          <w:snapToGrid w:val="0"/>
          <w:color w:val="auto"/>
          <w:kern w:val="0"/>
          <w:sz w:val="24"/>
          <w:highlight w:val="none"/>
        </w:rPr>
        <w:t>人应参照合同专用条款第7条、第9条的有关约定，在发包人批准分包后5天内将分包单位工程现场组织管理人员名单及劳动力、施工机械设备投入计划报送发包人且负责落实到位，并接受总监理工程师和发包人代表的查验。</w:t>
      </w:r>
    </w:p>
    <w:p w14:paraId="4538CDAE">
      <w:pPr>
        <w:adjustRightInd w:val="0"/>
        <w:snapToGrid w:val="0"/>
        <w:spacing w:line="360" w:lineRule="auto"/>
        <w:ind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41.9分包工程价款由承包人与发包人结算。承包人应按本合同及分包合同的有关约定及时审核、申请支付各种工程、劳务及材料设备款项，并向发包人提交下列资料：</w:t>
      </w:r>
    </w:p>
    <w:p w14:paraId="0D6E283C">
      <w:pPr>
        <w:adjustRightInd w:val="0"/>
        <w:snapToGrid w:val="0"/>
        <w:spacing w:line="360" w:lineRule="auto"/>
        <w:ind w:firstLine="480"/>
        <w:rPr>
          <w:rFonts w:ascii="宋体" w:hAnsi="宋体"/>
          <w:snapToGrid w:val="0"/>
          <w:color w:val="auto"/>
          <w:kern w:val="0"/>
          <w:sz w:val="24"/>
          <w:highlight w:val="none"/>
        </w:rPr>
      </w:pPr>
      <w:r>
        <w:rPr>
          <w:rFonts w:hint="eastAsia" w:ascii="宋体" w:hAnsi="宋体"/>
          <w:snapToGrid w:val="0"/>
          <w:color w:val="auto"/>
          <w:kern w:val="0"/>
          <w:sz w:val="24"/>
          <w:highlight w:val="none"/>
        </w:rPr>
        <w:t>（1）属专业工程分包的，应向发包人提交分包人提交给承包人的履约担保文件复印件（应同时携带原件供发包人复核），具体按招标文件或发包人要求执行。</w:t>
      </w:r>
    </w:p>
    <w:p w14:paraId="554D29FA">
      <w:pPr>
        <w:adjustRightInd w:val="0"/>
        <w:snapToGrid w:val="0"/>
        <w:spacing w:line="360" w:lineRule="auto"/>
        <w:ind w:firstLine="480"/>
        <w:rPr>
          <w:rFonts w:ascii="宋体" w:hAnsi="宋体"/>
          <w:snapToGrid w:val="0"/>
          <w:color w:val="auto"/>
          <w:kern w:val="0"/>
          <w:sz w:val="24"/>
          <w:highlight w:val="none"/>
        </w:rPr>
      </w:pPr>
      <w:r>
        <w:rPr>
          <w:rFonts w:hint="eastAsia" w:ascii="宋体" w:hAnsi="宋体"/>
          <w:snapToGrid w:val="0"/>
          <w:color w:val="auto"/>
          <w:kern w:val="0"/>
          <w:sz w:val="24"/>
          <w:highlight w:val="none"/>
        </w:rPr>
        <w:t>（2）属材料设备供货的，应向发包人提交供货商提交给承包人的履约担保文件复印件（应同时携带原件供发包人复核），具体按招标文件或发包人要求执行。</w:t>
      </w:r>
    </w:p>
    <w:p w14:paraId="71662B7D">
      <w:pPr>
        <w:adjustRightInd w:val="0"/>
        <w:snapToGrid w:val="0"/>
        <w:spacing w:line="360" w:lineRule="auto"/>
        <w:ind w:right="11" w:firstLine="480" w:firstLineChars="200"/>
        <w:outlineLvl w:val="3"/>
        <w:rPr>
          <w:rFonts w:ascii="宋体" w:hAnsi="宋体"/>
          <w:bCs/>
          <w:iCs/>
          <w:snapToGrid w:val="0"/>
          <w:color w:val="auto"/>
          <w:kern w:val="0"/>
          <w:sz w:val="24"/>
          <w:highlight w:val="none"/>
        </w:rPr>
      </w:pPr>
      <w:r>
        <w:rPr>
          <w:rFonts w:hint="eastAsia" w:ascii="宋体" w:hAnsi="宋体"/>
          <w:snapToGrid w:val="0"/>
          <w:color w:val="auto"/>
          <w:kern w:val="0"/>
          <w:sz w:val="24"/>
          <w:highlight w:val="none"/>
        </w:rPr>
        <w:t>41.10承包人与发包人一致同意，本工程的所有分包单位（含材料设备供货单位）全部纳入发包人统一组织的考评，并按合同约定和发包人的有关管理规定承担相应义务，享有相应权利。考评结果中涉及对本合同价款的转付或扣取的，承包人承诺无条件服从。</w:t>
      </w:r>
    </w:p>
    <w:p w14:paraId="60F1F754">
      <w:pPr>
        <w:adjustRightInd w:val="0"/>
        <w:snapToGrid w:val="0"/>
        <w:spacing w:line="360" w:lineRule="auto"/>
        <w:ind w:right="11"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41.11承包人擅自更换经发包人审核后认可的专业分包单位，承包人承担10万元/次的违约赔偿责任；如果承包人选择的专业分包单位不能满足合同约定的要求，必须另择符合要求的专业分包单位，经发包人审核确认后承担专业工程任务（发包人的审核确认并不免除承包人的相关责任及义务）。</w:t>
      </w:r>
    </w:p>
    <w:p w14:paraId="72019379">
      <w:pPr>
        <w:adjustRightInd w:val="0"/>
        <w:snapToGrid w:val="0"/>
        <w:spacing w:line="360" w:lineRule="auto"/>
        <w:ind w:firstLine="480"/>
        <w:outlineLvl w:val="2"/>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42、不可抗力</w:t>
      </w:r>
    </w:p>
    <w:p w14:paraId="40D2E8CF">
      <w:pPr>
        <w:adjustRightInd w:val="0"/>
        <w:snapToGrid w:val="0"/>
        <w:spacing w:line="360" w:lineRule="auto"/>
        <w:ind w:right="11"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42.1不可抗力，是指不能预见、不能避免并不能克服，对本工程的施工造成重大实质性影响的自然灾害和战争、动乱（不包括承包人内部的任何纠纷和纷争）等事件。政府对本工程的政策变化、计划的调整，导致本工程不能如期进行，也属不可抗力的范围。</w:t>
      </w:r>
    </w:p>
    <w:p w14:paraId="58A9D2BD">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自然灾害的范围及其认定方式，按如下约定执行：</w:t>
      </w:r>
    </w:p>
    <w:p w14:paraId="18B9D6A0">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1）异常天气：仅指50年（含50年）一遇以上的洪水或10级（含10级）以上的台风。因异常天气袭击工地为确保安全而停工的，承包人应于台风、洪水天气结束之日起七日内，向当地气象部门索取工程所在地台风、暴雨天气资料或报告（含气象实况及对此分析的内容），连同</w:t>
      </w:r>
      <w:r>
        <w:rPr>
          <w:rFonts w:hint="eastAsia" w:ascii="宋体" w:hAnsi="宋体"/>
          <w:snapToGrid w:val="0"/>
          <w:color w:val="auto"/>
          <w:kern w:val="0"/>
          <w:sz w:val="24"/>
          <w:highlight w:val="none"/>
        </w:rPr>
        <w:t>施工</w:t>
      </w:r>
      <w:r>
        <w:rPr>
          <w:rFonts w:hint="eastAsia" w:ascii="宋体" w:hAnsi="宋体"/>
          <w:bCs/>
          <w:snapToGrid w:val="0"/>
          <w:color w:val="auto"/>
          <w:kern w:val="0"/>
          <w:sz w:val="24"/>
          <w:highlight w:val="none"/>
        </w:rPr>
        <w:t>日志、现场照片办理证据保全公证，方可认定为是不可抗力。</w:t>
      </w:r>
    </w:p>
    <w:p w14:paraId="1F4CB9E6">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（2）里氏5级（含5级）以上的地震。</w:t>
      </w:r>
    </w:p>
    <w:p w14:paraId="16FD7277">
      <w:pPr>
        <w:adjustRightInd w:val="0"/>
        <w:snapToGrid w:val="0"/>
        <w:spacing w:line="360" w:lineRule="auto"/>
        <w:ind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42.3因不可抗力引起工程停工的，工期按合同专用条款第13条的有关约定执行，费用承担按如下约定执行：</w:t>
      </w:r>
    </w:p>
    <w:p w14:paraId="675871E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（1）工程本身的损害，由发包人承担。</w:t>
      </w:r>
    </w:p>
    <w:p w14:paraId="467C079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（2）因工程损害导致第三方人员伤亡和财产损失，如系在工程竣工验收合格移交给发包人使用前造成的，费用由承包人承担；如系在工程竣工验收合格移交给发包人使用后发生的，费用由发包人承担。</w:t>
      </w:r>
    </w:p>
    <w:p w14:paraId="02C1119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（3）运至施工场地用于施工的材料和待安装的设备的损害，属发包人供应的由发包人承担；属承包人采购的由承包人承担。</w:t>
      </w:r>
    </w:p>
    <w:p w14:paraId="05229B4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（4）发包人、承包人的人员伤亡由其所在单位负责，并承担相应费用。</w:t>
      </w:r>
    </w:p>
    <w:p w14:paraId="2D1A579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（5）承包人机械设备损坏及停工损失，由承包人承担。</w:t>
      </w:r>
    </w:p>
    <w:p w14:paraId="25E0E4C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（6）停工期间，承包人应总监理工程师要求留在施工场地的必要的管理人员及保卫人员的费用由承包人承担。</w:t>
      </w:r>
    </w:p>
    <w:p w14:paraId="73F86BC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（7）工程所需清理、修复费用，由承包人承担。</w:t>
      </w:r>
    </w:p>
    <w:p w14:paraId="3B2A9E63">
      <w:pPr>
        <w:adjustRightInd w:val="0"/>
        <w:snapToGrid w:val="0"/>
        <w:spacing w:line="360" w:lineRule="auto"/>
        <w:ind w:right="11" w:firstLine="463" w:firstLineChars="192"/>
        <w:outlineLvl w:val="2"/>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43、保险</w:t>
      </w:r>
    </w:p>
    <w:p w14:paraId="642CD9B7">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43.6双方同意按照以下约定购买工程保险：</w:t>
      </w:r>
    </w:p>
    <w:p w14:paraId="7A9AAA2A">
      <w:pPr>
        <w:tabs>
          <w:tab w:val="left" w:pos="900"/>
        </w:tabs>
        <w:spacing w:line="400" w:lineRule="exact"/>
        <w:ind w:right="26"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发包人就本工程项目购买建筑（安装）工程一切险</w:t>
      </w:r>
      <w:r>
        <w:rPr>
          <w:rFonts w:hint="eastAsia" w:ascii="宋体" w:hAnsi="宋体"/>
          <w:snapToGrid w:val="0"/>
          <w:color w:val="auto"/>
          <w:kern w:val="0"/>
          <w:sz w:val="24"/>
          <w:highlight w:val="none"/>
        </w:rPr>
        <w:t>、</w:t>
      </w:r>
      <w:r>
        <w:rPr>
          <w:rFonts w:ascii="宋体" w:hAnsi="宋体"/>
          <w:snapToGrid w:val="0"/>
          <w:color w:val="auto"/>
          <w:kern w:val="0"/>
          <w:sz w:val="24"/>
          <w:highlight w:val="none"/>
        </w:rPr>
        <w:t>附加第三者责任险</w:t>
      </w:r>
      <w:r>
        <w:rPr>
          <w:rFonts w:hint="eastAsia" w:ascii="宋体" w:hAnsi="宋体"/>
          <w:snapToGrid w:val="0"/>
          <w:color w:val="auto"/>
          <w:kern w:val="0"/>
          <w:sz w:val="24"/>
          <w:highlight w:val="none"/>
        </w:rPr>
        <w:t>及其他保险（为运至施工场地内用于工程的材料和待安装工程设备办理）；前述保险事项委托承包人进行购买，承包人应当在开工前向具备相应资格的保险人投保，该保险费已包含在本合同价款中，具体支付和结算方式按照合同专用条款</w:t>
      </w:r>
      <w:r>
        <w:rPr>
          <w:rFonts w:ascii="宋体" w:hAnsi="宋体"/>
          <w:snapToGrid w:val="0"/>
          <w:color w:val="auto"/>
          <w:kern w:val="0"/>
          <w:sz w:val="24"/>
          <w:highlight w:val="none"/>
        </w:rPr>
        <w:t>28.2的约定执行。</w:t>
      </w:r>
    </w:p>
    <w:p w14:paraId="3D245DC0">
      <w:pPr>
        <w:tabs>
          <w:tab w:val="left" w:pos="900"/>
        </w:tabs>
        <w:spacing w:line="400" w:lineRule="exact"/>
        <w:ind w:right="26"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A：保险责任</w:t>
      </w:r>
    </w:p>
    <w:p w14:paraId="623C83C4">
      <w:pPr>
        <w:tabs>
          <w:tab w:val="left" w:pos="900"/>
        </w:tabs>
        <w:spacing w:line="400" w:lineRule="exact"/>
        <w:ind w:right="26"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1）建筑（安装）工程一切险保险责任：保险人负责赔偿在工程项目所在工地和中华人民共和国境内地域范围内其它地方，属于被保险人或其负有责任的永久性工程、临时工程、辅助工程和与此有关的设备、材料等（包括场地外堆放和任何形式的运输），包括在保险期限终止前由工程所有人</w:t>
      </w:r>
      <w:r>
        <w:rPr>
          <w:rFonts w:hint="eastAsia" w:ascii="宋体" w:hAnsi="宋体"/>
          <w:snapToGrid w:val="0"/>
          <w:color w:val="auto"/>
          <w:kern w:val="0"/>
          <w:sz w:val="24"/>
          <w:highlight w:val="none"/>
        </w:rPr>
        <w:t>（或发包人）</w:t>
      </w:r>
      <w:r>
        <w:rPr>
          <w:rFonts w:ascii="宋体" w:hAnsi="宋体"/>
          <w:snapToGrid w:val="0"/>
          <w:color w:val="auto"/>
          <w:kern w:val="0"/>
          <w:sz w:val="24"/>
          <w:highlight w:val="none"/>
        </w:rPr>
        <w:t>签发完工验收证书或验收合格或实际占有或使用或接收的部分，因自然灾害及意外事故导致的损失，包括因此而产生的施救费用、清理场地费用及其他费用项目。</w:t>
      </w:r>
    </w:p>
    <w:p w14:paraId="061594FD">
      <w:pPr>
        <w:tabs>
          <w:tab w:val="left" w:pos="900"/>
        </w:tabs>
        <w:spacing w:line="400" w:lineRule="exact"/>
        <w:ind w:right="26"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2）附加第三者责任险保险责任：保险人负责赔偿因发生与保险工程（包括在保险期限终止前由工程所有人</w:t>
      </w:r>
      <w:r>
        <w:rPr>
          <w:rFonts w:hint="eastAsia" w:ascii="宋体" w:hAnsi="宋体"/>
          <w:snapToGrid w:val="0"/>
          <w:color w:val="auto"/>
          <w:kern w:val="0"/>
          <w:sz w:val="24"/>
          <w:highlight w:val="none"/>
        </w:rPr>
        <w:t>（或发包人）</w:t>
      </w:r>
      <w:r>
        <w:rPr>
          <w:rFonts w:ascii="宋体" w:hAnsi="宋体"/>
          <w:snapToGrid w:val="0"/>
          <w:color w:val="auto"/>
          <w:kern w:val="0"/>
          <w:sz w:val="24"/>
          <w:highlight w:val="none"/>
        </w:rPr>
        <w:t>签发完工验收证书或验收合格或实际占有或使用或接收的部分）直接相关的包括但不限于施工所致意外事故引起工地内及邻近区域的第三者人身伤亡、财产损失，被保险人依法对第三者人身伤亡、财产损失应承担的赔偿责任，包括经保险人事先书面同意而支付的法律费用。</w:t>
      </w:r>
    </w:p>
    <w:p w14:paraId="699A3D01">
      <w:pPr>
        <w:tabs>
          <w:tab w:val="left" w:pos="900"/>
        </w:tabs>
        <w:spacing w:line="400" w:lineRule="exact"/>
        <w:ind w:right="26"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B：保险人资格</w:t>
      </w:r>
    </w:p>
    <w:p w14:paraId="325B632C">
      <w:pPr>
        <w:tabs>
          <w:tab w:val="left" w:pos="900"/>
        </w:tabs>
        <w:spacing w:line="400" w:lineRule="exact"/>
        <w:ind w:right="26"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1）保险人必须在中华人民共和国境内注册具有独立法人资格的保险公司总公司或经其唯一授权的省/市级分支机构，持有有效的企业营业执照、组织机构代码证、税务登记证或三证合一证书；分支机构必须获得该保险公司法定代表人独家授权其参加本次承保的授权书；</w:t>
      </w:r>
    </w:p>
    <w:p w14:paraId="0443AB4F">
      <w:pPr>
        <w:tabs>
          <w:tab w:val="left" w:pos="900"/>
        </w:tabs>
        <w:spacing w:line="400" w:lineRule="exact"/>
        <w:ind w:right="26"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2）保险人必须为经中国</w:t>
      </w:r>
      <w:r>
        <w:rPr>
          <w:rFonts w:hint="eastAsia" w:ascii="宋体" w:hAnsi="宋体"/>
          <w:snapToGrid w:val="0"/>
          <w:color w:val="auto"/>
          <w:kern w:val="0"/>
          <w:sz w:val="24"/>
          <w:highlight w:val="none"/>
        </w:rPr>
        <w:t>银行</w:t>
      </w:r>
      <w:r>
        <w:rPr>
          <w:rFonts w:ascii="宋体" w:hAnsi="宋体"/>
          <w:snapToGrid w:val="0"/>
          <w:color w:val="auto"/>
          <w:kern w:val="0"/>
          <w:sz w:val="24"/>
          <w:highlight w:val="none"/>
        </w:rPr>
        <w:t>保险监督管理委员会批准在中华人民共和国境内设立和营业，且自身依法持有中国</w:t>
      </w:r>
      <w:r>
        <w:rPr>
          <w:rFonts w:hint="eastAsia" w:ascii="宋体" w:hAnsi="宋体"/>
          <w:snapToGrid w:val="0"/>
          <w:color w:val="auto"/>
          <w:kern w:val="0"/>
          <w:sz w:val="24"/>
          <w:highlight w:val="none"/>
        </w:rPr>
        <w:t>银行</w:t>
      </w:r>
      <w:r>
        <w:rPr>
          <w:rFonts w:ascii="宋体" w:hAnsi="宋体"/>
          <w:snapToGrid w:val="0"/>
          <w:color w:val="auto"/>
          <w:kern w:val="0"/>
          <w:sz w:val="24"/>
          <w:highlight w:val="none"/>
        </w:rPr>
        <w:t>保险监督管理委员会或其派出机构颁发的包含本项目承保范围的保险业务许可证（业务范围包括财产保险和责任保险）。</w:t>
      </w:r>
    </w:p>
    <w:p w14:paraId="051F0EE5">
      <w:pPr>
        <w:tabs>
          <w:tab w:val="left" w:pos="900"/>
        </w:tabs>
        <w:spacing w:line="400" w:lineRule="exact"/>
        <w:ind w:right="26"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C：保险期限</w:t>
      </w:r>
    </w:p>
    <w:p w14:paraId="1FAD9EEB">
      <w:pPr>
        <w:tabs>
          <w:tab w:val="left" w:pos="900"/>
        </w:tabs>
        <w:spacing w:line="400" w:lineRule="exact"/>
        <w:ind w:right="26"/>
        <w:rPr>
          <w:rFonts w:ascii="宋体" w:hAnsi="宋体"/>
          <w:snapToGrid w:val="0"/>
          <w:color w:val="auto"/>
          <w:kern w:val="0"/>
          <w:sz w:val="24"/>
          <w:highlight w:val="none"/>
        </w:rPr>
      </w:pPr>
      <w:r>
        <w:rPr>
          <w:rFonts w:hint="eastAsia" w:ascii="宋体" w:hAnsi="宋体"/>
          <w:snapToGrid w:val="0"/>
          <w:color w:val="auto"/>
          <w:kern w:val="0"/>
          <w:sz w:val="24"/>
          <w:highlight w:val="none"/>
        </w:rPr>
        <w:t>自保单生效之日起至合同约定项目工程竣工验收且竣工验收备案完成之日止，且保单生效之日必须不迟于工程开工之日。</w:t>
      </w:r>
    </w:p>
    <w:p w14:paraId="3447042C">
      <w:pPr>
        <w:tabs>
          <w:tab w:val="left" w:pos="900"/>
        </w:tabs>
        <w:spacing w:line="400" w:lineRule="exact"/>
        <w:ind w:right="26" w:firstLine="240" w:firstLineChars="100"/>
        <w:rPr>
          <w:rFonts w:asciiTheme="minorEastAsia" w:hAnsiTheme="minorEastAsia" w:eastAsiaTheme="minorEastAsia"/>
          <w:snapToGrid w:val="0"/>
          <w:color w:val="auto"/>
          <w:kern w:val="0"/>
          <w:sz w:val="24"/>
          <w:highlight w:val="none"/>
        </w:rPr>
      </w:pPr>
      <w:r>
        <w:rPr>
          <w:rFonts w:hint="eastAsia" w:ascii="宋体" w:hAnsi="宋体"/>
          <w:snapToGrid w:val="0"/>
          <w:color w:val="auto"/>
          <w:kern w:val="0"/>
          <w:sz w:val="24"/>
          <w:highlight w:val="none"/>
        </w:rPr>
        <w:t>（</w:t>
      </w:r>
      <w:r>
        <w:rPr>
          <w:rFonts w:ascii="宋体" w:hAnsi="宋体"/>
          <w:snapToGrid w:val="0"/>
          <w:color w:val="auto"/>
          <w:kern w:val="0"/>
          <w:sz w:val="24"/>
          <w:highlight w:val="none"/>
        </w:rPr>
        <w:t>2）承包人应当购买的保险</w:t>
      </w:r>
      <w:r>
        <w:rPr>
          <w:rFonts w:asciiTheme="minorEastAsia" w:hAnsiTheme="minorEastAsia" w:eastAsiaTheme="minorEastAsia"/>
          <w:snapToGrid w:val="0"/>
          <w:color w:val="auto"/>
          <w:kern w:val="0"/>
          <w:sz w:val="24"/>
          <w:highlight w:val="none"/>
        </w:rPr>
        <w:t>包括</w:t>
      </w:r>
      <w:r>
        <w:rPr>
          <w:rFonts w:hint="eastAsia" w:asciiTheme="minorEastAsia" w:hAnsiTheme="minorEastAsia" w:eastAsiaTheme="minorEastAsia"/>
          <w:snapToGrid w:val="0"/>
          <w:color w:val="auto"/>
          <w:kern w:val="0"/>
          <w:sz w:val="24"/>
          <w:highlight w:val="none"/>
        </w:rPr>
        <w:t>：</w:t>
      </w:r>
    </w:p>
    <w:p w14:paraId="260C4FC8">
      <w:pPr>
        <w:tabs>
          <w:tab w:val="left" w:pos="900"/>
        </w:tabs>
        <w:spacing w:line="400" w:lineRule="exact"/>
        <w:ind w:right="26" w:firstLine="240" w:firstLineChars="100"/>
        <w:rPr>
          <w:rFonts w:asciiTheme="minorEastAsia" w:hAnsiTheme="minorEastAsia" w:eastAsiaTheme="minorEastAsia"/>
          <w:snapToGrid w:val="0"/>
          <w:color w:val="auto"/>
          <w:kern w:val="0"/>
          <w:sz w:val="24"/>
          <w:highlight w:val="none"/>
        </w:rPr>
      </w:pPr>
      <w:r>
        <w:rPr>
          <w:rFonts w:ascii="宋体" w:hAnsi="宋体"/>
          <w:snapToGrid w:val="0"/>
          <w:color w:val="auto"/>
          <w:kern w:val="0"/>
          <w:sz w:val="24"/>
          <w:highlight w:val="none"/>
        </w:rPr>
        <w:t>1）</w:t>
      </w:r>
      <w:r>
        <w:rPr>
          <w:rFonts w:hint="eastAsia" w:asciiTheme="minorEastAsia" w:hAnsiTheme="minorEastAsia" w:eastAsiaTheme="minorEastAsia"/>
          <w:bCs/>
          <w:color w:val="auto"/>
          <w:sz w:val="24"/>
          <w:szCs w:val="24"/>
          <w:highlight w:val="none"/>
        </w:rPr>
        <w:t>安全生产责任保险[按《广州市安全生产委员会办公室关于印发&lt;广州市2018年度安全生产责任保险工作方案&gt;的通知》（穗安办[2018]95号）的规定购买</w:t>
      </w:r>
      <w:r>
        <w:rPr>
          <w:rFonts w:hint="eastAsia" w:asciiTheme="minorEastAsia" w:hAnsiTheme="minorEastAsia" w:eastAsiaTheme="minorEastAsia"/>
          <w:snapToGrid w:val="0"/>
          <w:color w:val="auto"/>
          <w:kern w:val="0"/>
          <w:sz w:val="24"/>
          <w:highlight w:val="none"/>
        </w:rPr>
        <w:t>；</w:t>
      </w:r>
    </w:p>
    <w:p w14:paraId="4FB7E64E">
      <w:pPr>
        <w:tabs>
          <w:tab w:val="left" w:pos="900"/>
        </w:tabs>
        <w:spacing w:line="400" w:lineRule="exact"/>
        <w:ind w:right="26" w:firstLine="240" w:firstLineChars="100"/>
        <w:rPr>
          <w:rFonts w:ascii="宋体" w:hAnsi="宋体"/>
          <w:snapToGrid w:val="0"/>
          <w:color w:val="auto"/>
          <w:kern w:val="0"/>
          <w:sz w:val="24"/>
          <w:highlight w:val="none"/>
        </w:rPr>
      </w:pPr>
      <w:r>
        <w:rPr>
          <w:rFonts w:ascii="宋体" w:hAnsi="宋体"/>
          <w:snapToGrid w:val="0"/>
          <w:color w:val="auto"/>
          <w:kern w:val="0"/>
          <w:sz w:val="24"/>
          <w:highlight w:val="none"/>
        </w:rPr>
        <w:t>2）建筑职工意外伤害险（足额购买）；</w:t>
      </w:r>
    </w:p>
    <w:p w14:paraId="5E615E7B">
      <w:pPr>
        <w:tabs>
          <w:tab w:val="left" w:pos="900"/>
        </w:tabs>
        <w:spacing w:line="400" w:lineRule="exact"/>
        <w:ind w:right="26" w:firstLine="240" w:firstLineChars="100"/>
        <w:rPr>
          <w:rFonts w:ascii="宋体" w:hAnsi="宋体"/>
          <w:snapToGrid w:val="0"/>
          <w:color w:val="auto"/>
          <w:kern w:val="0"/>
          <w:sz w:val="24"/>
          <w:highlight w:val="none"/>
        </w:rPr>
      </w:pPr>
      <w:r>
        <w:rPr>
          <w:rFonts w:hint="eastAsia" w:ascii="宋体" w:hAnsi="宋体"/>
          <w:snapToGrid w:val="0"/>
          <w:color w:val="auto"/>
          <w:kern w:val="0"/>
          <w:sz w:val="24"/>
          <w:highlight w:val="none"/>
        </w:rPr>
        <w:t>3</w:t>
      </w:r>
      <w:r>
        <w:rPr>
          <w:rFonts w:ascii="宋体" w:hAnsi="宋体"/>
          <w:snapToGrid w:val="0"/>
          <w:color w:val="auto"/>
          <w:kern w:val="0"/>
          <w:sz w:val="24"/>
          <w:highlight w:val="none"/>
        </w:rPr>
        <w:t>）承包人雇主责任险；</w:t>
      </w:r>
    </w:p>
    <w:p w14:paraId="42876B1F">
      <w:pPr>
        <w:tabs>
          <w:tab w:val="left" w:pos="900"/>
        </w:tabs>
        <w:spacing w:line="400" w:lineRule="exact"/>
        <w:ind w:right="26" w:firstLine="240" w:firstLineChars="100"/>
        <w:rPr>
          <w:rFonts w:ascii="宋体" w:hAnsi="宋体"/>
          <w:snapToGrid w:val="0"/>
          <w:color w:val="auto"/>
          <w:kern w:val="0"/>
          <w:sz w:val="24"/>
          <w:highlight w:val="none"/>
        </w:rPr>
      </w:pPr>
      <w:r>
        <w:rPr>
          <w:rFonts w:hint="eastAsia" w:ascii="宋体" w:hAnsi="宋体"/>
          <w:snapToGrid w:val="0"/>
          <w:color w:val="auto"/>
          <w:kern w:val="0"/>
          <w:sz w:val="24"/>
          <w:highlight w:val="none"/>
        </w:rPr>
        <w:t>4</w:t>
      </w:r>
      <w:r>
        <w:rPr>
          <w:rFonts w:ascii="宋体" w:hAnsi="宋体"/>
          <w:snapToGrid w:val="0"/>
          <w:color w:val="auto"/>
          <w:kern w:val="0"/>
          <w:sz w:val="24"/>
          <w:highlight w:val="none"/>
        </w:rPr>
        <w:t>）施工机械设备保险；</w:t>
      </w:r>
    </w:p>
    <w:p w14:paraId="5BFEE673">
      <w:pPr>
        <w:tabs>
          <w:tab w:val="left" w:pos="900"/>
        </w:tabs>
        <w:spacing w:line="400" w:lineRule="exact"/>
        <w:ind w:right="26" w:firstLine="240" w:firstLineChars="100"/>
        <w:rPr>
          <w:rFonts w:ascii="宋体" w:hAnsi="宋体"/>
          <w:snapToGrid w:val="0"/>
          <w:color w:val="auto"/>
          <w:kern w:val="0"/>
          <w:sz w:val="24"/>
          <w:highlight w:val="none"/>
        </w:rPr>
      </w:pPr>
      <w:r>
        <w:rPr>
          <w:rFonts w:hint="eastAsia" w:ascii="宋体" w:hAnsi="宋体"/>
          <w:snapToGrid w:val="0"/>
          <w:color w:val="auto"/>
          <w:kern w:val="0"/>
          <w:sz w:val="24"/>
          <w:highlight w:val="none"/>
        </w:rPr>
        <w:t>5</w:t>
      </w:r>
      <w:r>
        <w:rPr>
          <w:rFonts w:ascii="宋体" w:hAnsi="宋体"/>
          <w:snapToGrid w:val="0"/>
          <w:color w:val="auto"/>
          <w:kern w:val="0"/>
          <w:sz w:val="24"/>
          <w:highlight w:val="none"/>
        </w:rPr>
        <w:t>）建筑业职工工伤保险[按《广州市建筑业职工参加工伤保险实施办法》（穗</w:t>
      </w:r>
      <w:r>
        <w:rPr>
          <w:rFonts w:hint="eastAsia" w:ascii="宋体" w:hAnsi="宋体"/>
          <w:snapToGrid w:val="0"/>
          <w:color w:val="auto"/>
          <w:kern w:val="0"/>
          <w:sz w:val="24"/>
          <w:highlight w:val="none"/>
        </w:rPr>
        <w:t>人社发〔</w:t>
      </w:r>
      <w:r>
        <w:rPr>
          <w:rFonts w:ascii="宋体" w:hAnsi="宋体"/>
          <w:snapToGrid w:val="0"/>
          <w:color w:val="auto"/>
          <w:kern w:val="0"/>
          <w:sz w:val="24"/>
          <w:highlight w:val="none"/>
        </w:rPr>
        <w:t>2015〕73号）的规定购买]。</w:t>
      </w:r>
    </w:p>
    <w:p w14:paraId="6BADE062">
      <w:pPr>
        <w:adjustRightInd w:val="0"/>
        <w:snapToGrid w:val="0"/>
        <w:spacing w:line="400" w:lineRule="exact"/>
        <w:ind w:right="11"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w:t>
      </w:r>
      <w:r>
        <w:rPr>
          <w:rFonts w:ascii="宋体" w:hAnsi="宋体"/>
          <w:snapToGrid w:val="0"/>
          <w:color w:val="auto"/>
          <w:kern w:val="0"/>
          <w:sz w:val="24"/>
          <w:highlight w:val="none"/>
        </w:rPr>
        <w:t>3）承包人不按上述约定购买保险或保险购买</w:t>
      </w:r>
      <w:r>
        <w:rPr>
          <w:rFonts w:hint="eastAsia" w:ascii="宋体" w:hAnsi="宋体"/>
          <w:snapToGrid w:val="0"/>
          <w:color w:val="auto"/>
          <w:kern w:val="0"/>
          <w:sz w:val="24"/>
          <w:highlight w:val="none"/>
        </w:rPr>
        <w:t>不足额所产生的一切后果，由承包人自行承担。</w:t>
      </w:r>
    </w:p>
    <w:p w14:paraId="4800BBE8">
      <w:pPr>
        <w:adjustRightInd w:val="0"/>
        <w:snapToGrid w:val="0"/>
        <w:spacing w:line="400" w:lineRule="exact"/>
        <w:ind w:right="11" w:firstLine="480" w:firstLineChars="200"/>
        <w:rPr>
          <w:rFonts w:ascii="宋体" w:hAnsi="宋体"/>
          <w:snapToGrid w:val="0"/>
          <w:color w:val="auto"/>
          <w:kern w:val="0"/>
          <w:sz w:val="24"/>
          <w:highlight w:val="none"/>
        </w:rPr>
      </w:pPr>
    </w:p>
    <w:p w14:paraId="05D2836C">
      <w:pPr>
        <w:adjustRightInd w:val="0"/>
        <w:snapToGrid w:val="0"/>
        <w:spacing w:line="360" w:lineRule="auto"/>
        <w:ind w:right="11" w:firstLine="463" w:firstLineChars="192"/>
        <w:outlineLvl w:val="2"/>
        <w:rPr>
          <w:rFonts w:ascii="宋体" w:hAnsi="宋体"/>
          <w:b/>
          <w:bCs/>
          <w:snapToGrid w:val="0"/>
          <w:color w:val="auto"/>
          <w:kern w:val="0"/>
          <w:sz w:val="24"/>
          <w:highlight w:val="none"/>
        </w:rPr>
      </w:pPr>
    </w:p>
    <w:p w14:paraId="506FA49C">
      <w:pPr>
        <w:adjustRightInd w:val="0"/>
        <w:snapToGrid w:val="0"/>
        <w:spacing w:line="360" w:lineRule="auto"/>
        <w:ind w:right="11" w:firstLine="463" w:firstLineChars="192"/>
        <w:outlineLvl w:val="2"/>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44、担保</w:t>
      </w:r>
    </w:p>
    <w:p w14:paraId="08C7BF5B">
      <w:pPr>
        <w:adjustRightInd w:val="0"/>
        <w:snapToGrid w:val="0"/>
        <w:spacing w:line="360" w:lineRule="auto"/>
        <w:ind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44.3双方同意，承包人按如下约定向发包人提供履约担保：</w:t>
      </w:r>
    </w:p>
    <w:p w14:paraId="335204FD">
      <w:pPr>
        <w:adjustRightInd w:val="0"/>
        <w:snapToGrid w:val="0"/>
        <w:spacing w:line="360" w:lineRule="auto"/>
        <w:ind w:right="11" w:firstLine="480" w:firstLineChars="200"/>
        <w:rPr>
          <w:rFonts w:ascii="宋体" w:hAnsi="宋体"/>
          <w:color w:val="auto"/>
          <w:sz w:val="24"/>
          <w:szCs w:val="24"/>
          <w:highlight w:val="none"/>
        </w:rPr>
      </w:pPr>
      <w:r>
        <w:rPr>
          <w:rFonts w:hint="eastAsia" w:ascii="宋体" w:hAnsi="宋体"/>
          <w:color w:val="auto"/>
          <w:sz w:val="24"/>
          <w:szCs w:val="24"/>
          <w:highlight w:val="none"/>
        </w:rPr>
        <w:t>本合同签订且承包人收到合同原件后</w:t>
      </w:r>
      <w:r>
        <w:rPr>
          <w:rFonts w:ascii="宋体" w:hAnsi="宋体"/>
          <w:color w:val="auto"/>
          <w:sz w:val="24"/>
          <w:szCs w:val="24"/>
          <w:highlight w:val="none"/>
        </w:rPr>
        <w:t>15日内</w:t>
      </w:r>
      <w:r>
        <w:rPr>
          <w:rFonts w:hint="eastAsia" w:ascii="宋体" w:hAnsi="宋体"/>
          <w:color w:val="auto"/>
          <w:sz w:val="24"/>
          <w:szCs w:val="24"/>
          <w:highlight w:val="none"/>
        </w:rPr>
        <w:t>，承包人按招标文件载明的格式向发包人提交由在中华人民共和国注册且营业地点在广州市行政辖区内的银行（一级支行以上，不接受一般网点）开出的担保金额为合同价款10%的《履约银行保函》原件。发包人有权对承包人提供的《履约保函》的真实性进行验证核实，若出现保函造假行为，承包人必须在限期内重新开具真实有效的《履约保函》并承担一次严重违约责任。</w:t>
      </w:r>
    </w:p>
    <w:p w14:paraId="39D9065A">
      <w:pPr>
        <w:adjustRightInd w:val="0"/>
        <w:snapToGrid w:val="0"/>
        <w:spacing w:line="360" w:lineRule="auto"/>
        <w:ind w:right="11" w:firstLine="480" w:firstLineChars="200"/>
        <w:rPr>
          <w:rFonts w:ascii="宋体" w:hAnsi="宋体"/>
          <w:snapToGrid w:val="0"/>
          <w:color w:val="auto"/>
          <w:kern w:val="0"/>
          <w:sz w:val="24"/>
          <w:highlight w:val="none"/>
          <w:u w:val="single"/>
        </w:rPr>
      </w:pPr>
      <w:r>
        <w:rPr>
          <w:rFonts w:hint="eastAsia" w:ascii="宋体" w:hAnsi="宋体"/>
          <w:snapToGrid w:val="0"/>
          <w:color w:val="auto"/>
          <w:kern w:val="0"/>
          <w:sz w:val="24"/>
          <w:highlight w:val="none"/>
        </w:rPr>
        <w:t>承包人如未能在上述约定的时间内提交履约银行保函的，视为自动放弃中标资格，其所提交的投标保证金不予退还。</w:t>
      </w:r>
    </w:p>
    <w:p w14:paraId="406BF656">
      <w:pPr>
        <w:adjustRightInd w:val="0"/>
        <w:snapToGrid w:val="0"/>
        <w:spacing w:line="360" w:lineRule="auto"/>
        <w:ind w:right="11" w:firstLine="463" w:firstLineChars="192"/>
        <w:rPr>
          <w:rFonts w:ascii="宋体" w:hAnsi="宋体"/>
          <w:b/>
          <w:snapToGrid w:val="0"/>
          <w:color w:val="auto"/>
          <w:kern w:val="0"/>
          <w:sz w:val="24"/>
          <w:highlight w:val="none"/>
        </w:rPr>
      </w:pPr>
      <w:r>
        <w:rPr>
          <w:rFonts w:hint="eastAsia" w:ascii="宋体" w:hAnsi="宋体"/>
          <w:b/>
          <w:snapToGrid w:val="0"/>
          <w:color w:val="auto"/>
          <w:kern w:val="0"/>
          <w:sz w:val="24"/>
          <w:highlight w:val="none"/>
        </w:rPr>
        <w:t>承包人与发包人一致同意增加44.4至44.7：</w:t>
      </w:r>
    </w:p>
    <w:p w14:paraId="0F9A3C30">
      <w:pPr>
        <w:adjustRightInd w:val="0"/>
        <w:snapToGrid w:val="0"/>
        <w:spacing w:line="360" w:lineRule="auto"/>
        <w:ind w:right="11"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44.4承包人提交的履约银行保函是对本合同约定的承包人的全部义务（包括但不限于承包人违约后应支付的违约金和赔偿金）的担保，承包人的任何一次不履行或不完全履行合同义务的行为，发包人均有权向出函银行提出索赔。</w:t>
      </w:r>
    </w:p>
    <w:p w14:paraId="3B70DA6C">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44.5承包人不履行或不完全履行合同义务的行为导致发包人依据履约银行保函向银行索赔履约银行保函金额的一部分或者全部的，承包人必须在发包人规定的时间内补充提交</w:t>
      </w:r>
      <w:r>
        <w:rPr>
          <w:rFonts w:hint="eastAsia" w:ascii="宋体" w:hAnsi="宋体"/>
          <w:color w:val="auto"/>
          <w:sz w:val="24"/>
          <w:szCs w:val="24"/>
          <w:highlight w:val="none"/>
        </w:rPr>
        <w:t>履约银行保函</w:t>
      </w:r>
      <w:r>
        <w:rPr>
          <w:rFonts w:hint="eastAsia" w:ascii="宋体" w:hAnsi="宋体"/>
          <w:snapToGrid w:val="0"/>
          <w:color w:val="auto"/>
          <w:kern w:val="0"/>
          <w:sz w:val="24"/>
          <w:highlight w:val="none"/>
        </w:rPr>
        <w:t>，使得本合同履行期间有效的</w:t>
      </w:r>
      <w:r>
        <w:rPr>
          <w:rFonts w:hint="eastAsia" w:ascii="宋体" w:hAnsi="宋体"/>
          <w:color w:val="auto"/>
          <w:sz w:val="24"/>
          <w:szCs w:val="24"/>
          <w:highlight w:val="none"/>
        </w:rPr>
        <w:t>履约银行保函</w:t>
      </w:r>
      <w:r>
        <w:rPr>
          <w:rFonts w:hint="eastAsia" w:ascii="宋体" w:hAnsi="宋体"/>
          <w:snapToGrid w:val="0"/>
          <w:color w:val="auto"/>
          <w:kern w:val="0"/>
          <w:sz w:val="24"/>
          <w:highlight w:val="none"/>
        </w:rPr>
        <w:t>金额等于承包人第一次提交的</w:t>
      </w:r>
      <w:r>
        <w:rPr>
          <w:rFonts w:hint="eastAsia" w:ascii="宋体" w:hAnsi="宋体"/>
          <w:color w:val="auto"/>
          <w:sz w:val="24"/>
          <w:szCs w:val="24"/>
          <w:highlight w:val="none"/>
        </w:rPr>
        <w:t>履约银行保函</w:t>
      </w:r>
      <w:r>
        <w:rPr>
          <w:rFonts w:hint="eastAsia" w:ascii="宋体" w:hAnsi="宋体"/>
          <w:snapToGrid w:val="0"/>
          <w:color w:val="auto"/>
          <w:kern w:val="0"/>
          <w:sz w:val="24"/>
          <w:highlight w:val="none"/>
        </w:rPr>
        <w:t>金额。</w:t>
      </w:r>
    </w:p>
    <w:p w14:paraId="67C2FF0E">
      <w:pPr>
        <w:adjustRightInd w:val="0"/>
        <w:snapToGrid w:val="0"/>
        <w:spacing w:line="360" w:lineRule="auto"/>
        <w:ind w:right="11"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44.6如果承包人不按发包人的要求及时补充提交</w:t>
      </w:r>
      <w:r>
        <w:rPr>
          <w:rFonts w:hint="eastAsia" w:ascii="宋体" w:hAnsi="宋体"/>
          <w:color w:val="auto"/>
          <w:sz w:val="24"/>
          <w:szCs w:val="24"/>
          <w:highlight w:val="none"/>
        </w:rPr>
        <w:t>履约银行保函</w:t>
      </w:r>
      <w:r>
        <w:rPr>
          <w:rFonts w:hint="eastAsia" w:ascii="宋体" w:hAnsi="宋体"/>
          <w:snapToGrid w:val="0"/>
          <w:color w:val="auto"/>
          <w:kern w:val="0"/>
          <w:sz w:val="24"/>
          <w:highlight w:val="none"/>
        </w:rPr>
        <w:t>，则发包人有权根据工程实际情况单方面部分解除或解除本合同，并按合同专用条款第38.4（4）、（5）及47.9、47.10、47.11款的有关约定执行。</w:t>
      </w:r>
    </w:p>
    <w:p w14:paraId="49E91F4D">
      <w:pPr>
        <w:adjustRightInd w:val="0"/>
        <w:snapToGrid w:val="0"/>
        <w:spacing w:line="360" w:lineRule="auto"/>
        <w:ind w:right="11"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44.7</w:t>
      </w:r>
      <w:r>
        <w:rPr>
          <w:rFonts w:hint="eastAsia" w:ascii="宋体" w:hAnsi="宋体"/>
          <w:color w:val="auto"/>
          <w:sz w:val="24"/>
          <w:szCs w:val="24"/>
          <w:highlight w:val="none"/>
        </w:rPr>
        <w:t>工程竣工验收备案完成后，承包人可以向发包人申请退还履约银行保函</w:t>
      </w:r>
      <w:r>
        <w:rPr>
          <w:rFonts w:hint="eastAsia" w:ascii="宋体" w:hAnsi="宋体"/>
          <w:snapToGrid w:val="0"/>
          <w:color w:val="auto"/>
          <w:kern w:val="0"/>
          <w:sz w:val="24"/>
          <w:szCs w:val="24"/>
          <w:highlight w:val="none"/>
        </w:rPr>
        <w:t>。</w:t>
      </w:r>
    </w:p>
    <w:p w14:paraId="03B498A9">
      <w:pPr>
        <w:adjustRightInd w:val="0"/>
        <w:snapToGrid w:val="0"/>
        <w:spacing w:line="360" w:lineRule="auto"/>
        <w:ind w:right="11" w:firstLine="463" w:firstLineChars="192"/>
        <w:outlineLvl w:val="2"/>
        <w:rPr>
          <w:rFonts w:ascii="宋体" w:hAnsi="宋体"/>
          <w:b/>
          <w:bCs/>
          <w:snapToGrid w:val="0"/>
          <w:color w:val="auto"/>
          <w:kern w:val="0"/>
          <w:sz w:val="24"/>
          <w:highlight w:val="none"/>
        </w:rPr>
      </w:pPr>
      <w:r>
        <w:rPr>
          <w:rFonts w:ascii="宋体" w:hAnsi="宋体"/>
          <w:b/>
          <w:bCs/>
          <w:snapToGrid w:val="0"/>
          <w:color w:val="auto"/>
          <w:kern w:val="0"/>
          <w:sz w:val="24"/>
          <w:highlight w:val="none"/>
        </w:rPr>
        <w:t>4</w:t>
      </w:r>
      <w:r>
        <w:rPr>
          <w:rFonts w:hint="eastAsia" w:ascii="宋体" w:hAnsi="宋体"/>
          <w:b/>
          <w:bCs/>
          <w:snapToGrid w:val="0"/>
          <w:color w:val="auto"/>
          <w:kern w:val="0"/>
          <w:sz w:val="24"/>
          <w:highlight w:val="none"/>
        </w:rPr>
        <w:t>7、合同解除</w:t>
      </w:r>
    </w:p>
    <w:p w14:paraId="36AAA21A">
      <w:pPr>
        <w:adjustRightInd w:val="0"/>
        <w:snapToGrid w:val="0"/>
        <w:spacing w:line="360" w:lineRule="auto"/>
        <w:ind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47</w:t>
      </w:r>
      <w:r>
        <w:rPr>
          <w:rFonts w:ascii="宋体" w:hAnsi="宋体"/>
          <w:snapToGrid w:val="0"/>
          <w:color w:val="auto"/>
          <w:kern w:val="0"/>
          <w:sz w:val="24"/>
          <w:highlight w:val="none"/>
        </w:rPr>
        <w:t>.</w:t>
      </w:r>
      <w:r>
        <w:rPr>
          <w:rFonts w:hint="eastAsia" w:ascii="宋体" w:hAnsi="宋体"/>
          <w:snapToGrid w:val="0"/>
          <w:color w:val="auto"/>
          <w:kern w:val="0"/>
          <w:sz w:val="24"/>
          <w:highlight w:val="none"/>
        </w:rPr>
        <w:t>7合同解除后，不影响双方在合同中约定的结算和清理条款的效力，亦不能免除承包人对已完工项目的保修责任。</w:t>
      </w:r>
    </w:p>
    <w:p w14:paraId="40741F6D">
      <w:pPr>
        <w:adjustRightInd w:val="0"/>
        <w:snapToGrid w:val="0"/>
        <w:spacing w:line="360" w:lineRule="auto"/>
        <w:ind w:right="11" w:firstLine="463" w:firstLineChars="192"/>
        <w:rPr>
          <w:rFonts w:ascii="宋体" w:hAnsi="宋体"/>
          <w:b/>
          <w:snapToGrid w:val="0"/>
          <w:color w:val="auto"/>
          <w:kern w:val="0"/>
          <w:sz w:val="24"/>
          <w:highlight w:val="none"/>
        </w:rPr>
      </w:pPr>
      <w:r>
        <w:rPr>
          <w:rFonts w:hint="eastAsia" w:ascii="宋体" w:hAnsi="宋体"/>
          <w:b/>
          <w:snapToGrid w:val="0"/>
          <w:color w:val="auto"/>
          <w:kern w:val="0"/>
          <w:sz w:val="24"/>
          <w:highlight w:val="none"/>
        </w:rPr>
        <w:t>承包人与发包人一致同意增加47.8至47.11：</w:t>
      </w:r>
    </w:p>
    <w:p w14:paraId="2A18A54A">
      <w:pPr>
        <w:adjustRightInd w:val="0"/>
        <w:snapToGrid w:val="0"/>
        <w:spacing w:line="360" w:lineRule="auto"/>
        <w:ind w:right="11" w:firstLine="460" w:firstLineChars="192"/>
        <w:outlineLvl w:val="3"/>
        <w:rPr>
          <w:rFonts w:ascii="宋体" w:hAnsi="宋体"/>
          <w:b/>
          <w:bCs/>
          <w:snapToGrid w:val="0"/>
          <w:color w:val="auto"/>
          <w:kern w:val="0"/>
          <w:sz w:val="24"/>
          <w:highlight w:val="none"/>
        </w:rPr>
      </w:pPr>
      <w:r>
        <w:rPr>
          <w:rFonts w:hint="eastAsia" w:ascii="宋体" w:hAnsi="宋体"/>
          <w:snapToGrid w:val="0"/>
          <w:color w:val="auto"/>
          <w:kern w:val="0"/>
          <w:sz w:val="24"/>
          <w:highlight w:val="none"/>
        </w:rPr>
        <w:t>47.8发包人有权依据本合同有关条款的约定部分解除合同或解除合同。</w:t>
      </w:r>
    </w:p>
    <w:p w14:paraId="575EA285">
      <w:pPr>
        <w:adjustRightInd w:val="0"/>
        <w:snapToGrid w:val="0"/>
        <w:spacing w:line="360" w:lineRule="auto"/>
        <w:ind w:firstLine="480" w:firstLineChars="200"/>
        <w:outlineLvl w:val="3"/>
        <w:rPr>
          <w:rFonts w:ascii="宋体" w:hAnsi="宋体"/>
          <w:snapToGrid w:val="0"/>
          <w:color w:val="auto"/>
          <w:kern w:val="0"/>
          <w:sz w:val="24"/>
          <w:highlight w:val="none"/>
        </w:rPr>
      </w:pPr>
      <w:r>
        <w:rPr>
          <w:rFonts w:ascii="宋体" w:hAnsi="宋体"/>
          <w:snapToGrid w:val="0"/>
          <w:color w:val="auto"/>
          <w:kern w:val="0"/>
          <w:sz w:val="24"/>
          <w:highlight w:val="none"/>
        </w:rPr>
        <w:t>47.9部分解除合同</w:t>
      </w:r>
    </w:p>
    <w:p w14:paraId="1039CB3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承包人违约致部分解除合同的条件成就时，承包人在此承诺：</w:t>
      </w:r>
    </w:p>
    <w:p w14:paraId="7FC1A75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（1）因承包人违约致部分解除合同的条件成就时，发包人有权向承包人发出部分解除合同的通知，该通知送达承包人时部分解除合同即生效，并立即按照合同专用条款第38.4（4）款的约定执行。</w:t>
      </w:r>
    </w:p>
    <w:p w14:paraId="78AF76BC">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（2）承包人在接到部分解除合同的通知后，在2天内停止该部分工程的施工，并将机械、材料、物件、人员从该部分工程的施工场地撤离。</w:t>
      </w:r>
    </w:p>
    <w:p w14:paraId="491DE3B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停工3天内，发包人、监理单位会同承包人对已完成工程量进行清点。发包人只承认已发生且符合质量验收标准的部分工程，对于已订货而未到现场或在现场未使用的材料、设备等均不予承认，由承包人自行处理。对于承包人已开工但经检验不合格的工程，承包人在总监理工程师发出通知的限期内拆除，并清运出工地，由此带来的损失由承包人自行承担。</w:t>
      </w:r>
    </w:p>
    <w:p w14:paraId="7119684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（4）承包人在收到部分解除合同的通知后，若不按上述约定执行，发包人有权自行处理承包人滞留在施工现场的物品，处理费用及因此所造成的损失由承包人承担。</w:t>
      </w:r>
    </w:p>
    <w:p w14:paraId="1A15AAC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（5）部分解除合同的通知送达承包人后，发包人就该部分解除合同的工程即可另行与其他单位签订施工合同，承包人不得阻碍新的单位进场施工。</w:t>
      </w:r>
    </w:p>
    <w:p w14:paraId="2ABE213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（6）当部分解除合同的工程额达到本合同价款的50%时，发包人有权解除合同。</w:t>
      </w:r>
    </w:p>
    <w:p w14:paraId="7188FDDE">
      <w:pPr>
        <w:adjustRightInd w:val="0"/>
        <w:snapToGrid w:val="0"/>
        <w:spacing w:line="360" w:lineRule="auto"/>
        <w:ind w:firstLine="480" w:firstLineChars="200"/>
        <w:outlineLvl w:val="3"/>
        <w:rPr>
          <w:rFonts w:ascii="宋体" w:hAnsi="宋体"/>
          <w:snapToGrid w:val="0"/>
          <w:color w:val="auto"/>
          <w:kern w:val="0"/>
          <w:sz w:val="24"/>
          <w:highlight w:val="none"/>
        </w:rPr>
      </w:pPr>
      <w:r>
        <w:rPr>
          <w:rFonts w:ascii="宋体" w:hAnsi="宋体"/>
          <w:snapToGrid w:val="0"/>
          <w:color w:val="auto"/>
          <w:kern w:val="0"/>
          <w:sz w:val="24"/>
          <w:highlight w:val="none"/>
        </w:rPr>
        <w:t>47.10解除合同</w:t>
      </w:r>
    </w:p>
    <w:p w14:paraId="1455864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承包人违约致解除合同的条件成就时，承包人在此承诺：</w:t>
      </w:r>
    </w:p>
    <w:p w14:paraId="6762E76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（1）因承包人违约致解除合同的条件成就时，发包人有权向承包人发出解除合同的通知，该通知送达承包人时解除合同即生效，并立即按照合同专用条款第38.4（5）款的约定执行。</w:t>
      </w:r>
    </w:p>
    <w:p w14:paraId="1E1FA7B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承包人接到解除合同的通知后，必须在2天内停止工程施工，并在10天内将机械、材料、物件、人员从施工现场撤离。停工3天内，发包人、监理单位将会同承包人对已完成工程量进行清点，清点规则比照部分解除合同的情形处理。</w:t>
      </w:r>
    </w:p>
    <w:p w14:paraId="14F4F65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承包人未在规定期限内离场的，发包人有权将其留在现场的材料、设备和其他物件临时转运到其他堆放处，由此产生的搬运、保管费用由承包人负责，在此过程中出现的任何非发包人主观故意引起的损坏、遗失及因此所造成的其他损失全部由承包人自行负责，处理费用由承包人承担。</w:t>
      </w:r>
    </w:p>
    <w:p w14:paraId="0CB825B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（4）解除合同的通知送达承包人后，发包人就该解除合同的工程即可另行与其他单位签订施工合同，承包人不得阻碍新的单位进场施工。</w:t>
      </w:r>
    </w:p>
    <w:p w14:paraId="0A687589">
      <w:pPr>
        <w:adjustRightInd w:val="0"/>
        <w:snapToGrid w:val="0"/>
        <w:spacing w:line="360" w:lineRule="auto"/>
        <w:ind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47.11承包人在部分解除合同或解除合同后，还必须在规定期限内作好已施工项目技术资料和实物的交底、移交工作。承包人因未履行上述义务而给发包人带来工期延误和其他损失的，应赔偿发包人的实际损失。</w:t>
      </w:r>
      <w:bookmarkStart w:id="9" w:name="_Toc122759216"/>
      <w:bookmarkStart w:id="10" w:name="_Toc115711031"/>
    </w:p>
    <w:p w14:paraId="07950547">
      <w:pPr>
        <w:adjustRightInd w:val="0"/>
        <w:snapToGrid w:val="0"/>
        <w:spacing w:line="360" w:lineRule="auto"/>
        <w:ind w:right="11" w:firstLine="463" w:firstLineChars="192"/>
        <w:outlineLvl w:val="2"/>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50、补充条款</w:t>
      </w:r>
    </w:p>
    <w:p w14:paraId="49C9D59D">
      <w:pPr>
        <w:adjustRightInd w:val="0"/>
        <w:snapToGrid w:val="0"/>
        <w:spacing w:line="360" w:lineRule="auto"/>
        <w:ind w:right="11"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50.1施工水电费（包括承包人本身及其总承包管理范围内的专业单位、分包单位的水电费）由承包人向有关部门缴纳，发包人协助办理相关手续。</w:t>
      </w:r>
    </w:p>
    <w:p w14:paraId="332EDB13">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50.2承包人承诺：</w:t>
      </w:r>
    </w:p>
    <w:p w14:paraId="67CE0C1A">
      <w:pPr>
        <w:adjustRightInd w:val="0"/>
        <w:snapToGrid w:val="0"/>
        <w:spacing w:line="360" w:lineRule="auto"/>
        <w:ind w:right="11" w:firstLine="460" w:firstLineChars="192"/>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1）严格按照合同和招投标文件规定履行义务，并同意发包人将其执行国家强制性规范、标准和履行合同、招投标文件义务的情况（包括但不限于由发包人组织的考核、考评通报、违约处理决定等）在发包人网站和广州市建设项目业主网站及其他媒体上公开披露，并且不向发包人提出任何赔偿或补偿要求。</w:t>
      </w:r>
    </w:p>
    <w:p w14:paraId="0B4058FE">
      <w:pPr>
        <w:adjustRightInd w:val="0"/>
        <w:snapToGrid w:val="0"/>
        <w:spacing w:line="360" w:lineRule="auto"/>
        <w:ind w:right="11" w:firstLine="460" w:firstLineChars="192"/>
        <w:outlineLvl w:val="3"/>
        <w:rPr>
          <w:snapToGrid w:val="0"/>
          <w:color w:val="auto"/>
          <w:sz w:val="24"/>
          <w:szCs w:val="24"/>
          <w:highlight w:val="none"/>
        </w:rPr>
      </w:pPr>
      <w:r>
        <w:rPr>
          <w:rFonts w:hint="eastAsia"/>
          <w:snapToGrid w:val="0"/>
          <w:color w:val="auto"/>
          <w:sz w:val="24"/>
          <w:szCs w:val="24"/>
          <w:highlight w:val="none"/>
        </w:rPr>
        <w:t>（2）因承包人原因导致发包人参与诉讼、仲裁事项的，应赔偿发包人的经济损失，以及承担由此支出的所有诉讼费、仲裁费、律师费及其他费用，并且在收到发包人赔付通知后立即支付，否则，每逾期1日应按逾付款项总额的5‰向发包人承担违约责任。</w:t>
      </w:r>
    </w:p>
    <w:p w14:paraId="0D780816">
      <w:pPr>
        <w:adjustRightInd w:val="0"/>
        <w:snapToGrid w:val="0"/>
        <w:spacing w:line="360" w:lineRule="auto"/>
        <w:ind w:right="11"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50</w:t>
      </w:r>
      <w:r>
        <w:rPr>
          <w:rFonts w:ascii="宋体" w:hAnsi="宋体"/>
          <w:snapToGrid w:val="0"/>
          <w:color w:val="auto"/>
          <w:kern w:val="0"/>
          <w:sz w:val="24"/>
          <w:highlight w:val="none"/>
        </w:rPr>
        <w:t>.</w:t>
      </w:r>
      <w:r>
        <w:rPr>
          <w:rFonts w:hint="eastAsia" w:ascii="宋体" w:hAnsi="宋体"/>
          <w:snapToGrid w:val="0"/>
          <w:color w:val="auto"/>
          <w:kern w:val="0"/>
          <w:sz w:val="24"/>
          <w:highlight w:val="none"/>
        </w:rPr>
        <w:t>3双方一致同意，在工程未竣工验收移交前所有工程资料均归发包人所有，并必须在现场存放保管，发包人委托监理单位负责看管，在未得到发包人同意前，上述资料不得移出工地现场。</w:t>
      </w:r>
    </w:p>
    <w:p w14:paraId="77FB77C9">
      <w:pPr>
        <w:adjustRightInd w:val="0"/>
        <w:snapToGrid w:val="0"/>
        <w:spacing w:line="360" w:lineRule="auto"/>
        <w:ind w:right="11" w:firstLine="480" w:firstLineChars="20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50.4当发生下列情况之一时，双方应在事件发生后三个月内签订补充合同（协议），双方另有约定的除外：</w:t>
      </w:r>
    </w:p>
    <w:p w14:paraId="0F274CA1">
      <w:pPr>
        <w:adjustRightInd w:val="0"/>
        <w:snapToGrid w:val="0"/>
        <w:spacing w:line="360" w:lineRule="auto"/>
        <w:ind w:right="11"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（1）发包人根据合同协议书第3.3款的约定调整合同工期；</w:t>
      </w:r>
    </w:p>
    <w:p w14:paraId="3819925B">
      <w:pPr>
        <w:adjustRightInd w:val="0"/>
        <w:snapToGrid w:val="0"/>
        <w:spacing w:line="360" w:lineRule="auto"/>
        <w:ind w:right="11"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（2）发包人根据合同协议书第2.4款的约定调整承包范围、或发生设计变更、工程签证等情况导致</w:t>
      </w:r>
      <w:r>
        <w:rPr>
          <w:rFonts w:hint="eastAsia" w:ascii="宋体" w:hAnsi="宋体" w:cs="宋体"/>
          <w:bCs/>
          <w:snapToGrid w:val="0"/>
          <w:color w:val="auto"/>
          <w:kern w:val="0"/>
          <w:sz w:val="24"/>
          <w:highlight w:val="none"/>
          <w:lang w:val="zh-CN"/>
        </w:rPr>
        <w:t>本合同承包范围内的总金额</w:t>
      </w:r>
      <w:r>
        <w:rPr>
          <w:rFonts w:hint="eastAsia" w:ascii="宋体" w:hAnsi="宋体"/>
          <w:snapToGrid w:val="0"/>
          <w:color w:val="auto"/>
          <w:kern w:val="0"/>
          <w:sz w:val="24"/>
          <w:highlight w:val="none"/>
        </w:rPr>
        <w:t>超过本合同价款；</w:t>
      </w:r>
    </w:p>
    <w:p w14:paraId="446F1A94">
      <w:pPr>
        <w:adjustRightInd w:val="0"/>
        <w:snapToGrid w:val="0"/>
        <w:spacing w:line="360" w:lineRule="auto"/>
        <w:ind w:right="11"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（3）发包人根据合同专用条款总则第6条约定制订的制度、规定涉及双方经济利益变动；</w:t>
      </w:r>
    </w:p>
    <w:p w14:paraId="1E1D878A">
      <w:pPr>
        <w:adjustRightInd w:val="0"/>
        <w:snapToGrid w:val="0"/>
        <w:spacing w:line="360" w:lineRule="auto"/>
        <w:ind w:right="11"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（4）原合同条款欠完善或存在歧义；</w:t>
      </w:r>
    </w:p>
    <w:p w14:paraId="22CCCB9D">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（5）发包人、承包人双方认为需要签订补充合同（协议）的其他情形。</w:t>
      </w:r>
    </w:p>
    <w:p w14:paraId="6F0B78F6">
      <w:pPr>
        <w:autoSpaceDE w:val="0"/>
        <w:autoSpaceDN w:val="0"/>
        <w:adjustRightInd w:val="0"/>
        <w:snapToGrid w:val="0"/>
        <w:spacing w:line="360" w:lineRule="auto"/>
        <w:ind w:firstLine="48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50.5承包人必须接受政府有关部门对本工程的监督，并无条件配合政府指定的审计机构的审计。</w:t>
      </w:r>
    </w:p>
    <w:p w14:paraId="1AB314B6">
      <w:pPr>
        <w:autoSpaceDE w:val="0"/>
        <w:autoSpaceDN w:val="0"/>
        <w:adjustRightInd w:val="0"/>
        <w:snapToGrid w:val="0"/>
        <w:spacing w:line="360" w:lineRule="auto"/>
        <w:ind w:firstLine="480"/>
        <w:outlineLvl w:val="3"/>
        <w:rPr>
          <w:rFonts w:ascii="宋体" w:hAnsi="宋体"/>
          <w:snapToGrid w:val="0"/>
          <w:color w:val="auto"/>
          <w:kern w:val="0"/>
          <w:sz w:val="24"/>
          <w:highlight w:val="none"/>
        </w:rPr>
      </w:pPr>
      <w:r>
        <w:rPr>
          <w:rFonts w:hint="eastAsia" w:ascii="宋体" w:hAnsi="宋体"/>
          <w:snapToGrid w:val="0"/>
          <w:color w:val="auto"/>
          <w:kern w:val="0"/>
          <w:sz w:val="24"/>
          <w:highlight w:val="none"/>
        </w:rPr>
        <w:t>50.6综合考评</w:t>
      </w:r>
    </w:p>
    <w:p w14:paraId="19B8A4DB">
      <w:pPr>
        <w:autoSpaceDE w:val="0"/>
        <w:autoSpaceDN w:val="0"/>
        <w:adjustRightInd w:val="0"/>
        <w:snapToGrid w:val="0"/>
        <w:spacing w:line="360" w:lineRule="auto"/>
        <w:ind w:firstLine="480"/>
        <w:rPr>
          <w:rFonts w:ascii="宋体" w:hAnsi="宋体"/>
          <w:snapToGrid w:val="0"/>
          <w:color w:val="auto"/>
          <w:kern w:val="0"/>
          <w:sz w:val="24"/>
          <w:highlight w:val="none"/>
        </w:rPr>
      </w:pPr>
      <w:r>
        <w:rPr>
          <w:rFonts w:hint="eastAsia" w:ascii="宋体" w:hAnsi="宋体"/>
          <w:snapToGrid w:val="0"/>
          <w:color w:val="auto"/>
          <w:kern w:val="0"/>
          <w:sz w:val="24"/>
          <w:highlight w:val="none"/>
        </w:rPr>
        <w:t>鉴于本工程的重要性，为确保本合同工程质量，发包人将对参与本合同项目建设的设计、施工、监理等单位进行综合考评，并根据综合考评的结果按照相关规定执行。</w:t>
      </w:r>
    </w:p>
    <w:p w14:paraId="4E265E7C">
      <w:pPr>
        <w:autoSpaceDE w:val="0"/>
        <w:autoSpaceDN w:val="0"/>
        <w:adjustRightInd w:val="0"/>
        <w:snapToGrid w:val="0"/>
        <w:spacing w:line="360" w:lineRule="auto"/>
        <w:ind w:firstLine="480"/>
        <w:rPr>
          <w:rFonts w:ascii="宋体" w:hAnsi="宋体"/>
          <w:snapToGrid w:val="0"/>
          <w:color w:val="auto"/>
          <w:kern w:val="0"/>
          <w:sz w:val="24"/>
          <w:highlight w:val="none"/>
        </w:rPr>
      </w:pPr>
      <w:r>
        <w:rPr>
          <w:rFonts w:hint="eastAsia" w:ascii="宋体" w:hAnsi="宋体"/>
          <w:snapToGrid w:val="0"/>
          <w:color w:val="auto"/>
          <w:kern w:val="0"/>
          <w:sz w:val="24"/>
          <w:highlight w:val="none"/>
        </w:rPr>
        <w:t>50.7其他约定事项：</w:t>
      </w:r>
    </w:p>
    <w:p w14:paraId="685F64BF">
      <w:pPr>
        <w:autoSpaceDE w:val="0"/>
        <w:autoSpaceDN w:val="0"/>
        <w:adjustRightInd w:val="0"/>
        <w:snapToGrid w:val="0"/>
        <w:spacing w:line="360" w:lineRule="auto"/>
        <w:ind w:firstLine="480"/>
        <w:rPr>
          <w:rFonts w:ascii="宋体" w:hAnsi="宋体"/>
          <w:snapToGrid w:val="0"/>
          <w:color w:val="auto"/>
          <w:kern w:val="0"/>
          <w:sz w:val="24"/>
          <w:highlight w:val="none"/>
        </w:rPr>
      </w:pPr>
      <w:r>
        <w:rPr>
          <w:rFonts w:hint="eastAsia" w:ascii="宋体" w:hAnsi="宋体"/>
          <w:snapToGrid w:val="0"/>
          <w:color w:val="auto"/>
          <w:kern w:val="0"/>
          <w:sz w:val="24"/>
          <w:highlight w:val="none"/>
          <w:u w:val="single"/>
        </w:rPr>
        <w:t xml:space="preserve">        /            </w:t>
      </w:r>
    </w:p>
    <w:p w14:paraId="6D7DA92D">
      <w:pPr>
        <w:adjustRightInd w:val="0"/>
        <w:snapToGrid w:val="0"/>
        <w:spacing w:line="360" w:lineRule="auto"/>
        <w:rPr>
          <w:rFonts w:ascii="宋体" w:hAnsi="宋体"/>
          <w:snapToGrid w:val="0"/>
          <w:color w:val="auto"/>
          <w:kern w:val="0"/>
          <w:sz w:val="24"/>
          <w:highlight w:val="none"/>
        </w:rPr>
      </w:pPr>
      <w:r>
        <w:rPr>
          <w:rFonts w:ascii="宋体" w:hAnsi="宋体"/>
          <w:b/>
          <w:bCs/>
          <w:snapToGrid w:val="0"/>
          <w:color w:val="auto"/>
          <w:kern w:val="0"/>
          <w:sz w:val="24"/>
          <w:highlight w:val="none"/>
        </w:rPr>
        <w:br w:type="page"/>
      </w:r>
    </w:p>
    <w:p w14:paraId="5751BAC6">
      <w:pPr>
        <w:adjustRightInd w:val="0"/>
        <w:snapToGrid w:val="0"/>
        <w:spacing w:line="360" w:lineRule="auto"/>
        <w:ind w:right="11"/>
        <w:jc w:val="center"/>
        <w:outlineLvl w:val="0"/>
        <w:rPr>
          <w:rFonts w:ascii="宋体" w:hAnsi="宋体"/>
          <w:b/>
          <w:bCs/>
          <w:snapToGrid w:val="0"/>
          <w:color w:val="auto"/>
          <w:kern w:val="0"/>
          <w:sz w:val="44"/>
          <w:szCs w:val="44"/>
          <w:highlight w:val="none"/>
        </w:rPr>
      </w:pPr>
      <w:r>
        <w:rPr>
          <w:rFonts w:hint="eastAsia" w:ascii="宋体" w:hAnsi="宋体"/>
          <w:b/>
          <w:bCs/>
          <w:snapToGrid w:val="0"/>
          <w:color w:val="auto"/>
          <w:kern w:val="0"/>
          <w:sz w:val="44"/>
          <w:szCs w:val="44"/>
          <w:highlight w:val="none"/>
        </w:rPr>
        <w:t>第三篇  合同通用条款</w:t>
      </w:r>
      <w:bookmarkEnd w:id="9"/>
      <w:bookmarkEnd w:id="10"/>
    </w:p>
    <w:p w14:paraId="513F9F1E">
      <w:pPr>
        <w:pStyle w:val="27"/>
        <w:adjustRightInd w:val="0"/>
        <w:snapToGrid w:val="0"/>
        <w:spacing w:line="360" w:lineRule="auto"/>
        <w:jc w:val="center"/>
        <w:rPr>
          <w:rFonts w:ascii="楷体_GB2312" w:hAnsi="宋体" w:eastAsia="楷体_GB2312"/>
          <w:snapToGrid w:val="0"/>
          <w:color w:val="auto"/>
          <w:kern w:val="0"/>
          <w:sz w:val="24"/>
          <w:highlight w:val="none"/>
        </w:rPr>
      </w:pPr>
      <w:r>
        <w:rPr>
          <w:rFonts w:hint="eastAsia" w:ascii="楷体_GB2312" w:hAnsi="宋体" w:eastAsia="楷体_GB2312"/>
          <w:snapToGrid w:val="0"/>
          <w:color w:val="auto"/>
          <w:kern w:val="0"/>
          <w:sz w:val="24"/>
          <w:highlight w:val="none"/>
        </w:rPr>
        <w:t>（适用于各类公用建筑、民用住宅、工业厂房、</w:t>
      </w:r>
    </w:p>
    <w:p w14:paraId="5F73F56A">
      <w:pPr>
        <w:pStyle w:val="27"/>
        <w:adjustRightInd w:val="0"/>
        <w:snapToGrid w:val="0"/>
        <w:spacing w:line="360" w:lineRule="auto"/>
        <w:jc w:val="center"/>
        <w:rPr>
          <w:rFonts w:ascii="楷体_GB2312" w:hAnsi="宋体" w:eastAsia="楷体_GB2312"/>
          <w:snapToGrid w:val="0"/>
          <w:color w:val="auto"/>
          <w:kern w:val="0"/>
          <w:sz w:val="24"/>
          <w:highlight w:val="none"/>
        </w:rPr>
      </w:pPr>
      <w:r>
        <w:rPr>
          <w:rFonts w:hint="eastAsia" w:ascii="楷体_GB2312" w:hAnsi="宋体" w:eastAsia="楷体_GB2312"/>
          <w:snapToGrid w:val="0"/>
          <w:color w:val="auto"/>
          <w:kern w:val="0"/>
          <w:sz w:val="24"/>
          <w:highlight w:val="none"/>
        </w:rPr>
        <w:t>交通设施及线路管道的施工和设备安装）</w:t>
      </w:r>
    </w:p>
    <w:p w14:paraId="4A46B04D">
      <w:pPr>
        <w:adjustRightInd w:val="0"/>
        <w:snapToGrid w:val="0"/>
        <w:spacing w:line="360" w:lineRule="auto"/>
        <w:rPr>
          <w:rFonts w:ascii="宋体" w:hAnsi="宋体"/>
          <w:snapToGrid w:val="0"/>
          <w:color w:val="auto"/>
          <w:kern w:val="0"/>
          <w:sz w:val="24"/>
          <w:highlight w:val="none"/>
        </w:rPr>
      </w:pPr>
    </w:p>
    <w:p w14:paraId="3F15FFD4">
      <w:pPr>
        <w:adjustRightInd w:val="0"/>
        <w:snapToGrid w:val="0"/>
        <w:spacing w:line="360" w:lineRule="auto"/>
        <w:ind w:right="11"/>
        <w:outlineLvl w:val="1"/>
        <w:rPr>
          <w:rFonts w:ascii="宋体" w:hAnsi="宋体"/>
          <w:b/>
          <w:snapToGrid w:val="0"/>
          <w:color w:val="auto"/>
          <w:kern w:val="0"/>
          <w:sz w:val="28"/>
          <w:highlight w:val="none"/>
        </w:rPr>
      </w:pPr>
      <w:r>
        <w:rPr>
          <w:rFonts w:hint="eastAsia" w:ascii="宋体" w:hAnsi="宋体"/>
          <w:b/>
          <w:snapToGrid w:val="0"/>
          <w:color w:val="auto"/>
          <w:kern w:val="0"/>
          <w:sz w:val="28"/>
          <w:highlight w:val="none"/>
        </w:rPr>
        <w:t>一、词语定义及合同文件</w:t>
      </w:r>
    </w:p>
    <w:p w14:paraId="3B5B6BEC">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1、词语定义</w:t>
      </w:r>
    </w:p>
    <w:p w14:paraId="60C1ACC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下列词语除合同专用条款另有约定外，应具有本条所赋予的定义：</w:t>
      </w:r>
    </w:p>
    <w:p w14:paraId="341E506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1.1合同通用条款：是根据法律、行政法规规定及建设工程施工的需要订立，通用于建设工程施工的条款。</w:t>
      </w:r>
    </w:p>
    <w:p w14:paraId="117E4CC0">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1.2合同专用条款：是发包人与承包人根据法律、行政法规规定，结合具体工程实际，经协商达成一致意见的条款，是对合同通用条款的具体化、补充或修改。</w:t>
      </w:r>
    </w:p>
    <w:p w14:paraId="3D3C001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1.3发包人：指在合同协议书中约定，具有工程发包主体资格和支付工程价款能力的当事人以及取得该当事人资格的合法继承人。</w:t>
      </w:r>
    </w:p>
    <w:p w14:paraId="0C6CAA6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1.4承包人：指在合同协议书中约定，被发包人接受的具有工程施工承包主体资格的当事人以及取得该当事人资格的合法继承人。</w:t>
      </w:r>
    </w:p>
    <w:p w14:paraId="1DEDD0E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1.5项目经理：指承包人在合同专用条款中指定的负责施工管理和合同履行的代表。</w:t>
      </w:r>
    </w:p>
    <w:p w14:paraId="670DA74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1.6设计单位：指发包人委托的负责本工程设计并取得相应工程设计资质等级证书的单位。</w:t>
      </w:r>
    </w:p>
    <w:p w14:paraId="73DD924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1.7监理单位：指发包人委托的负责本工程监理并取得相应工程监理资质等级证书的单位。</w:t>
      </w:r>
    </w:p>
    <w:p w14:paraId="758AA30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1.8工程师：指本工程监理单位委派的总监理工程师或发包人指定的履行本合同的代表，其具体身份和职权由发包人、承包人在合同专用条款中约定。</w:t>
      </w:r>
    </w:p>
    <w:p w14:paraId="23BCBA8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1.9工程造价管理部门：指国务院有关部门、县级以上人民政府建设行政主管部门或其委托的工程造价管理机构。</w:t>
      </w:r>
    </w:p>
    <w:p w14:paraId="29C4CB8D">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1.10工程：指发包人、承包人在合同协议书中约定的承包范围内的工程。</w:t>
      </w:r>
    </w:p>
    <w:p w14:paraId="7D211F4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1.11合同价款：指发包人、承包人在合同协议书中约定，发包人用以支付承包人按照合同约定完成承包范围内全部工程并承担质量保修责任的款项。</w:t>
      </w:r>
    </w:p>
    <w:p w14:paraId="2B8F1B9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1.12追加合同价款：指在合同履行中发生需要增加合同价款的情况，经发包人确认后按计算合同价款的方法增加的合同价款。</w:t>
      </w:r>
    </w:p>
    <w:p w14:paraId="55FE1D9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1.13费用：指不包含在合同价款之内的应当由发包人或承包人承担的经济支出。</w:t>
      </w:r>
    </w:p>
    <w:p w14:paraId="15FAD7C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1.14工期：指发包人、承包人在合同协议书中约定，按总日历天数（包括法定节假日）计算的承包天数。</w:t>
      </w:r>
    </w:p>
    <w:p w14:paraId="0A880C6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1.15开工日期：指发包人、承包人在合同协议书中约定，承包人开始施工的绝对或相对的日期。</w:t>
      </w:r>
    </w:p>
    <w:p w14:paraId="48E9444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1.16竣工日期：指发包人、承包人在合同协议书中约定，承包人完成承包范围内工程的绝对或相对的日期。</w:t>
      </w:r>
    </w:p>
    <w:p w14:paraId="3E8C52E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1.17图纸：指由发包人提供或由承包人提供并经发包人批准，满足承包人施工需要的所有图纸（包括配套说明和有关资料）。</w:t>
      </w:r>
    </w:p>
    <w:p w14:paraId="432D0C0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1.18施工场地：指由发包人提供的用于工程施工的场所以及发包人在图纸中具体指定的供施工使用的任何其他场所。</w:t>
      </w:r>
    </w:p>
    <w:p w14:paraId="47CA57E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1.19书面形式：指合同书、信件和数据电文（包括电报、电传、传真、电子数据交换和电子邮件）等可以有形地表现所载内容的形式。</w:t>
      </w:r>
    </w:p>
    <w:p w14:paraId="4E25C7E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1.20违约责任：指合同一方不履行合同义务或履行合同义务不符合约定所应承担的责任。</w:t>
      </w:r>
    </w:p>
    <w:p w14:paraId="0D38B9A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1.21索赔：指在合同履行过程中，对于并非自己的过错，而是应由对方承担责任的情况造成的实际损失，向对方提出经济补偿和（或）工期顺延的要求。</w:t>
      </w:r>
    </w:p>
    <w:p w14:paraId="65B9A06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1.22不可抗力：指不能预见、不能避免并不能克服的客观情况。</w:t>
      </w:r>
    </w:p>
    <w:p w14:paraId="6DB6D6B0">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14:paraId="1155C130">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2、合同文件及解释顺序</w:t>
      </w:r>
    </w:p>
    <w:p w14:paraId="44B0A45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2.1合同文件应能相互解释，互为说明。除合同专用条款另有约定外，组成本合同的文件及优先解释顺序如下：</w:t>
      </w:r>
    </w:p>
    <w:p w14:paraId="08CF12A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（1）合同协议书</w:t>
      </w:r>
    </w:p>
    <w:p w14:paraId="1E28DBD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（2）中标通知书</w:t>
      </w:r>
    </w:p>
    <w:p w14:paraId="5F75A36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（3）投标书及其附件</w:t>
      </w:r>
    </w:p>
    <w:p w14:paraId="04206C0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（4）合同专用条款</w:t>
      </w:r>
    </w:p>
    <w:p w14:paraId="71B7DB0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（5）合同通用条款</w:t>
      </w:r>
    </w:p>
    <w:p w14:paraId="0D8B01C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（6）标准、规范及有关技术文件</w:t>
      </w:r>
    </w:p>
    <w:p w14:paraId="269A560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（7）图纸</w:t>
      </w:r>
    </w:p>
    <w:p w14:paraId="54B2BDE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（8）工程量清单</w:t>
      </w:r>
    </w:p>
    <w:p w14:paraId="7716B46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（9）工程报价单或预算书</w:t>
      </w:r>
    </w:p>
    <w:p w14:paraId="51AFF6E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合同履行中，发包人、承包人有关工程的洽商、变更等书面协议或文件视为本合同的组成部分。</w:t>
      </w:r>
    </w:p>
    <w:p w14:paraId="0CB31CF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2.2当合同文件内容含糊不清或不相一致时，在不影响工程正常进行的情况下，由发包人、承包人协商解决。双方也可以提请负责监理的工程师作出解释。双方协商不成或不同意负责监理的工程师的解释时，按合同通用条款40条关于争议的约定处理。</w:t>
      </w:r>
    </w:p>
    <w:p w14:paraId="024F512E">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3、语言文字和适用法律、标准及规范</w:t>
      </w:r>
    </w:p>
    <w:p w14:paraId="063595A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3.1语言文字</w:t>
      </w:r>
    </w:p>
    <w:p w14:paraId="7012756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本合同文件使用汉语语言文字书写、解释和说明。如合同专用条款约定使用两种以上（含两种）语言文字时，汉语应为解释和说明本合同的标准语言文字。</w:t>
      </w:r>
    </w:p>
    <w:p w14:paraId="6B360E4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在少数民族地区，双方可以约定使用少数民族语言文字书写和解释、说明本合同。</w:t>
      </w:r>
    </w:p>
    <w:p w14:paraId="17E219F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3.2适用法律和法规</w:t>
      </w:r>
    </w:p>
    <w:p w14:paraId="364EAA6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本合同文件适用国家的法律和行政法规。需要明示的法律、行政法规，由双方在合同专用条款中约定。</w:t>
      </w:r>
    </w:p>
    <w:p w14:paraId="4795532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3.3适用标准、规范</w:t>
      </w:r>
    </w:p>
    <w:p w14:paraId="2129A53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双方在合同专用条款内约定适用国家标准、规范的名称；没有国家标准、规范由有行业标准、规范的，约定适用行业标准、规范的名称；没有国家和行业标准、规范的，约定适用工程所在地地方标准、规范的名称。发包人应按合同专用条款约定的时间向承包人提供一式两份约定的标准、规范。</w:t>
      </w:r>
    </w:p>
    <w:p w14:paraId="5F5AF5E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国内没有相应标准、规范的，由发包人按合同专用条款约定的时间向承包人提出施工技术要求，承包人按约定的时间和要求提出施工工艺经发包人认可后执行。发包人要求使用国外标准、规范的，应负责提供中文译本。</w:t>
      </w:r>
    </w:p>
    <w:p w14:paraId="4292C98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本条所发生的购买、翻译标准、规范或制定施工工艺的费用，由发包人承担。</w:t>
      </w:r>
    </w:p>
    <w:p w14:paraId="10EE4B8C">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4、图纸</w:t>
      </w:r>
    </w:p>
    <w:p w14:paraId="322426A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4.1发包人应按合同专用条款约定的日期的套数，向承包人提供图纸。承包人需要增加图纸套数的，发包人应代为复制，复制费用由承包人承担。发包人对工程有保密要求的，应在合同专用条款中提出保密要求，保密措施费用由发包人承担，承包人在约定保密期限内履行保密义务。</w:t>
      </w:r>
    </w:p>
    <w:p w14:paraId="35EE546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4.2承包人未经发包人同意，不得将本工程图纸转给第三人。工程质量保修期满后，除承包人存档需要的图纸外，应将全部图纸退还给发包人。</w:t>
      </w:r>
    </w:p>
    <w:p w14:paraId="4FBB5B5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4.3承包人应在施工现场保留一套完整图纸，供工程师及有关人员进行工程检查时使用。</w:t>
      </w:r>
    </w:p>
    <w:p w14:paraId="2CA87B57">
      <w:pPr>
        <w:adjustRightInd w:val="0"/>
        <w:snapToGrid w:val="0"/>
        <w:spacing w:line="360" w:lineRule="auto"/>
        <w:rPr>
          <w:rFonts w:ascii="宋体" w:hAnsi="宋体"/>
          <w:snapToGrid w:val="0"/>
          <w:color w:val="auto"/>
          <w:kern w:val="0"/>
          <w:sz w:val="24"/>
          <w:highlight w:val="none"/>
        </w:rPr>
      </w:pPr>
    </w:p>
    <w:p w14:paraId="459F13DD">
      <w:pPr>
        <w:adjustRightInd w:val="0"/>
        <w:snapToGrid w:val="0"/>
        <w:spacing w:line="360" w:lineRule="auto"/>
        <w:ind w:right="11"/>
        <w:outlineLvl w:val="1"/>
        <w:rPr>
          <w:rFonts w:ascii="宋体" w:hAnsi="宋体"/>
          <w:b/>
          <w:snapToGrid w:val="0"/>
          <w:color w:val="auto"/>
          <w:kern w:val="0"/>
          <w:sz w:val="28"/>
          <w:highlight w:val="none"/>
        </w:rPr>
      </w:pPr>
      <w:r>
        <w:rPr>
          <w:rFonts w:hint="eastAsia" w:ascii="宋体" w:hAnsi="宋体"/>
          <w:b/>
          <w:snapToGrid w:val="0"/>
          <w:color w:val="auto"/>
          <w:kern w:val="0"/>
          <w:sz w:val="28"/>
          <w:highlight w:val="none"/>
        </w:rPr>
        <w:t>二、双方一般权利和义务</w:t>
      </w:r>
    </w:p>
    <w:p w14:paraId="2645EAFF">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5、工程师</w:t>
      </w:r>
    </w:p>
    <w:p w14:paraId="08A8518C">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5.1实行工程监理的，发包人应在实施监理前将委托的监理单位名称、监理内容及监理权限以书面形式通知承包人。</w:t>
      </w:r>
    </w:p>
    <w:p w14:paraId="512BACB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5.2监理单位委派的总监理工程师在本合同中称工程师，其姓名、职务、职权由发包人、承包人在合同专用条款内写明。工程师按合同约定行使职权，发包人在合同专用条款内要求工程师在行使某些职权前需要征得发包人批准的，工程师应征得发包人批准。</w:t>
      </w:r>
    </w:p>
    <w:p w14:paraId="3FD6A2D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5.3发包人派驻施工场地履行合同的代表在本合同中也称工程师，其姓名、职务、职权由发包人在合同专用条款内写明，但职权不得与监理单位委派的总监理工程师职权相互交叉。双方职权发生交叉或不明确时，由发包人予以明确，并以书面形式通知承包人。</w:t>
      </w:r>
    </w:p>
    <w:p w14:paraId="2F9F71D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5.4合同履行中，发生影响发包人、承包人双方权利或义务和事件时，负责监理的工程师应依据合同在其职权范围内客观公正地进行处理。一方对工程师的处理有异议时，按合同通用条款40条关于争议的约定处理。</w:t>
      </w:r>
    </w:p>
    <w:p w14:paraId="6A1D515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5.5除合同内有明确约定或经发包人同意外，负责监理的工程师无权解释本合同约定的承包人任何权利与义务。</w:t>
      </w:r>
    </w:p>
    <w:p w14:paraId="4F19089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5.6不实行工程监理的，本合同中工程师专指发包人派驻施工场地履行合同的代表，其具体职权由发包人在合同专用条款内写明。</w:t>
      </w:r>
    </w:p>
    <w:p w14:paraId="0BF5B290">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6、工程师的委派和指令</w:t>
      </w:r>
    </w:p>
    <w:p w14:paraId="4B32B88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6.1工程师可委派工程师代表，行使合同约定的自己的职权，并可在认为必要时撤回委派。委派和撤回均应提前7天以书面形式通知承包人，负责监理的工程师还应将委派和撤回通知发包人。委派书和撤回通知作为合同附件。</w:t>
      </w:r>
    </w:p>
    <w:p w14:paraId="1B5E092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改正。</w:t>
      </w:r>
    </w:p>
    <w:p w14:paraId="40BA138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除工程师或工程师代表外，发包人派驻工地的其他人员均无权向承包人发出任何指令。</w:t>
      </w:r>
    </w:p>
    <w:p w14:paraId="5DCD3F5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14:paraId="45FDDDF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14:paraId="6B93000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本款规定同样适用于由工程师代表发出的指令、通知。</w:t>
      </w:r>
    </w:p>
    <w:p w14:paraId="3973EC1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14:paraId="3D57139C">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6.4如需更换工程师，发包人应至少提前7天以书面形式通知承包人，后任继续行使合同文件约定的前任的职权，履行前任的义务。</w:t>
      </w:r>
    </w:p>
    <w:p w14:paraId="249700DC">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7、项目经理</w:t>
      </w:r>
    </w:p>
    <w:p w14:paraId="5EF9B1D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7.1项目经理的姓名、职务在合同专用条款内写明。</w:t>
      </w:r>
    </w:p>
    <w:p w14:paraId="6BC65A9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7.2承包人依据合同发出的通知，以书面形式由项目经理签字后送交工程师，工程师在回执上签署姓名和收到时间后生效。</w:t>
      </w:r>
    </w:p>
    <w:p w14:paraId="2A3DE65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14:paraId="35BD2CE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7.4承包人如需更换项目经理，应至少提前7天以书面形式通知发包人，并征得发包人同意。后任继续行使合同文件约定的前任的职权，履行前任的义务。</w:t>
      </w:r>
    </w:p>
    <w:p w14:paraId="0C4B5C3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7.5发包人可以与承包人协商，建议更换其认为不称职的项目经理。</w:t>
      </w:r>
    </w:p>
    <w:p w14:paraId="1EE2BC66">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8、发包人工作</w:t>
      </w:r>
    </w:p>
    <w:p w14:paraId="21C411F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8.1发包人按合同专用条款约定的内容和时间完成以下工作：</w:t>
      </w:r>
    </w:p>
    <w:p w14:paraId="7823584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（1）办理土地征用、拆迁补偿、平整施工场地等工作，使施工场地具备施工条件，在开工后继续负责解决以上事项遗留问题；</w:t>
      </w:r>
    </w:p>
    <w:p w14:paraId="26CF001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（2）将施工所需水、电、电讯线路从施工场地外部接至合同专用条款约定地点，保证施工期间的需要；</w:t>
      </w:r>
    </w:p>
    <w:p w14:paraId="27DDE38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（3）开通施工场地与城乡公共道路的通道，以及合同专用条款约定的施工场地内的主要道路，满足施工运输的需要，保证施工期间的畅通；</w:t>
      </w:r>
    </w:p>
    <w:p w14:paraId="1DF27F0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（4）向承包人提供施工场地的工程地质和地下管线资料，对资料的真实准确性负责；</w:t>
      </w:r>
    </w:p>
    <w:p w14:paraId="27113CD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（5）办理施工许可证及其他施工所需证件、批件和临时用地、停水、停电、中断道路交通、爆破作业等的申请批准手续（证明承包人自身资质的证件除外）；</w:t>
      </w:r>
    </w:p>
    <w:p w14:paraId="2A63358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（6）确定水准点与坐标控制点，以书面形式交给承包人，进行现场交验；</w:t>
      </w:r>
    </w:p>
    <w:p w14:paraId="3E4770E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（7）组织承包人和设计单位进行图纸会审和设计交底；</w:t>
      </w:r>
    </w:p>
    <w:p w14:paraId="5DFB6CD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（8）协调处理施工场地周围地下管线和邻近建筑物、构筑物（包括文物保护建筑）、古树名木的保护工作，承担有关费用；</w:t>
      </w:r>
    </w:p>
    <w:p w14:paraId="629FE6F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（9）发包人应做的其他工作，双方在合同专用条款内约定。</w:t>
      </w:r>
    </w:p>
    <w:p w14:paraId="486C6BB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8.2发包人可以将8.1款部分工作委托承包人办理，双方在合同专用条款内约定，其费用由发包人承担。</w:t>
      </w:r>
    </w:p>
    <w:p w14:paraId="5E37D5B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8.3发包人未能履行8.1款各项义务，导致工期延误或给承包人造成损失的，发包人赔偿承包人有关损失，顺延延误的工期。</w:t>
      </w:r>
    </w:p>
    <w:p w14:paraId="611FC885">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9、承包人工作</w:t>
      </w:r>
    </w:p>
    <w:p w14:paraId="725FF63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9.1承包人按合同专用条款约定的内容和时间完成以下工作：</w:t>
      </w:r>
    </w:p>
    <w:p w14:paraId="7DEDC3AD">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（1）根据发包人委托，在其设计资质等级和业务允许的范围内，完成施工图设计或工程配套的设计，经工程师确认后使用，发包人承担由此发生的费用；</w:t>
      </w:r>
    </w:p>
    <w:p w14:paraId="07178BB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（2）向工程师提供年、季、月度工程进度计划及相应进度统计报表；</w:t>
      </w:r>
    </w:p>
    <w:p w14:paraId="6A8AF74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（3）根据工程需要，提供和维修非夜间施工使用的照明、围栏设施，并负责安全保卫；</w:t>
      </w:r>
    </w:p>
    <w:p w14:paraId="5D68B71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（4）按合同专用条款约定的数量和要求，向发包人提供施工场地办公和生活的房屋及设施，发包人承担由此发生的费用；</w:t>
      </w:r>
    </w:p>
    <w:p w14:paraId="518CED1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（5）遵守政府有关主管部门对施工场地交通、施工噪音以及环境保护和安全生产等的管理规定，按规定办理有关手续，并以书面形式通知发包人，发包人承担由此发生的费用，因承包人责任造成的罚款除外；</w:t>
      </w:r>
    </w:p>
    <w:p w14:paraId="7BAEF74D">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6）已竣工工程未交付发包人之前，承包人按合同专用条款约定负责已完工程的保护工作，保护期间发生损坏，承包人自费予以修复；发包人要求承包人采取特殊措施保护的工程部位和相应的追加合同价款，双方在合同专用条款内约定；</w:t>
      </w:r>
    </w:p>
    <w:p w14:paraId="3D5C2E1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（7）按合同专用条款约定做好施工场地地下管线和邻近建筑物、构筑物（包括文物保护建筑）、古树名木的保护工作；</w:t>
      </w:r>
    </w:p>
    <w:p w14:paraId="4762A26D">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（8）保证施工场地清洁符合环境卫生管理的有关规定，交工前清理现场达到合同专用条款约定的要求，承担因自身原因违反有关规定造成的损失和罚款；</w:t>
      </w:r>
    </w:p>
    <w:p w14:paraId="72DB8D8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（9）承包人应做的其他工作，双方在合同专用条款内约定。</w:t>
      </w:r>
    </w:p>
    <w:p w14:paraId="3B3E4B3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9.2承包人未能履行9.1款各项义务，造成发包人损失的，承包人赔偿发包人有关损失。</w:t>
      </w:r>
    </w:p>
    <w:p w14:paraId="6891BDEF">
      <w:pPr>
        <w:adjustRightInd w:val="0"/>
        <w:snapToGrid w:val="0"/>
        <w:spacing w:line="360" w:lineRule="auto"/>
        <w:rPr>
          <w:rFonts w:ascii="宋体" w:hAnsi="宋体"/>
          <w:snapToGrid w:val="0"/>
          <w:color w:val="auto"/>
          <w:kern w:val="0"/>
          <w:sz w:val="24"/>
          <w:highlight w:val="none"/>
        </w:rPr>
      </w:pPr>
    </w:p>
    <w:p w14:paraId="09193859">
      <w:pPr>
        <w:adjustRightInd w:val="0"/>
        <w:snapToGrid w:val="0"/>
        <w:spacing w:line="360" w:lineRule="auto"/>
        <w:ind w:right="11"/>
        <w:outlineLvl w:val="1"/>
        <w:rPr>
          <w:rFonts w:ascii="宋体" w:hAnsi="宋体"/>
          <w:b/>
          <w:snapToGrid w:val="0"/>
          <w:color w:val="auto"/>
          <w:kern w:val="0"/>
          <w:sz w:val="28"/>
          <w:highlight w:val="none"/>
        </w:rPr>
      </w:pPr>
      <w:r>
        <w:rPr>
          <w:rFonts w:hint="eastAsia" w:ascii="宋体" w:hAnsi="宋体"/>
          <w:b/>
          <w:snapToGrid w:val="0"/>
          <w:color w:val="auto"/>
          <w:kern w:val="0"/>
          <w:sz w:val="28"/>
          <w:highlight w:val="none"/>
        </w:rPr>
        <w:t>三、施工组织设计和工期</w:t>
      </w:r>
    </w:p>
    <w:p w14:paraId="240EE050">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10、进度计划</w:t>
      </w:r>
    </w:p>
    <w:p w14:paraId="1A63318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10.1承包人应按合同专用条款约定的日期，将施工组织设计和工程进度计划提交工程师，工程师按合同专用条款约定的时间予以确认或提出修改意见，逾期不确认也不提出书面意见的，视为同意。</w:t>
      </w:r>
    </w:p>
    <w:p w14:paraId="0481AD2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10.2群体工程中单位工程分期进行施工的，承包人应按照发包人提供图纸及有关资料的时间，按单位工程编制进度计划，其具体内容双方在合同专用条款中约定。</w:t>
      </w:r>
    </w:p>
    <w:p w14:paraId="4A80CA8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14:paraId="26D7DD60">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11、开工及延期开工</w:t>
      </w:r>
    </w:p>
    <w:p w14:paraId="4BDC050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11.1承包人应当按照合同协议书约定的开工日期开工。承包人不能按时开工，应当不迟于合同协议书约定的开工日期前7天，以书面形式向工程师提出延期开工的理由和要求，工程师在接到延期开工申请后48小时内以书面形式答复承包人。工程师在接到延期开工申请后48小时内不答复，视为同意承包人要求，工期相应顺延。工程师不同意顺延要求或承包人未在规定时间内提出延期开工要求，工期不予顺延。</w:t>
      </w:r>
    </w:p>
    <w:p w14:paraId="37E2E0FC">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11.2因发包人原因不能按照合同协议书约定的开工日期开工，工程师应以书面形式通知承包人，推迟开工日期，发包人赔偿承包人因延期开工造成的损失，并相应顺延工期。</w:t>
      </w:r>
    </w:p>
    <w:p w14:paraId="5BCF1DD1">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12、暂停施工</w:t>
      </w:r>
    </w:p>
    <w:p w14:paraId="288E756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工程师认为确有必要暂停施工时，应当以书面形式要求承包人暂停施工，并在提出要求后48小时内提出书面处理意见。承包人应当按工程师要求停止施工，并妥善保护自己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14:paraId="18D30F16">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13、工期延误</w:t>
      </w:r>
    </w:p>
    <w:p w14:paraId="71944DB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13.1因以下原因造成工期延误，经工程师确认，工期相应顺延；</w:t>
      </w:r>
    </w:p>
    <w:p w14:paraId="21F7ADA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（1）发包人未能按合同专用条款的约定提供图纸及开工条件；</w:t>
      </w:r>
    </w:p>
    <w:p w14:paraId="27A3E30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（2）发包人未能按约定日期支付工程预付款、进度款，致使施工不能正常进行；</w:t>
      </w:r>
    </w:p>
    <w:p w14:paraId="15A0C2E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（3）工程师未按合同约定提供所需指令、批准等，致使施工不能正常进行；</w:t>
      </w:r>
    </w:p>
    <w:p w14:paraId="52A5933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（4）设计变更和工程量增加；</w:t>
      </w:r>
    </w:p>
    <w:p w14:paraId="6BF088D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（5）一周内非承包人原因停水、停电、停气造成停工累计超过8小时；</w:t>
      </w:r>
    </w:p>
    <w:p w14:paraId="68CD259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（6）不可抗力；</w:t>
      </w:r>
    </w:p>
    <w:p w14:paraId="6FF3F8F0">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（7）合同专用条款中约定或工程师同意工期顺延的其他情况。</w:t>
      </w:r>
    </w:p>
    <w:p w14:paraId="4321F82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13.2承包人在13.1款情况发生后14天内，就延误的工期以书面形式向工程师提出报告。工程师在收到报告后14天内予以确认，逾期不予确认也不提出修改意见，视为同意顺延工期。</w:t>
      </w:r>
    </w:p>
    <w:p w14:paraId="49FD94E1">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14、工程竣工</w:t>
      </w:r>
    </w:p>
    <w:p w14:paraId="5D7F331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14.1承包人必须按照合同协议书约定的竣工日期或工程师同意顺延的工期竣工。</w:t>
      </w:r>
    </w:p>
    <w:p w14:paraId="3EA7694C">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14.2因承包人原因不能按照合同协议书约定的竣工日期或工程师同意顺延的工期竣工的，承包人承担违约责任。</w:t>
      </w:r>
    </w:p>
    <w:p w14:paraId="673C348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14:paraId="19FEFF0B">
      <w:pPr>
        <w:adjustRightInd w:val="0"/>
        <w:snapToGrid w:val="0"/>
        <w:spacing w:line="360" w:lineRule="auto"/>
        <w:rPr>
          <w:rFonts w:ascii="宋体" w:hAnsi="宋体"/>
          <w:snapToGrid w:val="0"/>
          <w:color w:val="auto"/>
          <w:kern w:val="0"/>
          <w:sz w:val="24"/>
          <w:highlight w:val="none"/>
        </w:rPr>
      </w:pPr>
    </w:p>
    <w:p w14:paraId="35831FAE">
      <w:pPr>
        <w:adjustRightInd w:val="0"/>
        <w:snapToGrid w:val="0"/>
        <w:spacing w:line="360" w:lineRule="auto"/>
        <w:ind w:right="11"/>
        <w:outlineLvl w:val="1"/>
        <w:rPr>
          <w:rFonts w:ascii="宋体" w:hAnsi="宋体"/>
          <w:b/>
          <w:snapToGrid w:val="0"/>
          <w:color w:val="auto"/>
          <w:kern w:val="0"/>
          <w:sz w:val="28"/>
          <w:highlight w:val="none"/>
        </w:rPr>
      </w:pPr>
      <w:r>
        <w:rPr>
          <w:rFonts w:hint="eastAsia" w:ascii="宋体" w:hAnsi="宋体"/>
          <w:b/>
          <w:snapToGrid w:val="0"/>
          <w:color w:val="auto"/>
          <w:kern w:val="0"/>
          <w:sz w:val="28"/>
          <w:highlight w:val="none"/>
        </w:rPr>
        <w:t>四、质量与检验</w:t>
      </w:r>
    </w:p>
    <w:p w14:paraId="7F82D106">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15、工程质量</w:t>
      </w:r>
    </w:p>
    <w:p w14:paraId="683552A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15.1工程质量应当达到合同协议书约定的质量标准，质量标准的评定以国家或行业的质量检验评定标准为依据。因承包人原因工程质量达不到约定的质量标准，承包人承担违约责任。</w:t>
      </w:r>
    </w:p>
    <w:p w14:paraId="1D617AC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15.2双方对工程质量有争议，由双方同意的工程质量检测机构鉴定，所需费用及因此造成的损失，由责任方承担。双方均有责任，由双方根据其责任分别承担。</w:t>
      </w:r>
    </w:p>
    <w:p w14:paraId="7CCE740A">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16、检查和返工</w:t>
      </w:r>
    </w:p>
    <w:p w14:paraId="58AC979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16.1承包人应认真按照标准、规范和设计图纸要求以及工程师依据合同发出的指令施工，随时接受工程师的检查检验，为检查检验提供便利条件。</w:t>
      </w:r>
    </w:p>
    <w:p w14:paraId="5FE5E49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14:paraId="1F02F7A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16.3工程师的检查检验不应影响施工正常进行。如影响施工正常进行，检查检验不合格时，影响正常施工的费用由承包人承担。除此之外影响正常施工的追加合同价款由发包人承担，相应顺延工期。</w:t>
      </w:r>
    </w:p>
    <w:p w14:paraId="0F68CC7C">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16.4因工程师指令失误或其他非承包人原因发生的追加合同价款，由发包人承担。</w:t>
      </w:r>
    </w:p>
    <w:p w14:paraId="041C4EAE">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17、隐蔽工程和中间验收</w:t>
      </w:r>
    </w:p>
    <w:p w14:paraId="2FBC112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17.1工程具备隐蔽条件或达到合同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14:paraId="51F4429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17.2工程师不能按时进行验收，应在验收前24小时以书面形式向承包人提出延期要求，延期不能超过48小时。工程师未能按以上时间提出延期要求，不进行验收，承包人可自行组织验收，工程师应承认验收记录。</w:t>
      </w:r>
    </w:p>
    <w:p w14:paraId="5E9A50F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17.3经工程师验收，工程质量符合标准、规范和设计图纸等要求，验收24小时后，工程师不在验收记录上签字，视为工程师已经认可验收记录，承包人可进行隐蔽或继续施工。</w:t>
      </w:r>
    </w:p>
    <w:p w14:paraId="4E84A6A6">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18、重新检验</w:t>
      </w:r>
    </w:p>
    <w:p w14:paraId="7C66D1D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无论工程师是否进行验收，当其要求对已经隐蔽的工程重新检验时，承包人应按要求进行剥离或开孔，并要检验后重新覆盖或修复。检验合格，发包人承担由此发生的全部追加合同价款，赔偿承包人损失，并相应顺延工期。检验不合格，承包人承担发生的全部费用，工期不予顺延。</w:t>
      </w:r>
    </w:p>
    <w:p w14:paraId="7734919B">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19、工程试车</w:t>
      </w:r>
    </w:p>
    <w:p w14:paraId="75B9E00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19.1双方约定需要试车的，试车内容应与承包人承包的安装范围相一致。</w:t>
      </w:r>
    </w:p>
    <w:p w14:paraId="03AAA89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14:paraId="0F56011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19.3工程师不能按时参加试车，须在开始试车前24小时以书面形式向承包人提出延期要求，延期不能超过48小时。工程师未能按以上时间提出延期要求，不参加试车，应承认试车记录。</w:t>
      </w:r>
    </w:p>
    <w:p w14:paraId="374EB3EC">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19.4设备安装工程具备无负荷联动试车条件，发包人组织试车，并在试车前48小时以书面形式通知承包人。通知包括试车内容、时间、地点和对承包人的要求，承包人按要求做好准备工作。试车合格，双方在试车记录上签字。</w:t>
      </w:r>
    </w:p>
    <w:p w14:paraId="3D0B43E0">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19.5双方责任</w:t>
      </w:r>
    </w:p>
    <w:p w14:paraId="48BA7E5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（1）由于设计原因试车达不到验收要求，发包人应要求设计单位修改设计，承包人按修改后的设计重新安装。发包人承担修改设计、拆除及重新安装的全部费用和追加合同价款，工期相应顺延。</w:t>
      </w:r>
    </w:p>
    <w:p w14:paraId="6EED06C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14:paraId="5B3BF71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（3）由于承包人施工原因试车达不到验收要求，承包人按工程师要求重新安装和试车，并承担重新安装和试车的费用，工期不予顺延。</w:t>
      </w:r>
    </w:p>
    <w:p w14:paraId="256A7BB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（4）试车费用除已包括在合同价款之内或合同专用条款另有约定外，均由发包人承担。</w:t>
      </w:r>
    </w:p>
    <w:p w14:paraId="028ECD3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（5）工程师在试车合格后不在试车记录上签字，试车结束24小时后，视为工程师已经认可试车记录，承包人可继续施工或办理竣工手续。</w:t>
      </w:r>
    </w:p>
    <w:p w14:paraId="0A2D0270">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19.6投料试车应在工程竣工验收后由发包人负责，如发包人要求在工程竣工验收前进行或需要承包人配合时，应征得承包人同意，另行签订补充协议。</w:t>
      </w:r>
    </w:p>
    <w:p w14:paraId="1BA0A9C6">
      <w:pPr>
        <w:adjustRightInd w:val="0"/>
        <w:snapToGrid w:val="0"/>
        <w:spacing w:line="360" w:lineRule="auto"/>
        <w:rPr>
          <w:rFonts w:ascii="宋体" w:hAnsi="宋体"/>
          <w:snapToGrid w:val="0"/>
          <w:color w:val="auto"/>
          <w:kern w:val="0"/>
          <w:sz w:val="24"/>
          <w:highlight w:val="none"/>
        </w:rPr>
      </w:pPr>
    </w:p>
    <w:p w14:paraId="5177B02F">
      <w:pPr>
        <w:adjustRightInd w:val="0"/>
        <w:snapToGrid w:val="0"/>
        <w:spacing w:line="360" w:lineRule="auto"/>
        <w:ind w:right="11"/>
        <w:outlineLvl w:val="1"/>
        <w:rPr>
          <w:rFonts w:ascii="宋体" w:hAnsi="宋体"/>
          <w:b/>
          <w:snapToGrid w:val="0"/>
          <w:color w:val="auto"/>
          <w:kern w:val="0"/>
          <w:sz w:val="28"/>
          <w:highlight w:val="none"/>
        </w:rPr>
      </w:pPr>
      <w:r>
        <w:rPr>
          <w:rFonts w:hint="eastAsia" w:ascii="宋体" w:hAnsi="宋体"/>
          <w:b/>
          <w:snapToGrid w:val="0"/>
          <w:color w:val="auto"/>
          <w:kern w:val="0"/>
          <w:sz w:val="28"/>
          <w:highlight w:val="none"/>
        </w:rPr>
        <w:t>五、安全文明施工</w:t>
      </w:r>
    </w:p>
    <w:p w14:paraId="660924F7">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20、施工场地的占用和管理</w:t>
      </w:r>
    </w:p>
    <w:p w14:paraId="728DF09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20.1发包人应当依照合同专用条款约定的时间，按照其与监理单位会签认可的施工平面图给承包人提供施工场地。承包人必须在发包人提供的施工场地范围内布置、安排和组织施工，严禁擅自变更场地范围。因工程施工需要，承包人确需临时征用场地或道路的，必须事先取得监理单位和发包人的批准。</w:t>
      </w:r>
    </w:p>
    <w:p w14:paraId="1B10155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20.2承包人应当严格遵守国家有关建设项目施工现场管理的有关规定，做好施工场地方方面面的管理工作，并应对管理不善引发的纠纷和损失承担全部责任。</w:t>
      </w:r>
    </w:p>
    <w:p w14:paraId="44A164B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20.3工程竣工验收且办理了移交与接收手续后，承包人应当按照合同专用条款约定的时间，从施工场地搬走或清除其设备、临时设施以及多余的材料、余泥、垃圾，并保持现场和工程清洁整齐，达到发包人和总监理工程师满意的程度。</w:t>
      </w:r>
    </w:p>
    <w:p w14:paraId="7611152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20.4承包人应当随时接受政府主管部门的监督和执法检查，并对管理不善之处及时予以全面整改。</w:t>
      </w:r>
    </w:p>
    <w:p w14:paraId="2139071D">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21、安全施工与检查</w:t>
      </w:r>
    </w:p>
    <w:p w14:paraId="5EE97A1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21.1承包人应遵守《建设工程安全管理条例》及建设行政主管部门颁发的有关管理规定，严格按《建筑施工安全检查标准》组织施工，并随时接受行业安全检查人员依法实施的监督检查，采取必要的安全防护措施，消除事故隐患。由于承包人安全措施不力造成事故的责任和因此发生的费用，由承包人承担。</w:t>
      </w:r>
    </w:p>
    <w:p w14:paraId="71C52AE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21.2发包人不得要求承包人违反安全管理的规定进行施工。因发包人原因导致的安全事故，由发包人承担相应责任及发生的费用。</w:t>
      </w:r>
    </w:p>
    <w:p w14:paraId="2316A43A">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22、安全防护</w:t>
      </w:r>
    </w:p>
    <w:p w14:paraId="5106A8A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22.1承包人在动力设备、输电线路、地下管道、密封防震车间、易燃易爆地段以及临街交通要道附近施工时，施工开始前应向工程师提出安全防护措施，经工程师认可后实施，防护措施费用由发包人承担。</w:t>
      </w:r>
    </w:p>
    <w:p w14:paraId="078040B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22.2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14:paraId="12B656A7">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23、事故处理</w:t>
      </w:r>
    </w:p>
    <w:p w14:paraId="19F9D94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23.1发生重大伤亡及其他安全事故，承包人应按《建设工程安全管理条例》的规定立即上报有关部门并通知工程师，同时按政府有关部门要求处理，由事故责任方承担发生的费用。</w:t>
      </w:r>
    </w:p>
    <w:p w14:paraId="311C92B0">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23.2发包人、承包人对事故责任有争议时，应按政府有关部门的认定处理。</w:t>
      </w:r>
    </w:p>
    <w:p w14:paraId="119F9AFB">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24、文明施工与环境保护</w:t>
      </w:r>
    </w:p>
    <w:p w14:paraId="6B56785D">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24.1承包人应遵守工程建设文明施工有关管理规定，建立健全文明施工制度，切实采取有效措施，创建文明施工现场。</w:t>
      </w:r>
    </w:p>
    <w:p w14:paraId="193F634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24.2在工程施工期间，根据建设项目环境保护的有关管理规定，承包人应采取所有合理的措施来保护施工场地内外的环境，避免由于其操作方法所造成的污染、噪声或其他问题而对周边的人员或公私财产造成干扰、损失或者损害。因承包人环保措施不力造成损害的责任和因此发生的费用，由承包人承担。</w:t>
      </w:r>
    </w:p>
    <w:p w14:paraId="51BDE711">
      <w:pPr>
        <w:adjustRightInd w:val="0"/>
        <w:snapToGrid w:val="0"/>
        <w:spacing w:line="360" w:lineRule="auto"/>
        <w:rPr>
          <w:rFonts w:ascii="宋体" w:hAnsi="宋体"/>
          <w:snapToGrid w:val="0"/>
          <w:color w:val="auto"/>
          <w:kern w:val="0"/>
          <w:sz w:val="24"/>
          <w:highlight w:val="none"/>
        </w:rPr>
      </w:pPr>
    </w:p>
    <w:p w14:paraId="13B5FC09">
      <w:pPr>
        <w:adjustRightInd w:val="0"/>
        <w:snapToGrid w:val="0"/>
        <w:spacing w:line="360" w:lineRule="auto"/>
        <w:ind w:right="11"/>
        <w:outlineLvl w:val="1"/>
        <w:rPr>
          <w:rFonts w:ascii="宋体" w:hAnsi="宋体"/>
          <w:b/>
          <w:snapToGrid w:val="0"/>
          <w:color w:val="auto"/>
          <w:kern w:val="0"/>
          <w:sz w:val="28"/>
          <w:highlight w:val="none"/>
        </w:rPr>
      </w:pPr>
      <w:r>
        <w:rPr>
          <w:rFonts w:hint="eastAsia" w:ascii="宋体" w:hAnsi="宋体"/>
          <w:b/>
          <w:snapToGrid w:val="0"/>
          <w:color w:val="auto"/>
          <w:kern w:val="0"/>
          <w:sz w:val="28"/>
          <w:highlight w:val="none"/>
        </w:rPr>
        <w:t>六、合同价款与支付</w:t>
      </w:r>
    </w:p>
    <w:p w14:paraId="67206A2D">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25、合同价款及调整</w:t>
      </w:r>
    </w:p>
    <w:p w14:paraId="7AC3C60D">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25.1招标工程的合同价款由发包人、承包人依据中标通知书中的中标价格在合同协议书内约定。非招标工程的合同价款由发包人、承包人依据工程预算书在合同协议书内约定。</w:t>
      </w:r>
    </w:p>
    <w:p w14:paraId="5FC6C62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25.2合同价款在合同协议书内约定后，任何一方不得擅自改变。下列三种确定合同价款的方式，双方可在合同专用条款内约定采用其中一种：</w:t>
      </w:r>
    </w:p>
    <w:p w14:paraId="5AD5739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（1）固定价格合同。双方在合同专用条款内约定合同价款包含的风险范围和风险费用的计算方法，在约定的风险范围内合同价款不再调整。风险范围以外的合同价款调整方法，应当在合同专用条款内约定。</w:t>
      </w:r>
    </w:p>
    <w:p w14:paraId="7844A3B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（2）可调价格合同。合同价款可根据双方的约定而调整，双方在合同专用条款内约定合同价款调整方法。</w:t>
      </w:r>
    </w:p>
    <w:p w14:paraId="22696F7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（3）成本加酬金合同。合同价款包括成本和酬金两部分，双方在合同专用条款内约定成本构成和酬金的计算方法。</w:t>
      </w:r>
    </w:p>
    <w:p w14:paraId="0CFF5BB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25.3可调价格合同中合同价款的调整因素包括：</w:t>
      </w:r>
    </w:p>
    <w:p w14:paraId="6ED0D9A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（1）法律、行政法规和国家有关政策变化影响合同价款；</w:t>
      </w:r>
    </w:p>
    <w:p w14:paraId="00B4087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（2）工程造价管理部门颁布的价格调整；</w:t>
      </w:r>
    </w:p>
    <w:p w14:paraId="6C26781D">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（3）一周内非承包人原因停水、停电、停气造成停工累计超过8小时；</w:t>
      </w:r>
    </w:p>
    <w:p w14:paraId="38DA6C5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（4）双方约定的其他因素。</w:t>
      </w:r>
    </w:p>
    <w:p w14:paraId="362521E0">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25.4承包人应当在25.3款情况发生后14天内，将调整原因、金额以书面形式通知工程师，工程师确认调整金额后作为追加合同价款，与工程款同期支付。工程师收到承包人通知后14天内不予确认也不提出修改意见，视为已经同意该项调整。</w:t>
      </w:r>
    </w:p>
    <w:p w14:paraId="17A8E138">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26、工程预付款</w:t>
      </w:r>
    </w:p>
    <w:p w14:paraId="4BFD7CD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实行工程预付款的，双方应当在合同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14:paraId="72792873">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27、工程量的确认</w:t>
      </w:r>
    </w:p>
    <w:p w14:paraId="43EAB59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27.1承包人应按合同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14:paraId="0836191C">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27.2工程师收到承包人报告后7天内未进行计量，从第8天起，承包人报告中开列的工程量即视为被确认，作为工程价款支付的依据。工程师不按约定时间通知承包人，致使承包人未能参加计量，计量结果无效。</w:t>
      </w:r>
    </w:p>
    <w:p w14:paraId="3BDF920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27.3对承包人超出设计图纸范围和因承包人原因造成返工的工程量，工程师不予计量。</w:t>
      </w:r>
    </w:p>
    <w:p w14:paraId="083C7AD4">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28、工程款（进度款）支付</w:t>
      </w:r>
    </w:p>
    <w:p w14:paraId="5B89EBD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28.1在确认计量结果后14天内，发包人应向承包人支付工程款（进度款）。按约定时间发包人应扣回的预付款，与工程款（进度款）同期结算。</w:t>
      </w:r>
    </w:p>
    <w:p w14:paraId="11040490">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28.2合同通用条款第25条确定调整的合同价款，第33条工程变更调整的合同价款及其他条款中约定的追加合同价款，应与工程款（进度款）同期调整支付。</w:t>
      </w:r>
    </w:p>
    <w:p w14:paraId="51F94FF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28.3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14:paraId="7CD55F4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28.4发包人不按合同约定支付工程款（进度款），双方又未达成延期付款协议，导致施工无法进行，承包人可停止施工，由发包人承担违约责任。</w:t>
      </w:r>
    </w:p>
    <w:p w14:paraId="4564664F">
      <w:pPr>
        <w:adjustRightInd w:val="0"/>
        <w:snapToGrid w:val="0"/>
        <w:spacing w:line="360" w:lineRule="auto"/>
        <w:ind w:right="11"/>
        <w:outlineLvl w:val="1"/>
        <w:rPr>
          <w:rFonts w:ascii="宋体" w:hAnsi="宋体"/>
          <w:b/>
          <w:snapToGrid w:val="0"/>
          <w:color w:val="auto"/>
          <w:kern w:val="0"/>
          <w:sz w:val="28"/>
          <w:highlight w:val="none"/>
        </w:rPr>
      </w:pPr>
      <w:r>
        <w:rPr>
          <w:rFonts w:hint="eastAsia" w:ascii="宋体" w:hAnsi="宋体"/>
          <w:b/>
          <w:snapToGrid w:val="0"/>
          <w:color w:val="auto"/>
          <w:kern w:val="0"/>
          <w:sz w:val="28"/>
          <w:highlight w:val="none"/>
        </w:rPr>
        <w:t>七、材料设备供应</w:t>
      </w:r>
    </w:p>
    <w:p w14:paraId="4D641A3E">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29、发包人供应材料设备</w:t>
      </w:r>
    </w:p>
    <w:p w14:paraId="28E4E9F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29.1实行发包人供应材料设备的，双方应当约定发包人供应材料设备的一览表，作为合同附件。一览表包括发包人供应材料设备的品种、规格、型号、数量、单价、质量等级、提供时间和地点。</w:t>
      </w:r>
    </w:p>
    <w:p w14:paraId="30DF3DD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29.2发包人按一览表约定的内容提供材料设备，并向承包人提供产品合格证明，对其质量负责。发包人在所供材料设备到货前24小时，以书面形式通知承包人，由承包人派人与发包人共同清点。</w:t>
      </w:r>
    </w:p>
    <w:p w14:paraId="03AD0E5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29.3发包人供应的材料设备，承包人派人参加清点后由承包人妥善保管，发包人支付相应保管费用。因承包人原因发生丢失损坏，由承包人负责赔偿。</w:t>
      </w:r>
    </w:p>
    <w:p w14:paraId="053F66D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发包人未通知承包人清点，承包人不负责材料设备的保管，丢失损坏由发包人负责。</w:t>
      </w:r>
    </w:p>
    <w:p w14:paraId="5216D77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29.4发包人供应的材料设备与一览表不符时，发包人承担有关责任。发包人应承担责任的具体内容，双方根据下列情况在合同专用条款内约定：</w:t>
      </w:r>
    </w:p>
    <w:p w14:paraId="1963252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（1）材料设备单价与一览表不符，由发包人承担所有价差；</w:t>
      </w:r>
    </w:p>
    <w:p w14:paraId="30E7657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（2）材料设备的品种、规格、型号、质量等级与一览表不符，承包人可拒绝接收保管，由发包人运出施工场地并重新采购；</w:t>
      </w:r>
    </w:p>
    <w:p w14:paraId="3AA76C8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（3）发包人供应的材料规格、型号与一览表不符，经发包人同意，承包人可代为调剂串换，由发包人承担相应费用；</w:t>
      </w:r>
    </w:p>
    <w:p w14:paraId="7AD6657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（4）到货地点与一览表不符，由发包人负责运至一览表指定地点；</w:t>
      </w:r>
    </w:p>
    <w:p w14:paraId="42530AC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（5）供应数量少于一览表约定的数量时，由发包人补齐，多于一览表约定数量时，发包人负责将多出部分运出施工场地；</w:t>
      </w:r>
    </w:p>
    <w:p w14:paraId="6E83725D">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（6）到货时间早于一览表约定时间，由发包人承担因此发生的保管费用；到货时间迟于一览表约定的供应时间，发包人赔偿由此造成承包人损失，造成工期延误的，相应顺延工期。</w:t>
      </w:r>
    </w:p>
    <w:p w14:paraId="3F4CEF60">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29.5发包人供应的材料设备使用前，由承包人负责检验或试验，不合格的不得使用，检验或试验费用由发包人承担。</w:t>
      </w:r>
    </w:p>
    <w:p w14:paraId="5D78022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29.6发包人供应材料设备的结算方法，双方在合同专用条款内约定。</w:t>
      </w:r>
    </w:p>
    <w:p w14:paraId="2866597C">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30、承包人采购材料设备</w:t>
      </w:r>
    </w:p>
    <w:p w14:paraId="418C779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30.1承包人负责采购材料设备的，应按照合同专用条款约定及设计和有关标准要求采购，并提供产品合格证明，对材料设备质量负责。承包人在材料设备到货前24小时通知工程师清点。</w:t>
      </w:r>
    </w:p>
    <w:p w14:paraId="11A9A06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30.2承包人采购的材料设备与设计或标准要求不符时，承包人应按工程师要求的时间运出施工场地，重新采购符合要求的产品，承担由此发生的费用，由此延误的工期不予顺延。</w:t>
      </w:r>
    </w:p>
    <w:p w14:paraId="1BCA349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30.3承包人采购的材料设备在使用前，承包人应按工程师的要求进行检验或试验，不合格的不得使用，检验或试验费用由承包人承担。</w:t>
      </w:r>
    </w:p>
    <w:p w14:paraId="789A422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30.4工程师发现承包人采购并使用不符合设计或标准要求的材料或设备时，应要求由承包人负责修复、拆除或重新采购，并承担发生的费用，由此延误的工期不予顺延。</w:t>
      </w:r>
    </w:p>
    <w:p w14:paraId="480138E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30.5承包人需要使用代用材料时，应经工程师认可后才能使用，由此增减的合同价款双方以书面形式议定。</w:t>
      </w:r>
    </w:p>
    <w:p w14:paraId="6DBB966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30.6由承包人采购的材料设备，发包人不得指定生产厂或供应商。</w:t>
      </w:r>
    </w:p>
    <w:p w14:paraId="0731FF83">
      <w:pPr>
        <w:adjustRightInd w:val="0"/>
        <w:snapToGrid w:val="0"/>
        <w:spacing w:line="360" w:lineRule="auto"/>
        <w:rPr>
          <w:rFonts w:ascii="宋体" w:hAnsi="宋体"/>
          <w:snapToGrid w:val="0"/>
          <w:color w:val="auto"/>
          <w:kern w:val="0"/>
          <w:sz w:val="24"/>
          <w:highlight w:val="none"/>
        </w:rPr>
      </w:pPr>
    </w:p>
    <w:p w14:paraId="7DBE6B4D">
      <w:pPr>
        <w:adjustRightInd w:val="0"/>
        <w:snapToGrid w:val="0"/>
        <w:spacing w:line="360" w:lineRule="auto"/>
        <w:ind w:right="11"/>
        <w:outlineLvl w:val="1"/>
        <w:rPr>
          <w:rFonts w:ascii="宋体" w:hAnsi="宋体"/>
          <w:b/>
          <w:snapToGrid w:val="0"/>
          <w:color w:val="auto"/>
          <w:kern w:val="0"/>
          <w:sz w:val="28"/>
          <w:highlight w:val="none"/>
        </w:rPr>
      </w:pPr>
      <w:r>
        <w:rPr>
          <w:rFonts w:hint="eastAsia" w:ascii="宋体" w:hAnsi="宋体"/>
          <w:b/>
          <w:snapToGrid w:val="0"/>
          <w:color w:val="auto"/>
          <w:kern w:val="0"/>
          <w:sz w:val="28"/>
          <w:highlight w:val="none"/>
        </w:rPr>
        <w:t>八、工程变更</w:t>
      </w:r>
    </w:p>
    <w:p w14:paraId="1D0829B8">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31、工程设计变更</w:t>
      </w:r>
    </w:p>
    <w:p w14:paraId="52CB8760">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31.1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14:paraId="521394C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（1）更改工程有关部分的标高、基线、位置和尺寸；</w:t>
      </w:r>
    </w:p>
    <w:p w14:paraId="240E2EE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（2）增减合同中约定的工程量；</w:t>
      </w:r>
    </w:p>
    <w:p w14:paraId="6AB72DB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（3）改变有关工程的施工时间和顺序；</w:t>
      </w:r>
    </w:p>
    <w:p w14:paraId="62CAA54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（4）其他有关工程变更需要的附加工作。</w:t>
      </w:r>
    </w:p>
    <w:p w14:paraId="221BBA3D">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因变更导致合同价款的增减及造成的承包人损失，由发包人承担，延误的工期相应顺延。</w:t>
      </w:r>
    </w:p>
    <w:p w14:paraId="653D3C3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31.2施工中承包人不得对原工程设计进行变更。因承包人擅自变更设计发生的费用和由此导致发包人的直接损失，由承包人承担，延误的工期不予顺延。</w:t>
      </w:r>
    </w:p>
    <w:p w14:paraId="220B374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31.3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14:paraId="0C31192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工程师同意采用承包人合理化建议，所发生的费用和获得的收益，发包人、承包人另行约定分担或分享。</w:t>
      </w:r>
    </w:p>
    <w:p w14:paraId="3099F547">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32、其他变更</w:t>
      </w:r>
    </w:p>
    <w:p w14:paraId="69B8559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合同履行中发包人要求变更工程质量标准及发生其他实质性变更，由双方协商解决。</w:t>
      </w:r>
    </w:p>
    <w:p w14:paraId="2C69E996">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33、确定变更价款</w:t>
      </w:r>
    </w:p>
    <w:p w14:paraId="294E159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33.1承包人在工程变更确定后14天内，提出变更工程价款的报告，经工程师确认后调整合同价款。变更合同价款按下列方法进行：</w:t>
      </w:r>
    </w:p>
    <w:p w14:paraId="67EF651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（1）合同中已有适用于变更工程的价格，按合同已有的价格变更合同价款；</w:t>
      </w:r>
    </w:p>
    <w:p w14:paraId="30AE753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（2）合同中只有类似于变更工程的价格，可以参照类似价格变更合同价款；</w:t>
      </w:r>
    </w:p>
    <w:p w14:paraId="4AAA215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（3）合同中没有适用或类似于变更工程的价格，由承包人提出适当的变更价款，经工程师确认后执行。</w:t>
      </w:r>
    </w:p>
    <w:p w14:paraId="7A75A48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33.2承包人在双方确定变更后14天内不向工程师提出变更工程价款报告时，视为该项变更不涉及合同价款的变更。</w:t>
      </w:r>
    </w:p>
    <w:p w14:paraId="2D9D61B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33.3工程师应在收到变更工程价款报告之日起14天内予以确认，工程师无正当理由不确认时，自变更工程价款报告送达之日起14天后视为变更工程价款报告已被确认。</w:t>
      </w:r>
    </w:p>
    <w:p w14:paraId="4EB66C0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33.4工程师不同意承包人提出的变更价款，按合同通用条款第40条关于争议的约定处理。</w:t>
      </w:r>
    </w:p>
    <w:p w14:paraId="6C314A8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33.5工程师确认增加的工程变更价款作为追加合同价款，与工程款同期支付。</w:t>
      </w:r>
    </w:p>
    <w:p w14:paraId="0EA6EBF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33.6因承包人自身原因导致的工程变更，承包人无权要求追加合同价款。</w:t>
      </w:r>
    </w:p>
    <w:p w14:paraId="6C28B94D">
      <w:pPr>
        <w:adjustRightInd w:val="0"/>
        <w:snapToGrid w:val="0"/>
        <w:spacing w:line="360" w:lineRule="auto"/>
        <w:rPr>
          <w:rFonts w:ascii="宋体" w:hAnsi="宋体"/>
          <w:snapToGrid w:val="0"/>
          <w:color w:val="auto"/>
          <w:kern w:val="0"/>
          <w:sz w:val="24"/>
          <w:highlight w:val="none"/>
        </w:rPr>
      </w:pPr>
    </w:p>
    <w:p w14:paraId="398698A7">
      <w:pPr>
        <w:adjustRightInd w:val="0"/>
        <w:snapToGrid w:val="0"/>
        <w:spacing w:line="360" w:lineRule="auto"/>
        <w:ind w:right="11"/>
        <w:outlineLvl w:val="1"/>
        <w:rPr>
          <w:rFonts w:ascii="宋体" w:hAnsi="宋体"/>
          <w:b/>
          <w:snapToGrid w:val="0"/>
          <w:color w:val="auto"/>
          <w:kern w:val="0"/>
          <w:sz w:val="28"/>
          <w:highlight w:val="none"/>
        </w:rPr>
      </w:pPr>
      <w:r>
        <w:rPr>
          <w:rFonts w:hint="eastAsia" w:ascii="宋体" w:hAnsi="宋体"/>
          <w:b/>
          <w:snapToGrid w:val="0"/>
          <w:color w:val="auto"/>
          <w:kern w:val="0"/>
          <w:sz w:val="28"/>
          <w:highlight w:val="none"/>
        </w:rPr>
        <w:t>九、竣工验收与结算</w:t>
      </w:r>
    </w:p>
    <w:p w14:paraId="28CAD4DA">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34、竣工验收</w:t>
      </w:r>
    </w:p>
    <w:p w14:paraId="4D7B2E2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34.1工程具备竣工验收条件，承包人按国家工程竣工验收有关规定，向发包人提供完整竣工资料及竣工验收报告。双方约定由承包人提供竣工图的，应当在合同专用条款约定提供的日期和份数。</w:t>
      </w:r>
    </w:p>
    <w:p w14:paraId="2303F0E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34.2发包人收到竣工验收报告后28天内组织有关单位验收，并在验收后14天内给予认可或提出修改意见。承包人按要求修改，并承担由自身原因造成修改的费用。</w:t>
      </w:r>
    </w:p>
    <w:p w14:paraId="69B5605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34.3发包人收到承包人送交的竣工验收报告后28天内不组织验收，或验收后14天内不提出修改意见，视为竣工验收报告已被认可。</w:t>
      </w:r>
    </w:p>
    <w:p w14:paraId="541225F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34.4工程竣工验收通过，承包人送交竣工验收报告的日期为实际竣工日期。工程按发包人要求修改后通过竣工验收的，实际竣工日期为承包人修改后提请发包人验收的日期。</w:t>
      </w:r>
    </w:p>
    <w:p w14:paraId="622631B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34.5发包人收到承包人竣工验收报告后28天内不组织验收，从第29天起承担工程保管及一切意外责任。</w:t>
      </w:r>
    </w:p>
    <w:p w14:paraId="3D47400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34.6中间交工工程的范围和竣工时间，双方在合同专用条款内约定，其验收程序按合同通用条款34.1款至34.4款办理。</w:t>
      </w:r>
    </w:p>
    <w:p w14:paraId="7DF0A99C">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34.7因特殊原因，发包人要求部分单位工程或工程部位甩项竣工的，双方另行签订甩项竣工协议，明确双方责任和工程价款的支付方法。</w:t>
      </w:r>
    </w:p>
    <w:p w14:paraId="7847837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34.8工程未经竣工验收或竣工验收未通过的，发包人不得使用。发包人强行使用时，由此发生的质量问题及其他问题，由发包人承担责任。</w:t>
      </w:r>
    </w:p>
    <w:p w14:paraId="3389940C">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35、工程移交</w:t>
      </w:r>
    </w:p>
    <w:p w14:paraId="316EDFC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双方在合同专用条款内约定工程移交办法。</w:t>
      </w:r>
    </w:p>
    <w:p w14:paraId="4BE70199">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36、竣工结算</w:t>
      </w:r>
    </w:p>
    <w:p w14:paraId="617955C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36.1工程竣工验收报告经发包人认可后28天内，承包人向发包人递交竣工结算报告及完整的结算资料，双方按照合同协议书约定的合同价款及合同专用条款约定的合同价款调整内容，进行工程竣工结算。</w:t>
      </w:r>
    </w:p>
    <w:p w14:paraId="64AD408D">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36.2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14:paraId="4A15A14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36.3发包人收到竣工结算报告及结算资料后28天内无正当理由不支付工程竣工结算价款，从第29天起按承包人同期向银行贷款利率支付拖欠工程价款的利息，并承担违约责任。</w:t>
      </w:r>
    </w:p>
    <w:p w14:paraId="3E1C9120">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36.4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14:paraId="3AB1630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36.5工程竣工验收报告经发包人认可后28天内，承包人未能向发包人递交竣工结算报告及完整的结算资料，造成工程竣工结算不能正常进行或工程竣工结算价款不能及进支付，发包人要求交付工程的，承包人应当交付；发包人不要求交付工程的，承包人承担保管责任。</w:t>
      </w:r>
    </w:p>
    <w:p w14:paraId="4ADCF5E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36.6发包人、承包人对工程竣工结算价款发生争议时，按合同通用条款40条关于争议的约定处理。</w:t>
      </w:r>
    </w:p>
    <w:p w14:paraId="18AF929B">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37、质量保修</w:t>
      </w:r>
    </w:p>
    <w:p w14:paraId="08DB3CE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37.1承包人应按法律、行政法规或国家关于工程质量保修的有关规定，对交付发包人使用的工程在质量保修期内承担质量保修责任。</w:t>
      </w:r>
    </w:p>
    <w:p w14:paraId="230B3ED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37.2质量保修工作的实施。承包人应在工程竣工验收之前，与发包人签订质量保修书，作为合同附件1。</w:t>
      </w:r>
    </w:p>
    <w:p w14:paraId="098E77D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37.3质量保修书的主要内容包括：</w:t>
      </w:r>
    </w:p>
    <w:p w14:paraId="7C2586C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（1）质量保修项目内容及范围；</w:t>
      </w:r>
    </w:p>
    <w:p w14:paraId="6DB86EE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（2）质量保修期；</w:t>
      </w:r>
    </w:p>
    <w:p w14:paraId="4FDA87DD">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（3）质量保修责任。</w:t>
      </w:r>
    </w:p>
    <w:p w14:paraId="7A937A1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（4）质量保修金的支付方法。</w:t>
      </w:r>
    </w:p>
    <w:p w14:paraId="75E3BCDF">
      <w:pPr>
        <w:adjustRightInd w:val="0"/>
        <w:snapToGrid w:val="0"/>
        <w:spacing w:line="360" w:lineRule="auto"/>
        <w:rPr>
          <w:rFonts w:ascii="宋体" w:hAnsi="宋体"/>
          <w:snapToGrid w:val="0"/>
          <w:color w:val="auto"/>
          <w:kern w:val="0"/>
          <w:sz w:val="24"/>
          <w:highlight w:val="none"/>
        </w:rPr>
      </w:pPr>
    </w:p>
    <w:p w14:paraId="6AB55626">
      <w:pPr>
        <w:adjustRightInd w:val="0"/>
        <w:snapToGrid w:val="0"/>
        <w:spacing w:line="360" w:lineRule="auto"/>
        <w:ind w:right="11"/>
        <w:outlineLvl w:val="1"/>
        <w:rPr>
          <w:rFonts w:ascii="宋体" w:hAnsi="宋体"/>
          <w:b/>
          <w:snapToGrid w:val="0"/>
          <w:color w:val="auto"/>
          <w:kern w:val="0"/>
          <w:sz w:val="28"/>
          <w:highlight w:val="none"/>
        </w:rPr>
      </w:pPr>
      <w:r>
        <w:rPr>
          <w:rFonts w:hint="eastAsia" w:ascii="宋体" w:hAnsi="宋体"/>
          <w:b/>
          <w:snapToGrid w:val="0"/>
          <w:color w:val="auto"/>
          <w:kern w:val="0"/>
          <w:sz w:val="28"/>
          <w:highlight w:val="none"/>
        </w:rPr>
        <w:t>十、违约、索赔和争议</w:t>
      </w:r>
    </w:p>
    <w:p w14:paraId="7EB24572">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38、违约</w:t>
      </w:r>
    </w:p>
    <w:p w14:paraId="72C9D0A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38.1发包人违约。当发生下列情况时：</w:t>
      </w:r>
    </w:p>
    <w:p w14:paraId="0F90FC6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（1）合同通用条款第26条提到的发包人不按时支付工程预付款；</w:t>
      </w:r>
    </w:p>
    <w:p w14:paraId="714D7DE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（2）合同通用条款第28.4款提到的发包人不按合同约定支付工程款，导致施工无法进行；</w:t>
      </w:r>
    </w:p>
    <w:p w14:paraId="0EC5CBF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（3）合同通用条款第36.3款提到的发包人无正当理由不支付工程竣工结算价款；</w:t>
      </w:r>
    </w:p>
    <w:p w14:paraId="2C8A979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（4）发包人不履行合同义务或不按合同约定履行义务的其他情况。</w:t>
      </w:r>
    </w:p>
    <w:p w14:paraId="6F2D974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发包人承担违约责任，赔偿因其违约给承包人造成的经济损失，顺延延误的工期。双方在合同专用条款内约定发包人赔偿承包人损失的计算方法或者发包人应当支付违约金的数额或计算方法。</w:t>
      </w:r>
    </w:p>
    <w:p w14:paraId="39484D4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38.2承包人违约。当发生下列情况时：</w:t>
      </w:r>
    </w:p>
    <w:p w14:paraId="65D628AC">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（1）合同通用条款第14.2款提到的因承包人原因不能按照合同协议书约定的竣工日期或工程师同意顺延的工期竣工；</w:t>
      </w:r>
    </w:p>
    <w:p w14:paraId="7D2EAB3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（2）合同通用条款第15.1款提到的因承包人原因工程质量达不到合同协议书约定的质量标准；</w:t>
      </w:r>
    </w:p>
    <w:p w14:paraId="1B58271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（3）承包人不履行合同义务或不按合同约定履行义务的其他情况。</w:t>
      </w:r>
    </w:p>
    <w:p w14:paraId="19262C0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承包人承担违约，赔偿因其违约给发包人造成的损失。双方在合同专用条款内约定承包人赔偿发包人损失的计算方法或者承包人应当支付违约金的数额或计算方法。</w:t>
      </w:r>
    </w:p>
    <w:p w14:paraId="28538D7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38.3一方违约后，另一方要求违约方继续履行合同时，违约方承担上述违约责任后仍应继续履行合同。</w:t>
      </w:r>
    </w:p>
    <w:p w14:paraId="6EF85D17">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39、索赔</w:t>
      </w:r>
    </w:p>
    <w:p w14:paraId="5425361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39.1当一方向另一方提出索赔时，要有正当索赔理由，且有索赔事件发生时的有效证据。</w:t>
      </w:r>
    </w:p>
    <w:p w14:paraId="535F8D8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39.2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14:paraId="66B8512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（1）索赔事件发生后28天内，向工程师发出索赔意向通知；</w:t>
      </w:r>
    </w:p>
    <w:p w14:paraId="79E6887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（2）发出索赔意向通知后28天内，向工程师提出延长工期和（或）补偿经济损失的索赔报告及有关资料；</w:t>
      </w:r>
    </w:p>
    <w:p w14:paraId="1FBF458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（3）工程师在收到承包人送交的索赔报告和有关资料后，于28天内给予答复，或要求承包人进一步补充索赔理由和证据；</w:t>
      </w:r>
    </w:p>
    <w:p w14:paraId="1FE8ECF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（4）工程师在收到承包人送交的索赔报告和有关资料后28天内未予答复或未对承包人作出进一步要求，视为该项索赔已经认可；</w:t>
      </w:r>
    </w:p>
    <w:p w14:paraId="23B09CD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（5）当该索赔事件持续进行时，承包人应当阶段性向工程师发出索赔意向，在索赔事件终了后28天内，向工程师送交索赔的有关资料和最终索赔报告。索赔答复程序与（3）、（4）规定相同。</w:t>
      </w:r>
    </w:p>
    <w:p w14:paraId="28ACB01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39.3承包人未能按合同约定履行自己的各项义务或发生错误，给发包人造成经济损失，发包人可按39.2款确定的时限向承包人提出索赔。</w:t>
      </w:r>
    </w:p>
    <w:p w14:paraId="6806ACF5">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40、争议</w:t>
      </w:r>
    </w:p>
    <w:p w14:paraId="636ACB80">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40.1发包人、承包人在履行合同时发生争议，可以和解或者要求有关主管部门调解。当事人不愿和解、调解或者和解、调解不成的，双方可以在合同专用条款内约定以下一种方式解决争议：</w:t>
      </w:r>
    </w:p>
    <w:p w14:paraId="39F5723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第一种解决方式：双方达成仲裁协议，向约定的仲裁委员会申请仲裁；</w:t>
      </w:r>
    </w:p>
    <w:p w14:paraId="3B84EEA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第二种解决方式：向有管辖权的人民法院起诉。</w:t>
      </w:r>
    </w:p>
    <w:p w14:paraId="10EC0B0C">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40.2发生争议后，除非出现下列情况的，双方都应继续履行合同，保持施工连续，保护好已完工程：</w:t>
      </w:r>
    </w:p>
    <w:p w14:paraId="480A35E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（1）单方违约导致合同确已无法履行，双方协议停止施工；</w:t>
      </w:r>
    </w:p>
    <w:p w14:paraId="2D0859A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（2）调解要求停止施工，且为双方接受；</w:t>
      </w:r>
    </w:p>
    <w:p w14:paraId="23A7863C">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（3）仲裁机构要求停止施工；</w:t>
      </w:r>
    </w:p>
    <w:p w14:paraId="57C2BFA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（4）法院要求停止施工。</w:t>
      </w:r>
    </w:p>
    <w:p w14:paraId="2995E66A">
      <w:pPr>
        <w:adjustRightInd w:val="0"/>
        <w:snapToGrid w:val="0"/>
        <w:spacing w:line="360" w:lineRule="auto"/>
        <w:rPr>
          <w:rFonts w:ascii="宋体" w:hAnsi="宋体"/>
          <w:snapToGrid w:val="0"/>
          <w:color w:val="auto"/>
          <w:kern w:val="0"/>
          <w:sz w:val="24"/>
          <w:highlight w:val="none"/>
        </w:rPr>
      </w:pPr>
    </w:p>
    <w:p w14:paraId="40EB6669">
      <w:pPr>
        <w:adjustRightInd w:val="0"/>
        <w:snapToGrid w:val="0"/>
        <w:spacing w:line="360" w:lineRule="auto"/>
        <w:ind w:right="11"/>
        <w:outlineLvl w:val="1"/>
        <w:rPr>
          <w:rFonts w:ascii="宋体" w:hAnsi="宋体"/>
          <w:b/>
          <w:snapToGrid w:val="0"/>
          <w:color w:val="auto"/>
          <w:kern w:val="0"/>
          <w:sz w:val="28"/>
          <w:highlight w:val="none"/>
        </w:rPr>
      </w:pPr>
      <w:r>
        <w:rPr>
          <w:rFonts w:hint="eastAsia" w:ascii="宋体" w:hAnsi="宋体"/>
          <w:b/>
          <w:snapToGrid w:val="0"/>
          <w:color w:val="auto"/>
          <w:kern w:val="0"/>
          <w:sz w:val="28"/>
          <w:highlight w:val="none"/>
        </w:rPr>
        <w:t>十一、其他</w:t>
      </w:r>
    </w:p>
    <w:p w14:paraId="3A1DCB19">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41、工程分包</w:t>
      </w:r>
    </w:p>
    <w:p w14:paraId="5F25C7B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41.1承包人按合同专用条款的约定分包所承包的部分工程，并与分包单位签订分包合同。非经发包人同意，承包人不得将承包工程的任务部分分包。</w:t>
      </w:r>
    </w:p>
    <w:p w14:paraId="5DE38F5D">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41.2承包人不得将其承包的全部工程转包给他人，也不得将其承包的全部工程肢解以后以分包的名义分别转包给他人。</w:t>
      </w:r>
    </w:p>
    <w:p w14:paraId="4D6061C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41.3工程分包不能解除承包人任何责任与义务。承包人应在分包场地派驻相应管理人员，保证本合同的履行。分包单位的任何违约行为或疏忽导致工程损害或给发包人造成其他损失，承包人承担连带责任。</w:t>
      </w:r>
    </w:p>
    <w:p w14:paraId="7C3C05E0">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41.4分包工程价款由承包人与发包单位结算。发包人未经承包人同意不得以任何形式向分包单位支付各种工程款项。</w:t>
      </w:r>
    </w:p>
    <w:p w14:paraId="26733A44">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42、不可抗力</w:t>
      </w:r>
    </w:p>
    <w:p w14:paraId="1600B18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42.1不可抗力包括因战争、动乱、空中飞行物体坠落或其他非发包人、承包人责任造成的爆炸、火灾，以及合同专用条款约定的风、雨、雪、洪、震等自然灾害。</w:t>
      </w:r>
    </w:p>
    <w:p w14:paraId="023B0A2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42.2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14:paraId="5F76146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42.3因不可抗力事件导致的费用及延误的工期由双方按以下方法分别承担：</w:t>
      </w:r>
    </w:p>
    <w:p w14:paraId="50B5A02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（1）工程本身的损害、因工程损害导致第三人人员伤亡和财产损失以及运至施工场地用于施工的材料和待安装的设备的损害，由发包人承担；</w:t>
      </w:r>
    </w:p>
    <w:p w14:paraId="5565FBB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（2）发包人、承包人人员伤亡由其所在单位负责，并承担相应费用；</w:t>
      </w:r>
    </w:p>
    <w:p w14:paraId="4CDC950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（3）承包人机械设备损坏及停工损失，由承包人承担；</w:t>
      </w:r>
    </w:p>
    <w:p w14:paraId="152542A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（4）停工期间，承包人应工程师要求留在施工场地的必要的管理人员及保卫人员的费用由发包人承担；</w:t>
      </w:r>
    </w:p>
    <w:p w14:paraId="4997057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（5）工程所需清理、修复费用，由发包人承担；</w:t>
      </w:r>
    </w:p>
    <w:p w14:paraId="37B7488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（6）延误的工期相应顺延。</w:t>
      </w:r>
    </w:p>
    <w:p w14:paraId="41CD5E3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42.4因合同一方迟延履行合同后发生不可抗力的，不能免除迟延履行方的相应责任。</w:t>
      </w:r>
    </w:p>
    <w:p w14:paraId="6BF3E7CC">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43、保险</w:t>
      </w:r>
    </w:p>
    <w:p w14:paraId="31322FA3">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43.1工程开工前，发包人为建设工程和施工场地内的自有人员及第三人人员生命财产办理保险，支付保险费用。</w:t>
      </w:r>
    </w:p>
    <w:p w14:paraId="363106CC">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43.2运至施工场地内用于工程的材料和待安装设备，由发包人办理保险，并支付保险费用。</w:t>
      </w:r>
    </w:p>
    <w:p w14:paraId="30CF9A80">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43.3发包人可以将有关保险事项委托承包人办理，费用由发包人承担。</w:t>
      </w:r>
    </w:p>
    <w:p w14:paraId="0EA5D796">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43.4承包人必须为从事危险作业的职工办理意外伤害保险，并为施工场地内自有人员生命财产和施工机械设备办理保险，支付保险费用。</w:t>
      </w:r>
    </w:p>
    <w:p w14:paraId="6C78F840">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43.5保险事故发生时，发包人、承包人有责任尽力采取必要的措施，防止或者减少损失。</w:t>
      </w:r>
    </w:p>
    <w:p w14:paraId="7B241D6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43.6具体投保内容和相关责任，发包人、承包人在合同专用条款中约定。</w:t>
      </w:r>
    </w:p>
    <w:p w14:paraId="5D3A6344">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44、担保</w:t>
      </w:r>
    </w:p>
    <w:p w14:paraId="3ACE1035">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44.1发包人、承包人为了全面履行合同，应互相提供以下担保：</w:t>
      </w:r>
    </w:p>
    <w:p w14:paraId="6B054480">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（1）发包人向承包人提供履约担保，按合同约定支付工程价款及履行合同约定的其他义务。</w:t>
      </w:r>
    </w:p>
    <w:p w14:paraId="02B6C70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（2）承包人向发包人提供履约担保，按合同约定履行自己的各项义务。</w:t>
      </w:r>
    </w:p>
    <w:p w14:paraId="03A9A21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44.2一方违约后，另一方可要求提供担保的第三人承担相应责任。</w:t>
      </w:r>
    </w:p>
    <w:p w14:paraId="735F777B">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44.3提供担保的内容、方式和相关责任，发包人、承包人除在合同专用条款中约定外，被担保方与担保方还应签订担保合同，作为合同附件。</w:t>
      </w:r>
    </w:p>
    <w:p w14:paraId="33FCC3B0">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45、专利技术及特殊工艺</w:t>
      </w:r>
    </w:p>
    <w:p w14:paraId="37B6082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45.1发包人要求使用专利技术或特殊工艺，应负责办理相应的申报手续，承担申报、试验、使用等费用；承包人提出使用专利技术或特殊工艺，应取得工程师认可，承包人负责办理申报手续并承担有关费用。</w:t>
      </w:r>
    </w:p>
    <w:p w14:paraId="6D3DCB7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45.2擅自使用专利技术侵犯他人专利权的，责任者依法承担相应责任。</w:t>
      </w:r>
    </w:p>
    <w:p w14:paraId="3B030920">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46、文物和地下障碍物</w:t>
      </w:r>
    </w:p>
    <w:p w14:paraId="1846F5D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46.1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管理部门的要求采取妥善保护措施。发包人承担由此发生的费用，顺延延误的工期。</w:t>
      </w:r>
    </w:p>
    <w:p w14:paraId="49B64E14">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如发现隐瞒不报，致使文物遭受破坏，责任者依法承担相应责任。</w:t>
      </w:r>
    </w:p>
    <w:p w14:paraId="7D8D82E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46.2施工中发现影响施工的地下障碍物时，承包人应于8小时内以书面形式通知工程师，同时提出处置方案，工程师收到处置方案后24小时内予以认可或提出修正方案。发包人承担由此发生的费用，顺延延误的工期。</w:t>
      </w:r>
    </w:p>
    <w:p w14:paraId="25CD140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所发现的地下障碍物有归属单位时，发包人应报请有关部门协同处置。</w:t>
      </w:r>
    </w:p>
    <w:p w14:paraId="424B5DB1">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47、合同解除</w:t>
      </w:r>
    </w:p>
    <w:p w14:paraId="4F7D22A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47.1发包人、承包人协商一致，可以解除合同。</w:t>
      </w:r>
    </w:p>
    <w:p w14:paraId="7AD057F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47.2发生合同通用条款第28.4款情况，停止施工超过56天，发包人仍不支付工程款（进度款），承包人有权解除合同。</w:t>
      </w:r>
    </w:p>
    <w:p w14:paraId="5DBB836A">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47.3发生合同通用条款第41.2款禁止的情况，承包人将其承包的全部工程转包给他人或者肢解以后以分包的名义分别转包给他人，发包人有权解除合同。</w:t>
      </w:r>
    </w:p>
    <w:p w14:paraId="3D6F025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47.4有下列情形之一的，发包人、承包人可以解除合同：</w:t>
      </w:r>
    </w:p>
    <w:p w14:paraId="3F67134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（1）因不可抗力致使合同无法履行；</w:t>
      </w:r>
    </w:p>
    <w:p w14:paraId="174E502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（2）因一方违约（包括因发包人原因造成工程停建或缓建）致使合同无法履行。</w:t>
      </w:r>
    </w:p>
    <w:p w14:paraId="2F3F1BE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47.5一方依据本条第47.2、47.3、47.4款约定要求解除合同的，应以书面形式向对方发出解除合同的通知，并在发出通知前7天告知对方，通知到达对方时合同解除。对解除合同有争议的，按合同通用条款第40条关于争议的约定处理。</w:t>
      </w:r>
    </w:p>
    <w:p w14:paraId="4DB85A67">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47.6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14:paraId="3EBA62A1">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47.7合同解除后，不影响双方在合同约定的结算和清理条款的效力。</w:t>
      </w:r>
    </w:p>
    <w:p w14:paraId="49F9E71D">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48、合同生效与终止</w:t>
      </w:r>
    </w:p>
    <w:p w14:paraId="40D2029E">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48.1双方在合同协议书中约定合同生效方式。</w:t>
      </w:r>
    </w:p>
    <w:p w14:paraId="19470C20">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48.2除合同通用条款第40条外，发包人、承包人履行合同全部义务，竣工结算价款支付完毕，承包人向发包人交付竣工工程后，本合同即告终止。</w:t>
      </w:r>
    </w:p>
    <w:p w14:paraId="45D99AD9">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48.3合同的权利义务终止后，发包人、承包人应当遵循诚实信用原则，履行通知，协助、保密等义务。</w:t>
      </w:r>
    </w:p>
    <w:p w14:paraId="0D811819">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49、合同份数</w:t>
      </w:r>
    </w:p>
    <w:p w14:paraId="763E617D">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49.1本合同正本两份，具有同等效力，由发包人、承包人分别保存一份。</w:t>
      </w:r>
    </w:p>
    <w:p w14:paraId="65B3EAAF">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49.2本合同副本份数，由双方根据需要在合同专用条款内约定。</w:t>
      </w:r>
    </w:p>
    <w:p w14:paraId="5C5271B2">
      <w:pPr>
        <w:adjustRightInd w:val="0"/>
        <w:snapToGrid w:val="0"/>
        <w:spacing w:line="360" w:lineRule="auto"/>
        <w:ind w:firstLine="472" w:firstLineChars="196"/>
        <w:outlineLvl w:val="2"/>
        <w:rPr>
          <w:rFonts w:ascii="宋体" w:hAnsi="宋体"/>
          <w:b/>
          <w:snapToGrid w:val="0"/>
          <w:color w:val="auto"/>
          <w:kern w:val="0"/>
          <w:sz w:val="24"/>
          <w:highlight w:val="none"/>
        </w:rPr>
      </w:pPr>
      <w:r>
        <w:rPr>
          <w:rFonts w:hint="eastAsia" w:ascii="宋体" w:hAnsi="宋体"/>
          <w:b/>
          <w:snapToGrid w:val="0"/>
          <w:color w:val="auto"/>
          <w:kern w:val="0"/>
          <w:sz w:val="24"/>
          <w:highlight w:val="none"/>
        </w:rPr>
        <w:t>50、补充条款</w:t>
      </w:r>
    </w:p>
    <w:p w14:paraId="2B945E68">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双方根据有关法律、行政法规规定，结合工程实际，经协商一致后，可对合同通用条款内容具体化、补充或修改，在合同专用条款内约定。</w:t>
      </w:r>
    </w:p>
    <w:p w14:paraId="15853760">
      <w:pPr>
        <w:adjustRightInd w:val="0"/>
        <w:snapToGrid w:val="0"/>
        <w:spacing w:line="360" w:lineRule="auto"/>
        <w:rPr>
          <w:rFonts w:ascii="宋体" w:hAnsi="宋体"/>
          <w:snapToGrid w:val="0"/>
          <w:color w:val="auto"/>
          <w:kern w:val="0"/>
          <w:sz w:val="24"/>
          <w:highlight w:val="none"/>
        </w:rPr>
      </w:pPr>
    </w:p>
    <w:p w14:paraId="563906E4">
      <w:pPr>
        <w:spacing w:line="560" w:lineRule="exact"/>
        <w:rPr>
          <w:rFonts w:ascii="宋体" w:hAnsi="宋体"/>
          <w:snapToGrid w:val="0"/>
          <w:color w:val="auto"/>
          <w:kern w:val="0"/>
          <w:sz w:val="28"/>
          <w:szCs w:val="28"/>
          <w:highlight w:val="none"/>
        </w:rPr>
      </w:pPr>
      <w:r>
        <w:rPr>
          <w:rFonts w:ascii="宋体" w:hAnsi="宋体"/>
          <w:snapToGrid w:val="0"/>
          <w:color w:val="auto"/>
          <w:kern w:val="0"/>
          <w:sz w:val="24"/>
          <w:highlight w:val="none"/>
        </w:rPr>
        <w:br w:type="page"/>
      </w:r>
    </w:p>
    <w:p w14:paraId="18CB455F">
      <w:pPr>
        <w:adjustRightInd w:val="0"/>
        <w:snapToGrid w:val="0"/>
        <w:spacing w:line="360" w:lineRule="auto"/>
        <w:jc w:val="center"/>
        <w:outlineLvl w:val="0"/>
        <w:rPr>
          <w:rFonts w:ascii="宋体" w:hAnsi="宋体"/>
          <w:b/>
          <w:bCs/>
          <w:snapToGrid w:val="0"/>
          <w:color w:val="auto"/>
          <w:kern w:val="0"/>
          <w:sz w:val="44"/>
          <w:szCs w:val="44"/>
          <w:highlight w:val="none"/>
        </w:rPr>
      </w:pPr>
      <w:r>
        <w:rPr>
          <w:rFonts w:hint="eastAsia" w:ascii="宋体" w:hAnsi="宋体"/>
          <w:b/>
          <w:bCs/>
          <w:snapToGrid w:val="0"/>
          <w:color w:val="auto"/>
          <w:kern w:val="0"/>
          <w:sz w:val="44"/>
          <w:szCs w:val="44"/>
          <w:highlight w:val="none"/>
        </w:rPr>
        <w:t>第四篇  合同附件</w:t>
      </w:r>
    </w:p>
    <w:p w14:paraId="1D52A9FC">
      <w:pPr>
        <w:adjustRightInd w:val="0"/>
        <w:snapToGrid w:val="0"/>
        <w:spacing w:line="360" w:lineRule="auto"/>
        <w:ind w:right="11"/>
        <w:rPr>
          <w:rFonts w:ascii="宋体" w:hAnsi="宋体"/>
          <w:snapToGrid w:val="0"/>
          <w:color w:val="auto"/>
          <w:kern w:val="0"/>
          <w:sz w:val="24"/>
          <w:szCs w:val="24"/>
          <w:highlight w:val="none"/>
        </w:rPr>
      </w:pPr>
      <w:bookmarkStart w:id="11" w:name="_Toc132199654"/>
      <w:r>
        <w:rPr>
          <w:rFonts w:hint="eastAsia" w:ascii="宋体" w:hAnsi="宋体"/>
          <w:snapToGrid w:val="0"/>
          <w:color w:val="auto"/>
          <w:kern w:val="0"/>
          <w:sz w:val="24"/>
          <w:szCs w:val="24"/>
          <w:highlight w:val="none"/>
        </w:rPr>
        <w:t>附件1：</w:t>
      </w:r>
    </w:p>
    <w:p w14:paraId="002FE68A">
      <w:pPr>
        <w:adjustRightInd w:val="0"/>
        <w:snapToGrid w:val="0"/>
        <w:spacing w:line="360" w:lineRule="auto"/>
        <w:jc w:val="center"/>
        <w:outlineLvl w:val="1"/>
        <w:rPr>
          <w:rFonts w:ascii="宋体" w:hAnsi="宋体"/>
          <w:b/>
          <w:snapToGrid w:val="0"/>
          <w:color w:val="auto"/>
          <w:kern w:val="0"/>
          <w:sz w:val="32"/>
          <w:szCs w:val="32"/>
          <w:highlight w:val="none"/>
        </w:rPr>
      </w:pPr>
      <w:r>
        <w:rPr>
          <w:rFonts w:hint="eastAsia"/>
          <w:b/>
          <w:snapToGrid w:val="0"/>
          <w:color w:val="auto"/>
          <w:kern w:val="0"/>
          <w:sz w:val="32"/>
          <w:szCs w:val="32"/>
          <w:highlight w:val="none"/>
        </w:rPr>
        <w:t>工程质量保修书</w:t>
      </w:r>
      <w:bookmarkEnd w:id="11"/>
    </w:p>
    <w:p w14:paraId="43A9A4F2">
      <w:pPr>
        <w:adjustRightInd w:val="0"/>
        <w:snapToGrid w:val="0"/>
        <w:spacing w:line="360" w:lineRule="auto"/>
        <w:ind w:right="11"/>
        <w:rPr>
          <w:rFonts w:ascii="宋体" w:hAnsi="宋体"/>
          <w:snapToGrid w:val="0"/>
          <w:color w:val="auto"/>
          <w:kern w:val="0"/>
          <w:sz w:val="24"/>
          <w:highlight w:val="none"/>
        </w:rPr>
      </w:pPr>
    </w:p>
    <w:p w14:paraId="2F967788">
      <w:pPr>
        <w:adjustRightInd w:val="0"/>
        <w:snapToGrid w:val="0"/>
        <w:spacing w:line="360" w:lineRule="auto"/>
        <w:ind w:right="11"/>
        <w:rPr>
          <w:rFonts w:ascii="宋体" w:hAnsi="宋体"/>
          <w:b/>
          <w:snapToGrid w:val="0"/>
          <w:color w:val="auto"/>
          <w:kern w:val="0"/>
          <w:sz w:val="24"/>
          <w:highlight w:val="none"/>
        </w:rPr>
      </w:pPr>
      <w:r>
        <w:rPr>
          <w:rFonts w:hint="eastAsia" w:ascii="宋体" w:hAnsi="宋体"/>
          <w:b/>
          <w:snapToGrid w:val="0"/>
          <w:color w:val="auto"/>
          <w:kern w:val="0"/>
          <w:sz w:val="24"/>
          <w:highlight w:val="none"/>
        </w:rPr>
        <w:t>发包人：</w:t>
      </w:r>
      <w:r>
        <w:rPr>
          <w:rFonts w:hint="eastAsia" w:ascii="宋体" w:hAnsi="宋体"/>
          <w:color w:val="auto"/>
          <w:sz w:val="24"/>
          <w:szCs w:val="24"/>
          <w:highlight w:val="none"/>
          <w:u w:val="single"/>
        </w:rPr>
        <w:t>广州市越秀区代建项目管理中心</w:t>
      </w:r>
    </w:p>
    <w:p w14:paraId="074464B2">
      <w:pPr>
        <w:adjustRightInd w:val="0"/>
        <w:snapToGrid w:val="0"/>
        <w:spacing w:line="360" w:lineRule="auto"/>
        <w:ind w:left="1928" w:right="11" w:hanging="1928" w:hangingChars="800"/>
        <w:rPr>
          <w:rFonts w:ascii="宋体" w:hAnsi="宋体"/>
          <w:b/>
          <w:snapToGrid w:val="0"/>
          <w:color w:val="auto"/>
          <w:kern w:val="0"/>
          <w:sz w:val="24"/>
          <w:highlight w:val="none"/>
          <w:u w:val="single"/>
        </w:rPr>
      </w:pPr>
      <w:r>
        <w:rPr>
          <w:rFonts w:hint="eastAsia" w:ascii="宋体" w:hAnsi="宋体"/>
          <w:b/>
          <w:snapToGrid w:val="0"/>
          <w:color w:val="auto"/>
          <w:kern w:val="0"/>
          <w:sz w:val="24"/>
          <w:highlight w:val="none"/>
        </w:rPr>
        <w:t xml:space="preserve">承包人：   </w:t>
      </w:r>
    </w:p>
    <w:p w14:paraId="793202D3">
      <w:pPr>
        <w:adjustRightInd w:val="0"/>
        <w:snapToGrid w:val="0"/>
        <w:spacing w:line="360" w:lineRule="auto"/>
        <w:ind w:right="11"/>
        <w:rPr>
          <w:rFonts w:ascii="宋体" w:hAnsi="宋体"/>
          <w:snapToGrid w:val="0"/>
          <w:color w:val="auto"/>
          <w:kern w:val="0"/>
          <w:sz w:val="24"/>
          <w:szCs w:val="24"/>
          <w:highlight w:val="none"/>
        </w:rPr>
      </w:pPr>
    </w:p>
    <w:p w14:paraId="6155E66B">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ascii="宋体" w:hAnsi="宋体"/>
          <w:snapToGrid w:val="0"/>
          <w:color w:val="auto"/>
          <w:kern w:val="0"/>
          <w:sz w:val="24"/>
          <w:szCs w:val="24"/>
          <w:highlight w:val="none"/>
        </w:rPr>
        <w:t>发包人、承包人根据《中华人民共和国建筑法》、《建设工程质量管理条例》和《房屋建筑工程质量保修办法》，经协商一致，对</w:t>
      </w:r>
      <w:r>
        <w:rPr>
          <w:rFonts w:hint="eastAsia" w:ascii="宋体" w:hAnsi="宋体"/>
          <w:snapToGrid w:val="0"/>
          <w:color w:val="auto"/>
          <w:kern w:val="0"/>
          <w:sz w:val="24"/>
          <w:szCs w:val="24"/>
          <w:highlight w:val="none"/>
          <w:u w:val="single"/>
        </w:rPr>
        <w:t>花果山产业小镇综合配套工程建设项目</w:t>
      </w:r>
      <w:r>
        <w:rPr>
          <w:rFonts w:ascii="宋体" w:hAnsi="宋体"/>
          <w:snapToGrid w:val="0"/>
          <w:color w:val="auto"/>
          <w:kern w:val="0"/>
          <w:sz w:val="24"/>
          <w:szCs w:val="24"/>
          <w:highlight w:val="none"/>
        </w:rPr>
        <w:t>（工程全称）签</w:t>
      </w:r>
      <w:r>
        <w:rPr>
          <w:rFonts w:hint="eastAsia" w:ascii="宋体" w:hAnsi="宋体"/>
          <w:snapToGrid w:val="0"/>
          <w:color w:val="auto"/>
          <w:kern w:val="0"/>
          <w:sz w:val="24"/>
          <w:szCs w:val="24"/>
          <w:highlight w:val="none"/>
        </w:rPr>
        <w:t>订</w:t>
      </w:r>
      <w:r>
        <w:rPr>
          <w:rFonts w:ascii="宋体" w:hAnsi="宋体"/>
          <w:snapToGrid w:val="0"/>
          <w:color w:val="auto"/>
          <w:kern w:val="0"/>
          <w:sz w:val="24"/>
          <w:szCs w:val="24"/>
          <w:highlight w:val="none"/>
        </w:rPr>
        <w:t>工程质量保修书。</w:t>
      </w:r>
    </w:p>
    <w:p w14:paraId="1CC7ACB0">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ascii="宋体" w:hAnsi="宋体"/>
          <w:snapToGrid w:val="0"/>
          <w:color w:val="auto"/>
          <w:kern w:val="0"/>
          <w:sz w:val="24"/>
          <w:szCs w:val="24"/>
          <w:highlight w:val="none"/>
        </w:rPr>
        <w:t>一、工程质量保修范围和内容</w:t>
      </w:r>
    </w:p>
    <w:p w14:paraId="30746EA2">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ascii="宋体" w:hAnsi="宋体"/>
          <w:snapToGrid w:val="0"/>
          <w:color w:val="auto"/>
          <w:kern w:val="0"/>
          <w:sz w:val="24"/>
          <w:szCs w:val="24"/>
          <w:highlight w:val="none"/>
        </w:rPr>
        <w:t>承包人在质量保修期内，按照有关法律、法规、规章的管理规定和双方约定，承担本工程质量保修责任。</w:t>
      </w:r>
    </w:p>
    <w:p w14:paraId="18BC4909">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ascii="宋体" w:hAnsi="宋体"/>
          <w:snapToGrid w:val="0"/>
          <w:color w:val="auto"/>
          <w:kern w:val="0"/>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w:t>
      </w:r>
    </w:p>
    <w:p w14:paraId="4A61AD01">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ascii="宋体" w:hAnsi="宋体"/>
          <w:snapToGrid w:val="0"/>
          <w:color w:val="auto"/>
          <w:kern w:val="0"/>
          <w:sz w:val="24"/>
          <w:szCs w:val="24"/>
          <w:highlight w:val="none"/>
        </w:rPr>
        <w:t>二、质量保修期</w:t>
      </w:r>
    </w:p>
    <w:p w14:paraId="2C7E5920">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ascii="宋体" w:hAnsi="宋体"/>
          <w:snapToGrid w:val="0"/>
          <w:color w:val="auto"/>
          <w:kern w:val="0"/>
          <w:sz w:val="24"/>
          <w:szCs w:val="24"/>
          <w:highlight w:val="none"/>
        </w:rPr>
        <w:t>双方根据《建设工程质量管理条例》及有关规定，约定本工程的质量保修期如下：</w:t>
      </w:r>
    </w:p>
    <w:p w14:paraId="4DFA4159">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ascii="宋体" w:hAnsi="宋体"/>
          <w:snapToGrid w:val="0"/>
          <w:color w:val="auto"/>
          <w:kern w:val="0"/>
          <w:sz w:val="24"/>
          <w:szCs w:val="24"/>
          <w:highlight w:val="none"/>
        </w:rPr>
        <w:t>1．地基基础工程和主体结构工程，为设计文件规定的该工程的合理使用年限；</w:t>
      </w:r>
    </w:p>
    <w:p w14:paraId="4ED0CA54">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w:t>
      </w:r>
      <w:r>
        <w:rPr>
          <w:rFonts w:ascii="宋体" w:hAnsi="宋体"/>
          <w:snapToGrid w:val="0"/>
          <w:color w:val="auto"/>
          <w:kern w:val="0"/>
          <w:sz w:val="24"/>
          <w:szCs w:val="24"/>
          <w:highlight w:val="none"/>
        </w:rPr>
        <w:t>．屋面防水工程、有防水要求的卫生间、房间和外墙面的防渗漏，为5年；</w:t>
      </w:r>
    </w:p>
    <w:p w14:paraId="184CB6D2">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w:t>
      </w:r>
      <w:r>
        <w:rPr>
          <w:rFonts w:ascii="宋体" w:hAnsi="宋体"/>
          <w:snapToGrid w:val="0"/>
          <w:color w:val="auto"/>
          <w:kern w:val="0"/>
          <w:sz w:val="24"/>
          <w:szCs w:val="24"/>
          <w:highlight w:val="none"/>
        </w:rPr>
        <w:t>．供热与供冷系统，为2个采暖期、供冷期；</w:t>
      </w:r>
    </w:p>
    <w:p w14:paraId="38B2EBE2">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4</w:t>
      </w:r>
      <w:r>
        <w:rPr>
          <w:rFonts w:ascii="宋体" w:hAnsi="宋体"/>
          <w:snapToGrid w:val="0"/>
          <w:color w:val="auto"/>
          <w:kern w:val="0"/>
          <w:sz w:val="24"/>
          <w:szCs w:val="24"/>
          <w:highlight w:val="none"/>
        </w:rPr>
        <w:t>．电气管线、给排水管道、设备安装为2年；</w:t>
      </w:r>
    </w:p>
    <w:p w14:paraId="0718D3DB">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5</w:t>
      </w:r>
      <w:r>
        <w:rPr>
          <w:rFonts w:ascii="宋体" w:hAnsi="宋体"/>
          <w:snapToGrid w:val="0"/>
          <w:color w:val="auto"/>
          <w:kern w:val="0"/>
          <w:sz w:val="24"/>
          <w:szCs w:val="24"/>
          <w:highlight w:val="none"/>
        </w:rPr>
        <w:t>．装修工程为2年</w:t>
      </w:r>
      <w:r>
        <w:rPr>
          <w:rFonts w:hint="eastAsia" w:ascii="宋体" w:hAnsi="宋体"/>
          <w:snapToGrid w:val="0"/>
          <w:color w:val="auto"/>
          <w:kern w:val="0"/>
          <w:sz w:val="24"/>
          <w:szCs w:val="24"/>
          <w:highlight w:val="none"/>
        </w:rPr>
        <w:t>；</w:t>
      </w:r>
    </w:p>
    <w:p w14:paraId="44C77F8B">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6</w:t>
      </w:r>
      <w:r>
        <w:rPr>
          <w:rFonts w:ascii="宋体" w:hAnsi="宋体"/>
          <w:snapToGrid w:val="0"/>
          <w:color w:val="auto"/>
          <w:kern w:val="0"/>
          <w:sz w:val="24"/>
          <w:szCs w:val="24"/>
          <w:highlight w:val="none"/>
        </w:rPr>
        <w:t>．其他项目的保修期限为2年。</w:t>
      </w:r>
    </w:p>
    <w:p w14:paraId="5663B118">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ascii="宋体" w:hAnsi="宋体"/>
          <w:snapToGrid w:val="0"/>
          <w:color w:val="auto"/>
          <w:kern w:val="0"/>
          <w:sz w:val="24"/>
          <w:szCs w:val="24"/>
          <w:highlight w:val="none"/>
        </w:rPr>
        <w:t>质量保修期自工程竣工验收合格之</w:t>
      </w:r>
      <w:r>
        <w:rPr>
          <w:rFonts w:hint="eastAsia" w:ascii="宋体" w:hAnsi="宋体"/>
          <w:snapToGrid w:val="0"/>
          <w:color w:val="auto"/>
          <w:kern w:val="0"/>
          <w:sz w:val="24"/>
          <w:szCs w:val="24"/>
          <w:highlight w:val="none"/>
        </w:rPr>
        <w:t>日</w:t>
      </w:r>
      <w:r>
        <w:rPr>
          <w:rFonts w:ascii="宋体" w:hAnsi="宋体"/>
          <w:snapToGrid w:val="0"/>
          <w:color w:val="auto"/>
          <w:kern w:val="0"/>
          <w:sz w:val="24"/>
          <w:szCs w:val="24"/>
          <w:highlight w:val="none"/>
        </w:rPr>
        <w:t>起计算。</w:t>
      </w:r>
    </w:p>
    <w:p w14:paraId="1A0B8C92">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ascii="宋体" w:hAnsi="宋体"/>
          <w:snapToGrid w:val="0"/>
          <w:color w:val="auto"/>
          <w:kern w:val="0"/>
          <w:sz w:val="24"/>
          <w:szCs w:val="24"/>
          <w:highlight w:val="none"/>
        </w:rPr>
        <w:t>三、质量保修责任</w:t>
      </w:r>
    </w:p>
    <w:p w14:paraId="76F6B0E5">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ascii="宋体" w:hAnsi="宋体"/>
          <w:snapToGrid w:val="0"/>
          <w:color w:val="auto"/>
          <w:kern w:val="0"/>
          <w:sz w:val="24"/>
          <w:szCs w:val="24"/>
          <w:highlight w:val="none"/>
        </w:rPr>
        <w:t>1．属于保修范围、内容的项目，承包人应当在接到保修通知之日起7天内派人保修。承包人不在约定期限内派人保修的，发包人可以委托他人修理。</w:t>
      </w:r>
    </w:p>
    <w:p w14:paraId="1106E540">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ascii="宋体" w:hAnsi="宋体"/>
          <w:snapToGrid w:val="0"/>
          <w:color w:val="auto"/>
          <w:kern w:val="0"/>
          <w:sz w:val="24"/>
          <w:szCs w:val="24"/>
          <w:highlight w:val="none"/>
        </w:rPr>
        <w:t>2．发生紧急抢修事故的，承包人在接到事故通知后，应当立即到达事故现场抢修。</w:t>
      </w:r>
    </w:p>
    <w:p w14:paraId="5C69100D">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ascii="宋体" w:hAnsi="宋体"/>
          <w:snapToGrid w:val="0"/>
          <w:color w:val="auto"/>
          <w:kern w:val="0"/>
          <w:sz w:val="24"/>
          <w:szCs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w:t>
      </w:r>
      <w:r>
        <w:rPr>
          <w:rFonts w:hint="eastAsia" w:ascii="宋体" w:hAnsi="宋体"/>
          <w:snapToGrid w:val="0"/>
          <w:color w:val="auto"/>
          <w:kern w:val="0"/>
          <w:sz w:val="24"/>
          <w:szCs w:val="24"/>
          <w:highlight w:val="none"/>
        </w:rPr>
        <w:t>施</w:t>
      </w:r>
      <w:r>
        <w:rPr>
          <w:rFonts w:ascii="宋体" w:hAnsi="宋体"/>
          <w:snapToGrid w:val="0"/>
          <w:color w:val="auto"/>
          <w:kern w:val="0"/>
          <w:sz w:val="24"/>
          <w:szCs w:val="24"/>
          <w:highlight w:val="none"/>
        </w:rPr>
        <w:t>保修。</w:t>
      </w:r>
    </w:p>
    <w:p w14:paraId="3C95B4E2">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ascii="宋体" w:hAnsi="宋体"/>
          <w:snapToGrid w:val="0"/>
          <w:color w:val="auto"/>
          <w:kern w:val="0"/>
          <w:sz w:val="24"/>
          <w:szCs w:val="24"/>
          <w:highlight w:val="none"/>
        </w:rPr>
        <w:t>4．质量保修完成后，由发包人组织验收。</w:t>
      </w:r>
    </w:p>
    <w:p w14:paraId="7B8CD082">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四、保修费用</w:t>
      </w:r>
    </w:p>
    <w:p w14:paraId="3638BF64">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保修费用由造成质量缺陷的责任方承担。具体按照以下约定处理：</w:t>
      </w:r>
    </w:p>
    <w:p w14:paraId="711197D9">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保修期内，因承包人原因造成工程的缺陷、损坏，承包人应负责修复，并承担修复的费用以及因工程的缺陷、损坏造成的人身伤害和财产损失；承包人拒绝维修或未能在合理期限内修复缺陷或损坏，且经发包人书面催告后仍未修复的，发包人有权自行修复或委托第三方修复，所需费用由承包人承担。</w:t>
      </w:r>
    </w:p>
    <w:p w14:paraId="0A1D3F47">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2.保修期内，因发包人使用不当造成工程的缺陷、损坏，可以委托承包人修复，但发包人应承担修复的费用。</w:t>
      </w:r>
    </w:p>
    <w:p w14:paraId="6550550F">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3.因其他原因造成工程的缺陷、损坏，可以委托承包人修复，发包人应承担修复的费用，因工程的缺陷、损坏造成的人身伤害和财产损失由责任方承担。</w:t>
      </w:r>
    </w:p>
    <w:p w14:paraId="25B29A69">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ascii="宋体" w:hAnsi="宋体"/>
          <w:snapToGrid w:val="0"/>
          <w:color w:val="auto"/>
          <w:kern w:val="0"/>
          <w:sz w:val="24"/>
          <w:szCs w:val="24"/>
          <w:highlight w:val="none"/>
        </w:rPr>
        <w:t>五、其他</w:t>
      </w:r>
    </w:p>
    <w:p w14:paraId="3E3D7722">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ascii="宋体" w:hAnsi="宋体"/>
          <w:snapToGrid w:val="0"/>
          <w:color w:val="auto"/>
          <w:kern w:val="0"/>
          <w:sz w:val="24"/>
          <w:szCs w:val="24"/>
          <w:highlight w:val="none"/>
        </w:rPr>
        <w:t>双方约定的其他工程质量保修事项：</w:t>
      </w:r>
      <w:r>
        <w:rPr>
          <w:rFonts w:hint="eastAsia" w:ascii="宋体" w:hAnsi="宋体"/>
          <w:snapToGrid w:val="0"/>
          <w:color w:val="auto"/>
          <w:kern w:val="0"/>
          <w:sz w:val="24"/>
          <w:szCs w:val="24"/>
          <w:highlight w:val="none"/>
          <w:u w:val="single"/>
        </w:rPr>
        <w:t xml:space="preserve">     /       </w:t>
      </w:r>
      <w:r>
        <w:rPr>
          <w:rFonts w:ascii="宋体" w:hAnsi="宋体"/>
          <w:snapToGrid w:val="0"/>
          <w:color w:val="auto"/>
          <w:kern w:val="0"/>
          <w:sz w:val="24"/>
          <w:szCs w:val="24"/>
          <w:highlight w:val="none"/>
        </w:rPr>
        <w:t>。</w:t>
      </w:r>
    </w:p>
    <w:p w14:paraId="6D8AA7BE">
      <w:pPr>
        <w:adjustRightInd w:val="0"/>
        <w:snapToGrid w:val="0"/>
        <w:spacing w:line="360" w:lineRule="auto"/>
        <w:ind w:right="11" w:firstLine="480" w:firstLineChars="200"/>
        <w:rPr>
          <w:rFonts w:ascii="宋体" w:hAnsi="宋体"/>
          <w:snapToGrid w:val="0"/>
          <w:color w:val="auto"/>
          <w:kern w:val="0"/>
          <w:sz w:val="24"/>
          <w:szCs w:val="24"/>
          <w:highlight w:val="none"/>
        </w:rPr>
      </w:pPr>
      <w:r>
        <w:rPr>
          <w:rFonts w:ascii="宋体" w:hAnsi="宋体"/>
          <w:snapToGrid w:val="0"/>
          <w:color w:val="auto"/>
          <w:kern w:val="0"/>
          <w:sz w:val="24"/>
          <w:szCs w:val="24"/>
          <w:highlight w:val="none"/>
        </w:rPr>
        <w:t>本工程质量保修书，由施工合同发包人、承包人双方在竣工验收前共同签署，作为施工合同附件其有效期限至保修期满。</w:t>
      </w:r>
    </w:p>
    <w:p w14:paraId="082FA9FD">
      <w:pPr>
        <w:pStyle w:val="20"/>
        <w:adjustRightInd w:val="0"/>
        <w:snapToGrid w:val="0"/>
        <w:spacing w:line="360" w:lineRule="auto"/>
        <w:ind w:right="11" w:firstLine="0"/>
        <w:rPr>
          <w:rFonts w:ascii="宋体" w:hAnsi="宋体"/>
          <w:snapToGrid w:val="0"/>
          <w:color w:val="auto"/>
          <w:kern w:val="0"/>
          <w:highlight w:val="none"/>
        </w:rPr>
      </w:pPr>
    </w:p>
    <w:p w14:paraId="0BE3A8C6">
      <w:pPr>
        <w:adjustRightInd w:val="0"/>
        <w:snapToGrid w:val="0"/>
        <w:spacing w:line="360" w:lineRule="auto"/>
        <w:ind w:right="11"/>
        <w:rPr>
          <w:rFonts w:ascii="宋体" w:hAnsi="宋体"/>
          <w:snapToGrid w:val="0"/>
          <w:color w:val="auto"/>
          <w:spacing w:val="-20"/>
          <w:kern w:val="0"/>
          <w:sz w:val="24"/>
          <w:highlight w:val="none"/>
          <w:u w:val="single"/>
        </w:rPr>
      </w:pPr>
      <w:r>
        <w:rPr>
          <w:rFonts w:hint="eastAsia" w:ascii="宋体" w:hAnsi="宋体"/>
          <w:snapToGrid w:val="0"/>
          <w:color w:val="auto"/>
          <w:spacing w:val="-20"/>
          <w:kern w:val="0"/>
          <w:sz w:val="24"/>
          <w:highlight w:val="none"/>
        </w:rPr>
        <w:t>发包人：</w:t>
      </w:r>
      <w:r>
        <w:rPr>
          <w:rFonts w:hint="eastAsia" w:ascii="宋体" w:hAnsi="宋体"/>
          <w:color w:val="auto"/>
          <w:sz w:val="24"/>
          <w:szCs w:val="24"/>
          <w:highlight w:val="none"/>
          <w:u w:val="single"/>
        </w:rPr>
        <w:t>广州市越秀区代建项目管理中心</w:t>
      </w:r>
      <w:r>
        <w:rPr>
          <w:rFonts w:hint="eastAsia" w:ascii="宋体" w:hAnsi="宋体"/>
          <w:snapToGrid w:val="0"/>
          <w:color w:val="auto"/>
          <w:spacing w:val="-20"/>
          <w:kern w:val="0"/>
          <w:sz w:val="24"/>
          <w:highlight w:val="none"/>
        </w:rPr>
        <w:t xml:space="preserve">      承包人： </w:t>
      </w:r>
    </w:p>
    <w:p w14:paraId="3CC3ABDA">
      <w:pPr>
        <w:adjustRightInd w:val="0"/>
        <w:snapToGrid w:val="0"/>
        <w:spacing w:line="360" w:lineRule="auto"/>
        <w:ind w:right="11" w:firstLine="2400" w:firstLineChars="1000"/>
        <w:rPr>
          <w:rFonts w:ascii="宋体" w:hAnsi="宋体"/>
          <w:snapToGrid w:val="0"/>
          <w:color w:val="auto"/>
          <w:kern w:val="0"/>
          <w:sz w:val="24"/>
          <w:highlight w:val="none"/>
        </w:rPr>
      </w:pPr>
      <w:r>
        <w:rPr>
          <w:rFonts w:hint="eastAsia" w:ascii="宋体" w:hAnsi="宋体"/>
          <w:snapToGrid w:val="0"/>
          <w:color w:val="auto"/>
          <w:kern w:val="0"/>
          <w:sz w:val="24"/>
          <w:highlight w:val="none"/>
        </w:rPr>
        <w:t>（盖章）                         （盖章）</w:t>
      </w:r>
    </w:p>
    <w:p w14:paraId="54783CDB">
      <w:pPr>
        <w:adjustRightInd w:val="0"/>
        <w:snapToGrid w:val="0"/>
        <w:spacing w:line="360" w:lineRule="auto"/>
        <w:ind w:right="11"/>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                           法定代表人：</w:t>
      </w:r>
    </w:p>
    <w:p w14:paraId="1BFAF7CD">
      <w:pPr>
        <w:tabs>
          <w:tab w:val="left" w:pos="5460"/>
        </w:tabs>
        <w:adjustRightInd w:val="0"/>
        <w:snapToGrid w:val="0"/>
        <w:spacing w:line="360" w:lineRule="auto"/>
        <w:ind w:left="-2" w:leftChars="-1" w:right="11"/>
        <w:rPr>
          <w:rFonts w:ascii="宋体" w:hAnsi="宋体"/>
          <w:snapToGrid w:val="0"/>
          <w:color w:val="auto"/>
          <w:kern w:val="0"/>
          <w:sz w:val="24"/>
          <w:highlight w:val="none"/>
        </w:rPr>
      </w:pPr>
      <w:r>
        <w:rPr>
          <w:rFonts w:hint="eastAsia" w:ascii="宋体" w:hAnsi="宋体"/>
          <w:snapToGrid w:val="0"/>
          <w:color w:val="auto"/>
          <w:kern w:val="0"/>
          <w:sz w:val="24"/>
          <w:highlight w:val="none"/>
        </w:rPr>
        <w:t>经办人：                               经办人：</w:t>
      </w:r>
    </w:p>
    <w:p w14:paraId="1582BE47">
      <w:pPr>
        <w:adjustRightInd w:val="0"/>
        <w:snapToGrid w:val="0"/>
        <w:spacing w:line="360" w:lineRule="auto"/>
        <w:ind w:right="11"/>
        <w:rPr>
          <w:rFonts w:ascii="宋体" w:hAnsi="宋体"/>
          <w:snapToGrid w:val="0"/>
          <w:color w:val="auto"/>
          <w:kern w:val="0"/>
          <w:sz w:val="24"/>
          <w:highlight w:val="none"/>
        </w:rPr>
      </w:pPr>
    </w:p>
    <w:p w14:paraId="2D912043">
      <w:pPr>
        <w:adjustRightInd w:val="0"/>
        <w:snapToGrid w:val="0"/>
        <w:spacing w:line="360" w:lineRule="auto"/>
        <w:ind w:right="11"/>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2024年   月   日                          2024年   月   日</w:t>
      </w:r>
    </w:p>
    <w:p w14:paraId="35EA9A56">
      <w:pPr>
        <w:adjustRightInd w:val="0"/>
        <w:snapToGrid w:val="0"/>
        <w:spacing w:line="360" w:lineRule="auto"/>
        <w:rPr>
          <w:rFonts w:ascii="宋体" w:hAnsi="宋体"/>
          <w:snapToGrid w:val="0"/>
          <w:color w:val="auto"/>
          <w:kern w:val="0"/>
          <w:sz w:val="24"/>
          <w:highlight w:val="none"/>
        </w:rPr>
      </w:pPr>
    </w:p>
    <w:p w14:paraId="2D73543D">
      <w:pPr>
        <w:adjustRightInd w:val="0"/>
        <w:snapToGrid w:val="0"/>
        <w:spacing w:line="360" w:lineRule="auto"/>
        <w:rPr>
          <w:rFonts w:ascii="宋体" w:hAnsi="宋体"/>
          <w:snapToGrid w:val="0"/>
          <w:color w:val="auto"/>
          <w:kern w:val="0"/>
          <w:sz w:val="24"/>
          <w:highlight w:val="none"/>
        </w:rPr>
      </w:pPr>
    </w:p>
    <w:p w14:paraId="56FD4E17">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附件2：</w:t>
      </w:r>
    </w:p>
    <w:p w14:paraId="1005B334">
      <w:pPr>
        <w:adjustRightInd w:val="0"/>
        <w:snapToGrid w:val="0"/>
        <w:spacing w:line="360" w:lineRule="auto"/>
        <w:jc w:val="center"/>
        <w:outlineLvl w:val="1"/>
        <w:rPr>
          <w:rFonts w:ascii="宋体" w:hAnsi="宋体"/>
          <w:b/>
          <w:snapToGrid w:val="0"/>
          <w:color w:val="auto"/>
          <w:kern w:val="0"/>
          <w:sz w:val="32"/>
          <w:szCs w:val="32"/>
          <w:highlight w:val="none"/>
        </w:rPr>
      </w:pPr>
      <w:r>
        <w:rPr>
          <w:rFonts w:hint="eastAsia" w:ascii="宋体" w:hAnsi="宋体"/>
          <w:b/>
          <w:snapToGrid w:val="0"/>
          <w:color w:val="auto"/>
          <w:kern w:val="0"/>
          <w:sz w:val="32"/>
          <w:szCs w:val="32"/>
          <w:highlight w:val="none"/>
        </w:rPr>
        <w:t>工程建设廉洁协议书</w:t>
      </w:r>
    </w:p>
    <w:p w14:paraId="69061494">
      <w:pPr>
        <w:adjustRightInd w:val="0"/>
        <w:snapToGrid w:val="0"/>
        <w:spacing w:line="360" w:lineRule="auto"/>
        <w:rPr>
          <w:rFonts w:ascii="宋体" w:hAnsi="宋体"/>
          <w:snapToGrid w:val="0"/>
          <w:color w:val="auto"/>
          <w:kern w:val="0"/>
          <w:szCs w:val="32"/>
          <w:highlight w:val="none"/>
        </w:rPr>
      </w:pPr>
    </w:p>
    <w:p w14:paraId="32DC52D2">
      <w:p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工程项目名称：</w:t>
      </w:r>
      <w:r>
        <w:rPr>
          <w:rFonts w:hint="eastAsia" w:ascii="宋体" w:hAnsi="宋体"/>
          <w:snapToGrid w:val="0"/>
          <w:color w:val="auto"/>
          <w:kern w:val="0"/>
          <w:sz w:val="24"/>
          <w:szCs w:val="24"/>
          <w:highlight w:val="none"/>
          <w:u w:val="single"/>
        </w:rPr>
        <w:t>花果山产业小镇综合配套工程建设项目</w:t>
      </w:r>
    </w:p>
    <w:p w14:paraId="1761F3C4">
      <w:pPr>
        <w:spacing w:line="360" w:lineRule="auto"/>
        <w:rPr>
          <w:rFonts w:ascii="宋体" w:hAnsi="宋体"/>
          <w:snapToGrid w:val="0"/>
          <w:color w:val="auto"/>
          <w:kern w:val="0"/>
          <w:sz w:val="24"/>
          <w:highlight w:val="none"/>
          <w:u w:val="single"/>
        </w:rPr>
      </w:pPr>
      <w:r>
        <w:rPr>
          <w:rFonts w:hint="eastAsia" w:ascii="宋体" w:hAnsi="宋体"/>
          <w:snapToGrid w:val="0"/>
          <w:color w:val="auto"/>
          <w:kern w:val="0"/>
          <w:sz w:val="24"/>
          <w:szCs w:val="24"/>
          <w:highlight w:val="none"/>
        </w:rPr>
        <w:t>工程项目地址：</w:t>
      </w:r>
      <w:r>
        <w:rPr>
          <w:rFonts w:hint="eastAsia" w:ascii="宋体" w:hAnsi="宋体" w:cs="宋体"/>
          <w:bCs/>
          <w:color w:val="auto"/>
          <w:sz w:val="24"/>
          <w:szCs w:val="24"/>
          <w:highlight w:val="none"/>
          <w:u w:val="single"/>
        </w:rPr>
        <w:t>广州市越秀区</w:t>
      </w:r>
      <w:r>
        <w:rPr>
          <w:rFonts w:ascii="宋体" w:hAnsi="宋体" w:cs="宋体"/>
          <w:bCs/>
          <w:color w:val="auto"/>
          <w:sz w:val="24"/>
          <w:szCs w:val="24"/>
          <w:highlight w:val="none"/>
          <w:u w:val="single"/>
        </w:rPr>
        <w:t>。</w:t>
      </w:r>
    </w:p>
    <w:p w14:paraId="6CC8FA30">
      <w:pPr>
        <w:spacing w:line="360" w:lineRule="auto"/>
        <w:rPr>
          <w:rFonts w:ascii="宋体" w:hAnsi="宋体"/>
          <w:snapToGrid w:val="0"/>
          <w:color w:val="auto"/>
          <w:kern w:val="0"/>
          <w:sz w:val="24"/>
          <w:szCs w:val="24"/>
          <w:highlight w:val="none"/>
        </w:rPr>
      </w:pPr>
    </w:p>
    <w:p w14:paraId="477CEDC7">
      <w:p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发包人（甲方）：</w:t>
      </w:r>
      <w:r>
        <w:rPr>
          <w:rFonts w:hint="eastAsia" w:ascii="宋体" w:hAnsi="宋体"/>
          <w:color w:val="auto"/>
          <w:sz w:val="24"/>
          <w:szCs w:val="24"/>
          <w:highlight w:val="none"/>
          <w:u w:val="single"/>
        </w:rPr>
        <w:t>广州市越秀区代建项目管理中心</w:t>
      </w:r>
    </w:p>
    <w:p w14:paraId="165C908E">
      <w:p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 xml:space="preserve">承包人（乙方）：   </w:t>
      </w:r>
    </w:p>
    <w:p w14:paraId="171560EF">
      <w:pPr>
        <w:adjustRightInd w:val="0"/>
        <w:snapToGrid w:val="0"/>
        <w:spacing w:line="360" w:lineRule="auto"/>
        <w:rPr>
          <w:rFonts w:ascii="宋体" w:hAnsi="宋体"/>
          <w:snapToGrid w:val="0"/>
          <w:color w:val="auto"/>
          <w:kern w:val="0"/>
          <w:sz w:val="24"/>
          <w:szCs w:val="24"/>
          <w:highlight w:val="none"/>
        </w:rPr>
      </w:pPr>
    </w:p>
    <w:p w14:paraId="6990D212">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为切实规范承发包双方的各项建筑活动，预防本工程违法违纪等腐败现象的发生，保障工程建设优质、安全和廉洁，根据《广州市建筑市场廉洁准入规定》及相关法律法规的规定，特订立本协议书。</w:t>
      </w:r>
    </w:p>
    <w:p w14:paraId="097DBE8E">
      <w:pPr>
        <w:adjustRightInd w:val="0"/>
        <w:snapToGrid w:val="0"/>
        <w:spacing w:line="360" w:lineRule="auto"/>
        <w:ind w:firstLine="470" w:firstLineChars="196"/>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第一条 甲乙双方责任</w:t>
      </w:r>
    </w:p>
    <w:p w14:paraId="2BC14013">
      <w:pPr>
        <w:adjustRightInd w:val="0"/>
        <w:snapToGrid w:val="0"/>
        <w:spacing w:line="360" w:lineRule="auto"/>
        <w:ind w:firstLine="470" w:firstLineChars="196"/>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（一）严格遵守国家和省、市关于市场准入、项目招标投标、工程施工、工程验收、结算和市场活动等有关法律、法规，相关政策，以及廉政建设的各项约定。</w:t>
      </w:r>
    </w:p>
    <w:p w14:paraId="3B997387">
      <w:pPr>
        <w:adjustRightInd w:val="0"/>
        <w:snapToGrid w:val="0"/>
        <w:spacing w:line="360" w:lineRule="auto"/>
        <w:ind w:firstLine="470" w:firstLineChars="196"/>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（二）严格执行建设工程项目承发包合同文件，自觉按合同办事。</w:t>
      </w:r>
    </w:p>
    <w:p w14:paraId="16AA2159">
      <w:pPr>
        <w:adjustRightInd w:val="0"/>
        <w:snapToGrid w:val="0"/>
        <w:spacing w:line="360" w:lineRule="auto"/>
        <w:ind w:firstLine="470" w:firstLineChars="196"/>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三）建筑活动必须坚持公开、公平、公正、诚信、透明的原则（除法律法规另有规定者外），不得为获取不正当的利益，损害国家、集体和对方利益，不得违反国家、省、市和甲方有关工程建设管理的规章制度。</w:t>
      </w:r>
    </w:p>
    <w:p w14:paraId="02D6EF6A">
      <w:pPr>
        <w:adjustRightInd w:val="0"/>
        <w:snapToGrid w:val="0"/>
        <w:spacing w:line="360" w:lineRule="auto"/>
        <w:ind w:firstLine="470" w:firstLineChars="196"/>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（四）发现对方在建筑活动中存在违规、违纪、违法行为的，有权向其上级主管部门或纪检监察、检察等有关机关举报。</w:t>
      </w:r>
    </w:p>
    <w:p w14:paraId="1517EF64">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（五）甲乙双方单位监督部门应充分发挥各自职能作用，积极互动形成纵向监督合力，依照本协议书规定，对本工程廉洁从业情况实施监督，及时制止不廉洁行为的发生。</w:t>
      </w:r>
    </w:p>
    <w:p w14:paraId="6FCC0EE2">
      <w:pPr>
        <w:adjustRightInd w:val="0"/>
        <w:snapToGrid w:val="0"/>
        <w:spacing w:line="360" w:lineRule="auto"/>
        <w:ind w:firstLine="470" w:firstLineChars="196"/>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第二条 甲方责任</w:t>
      </w:r>
    </w:p>
    <w:p w14:paraId="39DD78FF">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（一）甲方领导干部和从事该工程建设的管理人员，在建筑活动中须严格遵守以下廉洁从业规定：</w:t>
      </w:r>
    </w:p>
    <w:p w14:paraId="2EDF233D">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1.不准向乙方和相关单位或个人索取钱物或接受回扣、礼金、各种有价证券、信用卡和好处费、感谢费以及其它支付凭证等。</w:t>
      </w:r>
    </w:p>
    <w:p w14:paraId="509A2A4E">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2.不准接受可能影响公正执行公务的乙方和相关单位或个人的礼物馈赠、宴请、各种形式俱乐部会员资格、高消费娱乐活动。</w:t>
      </w:r>
    </w:p>
    <w:p w14:paraId="7370123A">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3.不准在乙方和相关单位报销任何应由甲方或个人负担的费用。</w:t>
      </w:r>
    </w:p>
    <w:p w14:paraId="7135255D">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4.不准要求、暗示或接受乙方和相关单位或个人为自己、配偶、子女、其他亲属朋友及身边工作人员的装修住房、婚丧嫁娶、工作安排、学习培训、经商办企业以及出国（境）、旅游、度假等支付费用。</w:t>
      </w:r>
    </w:p>
    <w:p w14:paraId="27251BD0">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5.不准向乙方介绍配偶、子女、其他亲属朋友及身边工作人员参与同甲方项目工程合同有关的设备、材料、工程分包、劳务等经济活动。</w:t>
      </w:r>
    </w:p>
    <w:p w14:paraId="33FC6328">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6.不得以任何理由向乙方和相关单位推荐分包单位和要求或暗示乙方购买项目工程合同规定外的材料、设备等。</w:t>
      </w:r>
    </w:p>
    <w:p w14:paraId="13EF6C5D">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（二）正式开工前组织与乙方廉洁责任人见面会，进行廉洁工程建设交底，明确廉洁工程建设责任和目标任务、举报方式。</w:t>
      </w:r>
    </w:p>
    <w:p w14:paraId="75D844D9">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（三）加强对质量安全、计量支付、工程变更以及工程结算等建设管理环节的监督管理，特别是各业务审批效能方面的监察检查，提高建设管理服务水平。</w:t>
      </w:r>
    </w:p>
    <w:p w14:paraId="6E820DDB">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（四）在工地现场设置反腐倡廉举报箱和公开举报电话，并组织开展廉政座谈、法制讲座、参观监狱等活动，加强廉洁自律教育，营造廉洁工地文化氛围，筑牢文化防腐第一道防线。</w:t>
      </w:r>
    </w:p>
    <w:p w14:paraId="3E989FEB">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（五）成立现场监督工作机构，不定期对工地建设管理及监督工作情况开展巡查，对发现的有关问题，及时协调给予现场解决。</w:t>
      </w:r>
    </w:p>
    <w:p w14:paraId="5CD5D476">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第三条 乙方责任</w:t>
      </w:r>
    </w:p>
    <w:p w14:paraId="505382F4">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（一）与甲方保持正常的业务交往，遵守以下规定：</w:t>
      </w:r>
    </w:p>
    <w:p w14:paraId="3B0ED186">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1.不准以任何理由向甲方人员行贿或赠送回扣、礼金、各种有价证券、信用卡和好处费、感谢费及其它支付凭证等。</w:t>
      </w:r>
    </w:p>
    <w:p w14:paraId="5C95DDB3">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2.不准以任何理由为甲方人员组织有可能影响公正执行公务的宴请、各种形式俱乐部及高消费娱乐等活动。</w:t>
      </w:r>
    </w:p>
    <w:p w14:paraId="15D5B9CD">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3.不准以任何理由为甲方或个人报销应由对方或个人支付的费用。</w:t>
      </w:r>
    </w:p>
    <w:p w14:paraId="2CA11691">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4.不准暗示或要求为甲方人员及其配偶、子女、其他亲属朋友及身边工作人员的装修住房、婚丧嫁娶、工作安排、学习培训、经商办企业以及出国（境）、旅游、度假提供方便和支付费用。</w:t>
      </w:r>
    </w:p>
    <w:p w14:paraId="1B84B83E">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5.不准介绍和安排甲方人员及其配偶、子女、其他亲属朋友及身边工作人员参与同甲方工程项目有关的设备、材料、工程分包、劳务等经济活动。</w:t>
      </w:r>
    </w:p>
    <w:p w14:paraId="55C8798B">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（二）细化内部廉洁工程建设任务，分解责任，明确落实到项目部管理人员，层层签订廉洁从业责任状，形成有效的管理机制。</w:t>
      </w:r>
    </w:p>
    <w:p w14:paraId="06B6A3D1">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（三）成立现场施工监督工作组，负责项目部廉政责任组织落实，工地廉洁文化建设以及对现场实施进行监督管理，并接受甲方监督工作机构的再监督。</w:t>
      </w:r>
    </w:p>
    <w:p w14:paraId="644EBDFA">
      <w:pPr>
        <w:adjustRightInd w:val="0"/>
        <w:snapToGrid w:val="0"/>
        <w:spacing w:line="360" w:lineRule="auto"/>
        <w:ind w:firstLine="645"/>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（四）按甲方要求在工地项目部设置廉洁文化教育专区，开展观看警示教育片、图片展览等教育活动，加强对员工的法律法规、廉洁和职业道德教育。</w:t>
      </w:r>
    </w:p>
    <w:p w14:paraId="2C47CE8E">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第四条 违约责任</w:t>
      </w:r>
    </w:p>
    <w:p w14:paraId="77EC94B7">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（一）甲方违约责任</w:t>
      </w:r>
    </w:p>
    <w:p w14:paraId="30F91777">
      <w:pPr>
        <w:adjustRightInd w:val="0"/>
        <w:snapToGrid w:val="0"/>
        <w:spacing w:line="360" w:lineRule="auto"/>
        <w:ind w:firstLine="480" w:firstLineChars="200"/>
        <w:rPr>
          <w:rFonts w:ascii="宋体" w:hAnsi="宋体"/>
          <w:bCs/>
          <w:snapToGrid w:val="0"/>
          <w:color w:val="auto"/>
          <w:kern w:val="0"/>
          <w:sz w:val="24"/>
          <w:szCs w:val="24"/>
          <w:highlight w:val="none"/>
        </w:rPr>
      </w:pPr>
      <w:r>
        <w:rPr>
          <w:rFonts w:hint="eastAsia" w:ascii="宋体" w:hAnsi="宋体"/>
          <w:snapToGrid w:val="0"/>
          <w:color w:val="auto"/>
          <w:kern w:val="0"/>
          <w:sz w:val="24"/>
          <w:szCs w:val="24"/>
          <w:highlight w:val="none"/>
        </w:rPr>
        <w:t>1.甲方</w:t>
      </w:r>
      <w:r>
        <w:rPr>
          <w:rFonts w:hint="eastAsia" w:ascii="宋体" w:hAnsi="宋体"/>
          <w:bCs/>
          <w:snapToGrid w:val="0"/>
          <w:color w:val="auto"/>
          <w:kern w:val="0"/>
          <w:sz w:val="24"/>
          <w:szCs w:val="24"/>
          <w:highlight w:val="none"/>
        </w:rPr>
        <w:t>不履行或不完全履行本协议书有关责任义务给乙方造成损失的，在乙方提交足够证据并经查证属实的情况下，甲方赔偿其直接经济损失。</w:t>
      </w:r>
    </w:p>
    <w:p w14:paraId="4463E308">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2.甲方人员出现受贿等严重违法违纪违规行为的，按照管理权限，依据有关法律法规和规定给予党纪、政纪处分或组织处理；涉嫌犯罪的，移交司法机关追究刑事责任。</w:t>
      </w:r>
    </w:p>
    <w:p w14:paraId="578FC932">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（二）乙方违约责任</w:t>
      </w:r>
    </w:p>
    <w:p w14:paraId="52833625">
      <w:pPr>
        <w:adjustRightInd w:val="0"/>
        <w:snapToGrid w:val="0"/>
        <w:spacing w:line="360" w:lineRule="auto"/>
        <w:ind w:firstLine="480" w:firstLineChars="200"/>
        <w:rPr>
          <w:rFonts w:ascii="宋体" w:hAnsi="宋体"/>
          <w:bCs/>
          <w:snapToGrid w:val="0"/>
          <w:color w:val="auto"/>
          <w:kern w:val="0"/>
          <w:sz w:val="24"/>
          <w:szCs w:val="24"/>
          <w:highlight w:val="none"/>
        </w:rPr>
      </w:pPr>
      <w:r>
        <w:rPr>
          <w:rFonts w:hint="eastAsia" w:ascii="宋体" w:hAnsi="宋体"/>
          <w:snapToGrid w:val="0"/>
          <w:color w:val="auto"/>
          <w:kern w:val="0"/>
          <w:sz w:val="24"/>
          <w:szCs w:val="24"/>
          <w:highlight w:val="none"/>
        </w:rPr>
        <w:t>1.</w:t>
      </w:r>
      <w:r>
        <w:rPr>
          <w:rFonts w:hint="eastAsia" w:ascii="宋体" w:hAnsi="宋体"/>
          <w:bCs/>
          <w:snapToGrid w:val="0"/>
          <w:color w:val="auto"/>
          <w:kern w:val="0"/>
          <w:sz w:val="24"/>
          <w:szCs w:val="24"/>
          <w:highlight w:val="none"/>
        </w:rPr>
        <w:t>乙方不履行或不完全履行本协议书有关责任义务的，</w:t>
      </w:r>
      <w:r>
        <w:rPr>
          <w:rFonts w:hint="eastAsia" w:ascii="宋体" w:hAnsi="宋体"/>
          <w:snapToGrid w:val="0"/>
          <w:color w:val="auto"/>
          <w:kern w:val="0"/>
          <w:sz w:val="24"/>
          <w:szCs w:val="24"/>
          <w:highlight w:val="none"/>
        </w:rPr>
        <w:t>按本工程合同</w:t>
      </w:r>
      <w:r>
        <w:rPr>
          <w:rFonts w:hint="eastAsia" w:ascii="宋体" w:hAnsi="宋体"/>
          <w:bCs/>
          <w:snapToGrid w:val="0"/>
          <w:color w:val="auto"/>
          <w:kern w:val="0"/>
          <w:sz w:val="24"/>
          <w:szCs w:val="24"/>
          <w:highlight w:val="none"/>
        </w:rPr>
        <w:t>规定须承担一次一般违约责任。情节较轻的，可给予书面警告；情节较重的，须承担一次严重违约责任。</w:t>
      </w:r>
    </w:p>
    <w:p w14:paraId="1D359805">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bCs/>
          <w:snapToGrid w:val="0"/>
          <w:color w:val="auto"/>
          <w:kern w:val="0"/>
          <w:sz w:val="24"/>
          <w:szCs w:val="24"/>
          <w:highlight w:val="none"/>
        </w:rPr>
        <w:t>2.乙方</w:t>
      </w:r>
      <w:r>
        <w:rPr>
          <w:rFonts w:hint="eastAsia" w:ascii="宋体" w:hAnsi="宋体"/>
          <w:snapToGrid w:val="0"/>
          <w:color w:val="auto"/>
          <w:kern w:val="0"/>
          <w:sz w:val="24"/>
          <w:szCs w:val="24"/>
          <w:highlight w:val="none"/>
        </w:rPr>
        <w:t>出现严重违法违纪违规行为的，甲方将上报市检察院或监察机关依法查处，并提请建设行政主管部门根据《广州市建筑市场廉洁准入规定（试行）》给予限制或者取消其进入广州市建筑市场从事建筑活动的资格等处罚。</w:t>
      </w:r>
    </w:p>
    <w:p w14:paraId="087BAEE0">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第五条 甲乙双方监管部门</w:t>
      </w:r>
    </w:p>
    <w:p w14:paraId="2FBB7065">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1.甲方监督部门：纪检监察室，举报电话/电子邮箱：（纪委书记信箱）。</w:t>
      </w:r>
    </w:p>
    <w:p w14:paraId="6CACB5CC">
      <w:pPr>
        <w:widowControl/>
        <w:shd w:val="clear" w:color="auto" w:fill="FFFFFF"/>
        <w:ind w:firstLine="480" w:firstLineChars="200"/>
        <w:jc w:val="left"/>
        <w:rPr>
          <w:rFonts w:hint="default" w:ascii="Arial" w:hAnsi="Arial" w:eastAsia="宋体" w:cs="Arial"/>
          <w:color w:val="auto"/>
          <w:kern w:val="0"/>
          <w:szCs w:val="21"/>
          <w:highlight w:val="none"/>
          <w:lang w:val="en-US" w:eastAsia="zh-CN"/>
        </w:rPr>
      </w:pPr>
      <w:r>
        <w:rPr>
          <w:rFonts w:ascii="宋体" w:hAnsi="宋体" w:cs="Arial"/>
          <w:color w:val="auto"/>
          <w:kern w:val="0"/>
          <w:sz w:val="24"/>
          <w:szCs w:val="24"/>
          <w:highlight w:val="none"/>
        </w:rPr>
        <w:t>2.乙方监督部门：</w:t>
      </w:r>
      <w:r>
        <w:rPr>
          <w:rFonts w:hint="eastAsia" w:ascii="宋体" w:hAnsi="宋体"/>
          <w:snapToGrid w:val="0"/>
          <w:color w:val="auto"/>
          <w:kern w:val="0"/>
          <w:sz w:val="24"/>
          <w:szCs w:val="24"/>
          <w:highlight w:val="none"/>
          <w:lang w:val="en-US" w:eastAsia="zh-CN"/>
        </w:rPr>
        <w:t xml:space="preserve">  </w:t>
      </w:r>
      <w:r>
        <w:rPr>
          <w:rFonts w:hint="eastAsia" w:ascii="宋体" w:hAnsi="宋体" w:cs="Arial"/>
          <w:color w:val="auto"/>
          <w:kern w:val="0"/>
          <w:sz w:val="24"/>
          <w:szCs w:val="24"/>
          <w:highlight w:val="none"/>
        </w:rPr>
        <w:t>，举报电话：</w:t>
      </w:r>
      <w:r>
        <w:rPr>
          <w:rFonts w:hint="eastAsia" w:ascii="宋体" w:hAnsi="宋体" w:cs="Arial"/>
          <w:color w:val="auto"/>
          <w:kern w:val="0"/>
          <w:sz w:val="24"/>
          <w:szCs w:val="24"/>
          <w:highlight w:val="none"/>
          <w:lang w:val="en-US" w:eastAsia="zh-CN"/>
        </w:rPr>
        <w:t xml:space="preserve">  </w:t>
      </w:r>
    </w:p>
    <w:p w14:paraId="64AF39B9">
      <w:pPr>
        <w:widowControl/>
        <w:shd w:val="clear" w:color="auto" w:fill="FFFFFF"/>
        <w:spacing w:before="100" w:beforeAutospacing="1" w:after="100" w:afterAutospacing="1" w:line="315" w:lineRule="atLeast"/>
        <w:jc w:val="left"/>
        <w:rPr>
          <w:rFonts w:ascii="宋体" w:hAnsi="宋体" w:cs="Arial"/>
          <w:color w:val="auto"/>
          <w:kern w:val="0"/>
          <w:sz w:val="24"/>
          <w:szCs w:val="24"/>
          <w:highlight w:val="none"/>
          <w:u w:val="single"/>
        </w:rPr>
      </w:pPr>
      <w:r>
        <w:rPr>
          <w:rFonts w:hint="eastAsia" w:ascii="宋体" w:hAnsi="宋体" w:cs="Arial"/>
          <w:color w:val="auto"/>
          <w:kern w:val="0"/>
          <w:sz w:val="24"/>
          <w:szCs w:val="24"/>
          <w:highlight w:val="none"/>
        </w:rPr>
        <w:t>廉政责任人：，职务：</w:t>
      </w:r>
    </w:p>
    <w:p w14:paraId="6287B969">
      <w:pPr>
        <w:widowControl/>
        <w:shd w:val="clear" w:color="auto" w:fill="FFFFFF"/>
        <w:spacing w:before="100" w:beforeAutospacing="1" w:after="100" w:afterAutospacing="1" w:line="315" w:lineRule="atLeast"/>
        <w:jc w:val="left"/>
        <w:rPr>
          <w:rFonts w:ascii="Arial" w:hAnsi="Arial" w:cs="Arial"/>
          <w:color w:val="auto"/>
          <w:kern w:val="0"/>
          <w:szCs w:val="21"/>
          <w:highlight w:val="none"/>
        </w:rPr>
      </w:pPr>
      <w:r>
        <w:rPr>
          <w:rFonts w:hint="eastAsia" w:ascii="宋体" w:hAnsi="宋体" w:cs="Arial"/>
          <w:color w:val="auto"/>
          <w:kern w:val="0"/>
          <w:sz w:val="24"/>
          <w:szCs w:val="24"/>
          <w:highlight w:val="none"/>
        </w:rPr>
        <w:t>联系人：，职务：</w:t>
      </w:r>
    </w:p>
    <w:p w14:paraId="47D08238">
      <w:pPr>
        <w:widowControl/>
        <w:shd w:val="clear" w:color="auto" w:fill="FFFFFF"/>
        <w:spacing w:line="315" w:lineRule="atLeast"/>
        <w:jc w:val="left"/>
        <w:rPr>
          <w:rFonts w:ascii="Arial" w:hAnsi="Arial" w:cs="Arial"/>
          <w:color w:val="auto"/>
          <w:kern w:val="0"/>
          <w:szCs w:val="21"/>
          <w:highlight w:val="none"/>
        </w:rPr>
      </w:pPr>
      <w:r>
        <w:rPr>
          <w:rFonts w:hint="eastAsia" w:ascii="宋体" w:hAnsi="宋体" w:cs="Arial"/>
          <w:color w:val="auto"/>
          <w:kern w:val="0"/>
          <w:sz w:val="24"/>
          <w:szCs w:val="24"/>
          <w:highlight w:val="none"/>
        </w:rPr>
        <w:t>上级主管部门：</w:t>
      </w:r>
    </w:p>
    <w:p w14:paraId="3ACC1A66">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第六条 本协议书作为工程施工合同的附件，与工程施工合同具有同等法律效力。经双方签字盖章后生效。</w:t>
      </w:r>
    </w:p>
    <w:p w14:paraId="4B45EE64">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第七条 本协议书有效期为双方签字盖章之日起至所属工程项目合同履行完毕时止。</w:t>
      </w:r>
    </w:p>
    <w:p w14:paraId="40202BCE">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第八条 未尽事宜，由双方协商解决。</w:t>
      </w:r>
    </w:p>
    <w:p w14:paraId="2D3B2889">
      <w:pPr>
        <w:adjustRightInd w:val="0"/>
        <w:snapToGrid w:val="0"/>
        <w:spacing w:line="360" w:lineRule="auto"/>
        <w:rPr>
          <w:rFonts w:ascii="宋体" w:hAnsi="宋体"/>
          <w:snapToGrid w:val="0"/>
          <w:color w:val="auto"/>
          <w:kern w:val="0"/>
          <w:sz w:val="24"/>
          <w:szCs w:val="24"/>
          <w:highlight w:val="none"/>
        </w:rPr>
      </w:pPr>
    </w:p>
    <w:p w14:paraId="092A3F95">
      <w:pPr>
        <w:adjustRightInd w:val="0"/>
        <w:snapToGrid w:val="0"/>
        <w:spacing w:line="360" w:lineRule="auto"/>
        <w:rPr>
          <w:rFonts w:ascii="宋体" w:hAnsi="宋体"/>
          <w:snapToGrid w:val="0"/>
          <w:color w:val="auto"/>
          <w:kern w:val="0"/>
          <w:sz w:val="24"/>
          <w:szCs w:val="24"/>
          <w:highlight w:val="none"/>
        </w:rPr>
      </w:pPr>
    </w:p>
    <w:p w14:paraId="0E8643C8">
      <w:pPr>
        <w:adjustRightInd w:val="0"/>
        <w:snapToGrid w:val="0"/>
        <w:spacing w:line="360" w:lineRule="auto"/>
        <w:rPr>
          <w:rFonts w:ascii="宋体" w:hAnsi="宋体"/>
          <w:snapToGrid w:val="0"/>
          <w:color w:val="auto"/>
          <w:spacing w:val="-20"/>
          <w:kern w:val="0"/>
          <w:sz w:val="24"/>
          <w:szCs w:val="24"/>
          <w:highlight w:val="none"/>
        </w:rPr>
      </w:pPr>
      <w:r>
        <w:rPr>
          <w:rFonts w:hint="eastAsia" w:ascii="宋体" w:hAnsi="宋体"/>
          <w:snapToGrid w:val="0"/>
          <w:color w:val="auto"/>
          <w:spacing w:val="-20"/>
          <w:kern w:val="0"/>
          <w:sz w:val="24"/>
          <w:szCs w:val="24"/>
          <w:highlight w:val="none"/>
        </w:rPr>
        <w:t>甲方：</w:t>
      </w:r>
      <w:r>
        <w:rPr>
          <w:rFonts w:hint="eastAsia" w:ascii="宋体" w:hAnsi="宋体"/>
          <w:color w:val="auto"/>
          <w:sz w:val="24"/>
          <w:szCs w:val="24"/>
          <w:highlight w:val="none"/>
          <w:u w:val="single"/>
        </w:rPr>
        <w:t>广州市越秀区代建项目管理中心</w:t>
      </w:r>
      <w:r>
        <w:rPr>
          <w:rFonts w:hint="eastAsia" w:ascii="宋体" w:hAnsi="宋体"/>
          <w:snapToGrid w:val="0"/>
          <w:color w:val="auto"/>
          <w:spacing w:val="-20"/>
          <w:kern w:val="0"/>
          <w:sz w:val="24"/>
          <w:szCs w:val="24"/>
          <w:highlight w:val="none"/>
        </w:rPr>
        <w:t xml:space="preserve">        乙方： </w:t>
      </w:r>
    </w:p>
    <w:p w14:paraId="4A20B3EE">
      <w:pPr>
        <w:adjustRightInd w:val="0"/>
        <w:snapToGrid w:val="0"/>
        <w:spacing w:line="360" w:lineRule="auto"/>
        <w:ind w:firstLine="1800" w:firstLineChars="75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（盖章）                                （盖章）</w:t>
      </w:r>
    </w:p>
    <w:p w14:paraId="52E59937">
      <w:pPr>
        <w:adjustRightInd w:val="0"/>
        <w:snapToGrid w:val="0"/>
        <w:spacing w:line="360" w:lineRule="auto"/>
        <w:rPr>
          <w:rFonts w:ascii="宋体" w:hAnsi="宋体"/>
          <w:snapToGrid w:val="0"/>
          <w:color w:val="auto"/>
          <w:kern w:val="0"/>
          <w:sz w:val="24"/>
          <w:szCs w:val="24"/>
          <w:highlight w:val="none"/>
        </w:rPr>
      </w:pPr>
    </w:p>
    <w:p w14:paraId="64A198DA">
      <w:p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法定代表人：                          法定代表人：</w:t>
      </w:r>
    </w:p>
    <w:p w14:paraId="64AB2E76">
      <w:pPr>
        <w:adjustRightInd w:val="0"/>
        <w:snapToGrid w:val="0"/>
        <w:spacing w:line="360" w:lineRule="auto"/>
        <w:rPr>
          <w:rFonts w:ascii="宋体" w:hAnsi="宋体"/>
          <w:snapToGrid w:val="0"/>
          <w:color w:val="auto"/>
          <w:kern w:val="0"/>
          <w:sz w:val="24"/>
          <w:szCs w:val="24"/>
          <w:highlight w:val="none"/>
        </w:rPr>
      </w:pPr>
    </w:p>
    <w:p w14:paraId="38BEE0ED">
      <w:pPr>
        <w:adjustRightInd w:val="0"/>
        <w:snapToGrid w:val="0"/>
        <w:spacing w:line="360" w:lineRule="auto"/>
        <w:rPr>
          <w:rFonts w:ascii="宋体" w:hAnsi="宋体"/>
          <w:snapToGrid w:val="0"/>
          <w:color w:val="auto"/>
          <w:kern w:val="0"/>
          <w:sz w:val="24"/>
          <w:szCs w:val="24"/>
          <w:highlight w:val="none"/>
        </w:rPr>
      </w:pPr>
    </w:p>
    <w:p w14:paraId="54D3A1DA">
      <w:p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经办人：                               经办人：</w:t>
      </w:r>
    </w:p>
    <w:p w14:paraId="513D6E45">
      <w:pPr>
        <w:adjustRightInd w:val="0"/>
        <w:snapToGrid w:val="0"/>
        <w:spacing w:line="360" w:lineRule="auto"/>
        <w:rPr>
          <w:rFonts w:ascii="宋体" w:hAnsi="宋体"/>
          <w:snapToGrid w:val="0"/>
          <w:color w:val="auto"/>
          <w:kern w:val="0"/>
          <w:sz w:val="24"/>
          <w:szCs w:val="24"/>
          <w:highlight w:val="none"/>
        </w:rPr>
      </w:pPr>
    </w:p>
    <w:p w14:paraId="7BF04732">
      <w:pPr>
        <w:adjustRightInd w:val="0"/>
        <w:snapToGrid w:val="0"/>
        <w:spacing w:line="360" w:lineRule="auto"/>
        <w:rPr>
          <w:rFonts w:ascii="宋体" w:hAnsi="宋体"/>
          <w:snapToGrid w:val="0"/>
          <w:color w:val="auto"/>
          <w:kern w:val="0"/>
          <w:sz w:val="24"/>
          <w:szCs w:val="24"/>
          <w:highlight w:val="none"/>
        </w:rPr>
      </w:pPr>
    </w:p>
    <w:p w14:paraId="54B9A60C">
      <w:p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2024年  月  日                        2024年  月  日</w:t>
      </w:r>
    </w:p>
    <w:p w14:paraId="3BB66B8B">
      <w:pPr>
        <w:adjustRightInd w:val="0"/>
        <w:snapToGrid w:val="0"/>
        <w:spacing w:line="360" w:lineRule="auto"/>
        <w:rPr>
          <w:rFonts w:ascii="宋体" w:hAnsi="宋体"/>
          <w:snapToGrid w:val="0"/>
          <w:color w:val="auto"/>
          <w:kern w:val="0"/>
          <w:sz w:val="24"/>
          <w:szCs w:val="24"/>
          <w:highlight w:val="none"/>
        </w:rPr>
      </w:pPr>
    </w:p>
    <w:p w14:paraId="65A92800">
      <w:pPr>
        <w:adjustRightInd w:val="0"/>
        <w:snapToGrid w:val="0"/>
        <w:spacing w:line="360" w:lineRule="auto"/>
        <w:rPr>
          <w:rFonts w:ascii="宋体" w:hAnsi="宋体"/>
          <w:snapToGrid w:val="0"/>
          <w:color w:val="auto"/>
          <w:kern w:val="0"/>
          <w:sz w:val="28"/>
          <w:szCs w:val="28"/>
          <w:highlight w:val="none"/>
        </w:rPr>
      </w:pPr>
      <w:r>
        <w:rPr>
          <w:rFonts w:hint="eastAsia"/>
          <w:snapToGrid w:val="0"/>
          <w:color w:val="auto"/>
          <w:kern w:val="0"/>
          <w:sz w:val="24"/>
          <w:szCs w:val="24"/>
          <w:highlight w:val="none"/>
        </w:rPr>
        <w:br w:type="page"/>
      </w:r>
      <w:r>
        <w:rPr>
          <w:rFonts w:hint="eastAsia" w:ascii="宋体" w:hAnsi="宋体"/>
          <w:snapToGrid w:val="0"/>
          <w:color w:val="auto"/>
          <w:kern w:val="0"/>
          <w:sz w:val="24"/>
          <w:highlight w:val="none"/>
        </w:rPr>
        <w:t>附件3：</w:t>
      </w:r>
    </w:p>
    <w:p w14:paraId="730FE40E">
      <w:pPr>
        <w:adjustRightInd w:val="0"/>
        <w:snapToGrid w:val="0"/>
        <w:spacing w:line="360" w:lineRule="auto"/>
        <w:jc w:val="center"/>
        <w:outlineLvl w:val="1"/>
        <w:rPr>
          <w:rFonts w:ascii="宋体" w:hAnsi="宋体"/>
          <w:b/>
          <w:bCs/>
          <w:snapToGrid w:val="0"/>
          <w:color w:val="auto"/>
          <w:kern w:val="0"/>
          <w:sz w:val="32"/>
          <w:szCs w:val="32"/>
          <w:highlight w:val="none"/>
        </w:rPr>
      </w:pPr>
      <w:r>
        <w:rPr>
          <w:rFonts w:hint="eastAsia" w:ascii="宋体" w:hAnsi="宋体"/>
          <w:b/>
          <w:bCs/>
          <w:snapToGrid w:val="0"/>
          <w:color w:val="auto"/>
          <w:kern w:val="0"/>
          <w:sz w:val="32"/>
          <w:szCs w:val="32"/>
          <w:highlight w:val="none"/>
        </w:rPr>
        <w:t>安全生产合同</w:t>
      </w:r>
    </w:p>
    <w:p w14:paraId="7075A188">
      <w:pPr>
        <w:adjustRightInd w:val="0"/>
        <w:snapToGrid w:val="0"/>
        <w:spacing w:line="360" w:lineRule="auto"/>
        <w:rPr>
          <w:rFonts w:ascii="宋体" w:hAnsi="宋体"/>
          <w:b/>
          <w:bCs/>
          <w:snapToGrid w:val="0"/>
          <w:color w:val="auto"/>
          <w:kern w:val="0"/>
          <w:sz w:val="24"/>
          <w:highlight w:val="none"/>
        </w:rPr>
      </w:pPr>
    </w:p>
    <w:p w14:paraId="7543E627">
      <w:pPr>
        <w:autoSpaceDE w:val="0"/>
        <w:autoSpaceDN w:val="0"/>
        <w:adjustRightInd w:val="0"/>
        <w:snapToGrid w:val="0"/>
        <w:spacing w:line="360" w:lineRule="auto"/>
        <w:ind w:right="11"/>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甲方（发包人）：</w:t>
      </w:r>
      <w:r>
        <w:rPr>
          <w:rFonts w:hint="eastAsia" w:ascii="宋体" w:hAnsi="宋体"/>
          <w:color w:val="auto"/>
          <w:sz w:val="24"/>
          <w:szCs w:val="24"/>
          <w:highlight w:val="none"/>
          <w:u w:val="single"/>
        </w:rPr>
        <w:t>广州市越秀区代建项目管理中心</w:t>
      </w:r>
    </w:p>
    <w:p w14:paraId="5A54F510">
      <w:pPr>
        <w:autoSpaceDE w:val="0"/>
        <w:autoSpaceDN w:val="0"/>
        <w:adjustRightInd w:val="0"/>
        <w:snapToGrid w:val="0"/>
        <w:spacing w:line="360" w:lineRule="auto"/>
        <w:ind w:left="1920" w:right="11" w:hanging="1920"/>
        <w:rPr>
          <w:rFonts w:ascii="宋体" w:hAnsi="宋体"/>
          <w:b/>
          <w:snapToGrid w:val="0"/>
          <w:color w:val="auto"/>
          <w:kern w:val="0"/>
          <w:sz w:val="24"/>
          <w:highlight w:val="none"/>
          <w:u w:val="single"/>
        </w:rPr>
      </w:pPr>
      <w:r>
        <w:rPr>
          <w:rFonts w:hint="eastAsia" w:ascii="宋体" w:hAnsi="宋体" w:cs="宋体"/>
          <w:b/>
          <w:snapToGrid w:val="0"/>
          <w:color w:val="auto"/>
          <w:kern w:val="0"/>
          <w:sz w:val="24"/>
          <w:highlight w:val="none"/>
          <w:lang w:val="zh-CN"/>
        </w:rPr>
        <w:t>乙方（承包人）：</w:t>
      </w:r>
      <w:r>
        <w:rPr>
          <w:rFonts w:hint="eastAsia" w:ascii="宋体" w:hAnsi="宋体" w:cs="宋体"/>
          <w:b/>
          <w:snapToGrid w:val="0"/>
          <w:color w:val="auto"/>
          <w:kern w:val="0"/>
          <w:sz w:val="24"/>
          <w:highlight w:val="none"/>
        </w:rPr>
        <w:t xml:space="preserve"> </w:t>
      </w:r>
    </w:p>
    <w:p w14:paraId="16800913">
      <w:pPr>
        <w:autoSpaceDE w:val="0"/>
        <w:autoSpaceDN w:val="0"/>
        <w:adjustRightInd w:val="0"/>
        <w:snapToGrid w:val="0"/>
        <w:spacing w:line="360" w:lineRule="auto"/>
        <w:ind w:left="1920" w:right="11" w:hanging="1920"/>
        <w:rPr>
          <w:rFonts w:ascii="宋体" w:hAnsi="宋体" w:cs="宋体"/>
          <w:snapToGrid w:val="0"/>
          <w:color w:val="auto"/>
          <w:kern w:val="0"/>
          <w:sz w:val="24"/>
          <w:szCs w:val="24"/>
          <w:highlight w:val="none"/>
          <w:lang w:val="zh-CN"/>
        </w:rPr>
      </w:pPr>
    </w:p>
    <w:p w14:paraId="6BD327B1">
      <w:pPr>
        <w:autoSpaceDE w:val="0"/>
        <w:autoSpaceDN w:val="0"/>
        <w:adjustRightInd w:val="0"/>
        <w:snapToGrid w:val="0"/>
        <w:spacing w:line="360" w:lineRule="auto"/>
        <w:ind w:right="11" w:firstLine="480" w:firstLineChars="200"/>
        <w:rPr>
          <w:rFonts w:ascii="宋体" w:hAnsi="宋体" w:cs="宋体"/>
          <w:snapToGrid w:val="0"/>
          <w:color w:val="auto"/>
          <w:kern w:val="0"/>
          <w:sz w:val="24"/>
          <w:szCs w:val="24"/>
          <w:highlight w:val="none"/>
          <w:lang w:val="zh-CN"/>
        </w:rPr>
      </w:pPr>
      <w:r>
        <w:rPr>
          <w:rFonts w:hint="eastAsia" w:ascii="宋体" w:hAnsi="宋体" w:cs="宋体"/>
          <w:snapToGrid w:val="0"/>
          <w:color w:val="auto"/>
          <w:kern w:val="0"/>
          <w:sz w:val="24"/>
          <w:szCs w:val="24"/>
          <w:highlight w:val="none"/>
          <w:lang w:val="zh-CN"/>
        </w:rPr>
        <w:t>为确保</w:t>
      </w:r>
      <w:r>
        <w:rPr>
          <w:rFonts w:hint="eastAsia" w:ascii="宋体" w:hAnsi="宋体" w:cs="宋体"/>
          <w:snapToGrid w:val="0"/>
          <w:color w:val="auto"/>
          <w:kern w:val="0"/>
          <w:sz w:val="24"/>
          <w:szCs w:val="24"/>
          <w:highlight w:val="none"/>
          <w:u w:val="single"/>
          <w:lang w:val="zh-CN"/>
        </w:rPr>
        <w:t>花果山产业小镇综合配套工程建设项目</w:t>
      </w:r>
      <w:r>
        <w:rPr>
          <w:rFonts w:hint="eastAsia" w:ascii="宋体" w:hAnsi="宋体" w:cs="宋体"/>
          <w:snapToGrid w:val="0"/>
          <w:color w:val="auto"/>
          <w:kern w:val="0"/>
          <w:sz w:val="24"/>
          <w:szCs w:val="24"/>
          <w:highlight w:val="none"/>
          <w:lang w:val="zh-CN"/>
        </w:rPr>
        <w:t>实施过程中的安全，发包人（以下称甲方）与承包人（以下称乙方），特签订本安全生产合同，明确双方职责。</w:t>
      </w:r>
    </w:p>
    <w:p w14:paraId="5801C0F8">
      <w:pPr>
        <w:tabs>
          <w:tab w:val="left" w:pos="480"/>
        </w:tabs>
        <w:autoSpaceDE w:val="0"/>
        <w:autoSpaceDN w:val="0"/>
        <w:adjustRightInd w:val="0"/>
        <w:snapToGrid w:val="0"/>
        <w:spacing w:line="360" w:lineRule="auto"/>
        <w:ind w:left="461"/>
        <w:rPr>
          <w:rFonts w:ascii="宋体" w:hAnsi="宋体" w:cs="宋体"/>
          <w:b/>
          <w:snapToGrid w:val="0"/>
          <w:color w:val="auto"/>
          <w:kern w:val="0"/>
          <w:sz w:val="24"/>
          <w:szCs w:val="24"/>
          <w:highlight w:val="none"/>
          <w:lang w:val="zh-CN"/>
        </w:rPr>
      </w:pPr>
      <w:r>
        <w:rPr>
          <w:rFonts w:hint="eastAsia" w:ascii="宋体" w:hAnsi="宋体" w:cs="宋体"/>
          <w:b/>
          <w:snapToGrid w:val="0"/>
          <w:color w:val="auto"/>
          <w:kern w:val="0"/>
          <w:sz w:val="24"/>
          <w:szCs w:val="24"/>
          <w:highlight w:val="none"/>
          <w:lang w:val="zh-CN"/>
        </w:rPr>
        <w:t>一、甲方职责</w:t>
      </w:r>
    </w:p>
    <w:p w14:paraId="608AA5FA">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（一）认真履行《建设工程安全生产管理条例》规定的安全责任及执行工程承包合同中的有关安全条款。</w:t>
      </w:r>
    </w:p>
    <w:p w14:paraId="3F900FA5">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（二）重要的安全设施必须坚持与主体工程</w:t>
      </w:r>
      <w:r>
        <w:rPr>
          <w:rFonts w:ascii="宋体" w:hAnsi="宋体" w:cs="宋体"/>
          <w:snapToGrid w:val="0"/>
          <w:color w:val="auto"/>
          <w:kern w:val="0"/>
          <w:sz w:val="24"/>
          <w:highlight w:val="none"/>
          <w:lang w:val="zh-CN"/>
        </w:rPr>
        <w:t>“</w:t>
      </w:r>
      <w:r>
        <w:rPr>
          <w:rFonts w:hint="eastAsia" w:ascii="宋体" w:hAnsi="宋体" w:cs="宋体"/>
          <w:snapToGrid w:val="0"/>
          <w:color w:val="auto"/>
          <w:kern w:val="0"/>
          <w:sz w:val="24"/>
          <w:highlight w:val="none"/>
          <w:lang w:val="zh-CN"/>
        </w:rPr>
        <w:t>三同时</w:t>
      </w:r>
      <w:r>
        <w:rPr>
          <w:rFonts w:ascii="宋体" w:hAnsi="宋体" w:cs="宋体"/>
          <w:snapToGrid w:val="0"/>
          <w:color w:val="auto"/>
          <w:kern w:val="0"/>
          <w:sz w:val="24"/>
          <w:highlight w:val="none"/>
          <w:lang w:val="zh-CN"/>
        </w:rPr>
        <w:t>”</w:t>
      </w:r>
      <w:r>
        <w:rPr>
          <w:rFonts w:hint="eastAsia" w:ascii="宋体" w:hAnsi="宋体" w:cs="宋体"/>
          <w:snapToGrid w:val="0"/>
          <w:color w:val="auto"/>
          <w:kern w:val="0"/>
          <w:sz w:val="24"/>
          <w:highlight w:val="none"/>
          <w:lang w:val="zh-CN"/>
        </w:rPr>
        <w:t>的原则，即：同时设计、审批；同时施工；同时验收，投入使用。</w:t>
      </w:r>
    </w:p>
    <w:p w14:paraId="35618B11">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（三）定期召开安全生产会议，指出施工现场存在的安全隐患，及时传达上级关于安全文明施工的要求。</w:t>
      </w:r>
    </w:p>
    <w:p w14:paraId="4A050B0E">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（四）组织对乙方施工现场安全生产检查，监督乙方及时排除各种安全隐患。</w:t>
      </w:r>
    </w:p>
    <w:p w14:paraId="0AE71D6B">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（五）协助与促进乙方创建“广州市安全文明施工样板工地”。</w:t>
      </w:r>
    </w:p>
    <w:p w14:paraId="1F47D7A6">
      <w:pPr>
        <w:autoSpaceDE w:val="0"/>
        <w:autoSpaceDN w:val="0"/>
        <w:adjustRightInd w:val="0"/>
        <w:snapToGrid w:val="0"/>
        <w:spacing w:line="360" w:lineRule="auto"/>
        <w:ind w:firstLine="482" w:firstLineChars="200"/>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二、乙方职责</w:t>
      </w:r>
    </w:p>
    <w:p w14:paraId="6E12A591">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（一）认真履行《建设工程安全生产管理条例》规定的安全责任及执行工程承包合同中的有关安全条款。</w:t>
      </w:r>
    </w:p>
    <w:p w14:paraId="28DBE9CD">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（二）坚持</w:t>
      </w:r>
      <w:r>
        <w:rPr>
          <w:rFonts w:ascii="宋体" w:hAnsi="宋体"/>
          <w:snapToGrid w:val="0"/>
          <w:color w:val="auto"/>
          <w:kern w:val="0"/>
          <w:sz w:val="24"/>
          <w:highlight w:val="none"/>
        </w:rPr>
        <w:t>“</w:t>
      </w:r>
      <w:r>
        <w:rPr>
          <w:rFonts w:hint="eastAsia" w:ascii="宋体" w:hAnsi="宋体" w:cs="宋体"/>
          <w:snapToGrid w:val="0"/>
          <w:color w:val="auto"/>
          <w:kern w:val="0"/>
          <w:sz w:val="24"/>
          <w:highlight w:val="none"/>
          <w:lang w:val="zh-CN"/>
        </w:rPr>
        <w:t>安全</w:t>
      </w:r>
      <w:r>
        <w:rPr>
          <w:rFonts w:hint="eastAsia" w:ascii="宋体" w:hAnsi="宋体"/>
          <w:snapToGrid w:val="0"/>
          <w:color w:val="auto"/>
          <w:kern w:val="0"/>
          <w:sz w:val="24"/>
          <w:highlight w:val="none"/>
        </w:rPr>
        <w:t>第一</w:t>
      </w:r>
      <w:r>
        <w:rPr>
          <w:rFonts w:hint="eastAsia" w:ascii="宋体" w:hAnsi="宋体" w:cs="宋体"/>
          <w:snapToGrid w:val="0"/>
          <w:color w:val="auto"/>
          <w:kern w:val="0"/>
          <w:sz w:val="24"/>
          <w:highlight w:val="none"/>
          <w:lang w:val="zh-CN"/>
        </w:rPr>
        <w:t>、预防为主</w:t>
      </w:r>
      <w:r>
        <w:rPr>
          <w:rFonts w:ascii="宋体" w:hAnsi="宋体"/>
          <w:snapToGrid w:val="0"/>
          <w:color w:val="auto"/>
          <w:kern w:val="0"/>
          <w:sz w:val="24"/>
          <w:highlight w:val="none"/>
        </w:rPr>
        <w:t>”</w:t>
      </w:r>
      <w:r>
        <w:rPr>
          <w:rFonts w:hint="eastAsia" w:ascii="宋体" w:hAnsi="宋体" w:cs="宋体"/>
          <w:snapToGrid w:val="0"/>
          <w:color w:val="auto"/>
          <w:kern w:val="0"/>
          <w:sz w:val="24"/>
          <w:highlight w:val="none"/>
          <w:lang w:val="zh-CN"/>
        </w:rPr>
        <w:t>和</w:t>
      </w:r>
      <w:r>
        <w:rPr>
          <w:rFonts w:ascii="宋体" w:hAnsi="宋体"/>
          <w:snapToGrid w:val="0"/>
          <w:color w:val="auto"/>
          <w:kern w:val="0"/>
          <w:sz w:val="24"/>
          <w:highlight w:val="none"/>
        </w:rPr>
        <w:t>“</w:t>
      </w:r>
      <w:r>
        <w:rPr>
          <w:rFonts w:hint="eastAsia" w:ascii="宋体" w:hAnsi="宋体" w:cs="宋体"/>
          <w:snapToGrid w:val="0"/>
          <w:color w:val="auto"/>
          <w:kern w:val="0"/>
          <w:sz w:val="24"/>
          <w:highlight w:val="none"/>
          <w:lang w:val="zh-CN"/>
        </w:rPr>
        <w:t>管生产必须管安全</w:t>
      </w:r>
      <w:r>
        <w:rPr>
          <w:rFonts w:ascii="宋体" w:hAnsi="宋体"/>
          <w:snapToGrid w:val="0"/>
          <w:color w:val="auto"/>
          <w:kern w:val="0"/>
          <w:sz w:val="24"/>
          <w:highlight w:val="none"/>
        </w:rPr>
        <w:t>”</w:t>
      </w:r>
      <w:r>
        <w:rPr>
          <w:rFonts w:hint="eastAsia" w:ascii="宋体" w:hAnsi="宋体" w:cs="宋体"/>
          <w:snapToGrid w:val="0"/>
          <w:color w:val="auto"/>
          <w:kern w:val="0"/>
          <w:sz w:val="24"/>
          <w:highlight w:val="none"/>
          <w:lang w:val="zh-CN"/>
        </w:rPr>
        <w:t>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14:paraId="1DB92AFA">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（三）建立</w:t>
      </w:r>
      <w:r>
        <w:rPr>
          <w:rFonts w:hint="eastAsia" w:ascii="宋体" w:hAnsi="宋体"/>
          <w:snapToGrid w:val="0"/>
          <w:color w:val="auto"/>
          <w:kern w:val="0"/>
          <w:sz w:val="24"/>
          <w:highlight w:val="none"/>
        </w:rPr>
        <w:t>安全生产</w:t>
      </w:r>
      <w:r>
        <w:rPr>
          <w:rFonts w:hint="eastAsia" w:ascii="宋体" w:hAnsi="宋体" w:cs="宋体"/>
          <w:snapToGrid w:val="0"/>
          <w:color w:val="auto"/>
          <w:kern w:val="0"/>
          <w:sz w:val="24"/>
          <w:highlight w:val="none"/>
          <w:lang w:val="zh-CN"/>
        </w:rPr>
        <w:t>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p>
    <w:p w14:paraId="4AB0BBCD">
      <w:pPr>
        <w:autoSpaceDE w:val="0"/>
        <w:autoSpaceDN w:val="0"/>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cs="宋体"/>
          <w:snapToGrid w:val="0"/>
          <w:color w:val="auto"/>
          <w:kern w:val="0"/>
          <w:sz w:val="24"/>
          <w:highlight w:val="none"/>
          <w:lang w:val="zh-CN"/>
        </w:rPr>
        <w:t>（四）</w:t>
      </w:r>
      <w:r>
        <w:rPr>
          <w:rFonts w:hint="eastAsia" w:ascii="宋体" w:hAnsi="宋体"/>
          <w:snapToGrid w:val="0"/>
          <w:color w:val="auto"/>
          <w:kern w:val="0"/>
          <w:sz w:val="24"/>
          <w:highlight w:val="none"/>
        </w:rPr>
        <w:t>有责任采取各种合理的预防措施，防止其员工发生各种违法、违禁、暴力或妨碍治安的行为。</w:t>
      </w:r>
    </w:p>
    <w:p w14:paraId="662528B7">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snapToGrid w:val="0"/>
          <w:color w:val="auto"/>
          <w:kern w:val="0"/>
          <w:sz w:val="24"/>
          <w:highlight w:val="none"/>
        </w:rPr>
        <w:t>（五）参加施工的人员，必须接受安全技术教育，熟知和遵守所在岗位（工种）的各项安全技术操作规程，定期进行安全技术考核。对于从事电气、</w:t>
      </w:r>
      <w:r>
        <w:rPr>
          <w:rFonts w:hint="eastAsia" w:ascii="宋体" w:hAnsi="宋体" w:cs="宋体"/>
          <w:snapToGrid w:val="0"/>
          <w:color w:val="auto"/>
          <w:kern w:val="0"/>
          <w:sz w:val="24"/>
          <w:highlight w:val="none"/>
          <w:lang w:val="zh-CN"/>
        </w:rPr>
        <w:t>起重、登高作业、焊接等特殊工种的人员，须经过专业培训，获得《安全操作合格证》后，方准上岗。施工现场如出现特种行业无证上岗时，项目经理必须承担责任。</w:t>
      </w:r>
    </w:p>
    <w:p w14:paraId="1C7C20B0">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（六）对于</w:t>
      </w:r>
      <w:r>
        <w:rPr>
          <w:rFonts w:hint="eastAsia" w:ascii="宋体" w:hAnsi="宋体"/>
          <w:snapToGrid w:val="0"/>
          <w:color w:val="auto"/>
          <w:kern w:val="0"/>
          <w:sz w:val="24"/>
          <w:highlight w:val="none"/>
        </w:rPr>
        <w:t>易燃易爆</w:t>
      </w:r>
      <w:r>
        <w:rPr>
          <w:rFonts w:hint="eastAsia" w:ascii="宋体" w:hAnsi="宋体" w:cs="宋体"/>
          <w:snapToGrid w:val="0"/>
          <w:color w:val="auto"/>
          <w:kern w:val="0"/>
          <w:sz w:val="24"/>
          <w:highlight w:val="none"/>
          <w:lang w:val="zh-CN"/>
        </w:rPr>
        <w:t>的材料除应专门妥善保管之外，还应配备足够的消防设施，所有施工人员都应熟悉消防设备的性能和使用方法；乙方不能将任何种类的爆炸物给予、易货或以其他方式转让给任何其他人，或允许、容忍上述同样行为。</w:t>
      </w:r>
    </w:p>
    <w:p w14:paraId="10A6C25B">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（七）</w:t>
      </w:r>
      <w:r>
        <w:rPr>
          <w:rFonts w:hint="eastAsia" w:ascii="宋体" w:hAnsi="宋体"/>
          <w:snapToGrid w:val="0"/>
          <w:color w:val="auto"/>
          <w:kern w:val="0"/>
          <w:sz w:val="24"/>
          <w:highlight w:val="none"/>
        </w:rPr>
        <w:t>操作</w:t>
      </w:r>
      <w:r>
        <w:rPr>
          <w:rFonts w:hint="eastAsia" w:ascii="宋体" w:hAnsi="宋体" w:cs="宋体"/>
          <w:snapToGrid w:val="0"/>
          <w:color w:val="auto"/>
          <w:kern w:val="0"/>
          <w:sz w:val="24"/>
          <w:highlight w:val="none"/>
          <w:lang w:val="zh-CN"/>
        </w:rPr>
        <w:t>人员上岗，必须按规定穿戴安全帽等防护用品。项目经理和专职安全员应随时检查劳动防护用品的穿戴情况，不按规定穿戴防护用品的人员不得上岗。</w:t>
      </w:r>
    </w:p>
    <w:p w14:paraId="4C5A8BEB">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（八）所有施工</w:t>
      </w:r>
      <w:r>
        <w:rPr>
          <w:rFonts w:hint="eastAsia" w:ascii="宋体" w:hAnsi="宋体"/>
          <w:snapToGrid w:val="0"/>
          <w:color w:val="auto"/>
          <w:kern w:val="0"/>
          <w:sz w:val="24"/>
          <w:highlight w:val="none"/>
        </w:rPr>
        <w:t>机具</w:t>
      </w:r>
      <w:r>
        <w:rPr>
          <w:rFonts w:hint="eastAsia" w:ascii="宋体" w:hAnsi="宋体" w:cs="宋体"/>
          <w:snapToGrid w:val="0"/>
          <w:color w:val="auto"/>
          <w:kern w:val="0"/>
          <w:sz w:val="24"/>
          <w:highlight w:val="none"/>
          <w:lang w:val="zh-CN"/>
        </w:rPr>
        <w:t>设备和高处作业的设备均应定期检查，并有安全员的签名记录，保证其经常处于完好状态，不合格的机具、设备和劳动保护用品严禁使用。</w:t>
      </w:r>
    </w:p>
    <w:p w14:paraId="6D9EF642">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（九）施工中采用新技术、新工艺、新设备、新材料，必须制定相应的安全技术措施。施工现场必须按规定有针对性地悬挂安全标志牌。</w:t>
      </w:r>
    </w:p>
    <w:p w14:paraId="2D6BD019">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（十）乙方</w:t>
      </w:r>
      <w:r>
        <w:rPr>
          <w:rFonts w:hint="eastAsia" w:ascii="宋体" w:hAnsi="宋体"/>
          <w:snapToGrid w:val="0"/>
          <w:color w:val="auto"/>
          <w:kern w:val="0"/>
          <w:sz w:val="24"/>
          <w:highlight w:val="none"/>
        </w:rPr>
        <w:t>必须</w:t>
      </w:r>
      <w:r>
        <w:rPr>
          <w:rFonts w:hint="eastAsia" w:ascii="宋体" w:hAnsi="宋体" w:cs="宋体"/>
          <w:snapToGrid w:val="0"/>
          <w:color w:val="auto"/>
          <w:kern w:val="0"/>
          <w:sz w:val="24"/>
          <w:highlight w:val="none"/>
          <w:lang w:val="zh-CN"/>
        </w:rPr>
        <w:t>按照本工程项目特点，制定安全事故应急救援预案；如果发生安全事故，应按照《建设工程安全管理条例》的有关规定上报有关部门，并按照</w:t>
      </w:r>
      <w:r>
        <w:rPr>
          <w:rFonts w:ascii="宋体" w:hAnsi="宋体"/>
          <w:snapToGrid w:val="0"/>
          <w:color w:val="auto"/>
          <w:kern w:val="0"/>
          <w:sz w:val="24"/>
          <w:highlight w:val="none"/>
        </w:rPr>
        <w:t>“</w:t>
      </w:r>
      <w:r>
        <w:rPr>
          <w:rFonts w:hint="eastAsia" w:ascii="宋体" w:hAnsi="宋体" w:cs="宋体"/>
          <w:snapToGrid w:val="0"/>
          <w:color w:val="auto"/>
          <w:kern w:val="0"/>
          <w:sz w:val="24"/>
          <w:highlight w:val="none"/>
          <w:lang w:val="zh-CN"/>
        </w:rPr>
        <w:t>四不放过</w:t>
      </w:r>
      <w:r>
        <w:rPr>
          <w:rFonts w:ascii="宋体" w:hAnsi="宋体"/>
          <w:snapToGrid w:val="0"/>
          <w:color w:val="auto"/>
          <w:kern w:val="0"/>
          <w:sz w:val="24"/>
          <w:highlight w:val="none"/>
        </w:rPr>
        <w:t>”</w:t>
      </w:r>
      <w:r>
        <w:rPr>
          <w:rFonts w:hint="eastAsia" w:ascii="宋体" w:hAnsi="宋体" w:cs="宋体"/>
          <w:snapToGrid w:val="0"/>
          <w:color w:val="auto"/>
          <w:kern w:val="0"/>
          <w:sz w:val="24"/>
          <w:highlight w:val="none"/>
          <w:lang w:val="zh-CN"/>
        </w:rPr>
        <w:t>的原则调查处理。</w:t>
      </w:r>
    </w:p>
    <w:p w14:paraId="552CF9C6">
      <w:pPr>
        <w:autoSpaceDE w:val="0"/>
        <w:autoSpaceDN w:val="0"/>
        <w:adjustRightInd w:val="0"/>
        <w:snapToGrid w:val="0"/>
        <w:spacing w:line="360" w:lineRule="auto"/>
        <w:ind w:firstLine="482" w:firstLineChars="200"/>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三、违约责任</w:t>
      </w:r>
    </w:p>
    <w:p w14:paraId="65EC3711">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如因甲方或乙方失职违约，将依据《建设工程安全管理条例》、合同及有关规定追究责任。</w:t>
      </w:r>
    </w:p>
    <w:p w14:paraId="117023C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cs="宋体"/>
          <w:snapToGrid w:val="0"/>
          <w:color w:val="auto"/>
          <w:kern w:val="0"/>
          <w:sz w:val="24"/>
          <w:highlight w:val="none"/>
          <w:lang w:val="zh-CN"/>
        </w:rPr>
        <w:t>本安全生产合同由双方</w:t>
      </w:r>
      <w:r>
        <w:rPr>
          <w:rFonts w:hint="eastAsia" w:ascii="宋体" w:hAnsi="宋体"/>
          <w:snapToGrid w:val="0"/>
          <w:color w:val="auto"/>
          <w:kern w:val="0"/>
          <w:sz w:val="24"/>
          <w:highlight w:val="none"/>
        </w:rPr>
        <w:t>法定代表人签字或加盖公章</w:t>
      </w:r>
      <w:r>
        <w:rPr>
          <w:rFonts w:hint="eastAsia" w:ascii="宋体" w:hAnsi="宋体" w:cs="宋体"/>
          <w:snapToGrid w:val="0"/>
          <w:color w:val="auto"/>
          <w:kern w:val="0"/>
          <w:sz w:val="24"/>
          <w:highlight w:val="none"/>
          <w:lang w:val="zh-CN"/>
        </w:rPr>
        <w:t>后生效。工程竣工验收后失效。</w:t>
      </w:r>
    </w:p>
    <w:p w14:paraId="5F34B322">
      <w:pPr>
        <w:pStyle w:val="20"/>
        <w:adjustRightInd w:val="0"/>
        <w:snapToGrid w:val="0"/>
        <w:spacing w:line="360" w:lineRule="auto"/>
        <w:ind w:right="11"/>
        <w:rPr>
          <w:rFonts w:ascii="宋体" w:hAnsi="宋体"/>
          <w:snapToGrid w:val="0"/>
          <w:color w:val="auto"/>
          <w:kern w:val="0"/>
          <w:highlight w:val="none"/>
        </w:rPr>
      </w:pPr>
    </w:p>
    <w:p w14:paraId="58F95E7D">
      <w:pPr>
        <w:pStyle w:val="20"/>
        <w:adjustRightInd w:val="0"/>
        <w:snapToGrid w:val="0"/>
        <w:spacing w:line="360" w:lineRule="auto"/>
        <w:ind w:right="11"/>
        <w:rPr>
          <w:rFonts w:ascii="宋体" w:hAnsi="宋体"/>
          <w:snapToGrid w:val="0"/>
          <w:color w:val="auto"/>
          <w:kern w:val="0"/>
          <w:highlight w:val="none"/>
        </w:rPr>
      </w:pPr>
    </w:p>
    <w:p w14:paraId="688D166F">
      <w:pPr>
        <w:adjustRightInd w:val="0"/>
        <w:snapToGrid w:val="0"/>
        <w:spacing w:line="360" w:lineRule="auto"/>
        <w:rPr>
          <w:rFonts w:ascii="宋体" w:hAnsi="宋体"/>
          <w:snapToGrid w:val="0"/>
          <w:color w:val="auto"/>
          <w:kern w:val="0"/>
          <w:sz w:val="24"/>
          <w:highlight w:val="none"/>
        </w:rPr>
      </w:pPr>
    </w:p>
    <w:p w14:paraId="3DE8245A">
      <w:pPr>
        <w:adjustRightInd w:val="0"/>
        <w:snapToGrid w:val="0"/>
        <w:spacing w:line="360" w:lineRule="auto"/>
        <w:ind w:right="11"/>
        <w:rPr>
          <w:rFonts w:ascii="宋体" w:hAnsi="宋体"/>
          <w:snapToGrid w:val="0"/>
          <w:color w:val="auto"/>
          <w:spacing w:val="-20"/>
          <w:kern w:val="0"/>
          <w:sz w:val="24"/>
          <w:highlight w:val="none"/>
        </w:rPr>
      </w:pPr>
      <w:r>
        <w:rPr>
          <w:rFonts w:hint="eastAsia" w:ascii="宋体" w:hAnsi="宋体"/>
          <w:snapToGrid w:val="0"/>
          <w:color w:val="auto"/>
          <w:spacing w:val="-20"/>
          <w:kern w:val="0"/>
          <w:sz w:val="24"/>
          <w:highlight w:val="none"/>
        </w:rPr>
        <w:t>甲方：</w:t>
      </w:r>
      <w:r>
        <w:rPr>
          <w:rFonts w:hint="eastAsia" w:ascii="宋体" w:hAnsi="宋体"/>
          <w:color w:val="auto"/>
          <w:sz w:val="24"/>
          <w:szCs w:val="24"/>
          <w:highlight w:val="none"/>
          <w:u w:val="single"/>
        </w:rPr>
        <w:t>广州市越秀区代建项目管理中心</w:t>
      </w:r>
      <w:r>
        <w:rPr>
          <w:rFonts w:hint="eastAsia" w:ascii="宋体" w:hAnsi="宋体"/>
          <w:snapToGrid w:val="0"/>
          <w:color w:val="auto"/>
          <w:spacing w:val="-20"/>
          <w:kern w:val="0"/>
          <w:sz w:val="24"/>
          <w:highlight w:val="none"/>
        </w:rPr>
        <w:t xml:space="preserve">         乙方： </w:t>
      </w:r>
    </w:p>
    <w:p w14:paraId="292FB560">
      <w:pPr>
        <w:adjustRightInd w:val="0"/>
        <w:snapToGrid w:val="0"/>
        <w:spacing w:line="360" w:lineRule="auto"/>
        <w:ind w:right="11" w:firstLine="2400" w:firstLineChars="1000"/>
        <w:rPr>
          <w:rFonts w:ascii="宋体" w:hAnsi="宋体"/>
          <w:snapToGrid w:val="0"/>
          <w:color w:val="auto"/>
          <w:kern w:val="0"/>
          <w:sz w:val="24"/>
          <w:highlight w:val="none"/>
        </w:rPr>
      </w:pPr>
      <w:r>
        <w:rPr>
          <w:rFonts w:hint="eastAsia" w:ascii="宋体" w:hAnsi="宋体"/>
          <w:snapToGrid w:val="0"/>
          <w:color w:val="auto"/>
          <w:kern w:val="0"/>
          <w:sz w:val="24"/>
          <w:highlight w:val="none"/>
        </w:rPr>
        <w:t>（盖章）                         （盖章）</w:t>
      </w:r>
    </w:p>
    <w:p w14:paraId="1B648A64">
      <w:pPr>
        <w:adjustRightInd w:val="0"/>
        <w:snapToGrid w:val="0"/>
        <w:spacing w:line="360" w:lineRule="auto"/>
        <w:ind w:right="11"/>
        <w:rPr>
          <w:rFonts w:ascii="宋体" w:hAnsi="宋体"/>
          <w:snapToGrid w:val="0"/>
          <w:color w:val="auto"/>
          <w:kern w:val="0"/>
          <w:sz w:val="24"/>
          <w:highlight w:val="none"/>
        </w:rPr>
      </w:pPr>
    </w:p>
    <w:p w14:paraId="65C90354">
      <w:pPr>
        <w:adjustRightInd w:val="0"/>
        <w:snapToGrid w:val="0"/>
        <w:spacing w:line="360" w:lineRule="auto"/>
        <w:ind w:right="11"/>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                           法定代表人：</w:t>
      </w:r>
    </w:p>
    <w:p w14:paraId="2F1ED8ED">
      <w:pPr>
        <w:tabs>
          <w:tab w:val="left" w:pos="5460"/>
        </w:tabs>
        <w:adjustRightInd w:val="0"/>
        <w:snapToGrid w:val="0"/>
        <w:spacing w:line="360" w:lineRule="auto"/>
        <w:ind w:left="-2" w:leftChars="-1" w:right="11"/>
        <w:rPr>
          <w:rFonts w:ascii="宋体" w:hAnsi="宋体"/>
          <w:snapToGrid w:val="0"/>
          <w:color w:val="auto"/>
          <w:kern w:val="0"/>
          <w:sz w:val="24"/>
          <w:highlight w:val="none"/>
        </w:rPr>
      </w:pPr>
    </w:p>
    <w:p w14:paraId="2E03C758">
      <w:pPr>
        <w:tabs>
          <w:tab w:val="left" w:pos="5460"/>
        </w:tabs>
        <w:adjustRightInd w:val="0"/>
        <w:snapToGrid w:val="0"/>
        <w:spacing w:line="360" w:lineRule="auto"/>
        <w:ind w:left="-2" w:leftChars="-1" w:right="11"/>
        <w:rPr>
          <w:rFonts w:ascii="宋体" w:hAnsi="宋体"/>
          <w:snapToGrid w:val="0"/>
          <w:color w:val="auto"/>
          <w:kern w:val="0"/>
          <w:sz w:val="24"/>
          <w:highlight w:val="none"/>
        </w:rPr>
      </w:pPr>
      <w:r>
        <w:rPr>
          <w:rFonts w:hint="eastAsia" w:ascii="宋体" w:hAnsi="宋体"/>
          <w:snapToGrid w:val="0"/>
          <w:color w:val="auto"/>
          <w:kern w:val="0"/>
          <w:sz w:val="24"/>
          <w:highlight w:val="none"/>
        </w:rPr>
        <w:t>经办人：                               经办人：</w:t>
      </w:r>
    </w:p>
    <w:p w14:paraId="3F2A20AB">
      <w:pPr>
        <w:adjustRightInd w:val="0"/>
        <w:snapToGrid w:val="0"/>
        <w:spacing w:line="360" w:lineRule="auto"/>
        <w:ind w:right="11"/>
        <w:rPr>
          <w:rFonts w:ascii="宋体" w:hAnsi="宋体"/>
          <w:snapToGrid w:val="0"/>
          <w:color w:val="auto"/>
          <w:kern w:val="0"/>
          <w:sz w:val="24"/>
          <w:highlight w:val="none"/>
        </w:rPr>
      </w:pPr>
    </w:p>
    <w:p w14:paraId="5F998656">
      <w:pPr>
        <w:adjustRightInd w:val="0"/>
        <w:snapToGrid w:val="0"/>
        <w:spacing w:line="360" w:lineRule="auto"/>
        <w:ind w:right="11"/>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2024年   月   日                      2024年   月   日</w:t>
      </w:r>
    </w:p>
    <w:p w14:paraId="7C0FE617">
      <w:pPr>
        <w:adjustRightInd w:val="0"/>
        <w:snapToGrid w:val="0"/>
        <w:spacing w:line="360" w:lineRule="auto"/>
        <w:ind w:right="11"/>
        <w:jc w:val="left"/>
        <w:rPr>
          <w:rFonts w:ascii="宋体" w:hAnsi="宋体"/>
          <w:snapToGrid w:val="0"/>
          <w:color w:val="auto"/>
          <w:kern w:val="0"/>
          <w:sz w:val="24"/>
          <w:highlight w:val="none"/>
        </w:rPr>
      </w:pPr>
    </w:p>
    <w:p w14:paraId="1E21B198">
      <w:pPr>
        <w:adjustRightInd w:val="0"/>
        <w:snapToGrid w:val="0"/>
        <w:spacing w:line="360" w:lineRule="auto"/>
        <w:rPr>
          <w:b/>
          <w:snapToGrid w:val="0"/>
          <w:color w:val="auto"/>
          <w:kern w:val="0"/>
          <w:sz w:val="44"/>
          <w:szCs w:val="36"/>
          <w:highlight w:val="none"/>
        </w:rPr>
      </w:pPr>
      <w:r>
        <w:rPr>
          <w:snapToGrid w:val="0"/>
          <w:color w:val="auto"/>
          <w:kern w:val="0"/>
          <w:highlight w:val="none"/>
        </w:rPr>
        <w:br w:type="page"/>
      </w:r>
      <w:r>
        <w:rPr>
          <w:rFonts w:hint="eastAsia" w:ascii="宋体" w:hAnsi="宋体"/>
          <w:snapToGrid w:val="0"/>
          <w:color w:val="auto"/>
          <w:kern w:val="0"/>
          <w:sz w:val="24"/>
          <w:highlight w:val="none"/>
        </w:rPr>
        <w:t>附件4：</w:t>
      </w:r>
    </w:p>
    <w:p w14:paraId="4025FEBD">
      <w:pPr>
        <w:adjustRightInd w:val="0"/>
        <w:snapToGrid w:val="0"/>
        <w:spacing w:line="360" w:lineRule="auto"/>
        <w:jc w:val="center"/>
        <w:rPr>
          <w:b/>
          <w:snapToGrid w:val="0"/>
          <w:color w:val="auto"/>
          <w:kern w:val="0"/>
          <w:sz w:val="32"/>
          <w:szCs w:val="32"/>
          <w:highlight w:val="none"/>
        </w:rPr>
      </w:pPr>
      <w:r>
        <w:rPr>
          <w:rFonts w:hint="eastAsia"/>
          <w:b/>
          <w:snapToGrid w:val="0"/>
          <w:color w:val="auto"/>
          <w:kern w:val="0"/>
          <w:sz w:val="32"/>
          <w:szCs w:val="32"/>
          <w:highlight w:val="none"/>
        </w:rPr>
        <w:t>花果山产业小镇综合配套工程建设项目</w:t>
      </w:r>
    </w:p>
    <w:p w14:paraId="7B05C285">
      <w:pPr>
        <w:adjustRightInd w:val="0"/>
        <w:snapToGrid w:val="0"/>
        <w:spacing w:line="360" w:lineRule="auto"/>
        <w:jc w:val="center"/>
        <w:rPr>
          <w:b/>
          <w:snapToGrid w:val="0"/>
          <w:color w:val="auto"/>
          <w:kern w:val="0"/>
          <w:sz w:val="32"/>
          <w:szCs w:val="32"/>
          <w:highlight w:val="none"/>
        </w:rPr>
      </w:pPr>
      <w:r>
        <w:rPr>
          <w:rFonts w:hint="eastAsia"/>
          <w:b/>
          <w:snapToGrid w:val="0"/>
          <w:color w:val="auto"/>
          <w:kern w:val="0"/>
          <w:sz w:val="32"/>
          <w:szCs w:val="32"/>
          <w:highlight w:val="none"/>
        </w:rPr>
        <w:t>工程建设资金拨付管理办法及实施细则</w:t>
      </w:r>
    </w:p>
    <w:p w14:paraId="27482152">
      <w:pPr>
        <w:adjustRightInd w:val="0"/>
        <w:snapToGrid w:val="0"/>
        <w:spacing w:line="360" w:lineRule="auto"/>
        <w:ind w:firstLine="482" w:firstLineChars="200"/>
        <w:jc w:val="center"/>
        <w:rPr>
          <w:rFonts w:ascii="宋体" w:hAnsi="宋体"/>
          <w:b/>
          <w:bCs/>
          <w:snapToGrid w:val="0"/>
          <w:color w:val="auto"/>
          <w:kern w:val="0"/>
          <w:sz w:val="24"/>
          <w:highlight w:val="none"/>
        </w:rPr>
      </w:pPr>
    </w:p>
    <w:p w14:paraId="4632F1BE">
      <w:pPr>
        <w:adjustRightInd w:val="0"/>
        <w:snapToGrid w:val="0"/>
        <w:spacing w:line="360" w:lineRule="auto"/>
        <w:ind w:firstLine="482" w:firstLineChars="200"/>
        <w:jc w:val="center"/>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第一章 总则</w:t>
      </w:r>
    </w:p>
    <w:p w14:paraId="729FC608">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第一条  为了加强本工程建设资金的使用管理，提高建设资金使用效益，确保建设资金用于专项工程项目，并且保证其安全、高效的使用，根据国家有关规定特制定本办法。</w:t>
      </w:r>
    </w:p>
    <w:p w14:paraId="15F6713C">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第二条  本办法适用于与本工程建设的工程施工承包商、监理单位、主要材料供应商及监管开户银行。</w:t>
      </w:r>
    </w:p>
    <w:p w14:paraId="070F6556">
      <w:pPr>
        <w:adjustRightInd w:val="0"/>
        <w:snapToGrid w:val="0"/>
        <w:spacing w:line="360" w:lineRule="auto"/>
        <w:jc w:val="center"/>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第二章 资金账户的管理</w:t>
      </w:r>
    </w:p>
    <w:p w14:paraId="622F4D70">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第一条  工程承包商、监理单位、主要材料供应商（以下简称“工程承包商”）必须在广州市越秀区代建项目管理中心指定的监管银行开设一般结算账户、临时账户或专用账户，未经核准的账户，广州市越秀区代建项目管理中心不予以拨付资金。</w:t>
      </w:r>
    </w:p>
    <w:p w14:paraId="4F160370">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第二条  广州市越秀区代建项目管理中心 指定的监管开户银行应依法为开户单位保密，除国家法律、法规规定的有权部门和广州市越秀区代建项目管理中心 管理规定需要外，不准代任何单位和个人查询、冻结、扣划开户单位的存款。</w:t>
      </w:r>
    </w:p>
    <w:p w14:paraId="1F867DEF">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第三条  开户单位申请开设银行账户时，应按规定向监管开户银行出具有关证明材料，在条件满足的情况下，监管开户银行应在二天内办妥开户手续。</w:t>
      </w:r>
    </w:p>
    <w:p w14:paraId="616B075A">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第四条  开户单位申请撤销指定的账户，需向广州市越秀区代建项目管理中心 提出书面申请并经同意。同时根据监管开户银行的有关撤销账户要求，办理并完善相关的手续。</w:t>
      </w:r>
    </w:p>
    <w:p w14:paraId="201AAEDD">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第五条  开户单位的账户只能办理自身的业务，不得出租或转让。工程承包商违反上述规定或套取建设资金另作他用，监管开户银行有权制止，并报广州市越秀区代建项目管理中心 。</w:t>
      </w:r>
    </w:p>
    <w:p w14:paraId="4F08523C">
      <w:pPr>
        <w:adjustRightInd w:val="0"/>
        <w:snapToGrid w:val="0"/>
        <w:spacing w:line="360" w:lineRule="auto"/>
        <w:jc w:val="center"/>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第三章 项目资金管理</w:t>
      </w:r>
    </w:p>
    <w:p w14:paraId="68B88BA2">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第一条  为了确保本工程项目建设资金正常运行和安全、有效使用，对各项目建设资金采取集中监控的管理模式。广州市越秀区代建项目管理中心对参与各项目工程施工的承包商、监理单位及主要材料供应商等单位集中在指定的银行开设专用账户，对其项目资金的流向实施监控，以达到建设资金专款专用的目的。</w:t>
      </w:r>
    </w:p>
    <w:p w14:paraId="466EEA1B">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第二条  工程承包商与广州市越秀区代建项目管理中心 签署合同后在规定的限期内，应向广州市越秀区代建项目管理中心 提交地（市）级以上银行出具的合同履约保函。监管开户银行应按有关规定和程序积极协助广州市越秀区代建项目管理中心 审查工程承包商出具的合同履约，确保保函真实有效。</w:t>
      </w:r>
    </w:p>
    <w:p w14:paraId="1936F104">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第三条  广州市越秀区代建项目管理中心 、工程承包商及指定监管开户银行三方共同签订《项目建设资金管理协议》，监管开户单位授权同意该监管开户银行把工程专项资金的往来结算记录及对账资料提供给广州市越秀区代建项目管理中心查阅，以此规范建设资金的使用行为。</w:t>
      </w:r>
    </w:p>
    <w:p w14:paraId="1B1B6743">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第四条  工程承包单位、监理及主要材料供应商必须按合同及相关管理规定，及时申报计量支付，经广州市越秀区代建项目管理中心 审查核批后，据以拨付工程进度款、监理酬金及货款。工程承包商不得高估冒算、虚报工程进度款项。</w:t>
      </w:r>
    </w:p>
    <w:p w14:paraId="35971624">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第五条  工程承包商、监理单位及主要材料供应商依据项目办每次核批工程等各类款项的编制详细用款计划（含本期所属月工资发放明细表）一式两份，报送广州市越秀区代建项目管理中心 和监管开户银行，广州市越秀区代建项目管理中心 作为拨付工程款的依据，监管开户银行则据此监控其建设资金的具体流向。</w:t>
      </w:r>
    </w:p>
    <w:p w14:paraId="7137C89B">
      <w:pPr>
        <w:adjustRightInd w:val="0"/>
        <w:snapToGrid w:val="0"/>
        <w:spacing w:line="360" w:lineRule="auto"/>
        <w:ind w:firstLine="645"/>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第六条  工程承包商将工程进度款用于购买大型机械设备、仪器的，必须报经广州市越秀区代建项目管理中心 核准；用于购买大宗材料的，收款人必须是广州市越秀区代建项目管理中心 认可的材料供应商；广州市越秀区代建项目管理中心 向各监管开户银行提供经报核准的设备和材料供应商清单，未经广州市越秀区代建项目管理中心 核准或对不是广州市越秀区代建项目管理中心 认可的材料供应商、设备供应商的大额资金的支付，监管开户银行有权不予办理。监管开户银行应分别建立每个工程承包商序时资金支付备查台账，并由专人负责与经由广州市越秀区代建项目管理中心 审核的用款计划核对；每月两期将相关收支情况明细表提交给广州市越秀区代建项目管理中心 备查，提交时间为当月20日和次月的5日；对异常支付应即时通知广州市越秀区代建项目管理中心 。  </w:t>
      </w:r>
    </w:p>
    <w:p w14:paraId="2A82F238">
      <w:pPr>
        <w:adjustRightInd w:val="0"/>
        <w:snapToGrid w:val="0"/>
        <w:spacing w:line="360" w:lineRule="auto"/>
        <w:ind w:firstLine="240" w:firstLineChars="10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第七条  经广州市越秀区代建项目管理中心 审核拨付的工程进度款，工程承包商应专款专用，严禁挪作他用；工程承包商违反规定用途转款或用款的，监管开户银行有权拒绝付款，并及时把信息反馈到广州市越秀区代建项目管理中心 ，广州市越秀区代建项目管理中心 将酌情进行处理。</w:t>
      </w:r>
    </w:p>
    <w:p w14:paraId="2144837B">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第八条  工程承包商应严格遵守《现金管理暂行条例》，不得以任何名义套取现金。工程承包商必须严格遵守中国人民银行制定的现金管理规定。</w:t>
      </w:r>
    </w:p>
    <w:p w14:paraId="78EA33AB">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第九条  工程承包商应及时支付合作单位、分包单位的工程款项，及时支付材料、设备等款项，及时支付施工人员工资，确保工程建设顺利进行。</w:t>
      </w:r>
    </w:p>
    <w:p w14:paraId="4E969B54">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第十条  保证建设资金的安全和工程建设的顺利进行，工程承包商在承建的工程正式交验之前，未经广州市越秀区代建项目管理中心 同意不得以任何名义转移资金。</w:t>
      </w:r>
    </w:p>
    <w:p w14:paraId="38EB377D">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第十一条  监管开户银行应为工程承包商提供全方位的优质服务，不得无理压票压汇；同时应密切跟进开户单位在实际资金运作中提出服务要求，为其解决在工程建设中的实际问题（如施工人员工资的提现等）。</w:t>
      </w:r>
    </w:p>
    <w:p w14:paraId="2B2D14B6">
      <w:pPr>
        <w:adjustRightInd w:val="0"/>
        <w:snapToGrid w:val="0"/>
        <w:spacing w:line="360" w:lineRule="auto"/>
        <w:jc w:val="center"/>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第四章 附则</w:t>
      </w:r>
    </w:p>
    <w:p w14:paraId="7A71B2EB">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第一条  本办法执行过程中如有问题请及时向广州市越秀区代建项目管理中心 反映。</w:t>
      </w:r>
    </w:p>
    <w:p w14:paraId="406A4632">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第二条  本办法自项目竣工结算完成，办理清算后6个月自行废止。</w:t>
      </w:r>
    </w:p>
    <w:p w14:paraId="5FFD93AD">
      <w:pPr>
        <w:adjustRightInd w:val="0"/>
        <w:snapToGrid w:val="0"/>
        <w:spacing w:line="360" w:lineRule="auto"/>
        <w:ind w:firstLine="240" w:firstLineChars="100"/>
        <w:rPr>
          <w:rFonts w:ascii="宋体" w:hAnsi="宋体"/>
          <w:snapToGrid w:val="0"/>
          <w:color w:val="auto"/>
          <w:kern w:val="0"/>
          <w:sz w:val="24"/>
          <w:highlight w:val="none"/>
        </w:rPr>
      </w:pPr>
      <w:r>
        <w:rPr>
          <w:rFonts w:hint="eastAsia" w:ascii="宋体" w:hAnsi="宋体"/>
          <w:snapToGrid w:val="0"/>
          <w:color w:val="auto"/>
          <w:kern w:val="0"/>
          <w:sz w:val="24"/>
          <w:highlight w:val="none"/>
        </w:rPr>
        <w:t>附件： 1.建设资金使用监控流程图</w:t>
      </w:r>
    </w:p>
    <w:p w14:paraId="1C7FC3A8">
      <w:pPr>
        <w:adjustRightInd w:val="0"/>
        <w:snapToGrid w:val="0"/>
        <w:spacing w:line="360" w:lineRule="auto"/>
        <w:ind w:firstLine="63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2.工程建设资金使用计划（1）（格式）</w:t>
      </w:r>
    </w:p>
    <w:p w14:paraId="24E76240">
      <w:pPr>
        <w:adjustRightInd w:val="0"/>
        <w:snapToGrid w:val="0"/>
        <w:spacing w:line="360" w:lineRule="auto"/>
        <w:ind w:firstLine="63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3.工程建设资金使用计划（2）（格式）</w:t>
      </w:r>
    </w:p>
    <w:p w14:paraId="2B2D0011">
      <w:pPr>
        <w:adjustRightInd w:val="0"/>
        <w:snapToGrid w:val="0"/>
        <w:spacing w:line="360" w:lineRule="auto"/>
        <w:ind w:firstLine="63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4.工程承包商计划发放工资表（1）（格式）</w:t>
      </w:r>
    </w:p>
    <w:p w14:paraId="5A7D129C">
      <w:pPr>
        <w:adjustRightInd w:val="0"/>
        <w:snapToGrid w:val="0"/>
        <w:spacing w:line="360" w:lineRule="auto"/>
        <w:ind w:firstLine="630"/>
        <w:rPr>
          <w:rFonts w:ascii="仿宋_GB2312" w:eastAsia="仿宋_GB2312"/>
          <w:snapToGrid w:val="0"/>
          <w:color w:val="auto"/>
          <w:kern w:val="0"/>
          <w:sz w:val="32"/>
          <w:szCs w:val="32"/>
          <w:highlight w:val="none"/>
        </w:rPr>
      </w:pPr>
      <w:r>
        <w:rPr>
          <w:rFonts w:hint="eastAsia" w:ascii="宋体" w:hAnsi="宋体"/>
          <w:snapToGrid w:val="0"/>
          <w:color w:val="auto"/>
          <w:kern w:val="0"/>
          <w:sz w:val="24"/>
          <w:highlight w:val="none"/>
        </w:rPr>
        <w:t xml:space="preserve">    5.工程承包商实际发放工资表（2）（格式）</w:t>
      </w:r>
    </w:p>
    <w:p w14:paraId="6B6997B2">
      <w:pPr>
        <w:jc w:val="center"/>
        <w:rPr>
          <w:b/>
          <w:snapToGrid w:val="0"/>
          <w:color w:val="auto"/>
          <w:kern w:val="0"/>
          <w:sz w:val="44"/>
          <w:szCs w:val="44"/>
          <w:highlight w:val="none"/>
        </w:rPr>
      </w:pPr>
      <w:r>
        <w:rPr>
          <w:rFonts w:ascii="仿宋_GB2312" w:eastAsia="仿宋_GB2312"/>
          <w:snapToGrid w:val="0"/>
          <w:color w:val="auto"/>
          <w:kern w:val="0"/>
          <w:sz w:val="32"/>
          <w:szCs w:val="32"/>
          <w:highlight w:val="none"/>
        </w:rPr>
        <w:br w:type="page"/>
      </w:r>
    </w:p>
    <w:p w14:paraId="39C5EA78">
      <w:pPr>
        <w:jc w:val="center"/>
        <w:outlineLvl w:val="1"/>
        <w:rPr>
          <w:b/>
          <w:snapToGrid w:val="0"/>
          <w:color w:val="auto"/>
          <w:kern w:val="0"/>
          <w:sz w:val="44"/>
          <w:szCs w:val="44"/>
          <w:highlight w:val="none"/>
        </w:rPr>
      </w:pPr>
      <w:r>
        <w:rPr>
          <w:rFonts w:hint="eastAsia"/>
          <w:b/>
          <w:snapToGrid w:val="0"/>
          <w:color w:val="auto"/>
          <w:kern w:val="0"/>
          <w:sz w:val="44"/>
          <w:szCs w:val="44"/>
          <w:highlight w:val="none"/>
        </w:rPr>
        <w:t>工程建设资金使用监控流程图</w:t>
      </w:r>
    </w:p>
    <w:p w14:paraId="70A39615">
      <w:pPr>
        <w:rPr>
          <w:snapToGrid w:val="0"/>
          <w:color w:val="auto"/>
          <w:kern w:val="0"/>
          <w:highlight w:val="none"/>
        </w:rPr>
      </w:pPr>
    </w:p>
    <w:p w14:paraId="07C3C354">
      <w:pPr>
        <w:rPr>
          <w:snapToGrid w:val="0"/>
          <w:color w:val="auto"/>
          <w:kern w:val="0"/>
          <w:highlight w:val="none"/>
        </w:rPr>
      </w:pPr>
      <w:r>
        <w:rPr>
          <w:color w:val="auto"/>
          <w:kern w:val="0"/>
          <w:highlight w:val="none"/>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528320</wp:posOffset>
                </wp:positionV>
                <wp:extent cx="1143000" cy="1287780"/>
                <wp:effectExtent l="0" t="0" r="19050" b="26670"/>
                <wp:wrapNone/>
                <wp:docPr id="2" name="AutoShape 47"/>
                <wp:cNvGraphicFramePr/>
                <a:graphic xmlns:a="http://schemas.openxmlformats.org/drawingml/2006/main">
                  <a:graphicData uri="http://schemas.microsoft.com/office/word/2010/wordprocessingShape">
                    <wps:wsp>
                      <wps:cNvSpPr>
                        <a:spLocks noChangeArrowheads="1"/>
                      </wps:cNvSpPr>
                      <wps:spPr bwMode="auto">
                        <a:xfrm>
                          <a:off x="0" y="0"/>
                          <a:ext cx="1143000" cy="1287780"/>
                        </a:xfrm>
                        <a:prstGeom prst="flowChartProcess">
                          <a:avLst/>
                        </a:prstGeom>
                        <a:solidFill>
                          <a:srgbClr val="FFFFFF"/>
                        </a:solidFill>
                        <a:ln w="9525">
                          <a:solidFill>
                            <a:srgbClr val="000000"/>
                          </a:solidFill>
                          <a:miter lim="800000"/>
                        </a:ln>
                      </wps:spPr>
                      <wps:txbx>
                        <w:txbxContent>
                          <w:p w14:paraId="09C1C2E9">
                            <w:pPr>
                              <w:rPr>
                                <w:sz w:val="18"/>
                                <w:szCs w:val="18"/>
                              </w:rPr>
                            </w:pPr>
                            <w:r>
                              <w:rPr>
                                <w:rFonts w:hint="eastAsia"/>
                                <w:sz w:val="18"/>
                                <w:szCs w:val="18"/>
                              </w:rPr>
                              <w:t>施工单位呈交已盖公章的每期资金使用计划（含工资发放明细表）报重点办审批并交开户银行</w:t>
                            </w:r>
                          </w:p>
                        </w:txbxContent>
                      </wps:txbx>
                      <wps:bodyPr rot="0" vert="horz" wrap="square" lIns="91440" tIns="45720" rIns="91440" bIns="45720" anchor="t" anchorCtr="0" upright="1">
                        <a:noAutofit/>
                      </wps:bodyPr>
                    </wps:wsp>
                  </a:graphicData>
                </a:graphic>
              </wp:anchor>
            </w:drawing>
          </mc:Choice>
          <mc:Fallback>
            <w:pict>
              <v:shape id="AutoShape 47" o:spid="_x0000_s1026" o:spt="109" type="#_x0000_t109" style="position:absolute;left:0pt;margin-left:-8.25pt;margin-top:41.6pt;height:101.4pt;width:90pt;z-index:251661312;mso-width-relative:page;mso-height-relative:page;" fillcolor="#FFFFFF" filled="t" stroked="t" coordsize="21600,21600" o:gfxdata="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oGhH/YAAAACgEAAA8AAAAAAAAAAQAgAAAAIgAAAGRycy9kb3du&#10;cmV2LnhtbFBLAQIUABQAAAAIAIdO4kCWTiIHOAIAAIsEAAAOAAAAAAAAAAEAIAAAACcBAABkcnMv&#10;ZTJvRG9jLnhtbFBLBQYAAAAABgAGAFkBAADRBQAAAAA=&#10;">
                <v:fill on="t" focussize="0,0"/>
                <v:stroke color="#000000" miterlimit="8" joinstyle="miter"/>
                <v:imagedata o:title=""/>
                <o:lock v:ext="edit" aspectratio="f"/>
                <v:textbox>
                  <w:txbxContent>
                    <w:p w14:paraId="09C1C2E9">
                      <w:pPr>
                        <w:rPr>
                          <w:sz w:val="18"/>
                          <w:szCs w:val="18"/>
                        </w:rPr>
                      </w:pPr>
                      <w:r>
                        <w:rPr>
                          <w:rFonts w:hint="eastAsia"/>
                          <w:sz w:val="18"/>
                          <w:szCs w:val="18"/>
                        </w:rPr>
                        <w:t>施工单位呈交已盖公章的每期资金使用计划（含工资发放明细表）报重点办审批并交开户银行</w:t>
                      </w:r>
                    </w:p>
                  </w:txbxContent>
                </v:textbox>
              </v:shape>
            </w:pict>
          </mc:Fallback>
        </mc:AlternateContent>
      </w:r>
      <w:r>
        <w:rPr>
          <w:color w:val="auto"/>
          <w:kern w:val="0"/>
          <w:highlight w:val="none"/>
        </w:rPr>
        <mc:AlternateContent>
          <mc:Choice Requires="wpc">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5029200" cy="7429500"/>
                <wp:effectExtent l="0" t="0" r="19050" b="19050"/>
                <wp:wrapNone/>
                <wp:docPr id="4" name="画布 2"/>
                <wp:cNvGraphicFramePr/>
                <a:graphic xmlns:a="http://schemas.openxmlformats.org/drawingml/2006/main">
                  <a:graphicData uri="http://schemas.microsoft.com/office/word/2010/wordprocessingCanvas">
                    <wpc:wpc>
                      <wpc:bg>
                        <a:noFill/>
                      </wpc:bg>
                      <wpc:whole/>
                      <wps:wsp>
                        <wps:cNvPr id="5" name="AutoShape 4"/>
                        <wps:cNvSpPr>
                          <a:spLocks noChangeArrowheads="1"/>
                        </wps:cNvSpPr>
                        <wps:spPr bwMode="auto">
                          <a:xfrm>
                            <a:off x="1028916" y="0"/>
                            <a:ext cx="3429232" cy="296772"/>
                          </a:xfrm>
                          <a:prstGeom prst="flowChartProcess">
                            <a:avLst/>
                          </a:prstGeom>
                          <a:solidFill>
                            <a:srgbClr val="FFFFFF"/>
                          </a:solidFill>
                          <a:ln w="9525">
                            <a:solidFill>
                              <a:srgbClr val="000000"/>
                            </a:solidFill>
                            <a:miter lim="800000"/>
                          </a:ln>
                        </wps:spPr>
                        <wps:txbx>
                          <w:txbxContent>
                            <w:p w14:paraId="3B18EE46">
                              <w:pPr>
                                <w:jc w:val="center"/>
                                <w:rPr>
                                  <w:sz w:val="18"/>
                                  <w:szCs w:val="18"/>
                                </w:rPr>
                              </w:pPr>
                              <w:r>
                                <w:rPr>
                                  <w:rFonts w:hint="eastAsia"/>
                                  <w:sz w:val="18"/>
                                  <w:szCs w:val="18"/>
                                </w:rPr>
                                <w:t>签订工程合同，并在指定银行开设帐户，出具授权书</w:t>
                              </w:r>
                            </w:p>
                          </w:txbxContent>
                        </wps:txbx>
                        <wps:bodyPr rot="0" vert="horz" wrap="square" lIns="91440" tIns="45720" rIns="91440" bIns="45720" anchor="t" anchorCtr="0" upright="1">
                          <a:noAutofit/>
                        </wps:bodyPr>
                      </wps:wsp>
                      <wps:wsp>
                        <wps:cNvPr id="6" name="AutoShape 5"/>
                        <wps:cNvSpPr>
                          <a:spLocks noChangeArrowheads="1"/>
                        </wps:cNvSpPr>
                        <wps:spPr bwMode="auto">
                          <a:xfrm>
                            <a:off x="1257483" y="693439"/>
                            <a:ext cx="2971368" cy="296772"/>
                          </a:xfrm>
                          <a:prstGeom prst="flowChartProcess">
                            <a:avLst/>
                          </a:prstGeom>
                          <a:solidFill>
                            <a:srgbClr val="FFFFFF"/>
                          </a:solidFill>
                          <a:ln w="9525">
                            <a:solidFill>
                              <a:srgbClr val="000000"/>
                            </a:solidFill>
                            <a:miter lim="800000"/>
                          </a:ln>
                        </wps:spPr>
                        <wps:txbx>
                          <w:txbxContent>
                            <w:p w14:paraId="113383C9">
                              <w:pPr>
                                <w:jc w:val="center"/>
                              </w:pPr>
                              <w:r>
                                <w:rPr>
                                  <w:rFonts w:hint="eastAsia"/>
                                  <w:sz w:val="18"/>
                                  <w:szCs w:val="18"/>
                                </w:rPr>
                                <w:t>根据各部门及办领导核准的审批表拨付工程款</w:t>
                              </w:r>
                              <w:r>
                                <w:rPr>
                                  <w:rFonts w:hint="eastAsia"/>
                                </w:rPr>
                                <w:t>2006.03.28 “纪念邓丽君演唱会”新闻发布会</w:t>
                              </w:r>
                            </w:p>
                            <w:p w14:paraId="5F86E3A7">
                              <w:pPr>
                                <w:jc w:val="center"/>
                              </w:pPr>
                              <w:r>
                                <w:rPr>
                                  <w:rFonts w:hint="eastAsia"/>
                                </w:rPr>
                                <w:t>http://www.2zly.com/viewthread.php?tid=556&amp;extra=page%3D1</w:t>
                              </w:r>
                            </w:p>
                          </w:txbxContent>
                        </wps:txbx>
                        <wps:bodyPr rot="0" vert="horz" wrap="square" lIns="91440" tIns="45720" rIns="91440" bIns="45720" anchor="t" anchorCtr="0" upright="1">
                          <a:noAutofit/>
                        </wps:bodyPr>
                      </wps:wsp>
                      <wps:wsp>
                        <wps:cNvPr id="7" name="AutoShape 6"/>
                        <wps:cNvSpPr>
                          <a:spLocks noChangeArrowheads="1"/>
                        </wps:cNvSpPr>
                        <wps:spPr bwMode="auto">
                          <a:xfrm>
                            <a:off x="1257483" y="1683651"/>
                            <a:ext cx="1142834" cy="298230"/>
                          </a:xfrm>
                          <a:prstGeom prst="flowChartAlternateProcess">
                            <a:avLst/>
                          </a:prstGeom>
                          <a:solidFill>
                            <a:srgbClr val="FFFFFF"/>
                          </a:solidFill>
                          <a:ln w="9525">
                            <a:solidFill>
                              <a:srgbClr val="000000"/>
                            </a:solidFill>
                            <a:miter lim="800000"/>
                          </a:ln>
                        </wps:spPr>
                        <wps:txbx>
                          <w:txbxContent>
                            <w:p w14:paraId="0FC0C699">
                              <w:pPr>
                                <w:jc w:val="center"/>
                                <w:rPr>
                                  <w:sz w:val="18"/>
                                  <w:szCs w:val="18"/>
                                </w:rPr>
                              </w:pPr>
                              <w:r>
                                <w:rPr>
                                  <w:rFonts w:hint="eastAsia"/>
                                  <w:sz w:val="18"/>
                                  <w:szCs w:val="18"/>
                                </w:rPr>
                                <w:t>由业主直接支付</w:t>
                              </w:r>
                            </w:p>
                          </w:txbxContent>
                        </wps:txbx>
                        <wps:bodyPr rot="0" vert="horz" wrap="square" lIns="91440" tIns="45720" rIns="91440" bIns="45720" anchor="t" anchorCtr="0" upright="1">
                          <a:noAutofit/>
                        </wps:bodyPr>
                      </wps:wsp>
                      <wps:wsp>
                        <wps:cNvPr id="8" name="AutoShape 7"/>
                        <wps:cNvSpPr>
                          <a:spLocks noChangeArrowheads="1"/>
                        </wps:cNvSpPr>
                        <wps:spPr bwMode="auto">
                          <a:xfrm>
                            <a:off x="3200666" y="1683651"/>
                            <a:ext cx="1028916" cy="298230"/>
                          </a:xfrm>
                          <a:prstGeom prst="flowChartAlternateProcess">
                            <a:avLst/>
                          </a:prstGeom>
                          <a:solidFill>
                            <a:srgbClr val="FFFFFF"/>
                          </a:solidFill>
                          <a:ln w="9525">
                            <a:solidFill>
                              <a:srgbClr val="000000"/>
                            </a:solidFill>
                            <a:miter lim="800000"/>
                          </a:ln>
                        </wps:spPr>
                        <wps:txbx>
                          <w:txbxContent>
                            <w:p w14:paraId="382C2C66">
                              <w:pPr>
                                <w:jc w:val="center"/>
                                <w:rPr>
                                  <w:sz w:val="18"/>
                                  <w:szCs w:val="18"/>
                                </w:rPr>
                              </w:pPr>
                              <w:r>
                                <w:rPr>
                                  <w:rFonts w:hint="eastAsia"/>
                                  <w:sz w:val="18"/>
                                  <w:szCs w:val="18"/>
                                </w:rPr>
                                <w:t>由财政直接拨付</w:t>
                              </w:r>
                            </w:p>
                          </w:txbxContent>
                        </wps:txbx>
                        <wps:bodyPr rot="0" vert="horz" wrap="square" lIns="91440" tIns="45720" rIns="91440" bIns="45720" anchor="t" anchorCtr="0" upright="1">
                          <a:noAutofit/>
                        </wps:bodyPr>
                      </wps:wsp>
                      <wps:wsp>
                        <wps:cNvPr id="9" name="AutoShape 8"/>
                        <wps:cNvSpPr>
                          <a:spLocks noChangeArrowheads="1"/>
                        </wps:cNvSpPr>
                        <wps:spPr bwMode="auto">
                          <a:xfrm>
                            <a:off x="2286398" y="2278652"/>
                            <a:ext cx="914267" cy="296772"/>
                          </a:xfrm>
                          <a:prstGeom prst="flowChartProcess">
                            <a:avLst/>
                          </a:prstGeom>
                          <a:solidFill>
                            <a:srgbClr val="FFFFFF"/>
                          </a:solidFill>
                          <a:ln w="9525">
                            <a:solidFill>
                              <a:srgbClr val="000000"/>
                            </a:solidFill>
                            <a:miter lim="800000"/>
                          </a:ln>
                        </wps:spPr>
                        <wps:txbx>
                          <w:txbxContent>
                            <w:p w14:paraId="347ADF05">
                              <w:pPr>
                                <w:jc w:val="center"/>
                                <w:rPr>
                                  <w:sz w:val="18"/>
                                  <w:szCs w:val="18"/>
                                </w:rPr>
                              </w:pPr>
                              <w:r>
                                <w:rPr>
                                  <w:rFonts w:hint="eastAsia"/>
                                  <w:sz w:val="18"/>
                                  <w:szCs w:val="18"/>
                                </w:rPr>
                                <w:t>指定监控银行</w:t>
                              </w:r>
                            </w:p>
                          </w:txbxContent>
                        </wps:txbx>
                        <wps:bodyPr rot="0" vert="horz" wrap="square" lIns="91440" tIns="45720" rIns="91440" bIns="45720" anchor="t" anchorCtr="0" upright="1">
                          <a:noAutofit/>
                        </wps:bodyPr>
                      </wps:wsp>
                      <wps:wsp>
                        <wps:cNvPr id="10" name="AutoShape 9"/>
                        <wps:cNvSpPr>
                          <a:spLocks noChangeArrowheads="1"/>
                        </wps:cNvSpPr>
                        <wps:spPr bwMode="auto">
                          <a:xfrm>
                            <a:off x="343215" y="2972092"/>
                            <a:ext cx="1371401" cy="891044"/>
                          </a:xfrm>
                          <a:prstGeom prst="flowChartProcess">
                            <a:avLst/>
                          </a:prstGeom>
                          <a:solidFill>
                            <a:srgbClr val="FFFFFF"/>
                          </a:solidFill>
                          <a:ln w="9525">
                            <a:solidFill>
                              <a:srgbClr val="000000"/>
                            </a:solidFill>
                            <a:miter lim="800000"/>
                          </a:ln>
                        </wps:spPr>
                        <wps:txbx>
                          <w:txbxContent>
                            <w:p w14:paraId="6B46B7D8">
                              <w:pPr>
                                <w:rPr>
                                  <w:sz w:val="18"/>
                                  <w:szCs w:val="18"/>
                                </w:rPr>
                              </w:pPr>
                              <w:r>
                                <w:rPr>
                                  <w:rFonts w:hint="eastAsia"/>
                                  <w:sz w:val="18"/>
                                  <w:szCs w:val="18"/>
                                </w:rPr>
                                <w:t>C类</w:t>
                              </w:r>
                            </w:p>
                            <w:p w14:paraId="05438A94">
                              <w:pPr>
                                <w:numPr>
                                  <w:ilvl w:val="0"/>
                                  <w:numId w:val="6"/>
                                </w:numPr>
                                <w:rPr>
                                  <w:sz w:val="18"/>
                                  <w:szCs w:val="18"/>
                                </w:rPr>
                              </w:pPr>
                              <w:r>
                                <w:rPr>
                                  <w:rFonts w:hint="eastAsia"/>
                                  <w:sz w:val="18"/>
                                  <w:szCs w:val="18"/>
                                </w:rPr>
                                <w:t>零星开支</w:t>
                              </w:r>
                            </w:p>
                            <w:p w14:paraId="7DE4A86E">
                              <w:pPr>
                                <w:numPr>
                                  <w:ilvl w:val="0"/>
                                  <w:numId w:val="6"/>
                                </w:numPr>
                                <w:rPr>
                                  <w:sz w:val="18"/>
                                  <w:szCs w:val="18"/>
                                </w:rPr>
                              </w:pPr>
                              <w:r>
                                <w:rPr>
                                  <w:rFonts w:hint="eastAsia"/>
                                  <w:sz w:val="18"/>
                                  <w:szCs w:val="18"/>
                                </w:rPr>
                                <w:t>管理费用开支</w:t>
                              </w:r>
                            </w:p>
                            <w:p w14:paraId="0695FCC6">
                              <w:pPr>
                                <w:numPr>
                                  <w:ilvl w:val="0"/>
                                  <w:numId w:val="6"/>
                                </w:numPr>
                                <w:rPr>
                                  <w:sz w:val="18"/>
                                  <w:szCs w:val="18"/>
                                </w:rPr>
                              </w:pPr>
                              <w:r>
                                <w:rPr>
                                  <w:rFonts w:hint="eastAsia"/>
                                  <w:sz w:val="18"/>
                                  <w:szCs w:val="18"/>
                                </w:rPr>
                                <w:t>人员工资</w:t>
                              </w:r>
                            </w:p>
                          </w:txbxContent>
                        </wps:txbx>
                        <wps:bodyPr rot="0" vert="horz" wrap="square" lIns="91440" tIns="45720" rIns="91440" bIns="45720" anchor="t" anchorCtr="0" upright="1">
                          <a:noAutofit/>
                        </wps:bodyPr>
                      </wps:wsp>
                      <wps:wsp>
                        <wps:cNvPr id="11" name="AutoShape 10"/>
                        <wps:cNvSpPr>
                          <a:spLocks noChangeArrowheads="1"/>
                        </wps:cNvSpPr>
                        <wps:spPr bwMode="auto">
                          <a:xfrm>
                            <a:off x="2057832" y="2972092"/>
                            <a:ext cx="1371401" cy="891044"/>
                          </a:xfrm>
                          <a:prstGeom prst="flowChartProcess">
                            <a:avLst/>
                          </a:prstGeom>
                          <a:solidFill>
                            <a:srgbClr val="FFFFFF"/>
                          </a:solidFill>
                          <a:ln w="9525">
                            <a:solidFill>
                              <a:srgbClr val="000000"/>
                            </a:solidFill>
                            <a:miter lim="800000"/>
                          </a:ln>
                        </wps:spPr>
                        <wps:txbx>
                          <w:txbxContent>
                            <w:p w14:paraId="0C238A57">
                              <w:pPr>
                                <w:rPr>
                                  <w:sz w:val="18"/>
                                  <w:szCs w:val="18"/>
                                </w:rPr>
                              </w:pPr>
                              <w:r>
                                <w:rPr>
                                  <w:rFonts w:hint="eastAsia"/>
                                  <w:sz w:val="18"/>
                                  <w:szCs w:val="18"/>
                                </w:rPr>
                                <w:t>A类</w:t>
                              </w:r>
                            </w:p>
                            <w:p w14:paraId="2B2D0ECA">
                              <w:pPr>
                                <w:numPr>
                                  <w:ilvl w:val="0"/>
                                  <w:numId w:val="7"/>
                                </w:numPr>
                                <w:rPr>
                                  <w:sz w:val="18"/>
                                  <w:szCs w:val="18"/>
                                </w:rPr>
                              </w:pPr>
                              <w:r>
                                <w:rPr>
                                  <w:rFonts w:hint="eastAsia"/>
                                  <w:sz w:val="18"/>
                                  <w:szCs w:val="18"/>
                                </w:rPr>
                                <w:t>甲招乙供</w:t>
                              </w:r>
                            </w:p>
                            <w:p w14:paraId="31FE7A66">
                              <w:pPr>
                                <w:numPr>
                                  <w:ilvl w:val="0"/>
                                  <w:numId w:val="7"/>
                                </w:numPr>
                                <w:rPr>
                                  <w:sz w:val="18"/>
                                  <w:szCs w:val="18"/>
                                </w:rPr>
                              </w:pPr>
                              <w:r>
                                <w:rPr>
                                  <w:rFonts w:hint="eastAsia"/>
                                  <w:sz w:val="18"/>
                                  <w:szCs w:val="18"/>
                                </w:rPr>
                                <w:t>甲管乙供</w:t>
                              </w:r>
                            </w:p>
                            <w:p w14:paraId="2E241449">
                              <w:pPr>
                                <w:numPr>
                                  <w:ilvl w:val="0"/>
                                  <w:numId w:val="7"/>
                                </w:numPr>
                                <w:rPr>
                                  <w:sz w:val="18"/>
                                  <w:szCs w:val="18"/>
                                </w:rPr>
                              </w:pPr>
                              <w:r>
                                <w:rPr>
                                  <w:rFonts w:hint="eastAsia"/>
                                  <w:sz w:val="18"/>
                                  <w:szCs w:val="18"/>
                                </w:rPr>
                                <w:t>大宗乙供</w:t>
                              </w:r>
                            </w:p>
                          </w:txbxContent>
                        </wps:txbx>
                        <wps:bodyPr rot="0" vert="horz" wrap="square" lIns="91440" tIns="45720" rIns="91440" bIns="45720" anchor="t" anchorCtr="0" upright="1">
                          <a:noAutofit/>
                        </wps:bodyPr>
                      </wps:wsp>
                      <wps:wsp>
                        <wps:cNvPr id="12" name="AutoShape 11"/>
                        <wps:cNvSpPr>
                          <a:spLocks noChangeArrowheads="1"/>
                        </wps:cNvSpPr>
                        <wps:spPr bwMode="auto">
                          <a:xfrm>
                            <a:off x="3772448" y="2972092"/>
                            <a:ext cx="1256752" cy="891044"/>
                          </a:xfrm>
                          <a:prstGeom prst="flowChartProcess">
                            <a:avLst/>
                          </a:prstGeom>
                          <a:solidFill>
                            <a:srgbClr val="FFFFFF"/>
                          </a:solidFill>
                          <a:ln w="9525">
                            <a:solidFill>
                              <a:srgbClr val="000000"/>
                            </a:solidFill>
                            <a:miter lim="800000"/>
                          </a:ln>
                        </wps:spPr>
                        <wps:txbx>
                          <w:txbxContent>
                            <w:p w14:paraId="39B9AA33">
                              <w:pPr>
                                <w:rPr>
                                  <w:sz w:val="18"/>
                                  <w:szCs w:val="18"/>
                                </w:rPr>
                              </w:pPr>
                              <w:r>
                                <w:rPr>
                                  <w:rFonts w:hint="eastAsia"/>
                                  <w:sz w:val="18"/>
                                  <w:szCs w:val="18"/>
                                </w:rPr>
                                <w:t>B类</w:t>
                              </w:r>
                            </w:p>
                            <w:p w14:paraId="2D29C200">
                              <w:pPr>
                                <w:numPr>
                                  <w:ilvl w:val="0"/>
                                  <w:numId w:val="8"/>
                                </w:numPr>
                                <w:rPr>
                                  <w:sz w:val="18"/>
                                  <w:szCs w:val="18"/>
                                </w:rPr>
                              </w:pPr>
                              <w:r>
                                <w:rPr>
                                  <w:rFonts w:hint="eastAsia"/>
                                  <w:sz w:val="18"/>
                                  <w:szCs w:val="18"/>
                                </w:rPr>
                                <w:t>一般材料支付</w:t>
                              </w:r>
                            </w:p>
                            <w:p w14:paraId="20A48D40">
                              <w:pPr>
                                <w:numPr>
                                  <w:ilvl w:val="0"/>
                                  <w:numId w:val="8"/>
                                </w:numPr>
                                <w:rPr>
                                  <w:sz w:val="18"/>
                                  <w:szCs w:val="18"/>
                                </w:rPr>
                              </w:pPr>
                              <w:r>
                                <w:rPr>
                                  <w:rFonts w:hint="eastAsia"/>
                                  <w:sz w:val="18"/>
                                  <w:szCs w:val="18"/>
                                </w:rPr>
                                <w:t>小型材料转付</w:t>
                              </w:r>
                            </w:p>
                          </w:txbxContent>
                        </wps:txbx>
                        <wps:bodyPr rot="0" vert="horz" wrap="square" lIns="91440" tIns="45720" rIns="91440" bIns="45720" anchor="t" anchorCtr="0" upright="1">
                          <a:noAutofit/>
                        </wps:bodyPr>
                      </wps:wsp>
                      <wps:wsp>
                        <wps:cNvPr id="13" name="AutoShape 12"/>
                        <wps:cNvSpPr>
                          <a:spLocks noChangeArrowheads="1"/>
                        </wps:cNvSpPr>
                        <wps:spPr bwMode="auto">
                          <a:xfrm>
                            <a:off x="342485" y="4458138"/>
                            <a:ext cx="1371401" cy="693439"/>
                          </a:xfrm>
                          <a:prstGeom prst="flowChartProcess">
                            <a:avLst/>
                          </a:prstGeom>
                          <a:solidFill>
                            <a:srgbClr val="FFFFFF"/>
                          </a:solidFill>
                          <a:ln w="9525">
                            <a:solidFill>
                              <a:srgbClr val="000000"/>
                            </a:solidFill>
                            <a:miter lim="800000"/>
                          </a:ln>
                        </wps:spPr>
                        <wps:txbx>
                          <w:txbxContent>
                            <w:p w14:paraId="4E15E300">
                              <w:pPr>
                                <w:rPr>
                                  <w:sz w:val="18"/>
                                  <w:szCs w:val="18"/>
                                </w:rPr>
                              </w:pPr>
                              <w:r>
                                <w:rPr>
                                  <w:rFonts w:hint="eastAsia"/>
                                  <w:sz w:val="18"/>
                                  <w:szCs w:val="18"/>
                                </w:rPr>
                                <w:t>银行核对资金计划表，施工单位须报人工工资花名册并盖公章</w:t>
                              </w:r>
                            </w:p>
                          </w:txbxContent>
                        </wps:txbx>
                        <wps:bodyPr rot="0" vert="horz" wrap="square" lIns="91440" tIns="45720" rIns="91440" bIns="45720" anchor="t" anchorCtr="0" upright="1">
                          <a:noAutofit/>
                        </wps:bodyPr>
                      </wps:wsp>
                      <wps:wsp>
                        <wps:cNvPr id="14" name="AutoShape 13"/>
                        <wps:cNvSpPr>
                          <a:spLocks noChangeArrowheads="1"/>
                        </wps:cNvSpPr>
                        <wps:spPr bwMode="auto">
                          <a:xfrm>
                            <a:off x="343215" y="5745849"/>
                            <a:ext cx="1371401" cy="498022"/>
                          </a:xfrm>
                          <a:prstGeom prst="flowChartProcess">
                            <a:avLst/>
                          </a:prstGeom>
                          <a:solidFill>
                            <a:srgbClr val="FFFFFF"/>
                          </a:solidFill>
                          <a:ln w="9525">
                            <a:solidFill>
                              <a:srgbClr val="000000"/>
                            </a:solidFill>
                            <a:miter lim="800000"/>
                          </a:ln>
                        </wps:spPr>
                        <wps:txbx>
                          <w:txbxContent>
                            <w:p w14:paraId="1F310A78">
                              <w:pPr>
                                <w:rPr>
                                  <w:sz w:val="18"/>
                                  <w:szCs w:val="18"/>
                                </w:rPr>
                              </w:pPr>
                              <w:r>
                                <w:rPr>
                                  <w:rFonts w:hint="eastAsia"/>
                                  <w:sz w:val="18"/>
                                  <w:szCs w:val="18"/>
                                </w:rPr>
                                <w:t>支付方式：</w:t>
                              </w:r>
                            </w:p>
                            <w:p w14:paraId="59DF9A57">
                              <w:pPr>
                                <w:rPr>
                                  <w:sz w:val="18"/>
                                  <w:szCs w:val="18"/>
                                </w:rPr>
                              </w:pPr>
                              <w:r>
                                <w:rPr>
                                  <w:rFonts w:hint="eastAsia"/>
                                  <w:sz w:val="18"/>
                                  <w:szCs w:val="18"/>
                                </w:rPr>
                                <w:t>提现</w:t>
                              </w:r>
                            </w:p>
                          </w:txbxContent>
                        </wps:txbx>
                        <wps:bodyPr rot="0" vert="horz" wrap="square" lIns="91440" tIns="45720" rIns="91440" bIns="45720" anchor="t" anchorCtr="0" upright="1">
                          <a:noAutofit/>
                        </wps:bodyPr>
                      </wps:wsp>
                      <wps:wsp>
                        <wps:cNvPr id="15" name="AutoShape 14"/>
                        <wps:cNvSpPr>
                          <a:spLocks noChangeArrowheads="1"/>
                        </wps:cNvSpPr>
                        <wps:spPr bwMode="auto">
                          <a:xfrm>
                            <a:off x="2057832" y="5745849"/>
                            <a:ext cx="1371401" cy="496564"/>
                          </a:xfrm>
                          <a:prstGeom prst="flowChartProcess">
                            <a:avLst/>
                          </a:prstGeom>
                          <a:solidFill>
                            <a:srgbClr val="FFFFFF"/>
                          </a:solidFill>
                          <a:ln w="9525">
                            <a:solidFill>
                              <a:srgbClr val="000000"/>
                            </a:solidFill>
                            <a:miter lim="800000"/>
                          </a:ln>
                        </wps:spPr>
                        <wps:txbx>
                          <w:txbxContent>
                            <w:p w14:paraId="57F71EE8">
                              <w:pPr>
                                <w:rPr>
                                  <w:sz w:val="18"/>
                                  <w:szCs w:val="18"/>
                                </w:rPr>
                              </w:pPr>
                              <w:r>
                                <w:rPr>
                                  <w:rFonts w:hint="eastAsia"/>
                                  <w:sz w:val="18"/>
                                  <w:szCs w:val="18"/>
                                </w:rPr>
                                <w:t>支付方式：</w:t>
                              </w:r>
                            </w:p>
                            <w:p w14:paraId="54220D6F">
                              <w:pPr>
                                <w:rPr>
                                  <w:sz w:val="18"/>
                                  <w:szCs w:val="18"/>
                                </w:rPr>
                              </w:pPr>
                              <w:r>
                                <w:rPr>
                                  <w:rFonts w:hint="eastAsia"/>
                                  <w:sz w:val="18"/>
                                  <w:szCs w:val="18"/>
                                </w:rPr>
                                <w:t>须在监管银行前台划款</w:t>
                              </w:r>
                            </w:p>
                          </w:txbxContent>
                        </wps:txbx>
                        <wps:bodyPr rot="0" vert="horz" wrap="square" lIns="91440" tIns="45720" rIns="91440" bIns="45720" anchor="t" anchorCtr="0" upright="1">
                          <a:noAutofit/>
                        </wps:bodyPr>
                      </wps:wsp>
                      <wps:wsp>
                        <wps:cNvPr id="16" name="AutoShape 15"/>
                        <wps:cNvSpPr>
                          <a:spLocks noChangeArrowheads="1"/>
                        </wps:cNvSpPr>
                        <wps:spPr bwMode="auto">
                          <a:xfrm>
                            <a:off x="2057101" y="4458138"/>
                            <a:ext cx="1371401" cy="693439"/>
                          </a:xfrm>
                          <a:prstGeom prst="flowChartProcess">
                            <a:avLst/>
                          </a:prstGeom>
                          <a:solidFill>
                            <a:srgbClr val="FFFFFF"/>
                          </a:solidFill>
                          <a:ln w="9525">
                            <a:solidFill>
                              <a:srgbClr val="000000"/>
                            </a:solidFill>
                            <a:miter lim="800000"/>
                          </a:ln>
                        </wps:spPr>
                        <wps:txbx>
                          <w:txbxContent>
                            <w:p w14:paraId="5D5D1C80">
                              <w:pPr>
                                <w:jc w:val="center"/>
                                <w:rPr>
                                  <w:sz w:val="18"/>
                                  <w:szCs w:val="18"/>
                                </w:rPr>
                              </w:pPr>
                              <w:r>
                                <w:rPr>
                                  <w:rFonts w:hint="eastAsia"/>
                                  <w:sz w:val="18"/>
                                  <w:szCs w:val="18"/>
                                </w:rPr>
                                <w:t>银行实行重点实时监控</w:t>
                              </w:r>
                            </w:p>
                          </w:txbxContent>
                        </wps:txbx>
                        <wps:bodyPr rot="0" vert="horz" wrap="square" lIns="91440" tIns="45720" rIns="91440" bIns="45720" anchor="t" anchorCtr="0" upright="1">
                          <a:noAutofit/>
                        </wps:bodyPr>
                      </wps:wsp>
                      <wps:wsp>
                        <wps:cNvPr id="17" name="AutoShape 16"/>
                        <wps:cNvSpPr>
                          <a:spLocks noChangeArrowheads="1"/>
                        </wps:cNvSpPr>
                        <wps:spPr bwMode="auto">
                          <a:xfrm>
                            <a:off x="3772448" y="5745849"/>
                            <a:ext cx="1256752" cy="496564"/>
                          </a:xfrm>
                          <a:prstGeom prst="flowChartProcess">
                            <a:avLst/>
                          </a:prstGeom>
                          <a:solidFill>
                            <a:srgbClr val="FFFFFF"/>
                          </a:solidFill>
                          <a:ln w="9525">
                            <a:solidFill>
                              <a:srgbClr val="000000"/>
                            </a:solidFill>
                            <a:miter lim="800000"/>
                          </a:ln>
                        </wps:spPr>
                        <wps:txbx>
                          <w:txbxContent>
                            <w:p w14:paraId="4D4A25F0">
                              <w:pPr>
                                <w:rPr>
                                  <w:sz w:val="18"/>
                                  <w:szCs w:val="18"/>
                                </w:rPr>
                              </w:pPr>
                              <w:r>
                                <w:rPr>
                                  <w:rFonts w:hint="eastAsia"/>
                                  <w:sz w:val="18"/>
                                  <w:szCs w:val="18"/>
                                </w:rPr>
                                <w:t>支付方式：</w:t>
                              </w:r>
                            </w:p>
                            <w:p w14:paraId="4BA05579">
                              <w:pPr>
                                <w:rPr>
                                  <w:sz w:val="18"/>
                                  <w:szCs w:val="18"/>
                                </w:rPr>
                              </w:pPr>
                              <w:r>
                                <w:rPr>
                                  <w:rFonts w:hint="eastAsia"/>
                                  <w:sz w:val="18"/>
                                  <w:szCs w:val="18"/>
                                </w:rPr>
                                <w:t>支票、信汇</w:t>
                              </w:r>
                            </w:p>
                          </w:txbxContent>
                        </wps:txbx>
                        <wps:bodyPr rot="0" vert="horz" wrap="square" lIns="91440" tIns="45720" rIns="91440" bIns="45720" anchor="t" anchorCtr="0" upright="1">
                          <a:noAutofit/>
                        </wps:bodyPr>
                      </wps:wsp>
                      <wps:wsp>
                        <wps:cNvPr id="18" name="AutoShape 17"/>
                        <wps:cNvSpPr>
                          <a:spLocks noChangeArrowheads="1"/>
                        </wps:cNvSpPr>
                        <wps:spPr bwMode="auto">
                          <a:xfrm>
                            <a:off x="3772448" y="4458138"/>
                            <a:ext cx="1256752" cy="693439"/>
                          </a:xfrm>
                          <a:prstGeom prst="flowChartProcess">
                            <a:avLst/>
                          </a:prstGeom>
                          <a:solidFill>
                            <a:srgbClr val="FFFFFF"/>
                          </a:solidFill>
                          <a:ln w="9525">
                            <a:solidFill>
                              <a:srgbClr val="000000"/>
                            </a:solidFill>
                            <a:miter lim="800000"/>
                          </a:ln>
                        </wps:spPr>
                        <wps:txbx>
                          <w:txbxContent>
                            <w:p w14:paraId="53BB0781">
                              <w:pPr>
                                <w:jc w:val="center"/>
                                <w:rPr>
                                  <w:sz w:val="18"/>
                                  <w:szCs w:val="18"/>
                                </w:rPr>
                              </w:pPr>
                              <w:r>
                                <w:rPr>
                                  <w:rFonts w:hint="eastAsia"/>
                                  <w:sz w:val="18"/>
                                  <w:szCs w:val="18"/>
                                </w:rPr>
                                <w:t>银行实行定期监控</w:t>
                              </w:r>
                            </w:p>
                          </w:txbxContent>
                        </wps:txbx>
                        <wps:bodyPr rot="0" vert="horz" wrap="square" lIns="91440" tIns="45720" rIns="91440" bIns="45720" anchor="t" anchorCtr="0" upright="1">
                          <a:noAutofit/>
                        </wps:bodyPr>
                      </wps:wsp>
                      <wps:wsp>
                        <wps:cNvPr id="19" name="AutoShape 18"/>
                        <wps:cNvSpPr>
                          <a:spLocks noChangeArrowheads="1"/>
                        </wps:cNvSpPr>
                        <wps:spPr bwMode="auto">
                          <a:xfrm>
                            <a:off x="1714616" y="6736061"/>
                            <a:ext cx="2057832" cy="693439"/>
                          </a:xfrm>
                          <a:prstGeom prst="flowChartProcess">
                            <a:avLst/>
                          </a:prstGeom>
                          <a:solidFill>
                            <a:srgbClr val="FFFFFF"/>
                          </a:solidFill>
                          <a:ln w="9525">
                            <a:solidFill>
                              <a:srgbClr val="000000"/>
                            </a:solidFill>
                            <a:miter lim="800000"/>
                          </a:ln>
                        </wps:spPr>
                        <wps:txbx>
                          <w:txbxContent>
                            <w:p w14:paraId="0C0F3950">
                              <w:pPr>
                                <w:rPr>
                                  <w:sz w:val="18"/>
                                  <w:szCs w:val="18"/>
                                </w:rPr>
                              </w:pPr>
                              <w:r>
                                <w:rPr>
                                  <w:rFonts w:hint="eastAsia"/>
                                  <w:sz w:val="18"/>
                                  <w:szCs w:val="18"/>
                                </w:rPr>
                                <w:t>如出现异常，业主将要求参建单位纠正并采取补救措施，否则重点办停止下期支出并按违约处理</w:t>
                              </w:r>
                            </w:p>
                          </w:txbxContent>
                        </wps:txbx>
                        <wps:bodyPr rot="0" vert="horz" wrap="square" lIns="91440" tIns="45720" rIns="91440" bIns="45720" anchor="t" anchorCtr="0" upright="1">
                          <a:noAutofit/>
                        </wps:bodyPr>
                      </wps:wsp>
                      <wps:wsp>
                        <wps:cNvPr id="20" name="Line 19"/>
                        <wps:cNvCnPr/>
                        <wps:spPr bwMode="auto">
                          <a:xfrm>
                            <a:off x="2743532" y="296772"/>
                            <a:ext cx="730" cy="396668"/>
                          </a:xfrm>
                          <a:prstGeom prst="line">
                            <a:avLst/>
                          </a:prstGeom>
                          <a:noFill/>
                          <a:ln w="9525">
                            <a:solidFill>
                              <a:srgbClr val="000000"/>
                            </a:solidFill>
                            <a:round/>
                            <a:tailEnd type="triangle" w="med" len="med"/>
                          </a:ln>
                        </wps:spPr>
                        <wps:bodyPr/>
                      </wps:wsp>
                      <wps:wsp>
                        <wps:cNvPr id="21" name="AutoShape 20"/>
                        <wps:cNvCnPr>
                          <a:cxnSpLocks noChangeShapeType="1"/>
                        </wps:cNvCnPr>
                        <wps:spPr bwMode="auto">
                          <a:xfrm rot="10800000">
                            <a:off x="1257483" y="1881984"/>
                            <a:ext cx="457134" cy="5350640"/>
                          </a:xfrm>
                          <a:prstGeom prst="bentConnector3">
                            <a:avLst>
                              <a:gd name="adj1" fmla="val 337500"/>
                            </a:avLst>
                          </a:prstGeom>
                          <a:noFill/>
                          <a:ln w="9525">
                            <a:solidFill>
                              <a:srgbClr val="000000"/>
                            </a:solidFill>
                            <a:miter lim="800000"/>
                            <a:tailEnd type="triangle" w="med" len="med"/>
                          </a:ln>
                        </wps:spPr>
                        <wps:bodyPr/>
                      </wps:wsp>
                      <wps:wsp>
                        <wps:cNvPr id="22" name="AutoShape 21"/>
                        <wps:cNvCnPr>
                          <a:cxnSpLocks noChangeShapeType="1"/>
                        </wps:cNvCnPr>
                        <wps:spPr bwMode="auto">
                          <a:xfrm flipH="1">
                            <a:off x="1028186" y="3863136"/>
                            <a:ext cx="730" cy="595002"/>
                          </a:xfrm>
                          <a:prstGeom prst="straightConnector1">
                            <a:avLst/>
                          </a:prstGeom>
                          <a:noFill/>
                          <a:ln w="9525">
                            <a:solidFill>
                              <a:srgbClr val="000000"/>
                            </a:solidFill>
                            <a:round/>
                            <a:tailEnd type="triangle" w="med" len="med"/>
                          </a:ln>
                        </wps:spPr>
                        <wps:bodyPr/>
                      </wps:wsp>
                      <wps:wsp>
                        <wps:cNvPr id="23" name="AutoShape 22"/>
                        <wps:cNvCnPr>
                          <a:cxnSpLocks noChangeShapeType="1"/>
                        </wps:cNvCnPr>
                        <wps:spPr bwMode="auto">
                          <a:xfrm flipH="1">
                            <a:off x="1028916" y="5151577"/>
                            <a:ext cx="730" cy="595002"/>
                          </a:xfrm>
                          <a:prstGeom prst="straightConnector1">
                            <a:avLst/>
                          </a:prstGeom>
                          <a:noFill/>
                          <a:ln w="9525">
                            <a:solidFill>
                              <a:srgbClr val="000000"/>
                            </a:solidFill>
                            <a:round/>
                            <a:tailEnd type="triangle" w="med" len="med"/>
                          </a:ln>
                        </wps:spPr>
                        <wps:bodyPr/>
                      </wps:wsp>
                      <wps:wsp>
                        <wps:cNvPr id="24" name="AutoShape 23"/>
                        <wps:cNvCnPr>
                          <a:cxnSpLocks noChangeShapeType="1"/>
                        </wps:cNvCnPr>
                        <wps:spPr bwMode="auto">
                          <a:xfrm flipH="1">
                            <a:off x="2743532" y="3863136"/>
                            <a:ext cx="730" cy="595002"/>
                          </a:xfrm>
                          <a:prstGeom prst="straightConnector1">
                            <a:avLst/>
                          </a:prstGeom>
                          <a:noFill/>
                          <a:ln w="9525">
                            <a:solidFill>
                              <a:srgbClr val="000000"/>
                            </a:solidFill>
                            <a:round/>
                            <a:tailEnd type="triangle" w="med" len="med"/>
                          </a:ln>
                        </wps:spPr>
                        <wps:bodyPr/>
                      </wps:wsp>
                      <wps:wsp>
                        <wps:cNvPr id="25" name="AutoShape 24"/>
                        <wps:cNvCnPr>
                          <a:cxnSpLocks noChangeShapeType="1"/>
                        </wps:cNvCnPr>
                        <wps:spPr bwMode="auto">
                          <a:xfrm flipH="1">
                            <a:off x="4458148" y="3863136"/>
                            <a:ext cx="730" cy="595002"/>
                          </a:xfrm>
                          <a:prstGeom prst="straightConnector1">
                            <a:avLst/>
                          </a:prstGeom>
                          <a:noFill/>
                          <a:ln w="9525">
                            <a:solidFill>
                              <a:srgbClr val="000000"/>
                            </a:solidFill>
                            <a:round/>
                            <a:tailEnd type="triangle" w="med" len="med"/>
                          </a:ln>
                        </wps:spPr>
                        <wps:bodyPr/>
                      </wps:wsp>
                      <wps:wsp>
                        <wps:cNvPr id="26" name="AutoShape 25"/>
                        <wps:cNvCnPr>
                          <a:cxnSpLocks noChangeShapeType="1"/>
                        </wps:cNvCnPr>
                        <wps:spPr bwMode="auto">
                          <a:xfrm flipH="1">
                            <a:off x="2743532" y="5151577"/>
                            <a:ext cx="1460" cy="595002"/>
                          </a:xfrm>
                          <a:prstGeom prst="straightConnector1">
                            <a:avLst/>
                          </a:prstGeom>
                          <a:noFill/>
                          <a:ln w="9525">
                            <a:solidFill>
                              <a:srgbClr val="000000"/>
                            </a:solidFill>
                            <a:round/>
                            <a:tailEnd type="triangle" w="med" len="med"/>
                          </a:ln>
                        </wps:spPr>
                        <wps:bodyPr/>
                      </wps:wsp>
                      <wps:wsp>
                        <wps:cNvPr id="27" name="AutoShape 26"/>
                        <wps:cNvCnPr>
                          <a:cxnSpLocks noChangeShapeType="1"/>
                        </wps:cNvCnPr>
                        <wps:spPr bwMode="auto">
                          <a:xfrm flipH="1">
                            <a:off x="4458148" y="5151577"/>
                            <a:ext cx="730" cy="595002"/>
                          </a:xfrm>
                          <a:prstGeom prst="straightConnector1">
                            <a:avLst/>
                          </a:prstGeom>
                          <a:noFill/>
                          <a:ln w="9525">
                            <a:solidFill>
                              <a:srgbClr val="000000"/>
                            </a:solidFill>
                            <a:round/>
                            <a:tailEnd type="triangle" w="med" len="med"/>
                          </a:ln>
                        </wps:spPr>
                        <wps:bodyPr/>
                      </wps:wsp>
                      <wps:wsp>
                        <wps:cNvPr id="28" name="Line 27"/>
                        <wps:cNvCnPr/>
                        <wps:spPr bwMode="auto">
                          <a:xfrm>
                            <a:off x="1028916" y="6240955"/>
                            <a:ext cx="0" cy="297501"/>
                          </a:xfrm>
                          <a:prstGeom prst="line">
                            <a:avLst/>
                          </a:prstGeom>
                          <a:noFill/>
                          <a:ln w="9525">
                            <a:solidFill>
                              <a:srgbClr val="000000"/>
                            </a:solidFill>
                            <a:round/>
                          </a:ln>
                        </wps:spPr>
                        <wps:bodyPr/>
                      </wps:wsp>
                      <wps:wsp>
                        <wps:cNvPr id="29" name="Line 28"/>
                        <wps:cNvCnPr/>
                        <wps:spPr bwMode="auto">
                          <a:xfrm>
                            <a:off x="2743532" y="6240955"/>
                            <a:ext cx="730" cy="297501"/>
                          </a:xfrm>
                          <a:prstGeom prst="line">
                            <a:avLst/>
                          </a:prstGeom>
                          <a:noFill/>
                          <a:ln w="9525">
                            <a:solidFill>
                              <a:srgbClr val="000000"/>
                            </a:solidFill>
                            <a:round/>
                          </a:ln>
                        </wps:spPr>
                        <wps:bodyPr/>
                      </wps:wsp>
                      <wps:wsp>
                        <wps:cNvPr id="30" name="Line 29"/>
                        <wps:cNvCnPr/>
                        <wps:spPr bwMode="auto">
                          <a:xfrm>
                            <a:off x="4458148" y="6240955"/>
                            <a:ext cx="0" cy="297501"/>
                          </a:xfrm>
                          <a:prstGeom prst="line">
                            <a:avLst/>
                          </a:prstGeom>
                          <a:noFill/>
                          <a:ln w="9525">
                            <a:solidFill>
                              <a:srgbClr val="000000"/>
                            </a:solidFill>
                            <a:round/>
                          </a:ln>
                        </wps:spPr>
                        <wps:bodyPr/>
                      </wps:wsp>
                      <wps:wsp>
                        <wps:cNvPr id="31" name="Line 30"/>
                        <wps:cNvCnPr/>
                        <wps:spPr bwMode="auto">
                          <a:xfrm>
                            <a:off x="1028916" y="6538456"/>
                            <a:ext cx="3429232" cy="0"/>
                          </a:xfrm>
                          <a:prstGeom prst="line">
                            <a:avLst/>
                          </a:prstGeom>
                          <a:noFill/>
                          <a:ln w="9525">
                            <a:solidFill>
                              <a:srgbClr val="000000"/>
                            </a:solidFill>
                            <a:round/>
                          </a:ln>
                        </wps:spPr>
                        <wps:bodyPr/>
                      </wps:wsp>
                      <wps:wsp>
                        <wps:cNvPr id="32" name="Line 31"/>
                        <wps:cNvCnPr/>
                        <wps:spPr bwMode="auto">
                          <a:xfrm>
                            <a:off x="2743532" y="6538456"/>
                            <a:ext cx="0" cy="296772"/>
                          </a:xfrm>
                          <a:prstGeom prst="line">
                            <a:avLst/>
                          </a:prstGeom>
                          <a:noFill/>
                          <a:ln w="9525">
                            <a:solidFill>
                              <a:srgbClr val="000000"/>
                            </a:solidFill>
                            <a:round/>
                            <a:tailEnd type="triangle" w="med" len="med"/>
                          </a:ln>
                        </wps:spPr>
                        <wps:bodyPr/>
                      </wps:wsp>
                      <wps:wsp>
                        <wps:cNvPr id="33" name="Line 32"/>
                        <wps:cNvCnPr/>
                        <wps:spPr bwMode="auto">
                          <a:xfrm flipH="1" flipV="1">
                            <a:off x="1028916" y="2377819"/>
                            <a:ext cx="1257483" cy="729"/>
                          </a:xfrm>
                          <a:prstGeom prst="line">
                            <a:avLst/>
                          </a:prstGeom>
                          <a:noFill/>
                          <a:ln w="9525">
                            <a:solidFill>
                              <a:srgbClr val="000000"/>
                            </a:solidFill>
                            <a:round/>
                          </a:ln>
                        </wps:spPr>
                        <wps:bodyPr/>
                      </wps:wsp>
                      <wps:wsp>
                        <wps:cNvPr id="34" name="Line 33"/>
                        <wps:cNvCnPr/>
                        <wps:spPr bwMode="auto">
                          <a:xfrm flipH="1" flipV="1">
                            <a:off x="3200666" y="2377819"/>
                            <a:ext cx="1258213" cy="729"/>
                          </a:xfrm>
                          <a:prstGeom prst="line">
                            <a:avLst/>
                          </a:prstGeom>
                          <a:noFill/>
                          <a:ln w="9525">
                            <a:solidFill>
                              <a:srgbClr val="000000"/>
                            </a:solidFill>
                            <a:round/>
                          </a:ln>
                        </wps:spPr>
                        <wps:bodyPr/>
                      </wps:wsp>
                      <wps:wsp>
                        <wps:cNvPr id="35" name="Line 34"/>
                        <wps:cNvCnPr/>
                        <wps:spPr bwMode="auto">
                          <a:xfrm>
                            <a:off x="1028916" y="2377819"/>
                            <a:ext cx="0" cy="594272"/>
                          </a:xfrm>
                          <a:prstGeom prst="line">
                            <a:avLst/>
                          </a:prstGeom>
                          <a:noFill/>
                          <a:ln w="9525">
                            <a:solidFill>
                              <a:srgbClr val="000000"/>
                            </a:solidFill>
                            <a:round/>
                            <a:tailEnd type="triangle" w="med" len="med"/>
                          </a:ln>
                        </wps:spPr>
                        <wps:bodyPr/>
                      </wps:wsp>
                      <wps:wsp>
                        <wps:cNvPr id="36" name="Line 35"/>
                        <wps:cNvCnPr/>
                        <wps:spPr bwMode="auto">
                          <a:xfrm>
                            <a:off x="4458148" y="2377819"/>
                            <a:ext cx="730" cy="592814"/>
                          </a:xfrm>
                          <a:prstGeom prst="line">
                            <a:avLst/>
                          </a:prstGeom>
                          <a:noFill/>
                          <a:ln w="9525">
                            <a:solidFill>
                              <a:srgbClr val="000000"/>
                            </a:solidFill>
                            <a:round/>
                            <a:tailEnd type="triangle" w="med" len="med"/>
                          </a:ln>
                        </wps:spPr>
                        <wps:bodyPr/>
                      </wps:wsp>
                      <wps:wsp>
                        <wps:cNvPr id="37" name="Line 36"/>
                        <wps:cNvCnPr/>
                        <wps:spPr bwMode="auto">
                          <a:xfrm>
                            <a:off x="2743532" y="2575424"/>
                            <a:ext cx="0" cy="396668"/>
                          </a:xfrm>
                          <a:prstGeom prst="line">
                            <a:avLst/>
                          </a:prstGeom>
                          <a:noFill/>
                          <a:ln w="9525">
                            <a:solidFill>
                              <a:srgbClr val="000000"/>
                            </a:solidFill>
                            <a:round/>
                            <a:tailEnd type="triangle" w="med" len="med"/>
                          </a:ln>
                        </wps:spPr>
                        <wps:bodyPr/>
                      </wps:wsp>
                      <wps:wsp>
                        <wps:cNvPr id="38" name="Line 37"/>
                        <wps:cNvCnPr/>
                        <wps:spPr bwMode="auto">
                          <a:xfrm>
                            <a:off x="2743532" y="990211"/>
                            <a:ext cx="730" cy="495835"/>
                          </a:xfrm>
                          <a:prstGeom prst="line">
                            <a:avLst/>
                          </a:prstGeom>
                          <a:noFill/>
                          <a:ln w="9525">
                            <a:solidFill>
                              <a:srgbClr val="000000"/>
                            </a:solidFill>
                            <a:round/>
                          </a:ln>
                        </wps:spPr>
                        <wps:bodyPr/>
                      </wps:wsp>
                      <wps:wsp>
                        <wps:cNvPr id="39" name="Line 38"/>
                        <wps:cNvCnPr/>
                        <wps:spPr bwMode="auto">
                          <a:xfrm flipH="1">
                            <a:off x="1829265" y="1486046"/>
                            <a:ext cx="914267" cy="0"/>
                          </a:xfrm>
                          <a:prstGeom prst="line">
                            <a:avLst/>
                          </a:prstGeom>
                          <a:noFill/>
                          <a:ln w="9525">
                            <a:solidFill>
                              <a:srgbClr val="000000"/>
                            </a:solidFill>
                            <a:round/>
                          </a:ln>
                        </wps:spPr>
                        <wps:bodyPr/>
                      </wps:wsp>
                      <wps:wsp>
                        <wps:cNvPr id="40" name="Line 39"/>
                        <wps:cNvCnPr/>
                        <wps:spPr bwMode="auto">
                          <a:xfrm>
                            <a:off x="2743532" y="1486046"/>
                            <a:ext cx="1028916" cy="0"/>
                          </a:xfrm>
                          <a:prstGeom prst="line">
                            <a:avLst/>
                          </a:prstGeom>
                          <a:noFill/>
                          <a:ln w="9525">
                            <a:solidFill>
                              <a:srgbClr val="000000"/>
                            </a:solidFill>
                            <a:round/>
                          </a:ln>
                        </wps:spPr>
                        <wps:bodyPr/>
                      </wps:wsp>
                      <wps:wsp>
                        <wps:cNvPr id="41" name="Line 40"/>
                        <wps:cNvCnPr/>
                        <wps:spPr bwMode="auto">
                          <a:xfrm>
                            <a:off x="1829265" y="1486046"/>
                            <a:ext cx="0" cy="197605"/>
                          </a:xfrm>
                          <a:prstGeom prst="line">
                            <a:avLst/>
                          </a:prstGeom>
                          <a:noFill/>
                          <a:ln w="9525">
                            <a:solidFill>
                              <a:srgbClr val="000000"/>
                            </a:solidFill>
                            <a:round/>
                            <a:tailEnd type="triangle" w="med" len="med"/>
                          </a:ln>
                        </wps:spPr>
                        <wps:bodyPr/>
                      </wps:wsp>
                      <wps:wsp>
                        <wps:cNvPr id="42" name="Line 41"/>
                        <wps:cNvCnPr/>
                        <wps:spPr bwMode="auto">
                          <a:xfrm>
                            <a:off x="3772448" y="1486046"/>
                            <a:ext cx="0" cy="197605"/>
                          </a:xfrm>
                          <a:prstGeom prst="line">
                            <a:avLst/>
                          </a:prstGeom>
                          <a:noFill/>
                          <a:ln w="9525">
                            <a:solidFill>
                              <a:srgbClr val="000000"/>
                            </a:solidFill>
                            <a:round/>
                            <a:tailEnd type="triangle" w="med" len="med"/>
                          </a:ln>
                        </wps:spPr>
                        <wps:bodyPr/>
                      </wps:wsp>
                      <wps:wsp>
                        <wps:cNvPr id="43" name="Line 42"/>
                        <wps:cNvCnPr/>
                        <wps:spPr bwMode="auto">
                          <a:xfrm>
                            <a:off x="1028916" y="1188545"/>
                            <a:ext cx="1714616" cy="0"/>
                          </a:xfrm>
                          <a:prstGeom prst="line">
                            <a:avLst/>
                          </a:prstGeom>
                          <a:noFill/>
                          <a:ln w="9525">
                            <a:solidFill>
                              <a:srgbClr val="000000"/>
                            </a:solidFill>
                            <a:round/>
                            <a:tailEnd type="triangle" w="med" len="med"/>
                          </a:ln>
                        </wps:spPr>
                        <wps:bodyPr/>
                      </wps:wsp>
                      <wps:wsp>
                        <wps:cNvPr id="44" name="Line 43"/>
                        <wps:cNvCnPr/>
                        <wps:spPr bwMode="auto">
                          <a:xfrm>
                            <a:off x="1829265" y="1981151"/>
                            <a:ext cx="0" cy="99167"/>
                          </a:xfrm>
                          <a:prstGeom prst="line">
                            <a:avLst/>
                          </a:prstGeom>
                          <a:noFill/>
                          <a:ln w="9525">
                            <a:solidFill>
                              <a:srgbClr val="000000"/>
                            </a:solidFill>
                            <a:round/>
                          </a:ln>
                        </wps:spPr>
                        <wps:bodyPr/>
                      </wps:wsp>
                      <wps:wsp>
                        <wps:cNvPr id="45" name="Line 44"/>
                        <wps:cNvCnPr/>
                        <wps:spPr bwMode="auto">
                          <a:xfrm>
                            <a:off x="3772448" y="1981151"/>
                            <a:ext cx="0" cy="99167"/>
                          </a:xfrm>
                          <a:prstGeom prst="line">
                            <a:avLst/>
                          </a:prstGeom>
                          <a:noFill/>
                          <a:ln w="9525">
                            <a:solidFill>
                              <a:srgbClr val="000000"/>
                            </a:solidFill>
                            <a:round/>
                          </a:ln>
                        </wps:spPr>
                        <wps:bodyPr/>
                      </wps:wsp>
                      <wps:wsp>
                        <wps:cNvPr id="46" name="Line 45"/>
                        <wps:cNvCnPr/>
                        <wps:spPr bwMode="auto">
                          <a:xfrm>
                            <a:off x="1829265" y="2080318"/>
                            <a:ext cx="1943183" cy="0"/>
                          </a:xfrm>
                          <a:prstGeom prst="line">
                            <a:avLst/>
                          </a:prstGeom>
                          <a:noFill/>
                          <a:ln w="9525">
                            <a:solidFill>
                              <a:srgbClr val="000000"/>
                            </a:solidFill>
                            <a:round/>
                          </a:ln>
                        </wps:spPr>
                        <wps:bodyPr/>
                      </wps:wsp>
                      <wps:wsp>
                        <wps:cNvPr id="47" name="Line 46"/>
                        <wps:cNvCnPr/>
                        <wps:spPr bwMode="auto">
                          <a:xfrm>
                            <a:off x="2743532" y="2080318"/>
                            <a:ext cx="0" cy="198334"/>
                          </a:xfrm>
                          <a:prstGeom prst="line">
                            <a:avLst/>
                          </a:prstGeom>
                          <a:noFill/>
                          <a:ln w="9525">
                            <a:solidFill>
                              <a:srgbClr val="000000"/>
                            </a:solidFill>
                            <a:round/>
                            <a:tailEnd type="triangle" w="med" len="med"/>
                          </a:ln>
                        </wps:spPr>
                        <wps:bodyPr/>
                      </wps:wsp>
                    </wpc:wpc>
                  </a:graphicData>
                </a:graphic>
              </wp:anchor>
            </w:drawing>
          </mc:Choice>
          <mc:Fallback>
            <w:pict>
              <v:group id="画布 2" o:spid="_x0000_s1026" o:spt="203" style="position:absolute;left:0pt;margin-left:0pt;margin-top:0pt;height:585pt;width:396pt;mso-position-horizontal-relative:char;mso-position-vertical-relative:line;z-index:251660288;mso-width-relative:page;mso-height-relative:page;" coordsize="5029200,7429500" editas="canvas" o:gfxdata="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">
                <o:lock v:ext="edit" aspectratio="f"/>
                <v:shape id="画布 2" o:spid="_x0000_s1026" style="position:absolute;left:0;top:0;height:7429500;width:5029200;" filled="f" stroked="f" coordsize="21600,21600" o:gfxdata="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">
                  <v:fill on="f" focussize="0,0"/>
                  <v:stroke on="f"/>
                  <v:imagedata o:title=""/>
                  <o:lock v:ext="edit" aspectratio="f"/>
                </v:shape>
                <v:shape id="AutoShape 4" o:spid="_x0000_s1026" o:spt="109" type="#_x0000_t109" style="position:absolute;left:1028916;top:0;height:296772;width:3429232;" fillcolor="#FFFFFF" filled="t" stroked="t" coordsize="21600,21600" o:gfxdata="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byl2dYAAAAGAQAADwAAAAAAAAABACAAAAAiAAAAZHJzL2Rvd25y&#10;ZXYueG1sUEsBAhQAFAAAAAgAh07iQMW1Xeo5AgAAjwQAAA4AAAAAAAAAAQAgAAAAJQEAAGRycy9l&#10;Mm9Eb2MueG1sUEsFBgAAAAAGAAYAWQEAANAFAAAAAA==&#10;">
                  <v:fill on="t" focussize="0,0"/>
                  <v:stroke color="#000000" miterlimit="8" joinstyle="miter"/>
                  <v:imagedata o:title=""/>
                  <o:lock v:ext="edit" aspectratio="f"/>
                  <v:textbox>
                    <w:txbxContent>
                      <w:p w14:paraId="3B18EE46">
                        <w:pPr>
                          <w:jc w:val="center"/>
                          <w:rPr>
                            <w:sz w:val="18"/>
                            <w:szCs w:val="18"/>
                          </w:rPr>
                        </w:pPr>
                        <w:r>
                          <w:rPr>
                            <w:rFonts w:hint="eastAsia"/>
                            <w:sz w:val="18"/>
                            <w:szCs w:val="18"/>
                          </w:rPr>
                          <w:t>签订工程合同，并在指定银行开设帐户，出具授权书</w:t>
                        </w:r>
                      </w:p>
                    </w:txbxContent>
                  </v:textbox>
                </v:shape>
                <v:shape id="AutoShape 5" o:spid="_x0000_s1026" o:spt="109" type="#_x0000_t109" style="position:absolute;left:1257483;top:693439;height:296772;width:2971368;" fillcolor="#FFFFFF" filled="t" stroked="t" coordsize="21600,21600" o:gfxdata="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byl2dYAAAAGAQAADwAAAAAAAAABACAAAAAiAAAAZHJz&#10;L2Rvd25yZXYueG1sUEsBAhQAFAAAAAgAh07iQCPxSu0/AgAAlAQAAA4AAAAAAAAAAQAgAAAAJQEA&#10;AGRycy9lMm9Eb2MueG1sUEsFBgAAAAAGAAYAWQEAANYFAAAAAA==&#10;">
                  <v:fill on="t" focussize="0,0"/>
                  <v:stroke color="#000000" miterlimit="8" joinstyle="miter"/>
                  <v:imagedata o:title=""/>
                  <o:lock v:ext="edit" aspectratio="f"/>
                  <v:textbox>
                    <w:txbxContent>
                      <w:p w14:paraId="113383C9">
                        <w:pPr>
                          <w:jc w:val="center"/>
                        </w:pPr>
                        <w:r>
                          <w:rPr>
                            <w:rFonts w:hint="eastAsia"/>
                            <w:sz w:val="18"/>
                            <w:szCs w:val="18"/>
                          </w:rPr>
                          <w:t>根据各部门及办领导核准的审批表拨付工程款</w:t>
                        </w:r>
                        <w:r>
                          <w:rPr>
                            <w:rFonts w:hint="eastAsia"/>
                          </w:rPr>
                          <w:t>2006.03.28 “纪念邓丽君演唱会”新闻发布会</w:t>
                        </w:r>
                      </w:p>
                      <w:p w14:paraId="5F86E3A7">
                        <w:pPr>
                          <w:jc w:val="center"/>
                        </w:pPr>
                        <w:r>
                          <w:rPr>
                            <w:rFonts w:hint="eastAsia"/>
                          </w:rPr>
                          <w:t>http://www.2zly.com/viewthread.php?tid=556&amp;extra=page%3D1</w:t>
                        </w:r>
                      </w:p>
                    </w:txbxContent>
                  </v:textbox>
                </v:shape>
                <v:shape id="AutoShape 6" o:spid="_x0000_s1026" o:spt="176" type="#_x0000_t176" style="position:absolute;left:1257483;top:1683651;height:298230;width:1142834;" fillcolor="#FFFFFF" filled="t" stroked="t" coordsize="21600,21600" o:gfxdata="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86I7E1AAAAAYBAAAPAAAAAAAAAAEAIAAAACIA&#10;AABkcnMvZG93bnJldi54bWxQSwECFAAUAAAACACHTuJAvaEE50YCAACeBAAADgAAAAAAAAABACAA&#10;AAAjAQAAZHJzL2Uyb0RvYy54bWxQSwUGAAAAAAYABgBZAQAA2wUAAAAA&#10;">
                  <v:fill on="t" focussize="0,0"/>
                  <v:stroke color="#000000" miterlimit="8" joinstyle="miter"/>
                  <v:imagedata o:title=""/>
                  <o:lock v:ext="edit" aspectratio="f"/>
                  <v:textbox>
                    <w:txbxContent>
                      <w:p w14:paraId="0FC0C699">
                        <w:pPr>
                          <w:jc w:val="center"/>
                          <w:rPr>
                            <w:sz w:val="18"/>
                            <w:szCs w:val="18"/>
                          </w:rPr>
                        </w:pPr>
                        <w:r>
                          <w:rPr>
                            <w:rFonts w:hint="eastAsia"/>
                            <w:sz w:val="18"/>
                            <w:szCs w:val="18"/>
                          </w:rPr>
                          <w:t>由业主直接支付</w:t>
                        </w:r>
                      </w:p>
                    </w:txbxContent>
                  </v:textbox>
                </v:shape>
                <v:shape id="AutoShape 7" o:spid="_x0000_s1026" o:spt="176" type="#_x0000_t176" style="position:absolute;left:3200666;top:1683651;height:298230;width:1028916;" fillcolor="#FFFFFF" filled="t" stroked="t" coordsize="21600,21600" o:gfxdata="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zojsTUAAAABgEAAA8AAAAAAAAAAQAgAAAAIgAA&#10;AGRycy9kb3ducmV2LnhtbFBLAQIUABQAAAAIAIdO4kBUt5N3RQIAAJ4EAAAOAAAAAAAAAAEAIAAA&#10;ACMBAABkcnMvZTJvRG9jLnhtbFBLBQYAAAAABgAGAFkBAADaBQAAAAA=&#10;">
                  <v:fill on="t" focussize="0,0"/>
                  <v:stroke color="#000000" miterlimit="8" joinstyle="miter"/>
                  <v:imagedata o:title=""/>
                  <o:lock v:ext="edit" aspectratio="f"/>
                  <v:textbox>
                    <w:txbxContent>
                      <w:p w14:paraId="382C2C66">
                        <w:pPr>
                          <w:jc w:val="center"/>
                          <w:rPr>
                            <w:sz w:val="18"/>
                            <w:szCs w:val="18"/>
                          </w:rPr>
                        </w:pPr>
                        <w:r>
                          <w:rPr>
                            <w:rFonts w:hint="eastAsia"/>
                            <w:sz w:val="18"/>
                            <w:szCs w:val="18"/>
                          </w:rPr>
                          <w:t>由财政直接拨付</w:t>
                        </w:r>
                      </w:p>
                    </w:txbxContent>
                  </v:textbox>
                </v:shape>
                <v:shape id="AutoShape 8" o:spid="_x0000_s1026" o:spt="109" type="#_x0000_t109" style="position:absolute;left:2286398;top:2278652;height:296772;width:914267;" fillcolor="#FFFFFF" filled="t" stroked="t" coordsize="21600,21600" o:gfxdata="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28pdnWAAAABgEAAA8AAAAAAAAAAQAgAAAAIgAAAGRycy9k&#10;b3ducmV2LnhtbFBLAQIUABQAAAAIAIdO4kDiVgG6PQIAAJQEAAAOAAAAAAAAAAEAIAAAACUBAABk&#10;cnMvZTJvRG9jLnhtbFBLBQYAAAAABgAGAFkBAADUBQAAAAA=&#10;">
                  <v:fill on="t" focussize="0,0"/>
                  <v:stroke color="#000000" miterlimit="8" joinstyle="miter"/>
                  <v:imagedata o:title=""/>
                  <o:lock v:ext="edit" aspectratio="f"/>
                  <v:textbox>
                    <w:txbxContent>
                      <w:p w14:paraId="347ADF05">
                        <w:pPr>
                          <w:jc w:val="center"/>
                          <w:rPr>
                            <w:sz w:val="18"/>
                            <w:szCs w:val="18"/>
                          </w:rPr>
                        </w:pPr>
                        <w:r>
                          <w:rPr>
                            <w:rFonts w:hint="eastAsia"/>
                            <w:sz w:val="18"/>
                            <w:szCs w:val="18"/>
                          </w:rPr>
                          <w:t>指定监控银行</w:t>
                        </w:r>
                      </w:p>
                    </w:txbxContent>
                  </v:textbox>
                </v:shape>
                <v:shape id="AutoShape 9" o:spid="_x0000_s1026" o:spt="109" type="#_x0000_t109" style="position:absolute;left:343215;top:2972092;height:891044;width:1371401;" fillcolor="#FFFFFF" filled="t" stroked="t" coordsize="21600,21600" o:gfxdata="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byl2dYAAAAGAQAADwAAAAAAAAABACAAAAAiAAAAZHJz&#10;L2Rvd25yZXYueG1sUEsBAhQAFAAAAAgAh07iQBj/b2Q/AgAAlQQAAA4AAAAAAAAAAQAgAAAAJQEA&#10;AGRycy9lMm9Eb2MueG1sUEsFBgAAAAAGAAYAWQEAANYFAAAAAA==&#10;">
                  <v:fill on="t" focussize="0,0"/>
                  <v:stroke color="#000000" miterlimit="8" joinstyle="miter"/>
                  <v:imagedata o:title=""/>
                  <o:lock v:ext="edit" aspectratio="f"/>
                  <v:textbox>
                    <w:txbxContent>
                      <w:p w14:paraId="6B46B7D8">
                        <w:pPr>
                          <w:rPr>
                            <w:sz w:val="18"/>
                            <w:szCs w:val="18"/>
                          </w:rPr>
                        </w:pPr>
                        <w:r>
                          <w:rPr>
                            <w:rFonts w:hint="eastAsia"/>
                            <w:sz w:val="18"/>
                            <w:szCs w:val="18"/>
                          </w:rPr>
                          <w:t>C类</w:t>
                        </w:r>
                      </w:p>
                      <w:p w14:paraId="05438A94">
                        <w:pPr>
                          <w:numPr>
                            <w:ilvl w:val="0"/>
                            <w:numId w:val="6"/>
                          </w:numPr>
                          <w:rPr>
                            <w:sz w:val="18"/>
                            <w:szCs w:val="18"/>
                          </w:rPr>
                        </w:pPr>
                        <w:r>
                          <w:rPr>
                            <w:rFonts w:hint="eastAsia"/>
                            <w:sz w:val="18"/>
                            <w:szCs w:val="18"/>
                          </w:rPr>
                          <w:t>零星开支</w:t>
                        </w:r>
                      </w:p>
                      <w:p w14:paraId="7DE4A86E">
                        <w:pPr>
                          <w:numPr>
                            <w:ilvl w:val="0"/>
                            <w:numId w:val="6"/>
                          </w:numPr>
                          <w:rPr>
                            <w:sz w:val="18"/>
                            <w:szCs w:val="18"/>
                          </w:rPr>
                        </w:pPr>
                        <w:r>
                          <w:rPr>
                            <w:rFonts w:hint="eastAsia"/>
                            <w:sz w:val="18"/>
                            <w:szCs w:val="18"/>
                          </w:rPr>
                          <w:t>管理费用开支</w:t>
                        </w:r>
                      </w:p>
                      <w:p w14:paraId="0695FCC6">
                        <w:pPr>
                          <w:numPr>
                            <w:ilvl w:val="0"/>
                            <w:numId w:val="6"/>
                          </w:numPr>
                          <w:rPr>
                            <w:sz w:val="18"/>
                            <w:szCs w:val="18"/>
                          </w:rPr>
                        </w:pPr>
                        <w:r>
                          <w:rPr>
                            <w:rFonts w:hint="eastAsia"/>
                            <w:sz w:val="18"/>
                            <w:szCs w:val="18"/>
                          </w:rPr>
                          <w:t>人员工资</w:t>
                        </w:r>
                      </w:p>
                    </w:txbxContent>
                  </v:textbox>
                </v:shape>
                <v:shape id="AutoShape 10" o:spid="_x0000_s1026" o:spt="109" type="#_x0000_t109" style="position:absolute;left:2057832;top:2972092;height:891044;width:1371401;" fillcolor="#FFFFFF" filled="t" stroked="t" coordsize="21600,21600" o:gfxdata="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28pdnWAAAABgEAAA8AAAAAAAAAAQAgAAAAIgAAAGRy&#10;cy9kb3ducmV2LnhtbFBLAQIUABQAAAAIAIdO4kByjgrjQAIAAJcEAAAOAAAAAAAAAAEAIAAAACUB&#10;AABkcnMvZTJvRG9jLnhtbFBLBQYAAAAABgAGAFkBAADXBQAAAAA=&#10;">
                  <v:fill on="t" focussize="0,0"/>
                  <v:stroke color="#000000" miterlimit="8" joinstyle="miter"/>
                  <v:imagedata o:title=""/>
                  <o:lock v:ext="edit" aspectratio="f"/>
                  <v:textbox>
                    <w:txbxContent>
                      <w:p w14:paraId="0C238A57">
                        <w:pPr>
                          <w:rPr>
                            <w:sz w:val="18"/>
                            <w:szCs w:val="18"/>
                          </w:rPr>
                        </w:pPr>
                        <w:r>
                          <w:rPr>
                            <w:rFonts w:hint="eastAsia"/>
                            <w:sz w:val="18"/>
                            <w:szCs w:val="18"/>
                          </w:rPr>
                          <w:t>A类</w:t>
                        </w:r>
                      </w:p>
                      <w:p w14:paraId="2B2D0ECA">
                        <w:pPr>
                          <w:numPr>
                            <w:ilvl w:val="0"/>
                            <w:numId w:val="7"/>
                          </w:numPr>
                          <w:rPr>
                            <w:sz w:val="18"/>
                            <w:szCs w:val="18"/>
                          </w:rPr>
                        </w:pPr>
                        <w:r>
                          <w:rPr>
                            <w:rFonts w:hint="eastAsia"/>
                            <w:sz w:val="18"/>
                            <w:szCs w:val="18"/>
                          </w:rPr>
                          <w:t>甲招乙供</w:t>
                        </w:r>
                      </w:p>
                      <w:p w14:paraId="31FE7A66">
                        <w:pPr>
                          <w:numPr>
                            <w:ilvl w:val="0"/>
                            <w:numId w:val="7"/>
                          </w:numPr>
                          <w:rPr>
                            <w:sz w:val="18"/>
                            <w:szCs w:val="18"/>
                          </w:rPr>
                        </w:pPr>
                        <w:r>
                          <w:rPr>
                            <w:rFonts w:hint="eastAsia"/>
                            <w:sz w:val="18"/>
                            <w:szCs w:val="18"/>
                          </w:rPr>
                          <w:t>甲管乙供</w:t>
                        </w:r>
                      </w:p>
                      <w:p w14:paraId="2E241449">
                        <w:pPr>
                          <w:numPr>
                            <w:ilvl w:val="0"/>
                            <w:numId w:val="7"/>
                          </w:numPr>
                          <w:rPr>
                            <w:sz w:val="18"/>
                            <w:szCs w:val="18"/>
                          </w:rPr>
                        </w:pPr>
                        <w:r>
                          <w:rPr>
                            <w:rFonts w:hint="eastAsia"/>
                            <w:sz w:val="18"/>
                            <w:szCs w:val="18"/>
                          </w:rPr>
                          <w:t>大宗乙供</w:t>
                        </w:r>
                      </w:p>
                    </w:txbxContent>
                  </v:textbox>
                </v:shape>
                <v:shape id="AutoShape 11" o:spid="_x0000_s1026" o:spt="109" type="#_x0000_t109" style="position:absolute;left:3772448;top:2972092;height:891044;width:1256752;" fillcolor="#FFFFFF" filled="t" stroked="t" coordsize="21600,21600" o:gfxdata="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byl2dYAAAAGAQAADwAAAAAAAAABACAAAAAiAAAAZHJz&#10;L2Rvd25yZXYueG1sUEsBAhQAFAAAAAgAh07iQHoGERI/AgAAlwQAAA4AAAAAAAAAAQAgAAAAJQEA&#10;AGRycy9lMm9Eb2MueG1sUEsFBgAAAAAGAAYAWQEAANYFAAAAAA==&#10;">
                  <v:fill on="t" focussize="0,0"/>
                  <v:stroke color="#000000" miterlimit="8" joinstyle="miter"/>
                  <v:imagedata o:title=""/>
                  <o:lock v:ext="edit" aspectratio="f"/>
                  <v:textbox>
                    <w:txbxContent>
                      <w:p w14:paraId="39B9AA33">
                        <w:pPr>
                          <w:rPr>
                            <w:sz w:val="18"/>
                            <w:szCs w:val="18"/>
                          </w:rPr>
                        </w:pPr>
                        <w:r>
                          <w:rPr>
                            <w:rFonts w:hint="eastAsia"/>
                            <w:sz w:val="18"/>
                            <w:szCs w:val="18"/>
                          </w:rPr>
                          <w:t>B类</w:t>
                        </w:r>
                      </w:p>
                      <w:p w14:paraId="2D29C200">
                        <w:pPr>
                          <w:numPr>
                            <w:ilvl w:val="0"/>
                            <w:numId w:val="8"/>
                          </w:numPr>
                          <w:rPr>
                            <w:sz w:val="18"/>
                            <w:szCs w:val="18"/>
                          </w:rPr>
                        </w:pPr>
                        <w:r>
                          <w:rPr>
                            <w:rFonts w:hint="eastAsia"/>
                            <w:sz w:val="18"/>
                            <w:szCs w:val="18"/>
                          </w:rPr>
                          <w:t>一般材料支付</w:t>
                        </w:r>
                      </w:p>
                      <w:p w14:paraId="20A48D40">
                        <w:pPr>
                          <w:numPr>
                            <w:ilvl w:val="0"/>
                            <w:numId w:val="8"/>
                          </w:numPr>
                          <w:rPr>
                            <w:sz w:val="18"/>
                            <w:szCs w:val="18"/>
                          </w:rPr>
                        </w:pPr>
                        <w:r>
                          <w:rPr>
                            <w:rFonts w:hint="eastAsia"/>
                            <w:sz w:val="18"/>
                            <w:szCs w:val="18"/>
                          </w:rPr>
                          <w:t>小型材料转付</w:t>
                        </w:r>
                      </w:p>
                    </w:txbxContent>
                  </v:textbox>
                </v:shape>
                <v:shape id="AutoShape 12" o:spid="_x0000_s1026" o:spt="109" type="#_x0000_t109" style="position:absolute;left:342485;top:4458138;height:693439;width:1371401;" fillcolor="#FFFFFF" filled="t" stroked="t" coordsize="21600,21600" o:gfxdata="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&#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tvKXZ1gAAAAYBAAAPAAAAAAAAAAEAIAAAACIAAABk&#10;cnMvZG93bnJldi54bWxQSwECFAAUAAAACACHTuJAoHceF0ECAACWBAAADgAAAAAAAAABACAAAAAl&#10;AQAAZHJzL2Uyb0RvYy54bWxQSwUGAAAAAAYABgBZAQAA2AUAAAAA&#10;">
                  <v:fill on="t" focussize="0,0"/>
                  <v:stroke color="#000000" miterlimit="8" joinstyle="miter"/>
                  <v:imagedata o:title=""/>
                  <o:lock v:ext="edit" aspectratio="f"/>
                  <v:textbox>
                    <w:txbxContent>
                      <w:p w14:paraId="4E15E300">
                        <w:pPr>
                          <w:rPr>
                            <w:sz w:val="18"/>
                            <w:szCs w:val="18"/>
                          </w:rPr>
                        </w:pPr>
                        <w:r>
                          <w:rPr>
                            <w:rFonts w:hint="eastAsia"/>
                            <w:sz w:val="18"/>
                            <w:szCs w:val="18"/>
                          </w:rPr>
                          <w:t>银行核对资金计划表，施工单位须报人工工资花名册并盖公章</w:t>
                        </w:r>
                      </w:p>
                    </w:txbxContent>
                  </v:textbox>
                </v:shape>
                <v:shape id="AutoShape 13" o:spid="_x0000_s1026" o:spt="109" type="#_x0000_t109" style="position:absolute;left:343215;top:5745849;height:498022;width:1371401;" fillcolor="#FFFFFF" filled="t" stroked="t" coordsize="21600,21600" o:gfxdata="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&#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tvKXZ1gAAAAYBAAAPAAAAAAAAAAEAIAAAACIAAABk&#10;cnMvZG93bnJldi54bWxQSwECFAAUAAAACACHTuJAXBCoD0ECAACWBAAADgAAAAAAAAABACAAAAAl&#10;AQAAZHJzL2Uyb0RvYy54bWxQSwUGAAAAAAYABgBZAQAA2AUAAAAA&#10;">
                  <v:fill on="t" focussize="0,0"/>
                  <v:stroke color="#000000" miterlimit="8" joinstyle="miter"/>
                  <v:imagedata o:title=""/>
                  <o:lock v:ext="edit" aspectratio="f"/>
                  <v:textbox>
                    <w:txbxContent>
                      <w:p w14:paraId="1F310A78">
                        <w:pPr>
                          <w:rPr>
                            <w:sz w:val="18"/>
                            <w:szCs w:val="18"/>
                          </w:rPr>
                        </w:pPr>
                        <w:r>
                          <w:rPr>
                            <w:rFonts w:hint="eastAsia"/>
                            <w:sz w:val="18"/>
                            <w:szCs w:val="18"/>
                          </w:rPr>
                          <w:t>支付方式：</w:t>
                        </w:r>
                      </w:p>
                      <w:p w14:paraId="59DF9A57">
                        <w:pPr>
                          <w:rPr>
                            <w:sz w:val="18"/>
                            <w:szCs w:val="18"/>
                          </w:rPr>
                        </w:pPr>
                        <w:r>
                          <w:rPr>
                            <w:rFonts w:hint="eastAsia"/>
                            <w:sz w:val="18"/>
                            <w:szCs w:val="18"/>
                          </w:rPr>
                          <w:t>提现</w:t>
                        </w:r>
                      </w:p>
                    </w:txbxContent>
                  </v:textbox>
                </v:shape>
                <v:shape id="AutoShape 14" o:spid="_x0000_s1026" o:spt="109" type="#_x0000_t109" style="position:absolute;left:2057832;top:5745849;height:496564;width:1371401;" fillcolor="#FFFFFF" filled="t" stroked="t" coordsize="21600,21600" o:gfxdata="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28pdnWAAAABgEAAA8AAAAAAAAAAQAgAAAAIgAA&#10;AGRycy9kb3ducmV2LnhtbFBLAQIUABQAAAAIAIdO4kDjE898QwIAAJcEAAAOAAAAAAAAAAEAIAAA&#10;ACUBAABkcnMvZTJvRG9jLnhtbFBLBQYAAAAABgAGAFkBAADaBQAAAAA=&#10;">
                  <v:fill on="t" focussize="0,0"/>
                  <v:stroke color="#000000" miterlimit="8" joinstyle="miter"/>
                  <v:imagedata o:title=""/>
                  <o:lock v:ext="edit" aspectratio="f"/>
                  <v:textbox>
                    <w:txbxContent>
                      <w:p w14:paraId="57F71EE8">
                        <w:pPr>
                          <w:rPr>
                            <w:sz w:val="18"/>
                            <w:szCs w:val="18"/>
                          </w:rPr>
                        </w:pPr>
                        <w:r>
                          <w:rPr>
                            <w:rFonts w:hint="eastAsia"/>
                            <w:sz w:val="18"/>
                            <w:szCs w:val="18"/>
                          </w:rPr>
                          <w:t>支付方式：</w:t>
                        </w:r>
                      </w:p>
                      <w:p w14:paraId="54220D6F">
                        <w:pPr>
                          <w:rPr>
                            <w:sz w:val="18"/>
                            <w:szCs w:val="18"/>
                          </w:rPr>
                        </w:pPr>
                        <w:r>
                          <w:rPr>
                            <w:rFonts w:hint="eastAsia"/>
                            <w:sz w:val="18"/>
                            <w:szCs w:val="18"/>
                          </w:rPr>
                          <w:t>须在监管银行前台划款</w:t>
                        </w:r>
                      </w:p>
                    </w:txbxContent>
                  </v:textbox>
                </v:shape>
                <v:shape id="AutoShape 15" o:spid="_x0000_s1026" o:spt="109" type="#_x0000_t109" style="position:absolute;left:2057101;top:4458138;height:693439;width:1371401;" fillcolor="#FFFFFF" filled="t" stroked="t" coordsize="21600,21600" o:gfxdata="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&#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tvKXZ1gAAAAYBAAAPAAAAAAAAAAEAIAAAACIAAABk&#10;cnMvZG93bnJldi54bWxQSwECFAAUAAAACACHTuJAAOrN1kECAACXBAAADgAAAAAAAAABACAAAAAl&#10;AQAAZHJzL2Uyb0RvYy54bWxQSwUGAAAAAAYABgBZAQAA2AUAAAAA&#10;">
                  <v:fill on="t" focussize="0,0"/>
                  <v:stroke color="#000000" miterlimit="8" joinstyle="miter"/>
                  <v:imagedata o:title=""/>
                  <o:lock v:ext="edit" aspectratio="f"/>
                  <v:textbox>
                    <w:txbxContent>
                      <w:p w14:paraId="5D5D1C80">
                        <w:pPr>
                          <w:jc w:val="center"/>
                          <w:rPr>
                            <w:sz w:val="18"/>
                            <w:szCs w:val="18"/>
                          </w:rPr>
                        </w:pPr>
                        <w:r>
                          <w:rPr>
                            <w:rFonts w:hint="eastAsia"/>
                            <w:sz w:val="18"/>
                            <w:szCs w:val="18"/>
                          </w:rPr>
                          <w:t>银行实行重点实时监控</w:t>
                        </w:r>
                      </w:p>
                    </w:txbxContent>
                  </v:textbox>
                </v:shape>
                <v:shape id="AutoShape 16" o:spid="_x0000_s1026" o:spt="109" type="#_x0000_t109" style="position:absolute;left:3772448;top:5745849;height:496564;width:1256752;" fillcolor="#FFFFFF" filled="t" stroked="t" coordsize="21600,21600" o:gfxdata="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byl2dYAAAAGAQAADwAAAAAAAAABACAAAAAiAAAA&#10;ZHJzL2Rvd25yZXYueG1sUEsBAhQAFAAAAAgAh07iQKdi7XtCAgAAlwQAAA4AAAAAAAAAAQAgAAAA&#10;JQEAAGRycy9lMm9Eb2MueG1sUEsFBgAAAAAGAAYAWQEAANkFAAAAAA==&#10;">
                  <v:fill on="t" focussize="0,0"/>
                  <v:stroke color="#000000" miterlimit="8" joinstyle="miter"/>
                  <v:imagedata o:title=""/>
                  <o:lock v:ext="edit" aspectratio="f"/>
                  <v:textbox>
                    <w:txbxContent>
                      <w:p w14:paraId="4D4A25F0">
                        <w:pPr>
                          <w:rPr>
                            <w:sz w:val="18"/>
                            <w:szCs w:val="18"/>
                          </w:rPr>
                        </w:pPr>
                        <w:r>
                          <w:rPr>
                            <w:rFonts w:hint="eastAsia"/>
                            <w:sz w:val="18"/>
                            <w:szCs w:val="18"/>
                          </w:rPr>
                          <w:t>支付方式：</w:t>
                        </w:r>
                      </w:p>
                      <w:p w14:paraId="4BA05579">
                        <w:pPr>
                          <w:rPr>
                            <w:sz w:val="18"/>
                            <w:szCs w:val="18"/>
                          </w:rPr>
                        </w:pPr>
                        <w:r>
                          <w:rPr>
                            <w:rFonts w:hint="eastAsia"/>
                            <w:sz w:val="18"/>
                            <w:szCs w:val="18"/>
                          </w:rPr>
                          <w:t>支票、信汇</w:t>
                        </w:r>
                      </w:p>
                    </w:txbxContent>
                  </v:textbox>
                </v:shape>
                <v:shape id="AutoShape 17" o:spid="_x0000_s1026" o:spt="109" type="#_x0000_t109" style="position:absolute;left:3772448;top:4458138;height:693439;width:1256752;" fillcolor="#FFFFFF" filled="t" stroked="t" coordsize="21600,21600" o:gfxdata="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byl2dYAAAAGAQAADwAAAAAAAAABACAAAAAiAAAA&#10;ZHJzL2Rvd25yZXYueG1sUEsBAhQAFAAAAAgAh07iQHE15+FCAgAAlwQAAA4AAAAAAAAAAQAgAAAA&#10;JQEAAGRycy9lMm9Eb2MueG1sUEsFBgAAAAAGAAYAWQEAANkFAAAAAA==&#10;">
                  <v:fill on="t" focussize="0,0"/>
                  <v:stroke color="#000000" miterlimit="8" joinstyle="miter"/>
                  <v:imagedata o:title=""/>
                  <o:lock v:ext="edit" aspectratio="f"/>
                  <v:textbox>
                    <w:txbxContent>
                      <w:p w14:paraId="53BB0781">
                        <w:pPr>
                          <w:jc w:val="center"/>
                          <w:rPr>
                            <w:sz w:val="18"/>
                            <w:szCs w:val="18"/>
                          </w:rPr>
                        </w:pPr>
                        <w:r>
                          <w:rPr>
                            <w:rFonts w:hint="eastAsia"/>
                            <w:sz w:val="18"/>
                            <w:szCs w:val="18"/>
                          </w:rPr>
                          <w:t>银行实行定期监控</w:t>
                        </w:r>
                      </w:p>
                    </w:txbxContent>
                  </v:textbox>
                </v:shape>
                <v:shape id="AutoShape 18" o:spid="_x0000_s1026" o:spt="109" type="#_x0000_t109" style="position:absolute;left:1714616;top:6736061;height:693439;width:2057832;" fillcolor="#FFFFFF" filled="t" stroked="t" coordsize="21600,21600" o:gfxdata="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&#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tvKXZ1gAAAAYBAAAPAAAAAAAAAAEAIAAAACIAAABk&#10;cnMvZG93bnJldi54bWxQSwECFAAUAAAACACHTuJAlFd9fUECAACXBAAADgAAAAAAAAABACAAAAAl&#10;AQAAZHJzL2Uyb0RvYy54bWxQSwUGAAAAAAYABgBZAQAA2AUAAAAA&#10;">
                  <v:fill on="t" focussize="0,0"/>
                  <v:stroke color="#000000" miterlimit="8" joinstyle="miter"/>
                  <v:imagedata o:title=""/>
                  <o:lock v:ext="edit" aspectratio="f"/>
                  <v:textbox>
                    <w:txbxContent>
                      <w:p w14:paraId="0C0F3950">
                        <w:pPr>
                          <w:rPr>
                            <w:sz w:val="18"/>
                            <w:szCs w:val="18"/>
                          </w:rPr>
                        </w:pPr>
                        <w:r>
                          <w:rPr>
                            <w:rFonts w:hint="eastAsia"/>
                            <w:sz w:val="18"/>
                            <w:szCs w:val="18"/>
                          </w:rPr>
                          <w:t>如出现异常，业主将要求参建单位纠正并采取补救措施，否则重点办停止下期支出并按违约处理</w:t>
                        </w:r>
                      </w:p>
                    </w:txbxContent>
                  </v:textbox>
                </v:shape>
                <v:line id="Line 19" o:spid="_x0000_s1026" o:spt="20" style="position:absolute;left:2743532;top:296772;height:396668;width:730;" filled="f" stroked="t" coordsize="21600,21600" o:gfxdata="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c3t5Z1gAAAAYBAAAPAAAAAAAAAAEA&#10;IAAAACIAAABkcnMvZG93bnJldi54bWxQSwECFAAUAAAACACHTuJArLuOUNgBAACpAwAADgAAAAAA&#10;AAABACAAAAAlAQAAZHJzL2Uyb0RvYy54bWxQSwUGAAAAAAYABgBZAQAAbwUAAAAA&#10;">
                  <v:fill on="f" focussize="0,0"/>
                  <v:stroke color="#000000" joinstyle="round" endarrow="block"/>
                  <v:imagedata o:title=""/>
                  <o:lock v:ext="edit" aspectratio="f"/>
                </v:line>
                <v:shape id="AutoShape 20" o:spid="_x0000_s1026" o:spt="34" type="#_x0000_t34" style="position:absolute;left:1257483;top:1881984;height:5350640;width:457134;rotation:11796480f;" filled="f" stroked="t" coordsize="21600,21600" o:gfxdata="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8UInNQAAAAGAQAADwAAAAAAAAABACAAAAAiAAAAZHJzL2Rvd25yZXYueG1sUEsBAhQAFAAAAAgA&#10;h07iQMa+AGgpAgAAOQQAAA4AAAAAAAAAAQAgAAAAIwEAAGRycy9lMm9Eb2MueG1sUEsFBgAAAAAG&#10;AAYAWQEAAL4FAAAAAA==&#10;" adj="72900">
                  <v:fill on="f" focussize="0,0"/>
                  <v:stroke color="#000000" miterlimit="8" joinstyle="miter" endarrow="block"/>
                  <v:imagedata o:title=""/>
                  <o:lock v:ext="edit" aspectratio="f"/>
                </v:shape>
                <v:shape id="AutoShape 21" o:spid="_x0000_s1026" o:spt="32" type="#_x0000_t32" style="position:absolute;left:1028186;top:3863136;flip:x;height:595002;width:730;" filled="f" stroked="t" coordsize="21600,21600" o:gfxdata="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KnayLVAAAABgEAAA8AAAAAAAAAAQAgAAAAIgAAAGRycy9k&#10;b3ducmV2LnhtbFBLAQIUABQAAAAIAIdO4kAnqJcKBQIAAPkDAAAOAAAAAAAAAAEAIAAAACQBAABk&#10;cnMvZTJvRG9jLnhtbFBLBQYAAAAABgAGAFkBAACbBQAAAAA=&#10;">
                  <v:fill on="f" focussize="0,0"/>
                  <v:stroke color="#000000" joinstyle="round" endarrow="block"/>
                  <v:imagedata o:title=""/>
                  <o:lock v:ext="edit" aspectratio="f"/>
                </v:shape>
                <v:shape id="AutoShape 22" o:spid="_x0000_s1026" o:spt="32" type="#_x0000_t32" style="position:absolute;left:1028916;top:5151577;flip:x;height:595002;width:730;" filled="f" stroked="t" coordsize="21600,21600" o:gfxdata="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KnayLVAAAABgEAAA8AAAAAAAAAAQAgAAAAIgAAAGRycy9k&#10;b3ducmV2LnhtbFBLAQIUABQAAAAIAIdO4kDNS+yEBQIAAPkDAAAOAAAAAAAAAAEAIAAAACQBAABk&#10;cnMvZTJvRG9jLnhtbFBLBQYAAAAABgAGAFkBAACbBQAAAAA=&#10;">
                  <v:fill on="f" focussize="0,0"/>
                  <v:stroke color="#000000" joinstyle="round" endarrow="block"/>
                  <v:imagedata o:title=""/>
                  <o:lock v:ext="edit" aspectratio="f"/>
                </v:shape>
                <v:shape id="AutoShape 23" o:spid="_x0000_s1026" o:spt="32" type="#_x0000_t32" style="position:absolute;left:2743532;top:3863136;flip:x;height:595002;width:730;" filled="f" stroked="t" coordsize="21600,21600" o:gfxdata="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p2si1QAAAAYBAAAPAAAAAAAAAAEAIAAAACIAAABkcnMv&#10;ZG93bnJldi54bWxQSwECFAAUAAAACACHTuJAHBqWXQYCAAD5AwAADgAAAAAAAAABACAAAAAkAQAA&#10;ZHJzL2Uyb0RvYy54bWxQSwUGAAAAAAYABgBZAQAAnAUAAAAA&#10;">
                  <v:fill on="f" focussize="0,0"/>
                  <v:stroke color="#000000" joinstyle="round" endarrow="block"/>
                  <v:imagedata o:title=""/>
                  <o:lock v:ext="edit" aspectratio="f"/>
                </v:shape>
                <v:shape id="AutoShape 24" o:spid="_x0000_s1026" o:spt="32" type="#_x0000_t32" style="position:absolute;left:4458148;top:3863136;flip:x;height:595002;width:730;" filled="f" stroked="t" coordsize="21600,21600" o:gfxdata="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p2si1QAAAAYBAAAPAAAAAAAAAAEAIAAAACIAAABkcnMv&#10;ZG93bnJldi54bWxQSwECFAAUAAAACACHTuJANk6DwgYCAAD5AwAADgAAAAAAAAABACAAAAAkAQAA&#10;ZHJzL2Uyb0RvYy54bWxQSwUGAAAAAAYABgBZAQAAnAUAAAAA&#10;">
                  <v:fill on="f" focussize="0,0"/>
                  <v:stroke color="#000000" joinstyle="round" endarrow="block"/>
                  <v:imagedata o:title=""/>
                  <o:lock v:ext="edit" aspectratio="f"/>
                </v:shape>
                <v:shape id="AutoShape 25" o:spid="_x0000_s1026" o:spt="32" type="#_x0000_t32" style="position:absolute;left:2743532;top:5151577;flip:x;height:595002;width:1460;" filled="f" stroked="t" coordsize="21600,21600" o:gfxdata="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KnayLVAAAABgEAAA8AAAAAAAAAAQAgAAAAIgAAAGRycy9k&#10;b3ducmV2LnhtbFBLAQIUABQAAAAIAIdO4kD1EDDtBQIAAPoDAAAOAAAAAAAAAAEAIAAAACQBAABk&#10;cnMvZTJvRG9jLnhtbFBLBQYAAAAABgAGAFkBAACbBQAAAAA=&#10;">
                  <v:fill on="f" focussize="0,0"/>
                  <v:stroke color="#000000" joinstyle="round" endarrow="block"/>
                  <v:imagedata o:title=""/>
                  <o:lock v:ext="edit" aspectratio="f"/>
                </v:shape>
                <v:shape id="AutoShape 26" o:spid="_x0000_s1026" o:spt="32" type="#_x0000_t32" style="position:absolute;left:4458148;top:5151577;flip:x;height:595002;width:730;" filled="f" stroked="t" coordsize="21600,21600" o:gfxdata="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p2si1QAAAAYBAAAPAAAAAAAAAAEAIAAAACIAAABkcnMv&#10;ZG93bnJldi54bWxQSwECFAAUAAAACACHTuJA1OqDHwYCAAD5AwAADgAAAAAAAAABACAAAAAkAQAA&#10;ZHJzL2Uyb0RvYy54bWxQSwUGAAAAAAYABgBZAQAAnAUAAAAA&#10;">
                  <v:fill on="f" focussize="0,0"/>
                  <v:stroke color="#000000" joinstyle="round" endarrow="block"/>
                  <v:imagedata o:title=""/>
                  <o:lock v:ext="edit" aspectratio="f"/>
                </v:shape>
                <v:line id="Line 27" o:spid="_x0000_s1026" o:spt="20" style="position:absolute;left:1028916;top:6240955;height:297501;width:0;" filled="f" stroked="t" coordsize="21600,21600" o:gfxdata="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4cbubUAAAABgEAAA8AAAAAAAAAAQAgAAAAIgAAAGRycy9kb3ducmV2LnhtbFBLAQIU&#10;ABQAAAAIAIdO4kBwMS0lvgEAAHoDAAAOAAAAAAAAAAEAIAAAACMBAABkcnMvZTJvRG9jLnhtbFBL&#10;BQYAAAAABgAGAFkBAABTBQAAAAA=&#10;">
                  <v:fill on="f" focussize="0,0"/>
                  <v:stroke color="#000000" joinstyle="round"/>
                  <v:imagedata o:title=""/>
                  <o:lock v:ext="edit" aspectratio="f"/>
                </v:line>
                <v:line id="Line 28" o:spid="_x0000_s1026" o:spt="20" style="position:absolute;left:2743532;top:6240955;height:297501;width:730;" filled="f" stroked="t" coordsize="21600,21600" o:gfxdata="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hxu5tQAAAAGAQAADwAAAAAAAAABACAAAAAiAAAAZHJzL2Rvd25yZXYueG1sUEsB&#10;AhQAFAAAAAgAh07iQIVxZfHAAQAAfAMAAA4AAAAAAAAAAQAgAAAAIwEAAGRycy9lMm9Eb2MueG1s&#10;UEsFBgAAAAAGAAYAWQEAAFUFAAAAAA==&#10;">
                  <v:fill on="f" focussize="0,0"/>
                  <v:stroke color="#000000" joinstyle="round"/>
                  <v:imagedata o:title=""/>
                  <o:lock v:ext="edit" aspectratio="f"/>
                </v:line>
                <v:line id="Line 29" o:spid="_x0000_s1026" o:spt="20" style="position:absolute;left:4458148;top:6240955;height:297501;width:0;" filled="f" stroked="t" coordsize="21600,21600" o:gfxdata="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4cbubUAAAABgEAAA8AAAAAAAAAAQAgAAAAIgAAAGRycy9kb3ducmV2LnhtbFBLAQIU&#10;ABQAAAAIAIdO4kCrZR7hvgEAAHoDAAAOAAAAAAAAAAEAIAAAACMBAABkcnMvZTJvRG9jLnhtbFBL&#10;BQYAAAAABgAGAFkBAABTBQAAAAA=&#10;">
                  <v:fill on="f" focussize="0,0"/>
                  <v:stroke color="#000000" joinstyle="round"/>
                  <v:imagedata o:title=""/>
                  <o:lock v:ext="edit" aspectratio="f"/>
                </v:line>
                <v:line id="Line 30" o:spid="_x0000_s1026" o:spt="20" style="position:absolute;left:1028916;top:6538456;height:0;width:3429232;" filled="f" stroked="t" coordsize="21600,21600" o:gfxdata="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hxu5tQAAAAGAQAADwAAAAAAAAABACAAAAAiAAAAZHJzL2Rvd25yZXYueG1sUEsB&#10;AhQAFAAAAAgAh07iQEBM0IPAAQAAewMAAA4AAAAAAAAAAQAgAAAAIwEAAGRycy9lMm9Eb2MueG1s&#10;UEsFBgAAAAAGAAYAWQEAAFUFAAAAAA==&#10;">
                  <v:fill on="f" focussize="0,0"/>
                  <v:stroke color="#000000" joinstyle="round"/>
                  <v:imagedata o:title=""/>
                  <o:lock v:ext="edit" aspectratio="f"/>
                </v:line>
                <v:line id="Line 31" o:spid="_x0000_s1026" o:spt="20" style="position:absolute;left:2743532;top:6538456;height:296772;width:0;" filled="f" stroked="t" coordsize="21600,21600" o:gfxdata="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c3t5Z1gAAAAYBAAAPAAAAAAAAAAEA&#10;IAAAACIAAABkcnMvZG93bnJldi54bWxQSwECFAAUAAAACACHTuJAYNEDitgBAACoAwAADgAAAAAA&#10;AAABACAAAAAlAQAAZHJzL2Uyb0RvYy54bWxQSwUGAAAAAAYABgBZAQAAbwUAAAAA&#10;">
                  <v:fill on="f" focussize="0,0"/>
                  <v:stroke color="#000000" joinstyle="round" endarrow="block"/>
                  <v:imagedata o:title=""/>
                  <o:lock v:ext="edit" aspectratio="f"/>
                </v:line>
                <v:line id="Line 32" o:spid="_x0000_s1026" o:spt="20" style="position:absolute;left:1028916;top:2377819;flip:x y;height:729;width:1257483;" filled="f" stroked="t" coordsize="21600,21600" o:gfxdata="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CGdIjRAAAABgEAAA8AAAAAAAAAAQAgAAAAIgAAAGRycy9kb3du&#10;cmV2LnhtbFBLAQIUABQAAAAIAIdO4kDXooXNzQEAAJEDAAAOAAAAAAAAAAEAIAAAACABAABkcnMv&#10;ZTJvRG9jLnhtbFBLBQYAAAAABgAGAFkBAABfBQAAAAA=&#10;">
                  <v:fill on="f" focussize="0,0"/>
                  <v:stroke color="#000000" joinstyle="round"/>
                  <v:imagedata o:title=""/>
                  <o:lock v:ext="edit" aspectratio="f"/>
                </v:line>
                <v:line id="Line 33" o:spid="_x0000_s1026" o:spt="20" style="position:absolute;left:3200666;top:2377819;flip:x y;height:729;width:1258213;" filled="f" stroked="t" coordsize="21600,21600" o:gfxdata="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CGdIjRAAAABgEAAA8AAAAAAAAAAQAgAAAAIgAAAGRycy9kb3du&#10;cmV2LnhtbFBLAQIUABQAAAAIAIdO4kBKJGuqzQEAAJEDAAAOAAAAAAAAAAEAIAAAACABAABkcnMv&#10;ZTJvRG9jLnhtbFBLBQYAAAAABgAGAFkBAABfBQAAAAA=&#10;">
                  <v:fill on="f" focussize="0,0"/>
                  <v:stroke color="#000000" joinstyle="round"/>
                  <v:imagedata o:title=""/>
                  <o:lock v:ext="edit" aspectratio="f"/>
                </v:line>
                <v:line id="Line 34" o:spid="_x0000_s1026" o:spt="20" style="position:absolute;left:1028916;top:2377819;height:594272;width:0;" filled="f" stroked="t" coordsize="21600,21600" o:gfxdata="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N7eWdYAAAAGAQAADwAAAAAAAAAB&#10;ACAAAAAiAAAAZHJzL2Rvd25yZXYueG1sUEsBAhQAFAAAAAgAh07iQGq3LnXZAQAAqAMAAA4AAAAA&#10;AAAAAQAgAAAAJQEAAGRycy9lMm9Eb2MueG1sUEsFBgAAAAAGAAYAWQEAAHAFAAAAAA==&#10;">
                  <v:fill on="f" focussize="0,0"/>
                  <v:stroke color="#000000" joinstyle="round" endarrow="block"/>
                  <v:imagedata o:title=""/>
                  <o:lock v:ext="edit" aspectratio="f"/>
                </v:line>
                <v:line id="Line 35" o:spid="_x0000_s1026" o:spt="20" style="position:absolute;left:4458148;top:2377819;height:592814;width:730;" filled="f" stroked="t" coordsize="21600,21600" o:gfxdata="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ze3lnWAAAABgEAAA8AAAAAAAAA&#10;AQAgAAAAIgAAAGRycy9kb3ducmV2LnhtbFBLAQIUABQAAAAIAIdO4kBim8Xh2gEAAKoDAAAOAAAA&#10;AAAAAAEAIAAAACUBAABkcnMvZTJvRG9jLnhtbFBLBQYAAAAABgAGAFkBAABxBQAAAAA=&#10;">
                  <v:fill on="f" focussize="0,0"/>
                  <v:stroke color="#000000" joinstyle="round" endarrow="block"/>
                  <v:imagedata o:title=""/>
                  <o:lock v:ext="edit" aspectratio="f"/>
                </v:line>
                <v:line id="Line 36" o:spid="_x0000_s1026" o:spt="20" style="position:absolute;left:2743532;top:2575424;height:396668;width:0;" filled="f" stroked="t" coordsize="21600,21600" o:gfxdata="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c3t5Z1gAAAAYBAAAPAAAAAAAAAAEA&#10;IAAAACIAAABkcnMvZG93bnJldi54bWxQSwECFAAUAAAACACHTuJALR4M3tgBAACoAwAADgAAAAAA&#10;AAABACAAAAAlAQAAZHJzL2Uyb0RvYy54bWxQSwUGAAAAAAYABgBZAQAAbwUAAAAA&#10;">
                  <v:fill on="f" focussize="0,0"/>
                  <v:stroke color="#000000" joinstyle="round" endarrow="block"/>
                  <v:imagedata o:title=""/>
                  <o:lock v:ext="edit" aspectratio="f"/>
                </v:line>
                <v:line id="Line 37" o:spid="_x0000_s1026" o:spt="20" style="position:absolute;left:2743532;top:990211;height:495835;width:730;" filled="f" stroked="t" coordsize="21600,21600" o:gfxdata="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HG7m1AAAAAYBAAAPAAAAAAAAAAEAIAAAACIAAABkcnMvZG93bnJldi54bWxQSwEC&#10;FAAUAAAACACHTuJA1erYTb8BAAB7AwAADgAAAAAAAAABACAAAAAjAQAAZHJzL2Uyb0RvYy54bWxQ&#10;SwUGAAAAAAYABgBZAQAAVAUAAAAA&#10;">
                  <v:fill on="f" focussize="0,0"/>
                  <v:stroke color="#000000" joinstyle="round"/>
                  <v:imagedata o:title=""/>
                  <o:lock v:ext="edit" aspectratio="f"/>
                </v:line>
                <v:line id="Line 38" o:spid="_x0000_s1026" o:spt="20" style="position:absolute;left:1829265;top:1486046;flip:x;height:0;width:914267;" filled="f" stroked="t" coordsize="21600,21600" o:gfxdata="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19279QAAAAGAQAADwAAAAAAAAABACAAAAAiAAAAZHJzL2Rvd25yZXYu&#10;eG1sUEsBAhQAFAAAAAgAh07iQCtQl2fGAQAAhAMAAA4AAAAAAAAAAQAgAAAAIwEAAGRycy9lMm9E&#10;b2MueG1sUEsFBgAAAAAGAAYAWQEAAFsFAAAAAA==&#10;">
                  <v:fill on="f" focussize="0,0"/>
                  <v:stroke color="#000000" joinstyle="round"/>
                  <v:imagedata o:title=""/>
                  <o:lock v:ext="edit" aspectratio="f"/>
                </v:line>
                <v:line id="Line 39" o:spid="_x0000_s1026" o:spt="20" style="position:absolute;left:2743532;top:1486046;height:0;width:1028916;" filled="f" stroked="t" coordsize="21600,21600" o:gfxdata="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4cbubUAAAABgEAAA8AAAAAAAAAAQAgAAAAIgAAAGRycy9kb3ducmV2LnhtbFBL&#10;AQIUABQAAAAIAIdO4kBk/QpDwQEAAHsDAAAOAAAAAAAAAAEAIAAAACMBAABkcnMvZTJvRG9jLnht&#10;bFBLBQYAAAAABgAGAFkBAABWBQAAAAA=&#10;">
                  <v:fill on="f" focussize="0,0"/>
                  <v:stroke color="#000000" joinstyle="round"/>
                  <v:imagedata o:title=""/>
                  <o:lock v:ext="edit" aspectratio="f"/>
                </v:line>
                <v:line id="Line 40" o:spid="_x0000_s1026" o:spt="20" style="position:absolute;left:1829265;top:1486046;height:197605;width:0;" filled="f" stroked="t" coordsize="21600,21600" o:gfxdata="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3N7eWdYAAAAGAQAADwAAAAAAAAABACAA&#10;AAAiAAAAZHJzL2Rvd25yZXYueG1sUEsBAhQAFAAAAAgAh07iQGvtZ7DWAQAAqAMAAA4AAAAAAAAA&#10;AQAgAAAAJQEAAGRycy9lMm9Eb2MueG1sUEsFBgAAAAAGAAYAWQEAAG0FAAAAAA==&#10;">
                  <v:fill on="f" focussize="0,0"/>
                  <v:stroke color="#000000" joinstyle="round" endarrow="block"/>
                  <v:imagedata o:title=""/>
                  <o:lock v:ext="edit" aspectratio="f"/>
                </v:line>
                <v:line id="Line 41" o:spid="_x0000_s1026" o:spt="20" style="position:absolute;left:3772448;top:1486046;height:197605;width:0;" filled="f" stroked="t" coordsize="21600,21600" o:gfxdata="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c3t5Z1gAAAAYBAAAPAAAAAAAAAAEA&#10;IAAAACIAAABkcnMvZG93bnJldi54bWxQSwECFAAUAAAACACHTuJA3XudsdgBAACoAwAADgAAAAAA&#10;AAABACAAAAAlAQAAZHJzL2Uyb0RvYy54bWxQSwUGAAAAAAYABgBZAQAAbwUAAAAA&#10;">
                  <v:fill on="f" focussize="0,0"/>
                  <v:stroke color="#000000" joinstyle="round" endarrow="block"/>
                  <v:imagedata o:title=""/>
                  <o:lock v:ext="edit" aspectratio="f"/>
                </v:line>
                <v:line id="Line 42" o:spid="_x0000_s1026" o:spt="20" style="position:absolute;left:1028916;top:1188545;height:0;width:1714616;" filled="f" stroked="t" coordsize="21600,21600" o:gfxdata="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N7eWdYAAAAGAQAADwAAAAAAAAAB&#10;ACAAAAAiAAAAZHJzL2Rvd25yZXYueG1sUEsBAhQAFAAAAAgAh07iQFByLB/ZAQAAqQMAAA4AAAAA&#10;AAAAAQAgAAAAJQEAAGRycy9lMm9Eb2MueG1sUEsFBgAAAAAGAAYAWQEAAHAFAAAAAA==&#10;">
                  <v:fill on="f" focussize="0,0"/>
                  <v:stroke color="#000000" joinstyle="round" endarrow="block"/>
                  <v:imagedata o:title=""/>
                  <o:lock v:ext="edit" aspectratio="f"/>
                </v:line>
                <v:line id="Line 43" o:spid="_x0000_s1026" o:spt="20" style="position:absolute;left:1829265;top:1981151;height:99167;width:0;" filled="f" stroked="t" coordsize="21600,21600" o:gfxdata="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HG7m1AAAAAYBAAAPAAAAAAAAAAEAIAAAACIAAABkcnMvZG93bnJldi54bWxQSwECFAAU&#10;AAAACACHTuJApJDvBLwBAAB5AwAADgAAAAAAAAABACAAAAAjAQAAZHJzL2Uyb0RvYy54bWxQSwUG&#10;AAAAAAYABgBZAQAAUQUAAAAA&#10;">
                  <v:fill on="f" focussize="0,0"/>
                  <v:stroke color="#000000" joinstyle="round"/>
                  <v:imagedata o:title=""/>
                  <o:lock v:ext="edit" aspectratio="f"/>
                </v:line>
                <v:line id="Line 44" o:spid="_x0000_s1026" o:spt="20" style="position:absolute;left:3772448;top:1981151;height:99167;width:0;" filled="f" stroked="t" coordsize="21600,21600" o:gfxdata="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hxu5tQAAAAGAQAADwAAAAAAAAABACAAAAAiAAAAZHJzL2Rvd25yZXYueG1sUEsBAhQA&#10;FAAAAAgAh07iQDNBh369AQAAeQMAAA4AAAAAAAAAAQAgAAAAIwEAAGRycy9lMm9Eb2MueG1sUEsF&#10;BgAAAAAGAAYAWQEAAFIFAAAAAA==&#10;">
                  <v:fill on="f" focussize="0,0"/>
                  <v:stroke color="#000000" joinstyle="round"/>
                  <v:imagedata o:title=""/>
                  <o:lock v:ext="edit" aspectratio="f"/>
                </v:line>
                <v:line id="Line 45" o:spid="_x0000_s1026" o:spt="20" style="position:absolute;left:1829265;top:2080318;height:0;width:1943183;" filled="f" stroked="t" coordsize="21600,21600" o:gfxdata="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HG7m1AAAAAYBAAAPAAAAAAAAAAEAIAAAACIAAABkcnMvZG93bnJldi54bWxQSwEC&#10;FAAUAAAACACHTuJAk9cBKr8BAAB7AwAADgAAAAAAAAABACAAAAAjAQAAZHJzL2Uyb0RvYy54bWxQ&#10;SwUGAAAAAAYABgBZAQAAVAUAAAAA&#10;">
                  <v:fill on="f" focussize="0,0"/>
                  <v:stroke color="#000000" joinstyle="round"/>
                  <v:imagedata o:title=""/>
                  <o:lock v:ext="edit" aspectratio="f"/>
                </v:line>
                <v:line id="Line 46" o:spid="_x0000_s1026" o:spt="20" style="position:absolute;left:2743532;top:2080318;height:198334;width:0;" filled="f" stroked="t" coordsize="21600,21600" o:gfxdata="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c3t5Z1gAAAAYBAAAPAAAAAAAAAAEA&#10;IAAAACIAAABkcnMvZG93bnJldi54bWxQSwECFAAUAAAACACHTuJATXJp2NgBAACoAwAADgAAAAAA&#10;AAABACAAAAAlAQAAZHJzL2Uyb0RvYy54bWxQSwUGAAAAAAYABgBZAQAAbwUAAAAA&#10;">
                  <v:fill on="f" focussize="0,0"/>
                  <v:stroke color="#000000" joinstyle="round" endarrow="block"/>
                  <v:imagedata o:title=""/>
                  <o:lock v:ext="edit" aspectratio="f"/>
                </v:line>
              </v:group>
            </w:pict>
          </mc:Fallback>
        </mc:AlternateContent>
      </w:r>
      <w:r>
        <w:rPr>
          <w:color w:val="auto"/>
          <w:kern w:val="0"/>
          <w:highlight w:val="none"/>
        </w:rPr>
        <mc:AlternateContent>
          <mc:Choice Requires="wps">
            <w:drawing>
              <wp:inline distT="0" distB="0" distL="0" distR="0">
                <wp:extent cx="5029200" cy="7429500"/>
                <wp:effectExtent l="0" t="0" r="1905" b="3810"/>
                <wp:docPr id="49"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29200" cy="7429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1" o:spid="_x0000_s1026" o:spt="1" style="height:585pt;width:396pt;" filled="f" stroked="f" coordsize="21600,21600" o:gfxdata="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G8yMrWAAAABgEAAA8AAAAAAAAAAQAgAAAAIgAAAGRycy9kb3du&#10;cmV2LnhtbFBLAQIUABQAAAAIAIdO4kBXIY9qAQIAABUEAAAOAAAAAAAAAAEAIAAAACUBAABkcnMv&#10;ZTJvRG9jLnhtbFBLBQYAAAAABgAGAFkBAACYBQAAAAA=&#10;">
                <v:fill on="f" focussize="0,0"/>
                <v:stroke on="f"/>
                <v:imagedata o:title=""/>
                <o:lock v:ext="edit" aspectratio="t"/>
                <w10:wrap type="none"/>
                <w10:anchorlock/>
              </v:rect>
            </w:pict>
          </mc:Fallback>
        </mc:AlternateContent>
      </w:r>
    </w:p>
    <w:p w14:paraId="16465A2B">
      <w:pPr>
        <w:rPr>
          <w:b/>
          <w:snapToGrid w:val="0"/>
          <w:color w:val="auto"/>
          <w:kern w:val="0"/>
          <w:sz w:val="24"/>
          <w:highlight w:val="none"/>
        </w:rPr>
      </w:pPr>
      <w:r>
        <w:rPr>
          <w:rFonts w:hint="eastAsia"/>
          <w:b/>
          <w:snapToGrid w:val="0"/>
          <w:color w:val="auto"/>
          <w:kern w:val="0"/>
          <w:sz w:val="24"/>
          <w:highlight w:val="none"/>
        </w:rPr>
        <w:t>注：A、B、C类别划分由广州市越秀区代建项目管理中心根据实际情况确定</w:t>
      </w:r>
    </w:p>
    <w:tbl>
      <w:tblPr>
        <w:tblStyle w:val="47"/>
        <w:tblW w:w="0" w:type="auto"/>
        <w:tblInd w:w="-801" w:type="dxa"/>
        <w:tblLayout w:type="fixed"/>
        <w:tblCellMar>
          <w:top w:w="0" w:type="dxa"/>
          <w:left w:w="108" w:type="dxa"/>
          <w:bottom w:w="0" w:type="dxa"/>
          <w:right w:w="108" w:type="dxa"/>
        </w:tblCellMar>
      </w:tblPr>
      <w:tblGrid>
        <w:gridCol w:w="2114"/>
        <w:gridCol w:w="236"/>
        <w:gridCol w:w="191"/>
        <w:gridCol w:w="1440"/>
        <w:gridCol w:w="445"/>
        <w:gridCol w:w="1355"/>
        <w:gridCol w:w="540"/>
        <w:gridCol w:w="1139"/>
        <w:gridCol w:w="422"/>
        <w:gridCol w:w="2058"/>
      </w:tblGrid>
      <w:tr w14:paraId="408677CA">
        <w:tblPrEx>
          <w:tblCellMar>
            <w:top w:w="0" w:type="dxa"/>
            <w:left w:w="108" w:type="dxa"/>
            <w:bottom w:w="0" w:type="dxa"/>
            <w:right w:w="108" w:type="dxa"/>
          </w:tblCellMar>
        </w:tblPrEx>
        <w:trPr>
          <w:trHeight w:val="540" w:hRule="atLeast"/>
        </w:trPr>
        <w:tc>
          <w:tcPr>
            <w:tcW w:w="9940" w:type="dxa"/>
            <w:gridSpan w:val="10"/>
            <w:tcBorders>
              <w:top w:val="nil"/>
              <w:left w:val="nil"/>
              <w:bottom w:val="nil"/>
              <w:right w:val="nil"/>
            </w:tcBorders>
            <w:shd w:val="clear" w:color="auto" w:fill="auto"/>
            <w:noWrap/>
            <w:vAlign w:val="center"/>
          </w:tcPr>
          <w:p w14:paraId="4B77AB48">
            <w:pPr>
              <w:widowControl/>
              <w:jc w:val="center"/>
              <w:rPr>
                <w:rFonts w:ascii="宋体" w:hAnsi="宋体" w:cs="宋体"/>
                <w:b/>
                <w:bCs/>
                <w:snapToGrid w:val="0"/>
                <w:color w:val="auto"/>
                <w:kern w:val="0"/>
                <w:sz w:val="44"/>
                <w:szCs w:val="44"/>
                <w:highlight w:val="none"/>
              </w:rPr>
            </w:pPr>
            <w:r>
              <w:rPr>
                <w:b/>
                <w:snapToGrid w:val="0"/>
                <w:color w:val="auto"/>
                <w:kern w:val="0"/>
                <w:sz w:val="24"/>
                <w:highlight w:val="none"/>
              </w:rPr>
              <w:br w:type="page"/>
            </w:r>
          </w:p>
        </w:tc>
      </w:tr>
      <w:tr w14:paraId="407358F4">
        <w:tblPrEx>
          <w:tblCellMar>
            <w:top w:w="0" w:type="dxa"/>
            <w:left w:w="108" w:type="dxa"/>
            <w:bottom w:w="0" w:type="dxa"/>
            <w:right w:w="108" w:type="dxa"/>
          </w:tblCellMar>
        </w:tblPrEx>
        <w:trPr>
          <w:trHeight w:val="540" w:hRule="atLeast"/>
        </w:trPr>
        <w:tc>
          <w:tcPr>
            <w:tcW w:w="9940" w:type="dxa"/>
            <w:gridSpan w:val="10"/>
            <w:tcBorders>
              <w:top w:val="nil"/>
              <w:left w:val="nil"/>
              <w:bottom w:val="nil"/>
              <w:right w:val="nil"/>
            </w:tcBorders>
            <w:shd w:val="clear" w:color="auto" w:fill="auto"/>
            <w:noWrap/>
            <w:vAlign w:val="center"/>
          </w:tcPr>
          <w:p w14:paraId="6675A13A">
            <w:pPr>
              <w:widowControl/>
              <w:jc w:val="center"/>
              <w:rPr>
                <w:rFonts w:ascii="宋体" w:hAnsi="宋体" w:cs="宋体"/>
                <w:b/>
                <w:bCs/>
                <w:snapToGrid w:val="0"/>
                <w:color w:val="auto"/>
                <w:kern w:val="0"/>
                <w:sz w:val="44"/>
                <w:szCs w:val="44"/>
                <w:highlight w:val="none"/>
              </w:rPr>
            </w:pPr>
            <w:r>
              <w:rPr>
                <w:rFonts w:hint="eastAsia" w:ascii="宋体" w:hAnsi="宋体" w:cs="宋体"/>
                <w:b/>
                <w:bCs/>
                <w:snapToGrid w:val="0"/>
                <w:color w:val="auto"/>
                <w:kern w:val="0"/>
                <w:sz w:val="44"/>
                <w:szCs w:val="44"/>
                <w:highlight w:val="none"/>
              </w:rPr>
              <w:t>工程建设资金使用计划（1）</w:t>
            </w:r>
          </w:p>
        </w:tc>
      </w:tr>
      <w:tr w14:paraId="6D0CF353">
        <w:tblPrEx>
          <w:tblCellMar>
            <w:top w:w="0" w:type="dxa"/>
            <w:left w:w="108" w:type="dxa"/>
            <w:bottom w:w="0" w:type="dxa"/>
            <w:right w:w="108" w:type="dxa"/>
          </w:tblCellMar>
        </w:tblPrEx>
        <w:trPr>
          <w:trHeight w:val="540" w:hRule="atLeast"/>
        </w:trPr>
        <w:tc>
          <w:tcPr>
            <w:tcW w:w="2114" w:type="dxa"/>
            <w:tcBorders>
              <w:top w:val="nil"/>
              <w:left w:val="nil"/>
              <w:bottom w:val="nil"/>
              <w:right w:val="nil"/>
            </w:tcBorders>
            <w:shd w:val="clear" w:color="auto" w:fill="auto"/>
            <w:noWrap/>
            <w:vAlign w:val="center"/>
          </w:tcPr>
          <w:p w14:paraId="1A3481B2">
            <w:pPr>
              <w:widowControl/>
              <w:jc w:val="center"/>
              <w:rPr>
                <w:rFonts w:ascii="宋体" w:hAnsi="宋体" w:cs="宋体"/>
                <w:b/>
                <w:bCs/>
                <w:snapToGrid w:val="0"/>
                <w:color w:val="auto"/>
                <w:kern w:val="0"/>
                <w:sz w:val="44"/>
                <w:szCs w:val="44"/>
                <w:highlight w:val="none"/>
              </w:rPr>
            </w:pPr>
          </w:p>
        </w:tc>
        <w:tc>
          <w:tcPr>
            <w:tcW w:w="236" w:type="dxa"/>
            <w:tcBorders>
              <w:top w:val="nil"/>
              <w:left w:val="nil"/>
              <w:bottom w:val="nil"/>
              <w:right w:val="nil"/>
            </w:tcBorders>
            <w:shd w:val="clear" w:color="auto" w:fill="auto"/>
            <w:noWrap/>
            <w:vAlign w:val="center"/>
          </w:tcPr>
          <w:p w14:paraId="49E61144">
            <w:pPr>
              <w:widowControl/>
              <w:jc w:val="center"/>
              <w:rPr>
                <w:rFonts w:ascii="宋体" w:hAnsi="宋体" w:cs="宋体"/>
                <w:b/>
                <w:bCs/>
                <w:snapToGrid w:val="0"/>
                <w:color w:val="auto"/>
                <w:kern w:val="0"/>
                <w:sz w:val="44"/>
                <w:szCs w:val="44"/>
                <w:highlight w:val="none"/>
              </w:rPr>
            </w:pPr>
          </w:p>
        </w:tc>
        <w:tc>
          <w:tcPr>
            <w:tcW w:w="2076" w:type="dxa"/>
            <w:gridSpan w:val="3"/>
            <w:tcBorders>
              <w:top w:val="nil"/>
              <w:left w:val="nil"/>
              <w:bottom w:val="nil"/>
              <w:right w:val="nil"/>
            </w:tcBorders>
            <w:shd w:val="clear" w:color="auto" w:fill="auto"/>
            <w:noWrap/>
            <w:vAlign w:val="center"/>
          </w:tcPr>
          <w:p w14:paraId="1AE6D588">
            <w:pPr>
              <w:widowControl/>
              <w:jc w:val="center"/>
              <w:rPr>
                <w:rFonts w:ascii="宋体" w:hAnsi="宋体" w:cs="宋体"/>
                <w:b/>
                <w:bCs/>
                <w:snapToGrid w:val="0"/>
                <w:color w:val="auto"/>
                <w:kern w:val="0"/>
                <w:sz w:val="44"/>
                <w:szCs w:val="44"/>
                <w:highlight w:val="none"/>
              </w:rPr>
            </w:pPr>
          </w:p>
        </w:tc>
        <w:tc>
          <w:tcPr>
            <w:tcW w:w="1355" w:type="dxa"/>
            <w:tcBorders>
              <w:top w:val="nil"/>
              <w:left w:val="nil"/>
              <w:bottom w:val="nil"/>
              <w:right w:val="nil"/>
            </w:tcBorders>
            <w:shd w:val="clear" w:color="auto" w:fill="auto"/>
            <w:noWrap/>
            <w:vAlign w:val="center"/>
          </w:tcPr>
          <w:p w14:paraId="325D1644">
            <w:pPr>
              <w:widowControl/>
              <w:jc w:val="center"/>
              <w:rPr>
                <w:rFonts w:ascii="宋体" w:hAnsi="宋体" w:cs="宋体"/>
                <w:b/>
                <w:bCs/>
                <w:snapToGrid w:val="0"/>
                <w:color w:val="auto"/>
                <w:kern w:val="0"/>
                <w:sz w:val="44"/>
                <w:szCs w:val="44"/>
                <w:highlight w:val="none"/>
              </w:rPr>
            </w:pPr>
          </w:p>
        </w:tc>
        <w:tc>
          <w:tcPr>
            <w:tcW w:w="1679" w:type="dxa"/>
            <w:gridSpan w:val="2"/>
            <w:tcBorders>
              <w:top w:val="nil"/>
              <w:left w:val="nil"/>
              <w:bottom w:val="nil"/>
              <w:right w:val="nil"/>
            </w:tcBorders>
            <w:shd w:val="clear" w:color="auto" w:fill="auto"/>
            <w:noWrap/>
            <w:vAlign w:val="center"/>
          </w:tcPr>
          <w:p w14:paraId="0AD0BE3D">
            <w:pPr>
              <w:widowControl/>
              <w:jc w:val="center"/>
              <w:rPr>
                <w:rFonts w:ascii="宋体" w:hAnsi="宋体" w:cs="宋体"/>
                <w:b/>
                <w:bCs/>
                <w:snapToGrid w:val="0"/>
                <w:color w:val="auto"/>
                <w:kern w:val="0"/>
                <w:sz w:val="44"/>
                <w:szCs w:val="44"/>
                <w:highlight w:val="none"/>
              </w:rPr>
            </w:pPr>
          </w:p>
        </w:tc>
        <w:tc>
          <w:tcPr>
            <w:tcW w:w="422" w:type="dxa"/>
            <w:tcBorders>
              <w:top w:val="nil"/>
              <w:left w:val="nil"/>
              <w:bottom w:val="nil"/>
              <w:right w:val="nil"/>
            </w:tcBorders>
            <w:shd w:val="clear" w:color="auto" w:fill="auto"/>
            <w:noWrap/>
            <w:vAlign w:val="center"/>
          </w:tcPr>
          <w:p w14:paraId="0075B2AD">
            <w:pPr>
              <w:widowControl/>
              <w:jc w:val="center"/>
              <w:rPr>
                <w:rFonts w:ascii="宋体" w:hAnsi="宋体" w:cs="宋体"/>
                <w:b/>
                <w:bCs/>
                <w:snapToGrid w:val="0"/>
                <w:color w:val="auto"/>
                <w:kern w:val="0"/>
                <w:sz w:val="44"/>
                <w:szCs w:val="44"/>
                <w:highlight w:val="none"/>
              </w:rPr>
            </w:pPr>
          </w:p>
        </w:tc>
        <w:tc>
          <w:tcPr>
            <w:tcW w:w="2058" w:type="dxa"/>
            <w:tcBorders>
              <w:top w:val="nil"/>
              <w:left w:val="nil"/>
              <w:bottom w:val="nil"/>
              <w:right w:val="nil"/>
            </w:tcBorders>
            <w:shd w:val="clear" w:color="auto" w:fill="auto"/>
            <w:noWrap/>
            <w:vAlign w:val="center"/>
          </w:tcPr>
          <w:p w14:paraId="0B39EA8E">
            <w:pPr>
              <w:widowControl/>
              <w:jc w:val="center"/>
              <w:rPr>
                <w:rFonts w:ascii="宋体" w:hAnsi="宋体" w:cs="宋体"/>
                <w:b/>
                <w:bCs/>
                <w:snapToGrid w:val="0"/>
                <w:color w:val="auto"/>
                <w:kern w:val="0"/>
                <w:sz w:val="44"/>
                <w:szCs w:val="44"/>
                <w:highlight w:val="none"/>
              </w:rPr>
            </w:pPr>
          </w:p>
        </w:tc>
      </w:tr>
      <w:tr w14:paraId="140AA5AC">
        <w:tblPrEx>
          <w:tblCellMar>
            <w:top w:w="0" w:type="dxa"/>
            <w:left w:w="108" w:type="dxa"/>
            <w:bottom w:w="0" w:type="dxa"/>
            <w:right w:w="108" w:type="dxa"/>
          </w:tblCellMar>
        </w:tblPrEx>
        <w:trPr>
          <w:trHeight w:val="285" w:hRule="atLeast"/>
        </w:trPr>
        <w:tc>
          <w:tcPr>
            <w:tcW w:w="9940" w:type="dxa"/>
            <w:gridSpan w:val="10"/>
            <w:tcBorders>
              <w:top w:val="nil"/>
              <w:left w:val="nil"/>
              <w:bottom w:val="single" w:color="auto" w:sz="4" w:space="0"/>
              <w:right w:val="nil"/>
            </w:tcBorders>
            <w:shd w:val="clear" w:color="auto" w:fill="auto"/>
            <w:noWrap/>
            <w:vAlign w:val="center"/>
          </w:tcPr>
          <w:p w14:paraId="6AC3DBBF">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计划期限：    年  月  日至    年  月  日</w:t>
            </w:r>
          </w:p>
        </w:tc>
      </w:tr>
      <w:tr w14:paraId="1EBA6BA7">
        <w:tblPrEx>
          <w:tblCellMar>
            <w:top w:w="0" w:type="dxa"/>
            <w:left w:w="108" w:type="dxa"/>
            <w:bottom w:w="0" w:type="dxa"/>
            <w:right w:w="108" w:type="dxa"/>
          </w:tblCellMar>
        </w:tblPrEx>
        <w:trPr>
          <w:trHeight w:val="285" w:hRule="atLeast"/>
        </w:trPr>
        <w:tc>
          <w:tcPr>
            <w:tcW w:w="254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C6D426">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参建单位</w:t>
            </w:r>
          </w:p>
        </w:tc>
        <w:tc>
          <w:tcPr>
            <w:tcW w:w="7399" w:type="dxa"/>
            <w:gridSpan w:val="7"/>
            <w:tcBorders>
              <w:top w:val="single" w:color="auto" w:sz="4" w:space="0"/>
              <w:left w:val="nil"/>
              <w:bottom w:val="single" w:color="auto" w:sz="4" w:space="0"/>
              <w:right w:val="single" w:color="000000" w:sz="4" w:space="0"/>
            </w:tcBorders>
            <w:shd w:val="clear" w:color="auto" w:fill="auto"/>
            <w:noWrap/>
            <w:vAlign w:val="center"/>
          </w:tcPr>
          <w:p w14:paraId="10AC1B8B">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0D80203A">
        <w:tblPrEx>
          <w:tblCellMar>
            <w:top w:w="0" w:type="dxa"/>
            <w:left w:w="108" w:type="dxa"/>
            <w:bottom w:w="0" w:type="dxa"/>
            <w:right w:w="108" w:type="dxa"/>
          </w:tblCellMar>
        </w:tblPrEx>
        <w:trPr>
          <w:trHeight w:val="285" w:hRule="atLeast"/>
        </w:trPr>
        <w:tc>
          <w:tcPr>
            <w:tcW w:w="254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8AC6A09">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合同名称</w:t>
            </w:r>
          </w:p>
        </w:tc>
        <w:tc>
          <w:tcPr>
            <w:tcW w:w="1440" w:type="dxa"/>
            <w:tcBorders>
              <w:top w:val="nil"/>
              <w:left w:val="nil"/>
              <w:bottom w:val="single" w:color="auto" w:sz="4" w:space="0"/>
              <w:right w:val="single" w:color="auto" w:sz="4" w:space="0"/>
            </w:tcBorders>
            <w:shd w:val="clear" w:color="auto" w:fill="auto"/>
            <w:noWrap/>
            <w:vAlign w:val="center"/>
          </w:tcPr>
          <w:p w14:paraId="3D498C83">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800" w:type="dxa"/>
            <w:gridSpan w:val="2"/>
            <w:tcBorders>
              <w:top w:val="nil"/>
              <w:left w:val="nil"/>
              <w:bottom w:val="single" w:color="auto" w:sz="4" w:space="0"/>
              <w:right w:val="single" w:color="auto" w:sz="4" w:space="0"/>
            </w:tcBorders>
            <w:shd w:val="clear" w:color="auto" w:fill="auto"/>
            <w:noWrap/>
            <w:vAlign w:val="center"/>
          </w:tcPr>
          <w:p w14:paraId="78043BFE">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合同编号</w:t>
            </w:r>
          </w:p>
        </w:tc>
        <w:tc>
          <w:tcPr>
            <w:tcW w:w="4159" w:type="dxa"/>
            <w:gridSpan w:val="4"/>
            <w:tcBorders>
              <w:top w:val="single" w:color="auto" w:sz="4" w:space="0"/>
              <w:left w:val="nil"/>
              <w:bottom w:val="single" w:color="auto" w:sz="4" w:space="0"/>
              <w:right w:val="single" w:color="000000" w:sz="4" w:space="0"/>
            </w:tcBorders>
            <w:shd w:val="clear" w:color="auto" w:fill="auto"/>
            <w:noWrap/>
            <w:vAlign w:val="center"/>
          </w:tcPr>
          <w:p w14:paraId="2B15A910">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5C45D462">
        <w:tblPrEx>
          <w:tblCellMar>
            <w:top w:w="0" w:type="dxa"/>
            <w:left w:w="108" w:type="dxa"/>
            <w:bottom w:w="0" w:type="dxa"/>
            <w:right w:w="108" w:type="dxa"/>
          </w:tblCellMar>
        </w:tblPrEx>
        <w:trPr>
          <w:trHeight w:val="285" w:hRule="atLeast"/>
        </w:trPr>
        <w:tc>
          <w:tcPr>
            <w:tcW w:w="254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3C9E70D">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开户银行</w:t>
            </w:r>
          </w:p>
        </w:tc>
        <w:tc>
          <w:tcPr>
            <w:tcW w:w="1440" w:type="dxa"/>
            <w:tcBorders>
              <w:top w:val="nil"/>
              <w:left w:val="nil"/>
              <w:bottom w:val="single" w:color="auto" w:sz="4" w:space="0"/>
              <w:right w:val="single" w:color="auto" w:sz="4" w:space="0"/>
            </w:tcBorders>
            <w:shd w:val="clear" w:color="auto" w:fill="auto"/>
            <w:noWrap/>
            <w:vAlign w:val="center"/>
          </w:tcPr>
          <w:p w14:paraId="3EEAC914">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800" w:type="dxa"/>
            <w:gridSpan w:val="2"/>
            <w:tcBorders>
              <w:top w:val="nil"/>
              <w:left w:val="nil"/>
              <w:bottom w:val="single" w:color="auto" w:sz="4" w:space="0"/>
              <w:right w:val="single" w:color="auto" w:sz="4" w:space="0"/>
            </w:tcBorders>
            <w:shd w:val="clear" w:color="auto" w:fill="auto"/>
            <w:noWrap/>
            <w:vAlign w:val="center"/>
          </w:tcPr>
          <w:p w14:paraId="3D2607EC">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银行帐号</w:t>
            </w:r>
          </w:p>
        </w:tc>
        <w:tc>
          <w:tcPr>
            <w:tcW w:w="4159" w:type="dxa"/>
            <w:gridSpan w:val="4"/>
            <w:tcBorders>
              <w:top w:val="single" w:color="auto" w:sz="4" w:space="0"/>
              <w:left w:val="nil"/>
              <w:bottom w:val="single" w:color="auto" w:sz="4" w:space="0"/>
              <w:right w:val="single" w:color="000000" w:sz="4" w:space="0"/>
            </w:tcBorders>
            <w:shd w:val="clear" w:color="auto" w:fill="auto"/>
            <w:noWrap/>
            <w:vAlign w:val="center"/>
          </w:tcPr>
          <w:p w14:paraId="61E084CF">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75C668B1">
        <w:tblPrEx>
          <w:tblCellMar>
            <w:top w:w="0" w:type="dxa"/>
            <w:left w:w="108" w:type="dxa"/>
            <w:bottom w:w="0" w:type="dxa"/>
            <w:right w:w="108" w:type="dxa"/>
          </w:tblCellMar>
        </w:tblPrEx>
        <w:trPr>
          <w:trHeight w:val="285" w:hRule="atLeast"/>
        </w:trPr>
        <w:tc>
          <w:tcPr>
            <w:tcW w:w="254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6ED1B7B">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本期申报计量资金额</w:t>
            </w:r>
          </w:p>
        </w:tc>
        <w:tc>
          <w:tcPr>
            <w:tcW w:w="1440" w:type="dxa"/>
            <w:tcBorders>
              <w:top w:val="nil"/>
              <w:left w:val="nil"/>
              <w:bottom w:val="single" w:color="auto" w:sz="4" w:space="0"/>
              <w:right w:val="single" w:color="auto" w:sz="4" w:space="0"/>
            </w:tcBorders>
            <w:shd w:val="clear" w:color="auto" w:fill="auto"/>
            <w:noWrap/>
            <w:vAlign w:val="center"/>
          </w:tcPr>
          <w:p w14:paraId="52117119">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40" w:type="dxa"/>
            <w:gridSpan w:val="3"/>
            <w:tcBorders>
              <w:top w:val="single" w:color="auto" w:sz="4" w:space="0"/>
              <w:left w:val="nil"/>
              <w:bottom w:val="single" w:color="auto" w:sz="4" w:space="0"/>
              <w:right w:val="single" w:color="000000" w:sz="4" w:space="0"/>
            </w:tcBorders>
            <w:shd w:val="clear" w:color="auto" w:fill="auto"/>
            <w:noWrap/>
            <w:vAlign w:val="center"/>
          </w:tcPr>
          <w:p w14:paraId="67D5E990">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至上期累计已收额</w:t>
            </w:r>
          </w:p>
        </w:tc>
        <w:tc>
          <w:tcPr>
            <w:tcW w:w="3619" w:type="dxa"/>
            <w:gridSpan w:val="3"/>
            <w:tcBorders>
              <w:top w:val="single" w:color="auto" w:sz="4" w:space="0"/>
              <w:left w:val="nil"/>
              <w:bottom w:val="single" w:color="auto" w:sz="4" w:space="0"/>
              <w:right w:val="single" w:color="000000" w:sz="4" w:space="0"/>
            </w:tcBorders>
            <w:shd w:val="clear" w:color="auto" w:fill="auto"/>
            <w:noWrap/>
            <w:vAlign w:val="center"/>
          </w:tcPr>
          <w:p w14:paraId="031D883C">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1E427054">
        <w:tblPrEx>
          <w:tblCellMar>
            <w:top w:w="0" w:type="dxa"/>
            <w:left w:w="108" w:type="dxa"/>
            <w:bottom w:w="0" w:type="dxa"/>
            <w:right w:w="108" w:type="dxa"/>
          </w:tblCellMar>
        </w:tblPrEx>
        <w:trPr>
          <w:trHeight w:val="285" w:hRule="atLeast"/>
        </w:trPr>
        <w:tc>
          <w:tcPr>
            <w:tcW w:w="2114" w:type="dxa"/>
            <w:tcBorders>
              <w:top w:val="nil"/>
              <w:left w:val="single" w:color="auto" w:sz="4" w:space="0"/>
              <w:bottom w:val="single" w:color="auto" w:sz="4" w:space="0"/>
              <w:right w:val="single" w:color="auto" w:sz="4" w:space="0"/>
            </w:tcBorders>
            <w:shd w:val="clear" w:color="auto" w:fill="auto"/>
            <w:noWrap/>
            <w:vAlign w:val="center"/>
          </w:tcPr>
          <w:p w14:paraId="3EB053D7">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867" w:type="dxa"/>
            <w:gridSpan w:val="3"/>
            <w:tcBorders>
              <w:top w:val="single" w:color="auto" w:sz="4" w:space="0"/>
              <w:left w:val="nil"/>
              <w:bottom w:val="single" w:color="auto" w:sz="4" w:space="0"/>
              <w:right w:val="single" w:color="auto" w:sz="4" w:space="0"/>
            </w:tcBorders>
            <w:shd w:val="clear" w:color="auto" w:fill="auto"/>
            <w:noWrap/>
            <w:vAlign w:val="center"/>
          </w:tcPr>
          <w:p w14:paraId="0A9882E3">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用款单位</w:t>
            </w:r>
          </w:p>
        </w:tc>
        <w:tc>
          <w:tcPr>
            <w:tcW w:w="2340" w:type="dxa"/>
            <w:gridSpan w:val="3"/>
            <w:tcBorders>
              <w:top w:val="single" w:color="auto" w:sz="4" w:space="0"/>
              <w:left w:val="nil"/>
              <w:bottom w:val="single" w:color="auto" w:sz="4" w:space="0"/>
              <w:right w:val="single" w:color="auto" w:sz="4" w:space="0"/>
            </w:tcBorders>
            <w:shd w:val="clear" w:color="auto" w:fill="auto"/>
            <w:noWrap/>
            <w:vAlign w:val="center"/>
          </w:tcPr>
          <w:p w14:paraId="71C7BAF0">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用途</w:t>
            </w:r>
          </w:p>
        </w:tc>
        <w:tc>
          <w:tcPr>
            <w:tcW w:w="1561" w:type="dxa"/>
            <w:gridSpan w:val="2"/>
            <w:tcBorders>
              <w:top w:val="nil"/>
              <w:left w:val="nil"/>
              <w:bottom w:val="single" w:color="auto" w:sz="4" w:space="0"/>
              <w:right w:val="single" w:color="auto" w:sz="4" w:space="0"/>
            </w:tcBorders>
            <w:shd w:val="clear" w:color="auto" w:fill="auto"/>
            <w:noWrap/>
            <w:vAlign w:val="center"/>
          </w:tcPr>
          <w:p w14:paraId="40D03C52">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金额</w:t>
            </w:r>
          </w:p>
        </w:tc>
        <w:tc>
          <w:tcPr>
            <w:tcW w:w="2058" w:type="dxa"/>
            <w:tcBorders>
              <w:top w:val="nil"/>
              <w:left w:val="nil"/>
              <w:bottom w:val="single" w:color="auto" w:sz="4" w:space="0"/>
              <w:right w:val="single" w:color="auto" w:sz="4" w:space="0"/>
            </w:tcBorders>
            <w:shd w:val="clear" w:color="auto" w:fill="auto"/>
            <w:noWrap/>
            <w:vAlign w:val="center"/>
          </w:tcPr>
          <w:p w14:paraId="70A8B415">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累计支付</w:t>
            </w:r>
          </w:p>
        </w:tc>
      </w:tr>
      <w:tr w14:paraId="2FCB85BB">
        <w:tblPrEx>
          <w:tblCellMar>
            <w:top w:w="0" w:type="dxa"/>
            <w:left w:w="108" w:type="dxa"/>
            <w:bottom w:w="0" w:type="dxa"/>
            <w:right w:w="108" w:type="dxa"/>
          </w:tblCellMar>
        </w:tblPrEx>
        <w:trPr>
          <w:trHeight w:val="315" w:hRule="atLeast"/>
        </w:trPr>
        <w:tc>
          <w:tcPr>
            <w:tcW w:w="2114" w:type="dxa"/>
            <w:vMerge w:val="restart"/>
            <w:tcBorders>
              <w:top w:val="nil"/>
              <w:left w:val="single" w:color="auto" w:sz="4" w:space="0"/>
              <w:bottom w:val="single" w:color="auto" w:sz="4" w:space="0"/>
              <w:right w:val="single" w:color="auto" w:sz="4" w:space="0"/>
            </w:tcBorders>
            <w:shd w:val="clear" w:color="auto" w:fill="auto"/>
            <w:noWrap/>
            <w:vAlign w:val="center"/>
          </w:tcPr>
          <w:p w14:paraId="0186F2FE">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A</w:t>
            </w:r>
          </w:p>
          <w:p w14:paraId="2760DF72">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类</w:t>
            </w:r>
          </w:p>
        </w:tc>
        <w:tc>
          <w:tcPr>
            <w:tcW w:w="1867" w:type="dxa"/>
            <w:gridSpan w:val="3"/>
            <w:tcBorders>
              <w:top w:val="single" w:color="auto" w:sz="4" w:space="0"/>
              <w:left w:val="nil"/>
              <w:bottom w:val="single" w:color="auto" w:sz="4" w:space="0"/>
              <w:right w:val="single" w:color="auto" w:sz="4" w:space="0"/>
            </w:tcBorders>
            <w:shd w:val="clear" w:color="auto" w:fill="auto"/>
            <w:noWrap/>
            <w:vAlign w:val="center"/>
          </w:tcPr>
          <w:p w14:paraId="1AC9BBA3">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40" w:type="dxa"/>
            <w:gridSpan w:val="3"/>
            <w:tcBorders>
              <w:top w:val="single" w:color="auto" w:sz="4" w:space="0"/>
              <w:left w:val="nil"/>
              <w:bottom w:val="single" w:color="auto" w:sz="4" w:space="0"/>
              <w:right w:val="single" w:color="000000" w:sz="4" w:space="0"/>
            </w:tcBorders>
            <w:shd w:val="clear" w:color="auto" w:fill="auto"/>
            <w:noWrap/>
            <w:vAlign w:val="center"/>
          </w:tcPr>
          <w:p w14:paraId="3E07A354">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561" w:type="dxa"/>
            <w:gridSpan w:val="2"/>
            <w:tcBorders>
              <w:top w:val="nil"/>
              <w:left w:val="nil"/>
              <w:bottom w:val="single" w:color="auto" w:sz="4" w:space="0"/>
              <w:right w:val="single" w:color="auto" w:sz="4" w:space="0"/>
            </w:tcBorders>
            <w:shd w:val="clear" w:color="auto" w:fill="auto"/>
            <w:noWrap/>
            <w:vAlign w:val="center"/>
          </w:tcPr>
          <w:p w14:paraId="65FB47CF">
            <w:pPr>
              <w:widowControl/>
              <w:jc w:val="right"/>
              <w:rPr>
                <w:snapToGrid w:val="0"/>
                <w:color w:val="auto"/>
                <w:kern w:val="0"/>
                <w:sz w:val="24"/>
                <w:highlight w:val="none"/>
              </w:rPr>
            </w:pPr>
            <w:r>
              <w:rPr>
                <w:snapToGrid w:val="0"/>
                <w:color w:val="auto"/>
                <w:kern w:val="0"/>
                <w:sz w:val="24"/>
                <w:highlight w:val="none"/>
              </w:rPr>
              <w:t>　</w:t>
            </w:r>
          </w:p>
        </w:tc>
        <w:tc>
          <w:tcPr>
            <w:tcW w:w="2058" w:type="dxa"/>
            <w:tcBorders>
              <w:top w:val="nil"/>
              <w:left w:val="nil"/>
              <w:bottom w:val="single" w:color="auto" w:sz="4" w:space="0"/>
              <w:right w:val="single" w:color="auto" w:sz="4" w:space="0"/>
            </w:tcBorders>
            <w:shd w:val="clear" w:color="auto" w:fill="auto"/>
            <w:noWrap/>
            <w:vAlign w:val="center"/>
          </w:tcPr>
          <w:p w14:paraId="013B4C81">
            <w:pPr>
              <w:widowControl/>
              <w:jc w:val="right"/>
              <w:rPr>
                <w:snapToGrid w:val="0"/>
                <w:color w:val="auto"/>
                <w:kern w:val="0"/>
                <w:sz w:val="24"/>
                <w:highlight w:val="none"/>
              </w:rPr>
            </w:pPr>
            <w:r>
              <w:rPr>
                <w:snapToGrid w:val="0"/>
                <w:color w:val="auto"/>
                <w:kern w:val="0"/>
                <w:sz w:val="24"/>
                <w:highlight w:val="none"/>
              </w:rPr>
              <w:t>　</w:t>
            </w:r>
          </w:p>
        </w:tc>
      </w:tr>
      <w:tr w14:paraId="35740570">
        <w:tblPrEx>
          <w:tblCellMar>
            <w:top w:w="0" w:type="dxa"/>
            <w:left w:w="108" w:type="dxa"/>
            <w:bottom w:w="0" w:type="dxa"/>
            <w:right w:w="108" w:type="dxa"/>
          </w:tblCellMar>
        </w:tblPrEx>
        <w:trPr>
          <w:trHeight w:val="315" w:hRule="atLeast"/>
        </w:trPr>
        <w:tc>
          <w:tcPr>
            <w:tcW w:w="2114" w:type="dxa"/>
            <w:vMerge w:val="continue"/>
            <w:tcBorders>
              <w:top w:val="nil"/>
              <w:left w:val="single" w:color="auto" w:sz="4" w:space="0"/>
              <w:bottom w:val="single" w:color="auto" w:sz="4" w:space="0"/>
              <w:right w:val="single" w:color="auto" w:sz="4" w:space="0"/>
            </w:tcBorders>
            <w:vAlign w:val="center"/>
          </w:tcPr>
          <w:p w14:paraId="780B20C6">
            <w:pPr>
              <w:widowControl/>
              <w:jc w:val="left"/>
              <w:rPr>
                <w:rFonts w:ascii="宋体" w:hAnsi="宋体" w:cs="宋体"/>
                <w:snapToGrid w:val="0"/>
                <w:color w:val="auto"/>
                <w:kern w:val="0"/>
                <w:sz w:val="24"/>
                <w:highlight w:val="none"/>
              </w:rPr>
            </w:pPr>
          </w:p>
        </w:tc>
        <w:tc>
          <w:tcPr>
            <w:tcW w:w="1867" w:type="dxa"/>
            <w:gridSpan w:val="3"/>
            <w:tcBorders>
              <w:top w:val="single" w:color="auto" w:sz="4" w:space="0"/>
              <w:left w:val="nil"/>
              <w:bottom w:val="single" w:color="auto" w:sz="4" w:space="0"/>
              <w:right w:val="single" w:color="auto" w:sz="4" w:space="0"/>
            </w:tcBorders>
            <w:shd w:val="clear" w:color="auto" w:fill="auto"/>
            <w:noWrap/>
            <w:vAlign w:val="center"/>
          </w:tcPr>
          <w:p w14:paraId="474C4BD3">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40" w:type="dxa"/>
            <w:gridSpan w:val="3"/>
            <w:tcBorders>
              <w:top w:val="single" w:color="auto" w:sz="4" w:space="0"/>
              <w:left w:val="nil"/>
              <w:bottom w:val="single" w:color="auto" w:sz="4" w:space="0"/>
              <w:right w:val="single" w:color="000000" w:sz="4" w:space="0"/>
            </w:tcBorders>
            <w:shd w:val="clear" w:color="auto" w:fill="auto"/>
            <w:noWrap/>
            <w:vAlign w:val="center"/>
          </w:tcPr>
          <w:p w14:paraId="2B209448">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561" w:type="dxa"/>
            <w:gridSpan w:val="2"/>
            <w:tcBorders>
              <w:top w:val="nil"/>
              <w:left w:val="nil"/>
              <w:bottom w:val="single" w:color="auto" w:sz="4" w:space="0"/>
              <w:right w:val="single" w:color="auto" w:sz="4" w:space="0"/>
            </w:tcBorders>
            <w:shd w:val="clear" w:color="auto" w:fill="auto"/>
            <w:noWrap/>
            <w:vAlign w:val="center"/>
          </w:tcPr>
          <w:p w14:paraId="5392297E">
            <w:pPr>
              <w:widowControl/>
              <w:jc w:val="right"/>
              <w:rPr>
                <w:snapToGrid w:val="0"/>
                <w:color w:val="auto"/>
                <w:kern w:val="0"/>
                <w:sz w:val="24"/>
                <w:highlight w:val="none"/>
              </w:rPr>
            </w:pPr>
            <w:r>
              <w:rPr>
                <w:snapToGrid w:val="0"/>
                <w:color w:val="auto"/>
                <w:kern w:val="0"/>
                <w:sz w:val="24"/>
                <w:highlight w:val="none"/>
              </w:rPr>
              <w:t>　</w:t>
            </w:r>
          </w:p>
        </w:tc>
        <w:tc>
          <w:tcPr>
            <w:tcW w:w="2058" w:type="dxa"/>
            <w:tcBorders>
              <w:top w:val="nil"/>
              <w:left w:val="nil"/>
              <w:bottom w:val="single" w:color="auto" w:sz="4" w:space="0"/>
              <w:right w:val="single" w:color="auto" w:sz="4" w:space="0"/>
            </w:tcBorders>
            <w:shd w:val="clear" w:color="auto" w:fill="auto"/>
            <w:noWrap/>
            <w:vAlign w:val="center"/>
          </w:tcPr>
          <w:p w14:paraId="16BA0F4F">
            <w:pPr>
              <w:widowControl/>
              <w:jc w:val="right"/>
              <w:rPr>
                <w:snapToGrid w:val="0"/>
                <w:color w:val="auto"/>
                <w:kern w:val="0"/>
                <w:sz w:val="24"/>
                <w:highlight w:val="none"/>
              </w:rPr>
            </w:pPr>
            <w:r>
              <w:rPr>
                <w:snapToGrid w:val="0"/>
                <w:color w:val="auto"/>
                <w:kern w:val="0"/>
                <w:sz w:val="24"/>
                <w:highlight w:val="none"/>
              </w:rPr>
              <w:t>　</w:t>
            </w:r>
          </w:p>
        </w:tc>
      </w:tr>
      <w:tr w14:paraId="192BEC66">
        <w:tblPrEx>
          <w:tblCellMar>
            <w:top w:w="0" w:type="dxa"/>
            <w:left w:w="108" w:type="dxa"/>
            <w:bottom w:w="0" w:type="dxa"/>
            <w:right w:w="108" w:type="dxa"/>
          </w:tblCellMar>
        </w:tblPrEx>
        <w:trPr>
          <w:trHeight w:val="315" w:hRule="atLeast"/>
        </w:trPr>
        <w:tc>
          <w:tcPr>
            <w:tcW w:w="2114" w:type="dxa"/>
            <w:vMerge w:val="continue"/>
            <w:tcBorders>
              <w:top w:val="nil"/>
              <w:left w:val="single" w:color="auto" w:sz="4" w:space="0"/>
              <w:bottom w:val="single" w:color="auto" w:sz="4" w:space="0"/>
              <w:right w:val="single" w:color="auto" w:sz="4" w:space="0"/>
            </w:tcBorders>
            <w:vAlign w:val="center"/>
          </w:tcPr>
          <w:p w14:paraId="1C852C40">
            <w:pPr>
              <w:widowControl/>
              <w:jc w:val="left"/>
              <w:rPr>
                <w:rFonts w:ascii="宋体" w:hAnsi="宋体" w:cs="宋体"/>
                <w:snapToGrid w:val="0"/>
                <w:color w:val="auto"/>
                <w:kern w:val="0"/>
                <w:sz w:val="24"/>
                <w:highlight w:val="none"/>
              </w:rPr>
            </w:pPr>
          </w:p>
        </w:tc>
        <w:tc>
          <w:tcPr>
            <w:tcW w:w="1867" w:type="dxa"/>
            <w:gridSpan w:val="3"/>
            <w:tcBorders>
              <w:top w:val="single" w:color="auto" w:sz="4" w:space="0"/>
              <w:left w:val="nil"/>
              <w:bottom w:val="single" w:color="auto" w:sz="4" w:space="0"/>
              <w:right w:val="single" w:color="auto" w:sz="4" w:space="0"/>
            </w:tcBorders>
            <w:shd w:val="clear" w:color="auto" w:fill="auto"/>
            <w:noWrap/>
            <w:vAlign w:val="center"/>
          </w:tcPr>
          <w:p w14:paraId="6F2C8C8F">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40" w:type="dxa"/>
            <w:gridSpan w:val="3"/>
            <w:tcBorders>
              <w:top w:val="single" w:color="auto" w:sz="4" w:space="0"/>
              <w:left w:val="nil"/>
              <w:bottom w:val="single" w:color="auto" w:sz="4" w:space="0"/>
              <w:right w:val="single" w:color="000000" w:sz="4" w:space="0"/>
            </w:tcBorders>
            <w:shd w:val="clear" w:color="auto" w:fill="auto"/>
            <w:noWrap/>
            <w:vAlign w:val="center"/>
          </w:tcPr>
          <w:p w14:paraId="6FAF6B23">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561" w:type="dxa"/>
            <w:gridSpan w:val="2"/>
            <w:tcBorders>
              <w:top w:val="nil"/>
              <w:left w:val="nil"/>
              <w:bottom w:val="single" w:color="auto" w:sz="4" w:space="0"/>
              <w:right w:val="single" w:color="auto" w:sz="4" w:space="0"/>
            </w:tcBorders>
            <w:shd w:val="clear" w:color="auto" w:fill="auto"/>
            <w:noWrap/>
            <w:vAlign w:val="center"/>
          </w:tcPr>
          <w:p w14:paraId="019396A3">
            <w:pPr>
              <w:widowControl/>
              <w:jc w:val="right"/>
              <w:rPr>
                <w:snapToGrid w:val="0"/>
                <w:color w:val="auto"/>
                <w:kern w:val="0"/>
                <w:sz w:val="24"/>
                <w:highlight w:val="none"/>
              </w:rPr>
            </w:pPr>
            <w:r>
              <w:rPr>
                <w:snapToGrid w:val="0"/>
                <w:color w:val="auto"/>
                <w:kern w:val="0"/>
                <w:sz w:val="24"/>
                <w:highlight w:val="none"/>
              </w:rPr>
              <w:t>　</w:t>
            </w:r>
          </w:p>
        </w:tc>
        <w:tc>
          <w:tcPr>
            <w:tcW w:w="2058" w:type="dxa"/>
            <w:tcBorders>
              <w:top w:val="nil"/>
              <w:left w:val="nil"/>
              <w:bottom w:val="single" w:color="auto" w:sz="4" w:space="0"/>
              <w:right w:val="single" w:color="auto" w:sz="4" w:space="0"/>
            </w:tcBorders>
            <w:shd w:val="clear" w:color="auto" w:fill="auto"/>
            <w:noWrap/>
            <w:vAlign w:val="center"/>
          </w:tcPr>
          <w:p w14:paraId="4F9BD05A">
            <w:pPr>
              <w:widowControl/>
              <w:jc w:val="right"/>
              <w:rPr>
                <w:snapToGrid w:val="0"/>
                <w:color w:val="auto"/>
                <w:kern w:val="0"/>
                <w:sz w:val="24"/>
                <w:highlight w:val="none"/>
              </w:rPr>
            </w:pPr>
            <w:r>
              <w:rPr>
                <w:snapToGrid w:val="0"/>
                <w:color w:val="auto"/>
                <w:kern w:val="0"/>
                <w:sz w:val="24"/>
                <w:highlight w:val="none"/>
              </w:rPr>
              <w:t>　</w:t>
            </w:r>
          </w:p>
        </w:tc>
      </w:tr>
      <w:tr w14:paraId="4611C94B">
        <w:tblPrEx>
          <w:tblCellMar>
            <w:top w:w="0" w:type="dxa"/>
            <w:left w:w="108" w:type="dxa"/>
            <w:bottom w:w="0" w:type="dxa"/>
            <w:right w:w="108" w:type="dxa"/>
          </w:tblCellMar>
        </w:tblPrEx>
        <w:trPr>
          <w:trHeight w:val="315" w:hRule="atLeast"/>
        </w:trPr>
        <w:tc>
          <w:tcPr>
            <w:tcW w:w="2114" w:type="dxa"/>
            <w:vMerge w:val="continue"/>
            <w:tcBorders>
              <w:top w:val="nil"/>
              <w:left w:val="single" w:color="auto" w:sz="4" w:space="0"/>
              <w:bottom w:val="single" w:color="auto" w:sz="4" w:space="0"/>
              <w:right w:val="single" w:color="auto" w:sz="4" w:space="0"/>
            </w:tcBorders>
            <w:vAlign w:val="center"/>
          </w:tcPr>
          <w:p w14:paraId="577DDE56">
            <w:pPr>
              <w:widowControl/>
              <w:jc w:val="left"/>
              <w:rPr>
                <w:rFonts w:ascii="宋体" w:hAnsi="宋体" w:cs="宋体"/>
                <w:snapToGrid w:val="0"/>
                <w:color w:val="auto"/>
                <w:kern w:val="0"/>
                <w:sz w:val="24"/>
                <w:highlight w:val="none"/>
              </w:rPr>
            </w:pPr>
          </w:p>
        </w:tc>
        <w:tc>
          <w:tcPr>
            <w:tcW w:w="1867" w:type="dxa"/>
            <w:gridSpan w:val="3"/>
            <w:tcBorders>
              <w:top w:val="single" w:color="auto" w:sz="4" w:space="0"/>
              <w:left w:val="nil"/>
              <w:bottom w:val="single" w:color="auto" w:sz="4" w:space="0"/>
              <w:right w:val="single" w:color="auto" w:sz="4" w:space="0"/>
            </w:tcBorders>
            <w:shd w:val="clear" w:color="auto" w:fill="auto"/>
            <w:noWrap/>
            <w:vAlign w:val="center"/>
          </w:tcPr>
          <w:p w14:paraId="45607CF2">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40" w:type="dxa"/>
            <w:gridSpan w:val="3"/>
            <w:tcBorders>
              <w:top w:val="single" w:color="auto" w:sz="4" w:space="0"/>
              <w:left w:val="nil"/>
              <w:bottom w:val="single" w:color="auto" w:sz="4" w:space="0"/>
              <w:right w:val="single" w:color="000000" w:sz="4" w:space="0"/>
            </w:tcBorders>
            <w:shd w:val="clear" w:color="auto" w:fill="auto"/>
            <w:noWrap/>
            <w:vAlign w:val="center"/>
          </w:tcPr>
          <w:p w14:paraId="3A3EE102">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561" w:type="dxa"/>
            <w:gridSpan w:val="2"/>
            <w:tcBorders>
              <w:top w:val="nil"/>
              <w:left w:val="nil"/>
              <w:bottom w:val="single" w:color="auto" w:sz="4" w:space="0"/>
              <w:right w:val="single" w:color="auto" w:sz="4" w:space="0"/>
            </w:tcBorders>
            <w:shd w:val="clear" w:color="auto" w:fill="auto"/>
            <w:noWrap/>
            <w:vAlign w:val="center"/>
          </w:tcPr>
          <w:p w14:paraId="4E14352D">
            <w:pPr>
              <w:widowControl/>
              <w:jc w:val="right"/>
              <w:rPr>
                <w:snapToGrid w:val="0"/>
                <w:color w:val="auto"/>
                <w:kern w:val="0"/>
                <w:sz w:val="24"/>
                <w:highlight w:val="none"/>
              </w:rPr>
            </w:pPr>
            <w:r>
              <w:rPr>
                <w:snapToGrid w:val="0"/>
                <w:color w:val="auto"/>
                <w:kern w:val="0"/>
                <w:sz w:val="24"/>
                <w:highlight w:val="none"/>
              </w:rPr>
              <w:t>　</w:t>
            </w:r>
          </w:p>
        </w:tc>
        <w:tc>
          <w:tcPr>
            <w:tcW w:w="2058" w:type="dxa"/>
            <w:tcBorders>
              <w:top w:val="nil"/>
              <w:left w:val="nil"/>
              <w:bottom w:val="single" w:color="auto" w:sz="4" w:space="0"/>
              <w:right w:val="single" w:color="auto" w:sz="4" w:space="0"/>
            </w:tcBorders>
            <w:shd w:val="clear" w:color="auto" w:fill="auto"/>
            <w:noWrap/>
            <w:vAlign w:val="center"/>
          </w:tcPr>
          <w:p w14:paraId="126B5DFF">
            <w:pPr>
              <w:widowControl/>
              <w:jc w:val="right"/>
              <w:rPr>
                <w:snapToGrid w:val="0"/>
                <w:color w:val="auto"/>
                <w:kern w:val="0"/>
                <w:sz w:val="24"/>
                <w:highlight w:val="none"/>
              </w:rPr>
            </w:pPr>
            <w:r>
              <w:rPr>
                <w:snapToGrid w:val="0"/>
                <w:color w:val="auto"/>
                <w:kern w:val="0"/>
                <w:sz w:val="24"/>
                <w:highlight w:val="none"/>
              </w:rPr>
              <w:t>　</w:t>
            </w:r>
          </w:p>
        </w:tc>
      </w:tr>
      <w:tr w14:paraId="33825D96">
        <w:tblPrEx>
          <w:tblCellMar>
            <w:top w:w="0" w:type="dxa"/>
            <w:left w:w="108" w:type="dxa"/>
            <w:bottom w:w="0" w:type="dxa"/>
            <w:right w:w="108" w:type="dxa"/>
          </w:tblCellMar>
        </w:tblPrEx>
        <w:trPr>
          <w:trHeight w:val="315" w:hRule="atLeast"/>
        </w:trPr>
        <w:tc>
          <w:tcPr>
            <w:tcW w:w="2114" w:type="dxa"/>
            <w:vMerge w:val="continue"/>
            <w:tcBorders>
              <w:top w:val="nil"/>
              <w:left w:val="single" w:color="auto" w:sz="4" w:space="0"/>
              <w:bottom w:val="single" w:color="auto" w:sz="4" w:space="0"/>
              <w:right w:val="single" w:color="auto" w:sz="4" w:space="0"/>
            </w:tcBorders>
            <w:vAlign w:val="center"/>
          </w:tcPr>
          <w:p w14:paraId="1A23CD05">
            <w:pPr>
              <w:widowControl/>
              <w:jc w:val="left"/>
              <w:rPr>
                <w:rFonts w:ascii="宋体" w:hAnsi="宋体" w:cs="宋体"/>
                <w:snapToGrid w:val="0"/>
                <w:color w:val="auto"/>
                <w:kern w:val="0"/>
                <w:sz w:val="24"/>
                <w:highlight w:val="none"/>
              </w:rPr>
            </w:pPr>
          </w:p>
        </w:tc>
        <w:tc>
          <w:tcPr>
            <w:tcW w:w="1867" w:type="dxa"/>
            <w:gridSpan w:val="3"/>
            <w:tcBorders>
              <w:top w:val="single" w:color="auto" w:sz="4" w:space="0"/>
              <w:left w:val="nil"/>
              <w:bottom w:val="single" w:color="auto" w:sz="4" w:space="0"/>
              <w:right w:val="single" w:color="auto" w:sz="4" w:space="0"/>
            </w:tcBorders>
            <w:shd w:val="clear" w:color="auto" w:fill="auto"/>
            <w:noWrap/>
            <w:vAlign w:val="center"/>
          </w:tcPr>
          <w:p w14:paraId="2CC35B50">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40" w:type="dxa"/>
            <w:gridSpan w:val="3"/>
            <w:tcBorders>
              <w:top w:val="single" w:color="auto" w:sz="4" w:space="0"/>
              <w:left w:val="nil"/>
              <w:bottom w:val="single" w:color="auto" w:sz="4" w:space="0"/>
              <w:right w:val="single" w:color="000000" w:sz="4" w:space="0"/>
            </w:tcBorders>
            <w:shd w:val="clear" w:color="auto" w:fill="auto"/>
            <w:noWrap/>
            <w:vAlign w:val="center"/>
          </w:tcPr>
          <w:p w14:paraId="3533CA3C">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561" w:type="dxa"/>
            <w:gridSpan w:val="2"/>
            <w:tcBorders>
              <w:top w:val="nil"/>
              <w:left w:val="nil"/>
              <w:bottom w:val="single" w:color="auto" w:sz="4" w:space="0"/>
              <w:right w:val="single" w:color="auto" w:sz="4" w:space="0"/>
            </w:tcBorders>
            <w:shd w:val="clear" w:color="auto" w:fill="auto"/>
            <w:noWrap/>
            <w:vAlign w:val="center"/>
          </w:tcPr>
          <w:p w14:paraId="495068EC">
            <w:pPr>
              <w:widowControl/>
              <w:jc w:val="right"/>
              <w:rPr>
                <w:snapToGrid w:val="0"/>
                <w:color w:val="auto"/>
                <w:kern w:val="0"/>
                <w:sz w:val="24"/>
                <w:highlight w:val="none"/>
              </w:rPr>
            </w:pPr>
            <w:r>
              <w:rPr>
                <w:snapToGrid w:val="0"/>
                <w:color w:val="auto"/>
                <w:kern w:val="0"/>
                <w:sz w:val="24"/>
                <w:highlight w:val="none"/>
              </w:rPr>
              <w:t>　</w:t>
            </w:r>
          </w:p>
        </w:tc>
        <w:tc>
          <w:tcPr>
            <w:tcW w:w="2058" w:type="dxa"/>
            <w:tcBorders>
              <w:top w:val="nil"/>
              <w:left w:val="nil"/>
              <w:bottom w:val="single" w:color="auto" w:sz="4" w:space="0"/>
              <w:right w:val="single" w:color="auto" w:sz="4" w:space="0"/>
            </w:tcBorders>
            <w:shd w:val="clear" w:color="auto" w:fill="auto"/>
            <w:noWrap/>
            <w:vAlign w:val="center"/>
          </w:tcPr>
          <w:p w14:paraId="37B2CDA5">
            <w:pPr>
              <w:widowControl/>
              <w:jc w:val="right"/>
              <w:rPr>
                <w:snapToGrid w:val="0"/>
                <w:color w:val="auto"/>
                <w:kern w:val="0"/>
                <w:sz w:val="24"/>
                <w:highlight w:val="none"/>
              </w:rPr>
            </w:pPr>
            <w:r>
              <w:rPr>
                <w:snapToGrid w:val="0"/>
                <w:color w:val="auto"/>
                <w:kern w:val="0"/>
                <w:sz w:val="24"/>
                <w:highlight w:val="none"/>
              </w:rPr>
              <w:t>　</w:t>
            </w:r>
          </w:p>
        </w:tc>
      </w:tr>
      <w:tr w14:paraId="5554CE19">
        <w:tblPrEx>
          <w:tblCellMar>
            <w:top w:w="0" w:type="dxa"/>
            <w:left w:w="108" w:type="dxa"/>
            <w:bottom w:w="0" w:type="dxa"/>
            <w:right w:w="108" w:type="dxa"/>
          </w:tblCellMar>
        </w:tblPrEx>
        <w:trPr>
          <w:trHeight w:val="315" w:hRule="atLeast"/>
        </w:trPr>
        <w:tc>
          <w:tcPr>
            <w:tcW w:w="6321"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60D0F37C">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本类合计</w:t>
            </w:r>
          </w:p>
        </w:tc>
        <w:tc>
          <w:tcPr>
            <w:tcW w:w="1561" w:type="dxa"/>
            <w:gridSpan w:val="2"/>
            <w:tcBorders>
              <w:top w:val="nil"/>
              <w:left w:val="nil"/>
              <w:bottom w:val="single" w:color="auto" w:sz="4" w:space="0"/>
              <w:right w:val="single" w:color="auto" w:sz="4" w:space="0"/>
            </w:tcBorders>
            <w:shd w:val="clear" w:color="auto" w:fill="auto"/>
            <w:noWrap/>
            <w:vAlign w:val="center"/>
          </w:tcPr>
          <w:p w14:paraId="6A2865DA">
            <w:pPr>
              <w:widowControl/>
              <w:jc w:val="right"/>
              <w:rPr>
                <w:snapToGrid w:val="0"/>
                <w:color w:val="auto"/>
                <w:kern w:val="0"/>
                <w:sz w:val="24"/>
                <w:highlight w:val="none"/>
              </w:rPr>
            </w:pPr>
            <w:r>
              <w:rPr>
                <w:snapToGrid w:val="0"/>
                <w:color w:val="auto"/>
                <w:kern w:val="0"/>
                <w:sz w:val="24"/>
                <w:highlight w:val="none"/>
              </w:rPr>
              <w:t xml:space="preserve">      -   </w:t>
            </w:r>
          </w:p>
        </w:tc>
        <w:tc>
          <w:tcPr>
            <w:tcW w:w="2058" w:type="dxa"/>
            <w:tcBorders>
              <w:top w:val="nil"/>
              <w:left w:val="nil"/>
              <w:bottom w:val="single" w:color="auto" w:sz="4" w:space="0"/>
              <w:right w:val="single" w:color="auto" w:sz="4" w:space="0"/>
            </w:tcBorders>
            <w:shd w:val="clear" w:color="auto" w:fill="auto"/>
            <w:noWrap/>
            <w:vAlign w:val="center"/>
          </w:tcPr>
          <w:p w14:paraId="1CEEBF8F">
            <w:pPr>
              <w:widowControl/>
              <w:jc w:val="right"/>
              <w:rPr>
                <w:snapToGrid w:val="0"/>
                <w:color w:val="auto"/>
                <w:kern w:val="0"/>
                <w:sz w:val="24"/>
                <w:highlight w:val="none"/>
              </w:rPr>
            </w:pPr>
            <w:r>
              <w:rPr>
                <w:snapToGrid w:val="0"/>
                <w:color w:val="auto"/>
                <w:kern w:val="0"/>
                <w:sz w:val="24"/>
                <w:highlight w:val="none"/>
              </w:rPr>
              <w:t xml:space="preserve">              -   </w:t>
            </w:r>
          </w:p>
        </w:tc>
      </w:tr>
      <w:tr w14:paraId="5C19EDD6">
        <w:tblPrEx>
          <w:tblCellMar>
            <w:top w:w="0" w:type="dxa"/>
            <w:left w:w="108" w:type="dxa"/>
            <w:bottom w:w="0" w:type="dxa"/>
            <w:right w:w="108" w:type="dxa"/>
          </w:tblCellMar>
        </w:tblPrEx>
        <w:trPr>
          <w:trHeight w:val="315" w:hRule="atLeast"/>
        </w:trPr>
        <w:tc>
          <w:tcPr>
            <w:tcW w:w="2114" w:type="dxa"/>
            <w:vMerge w:val="restart"/>
            <w:tcBorders>
              <w:top w:val="nil"/>
              <w:left w:val="single" w:color="auto" w:sz="4" w:space="0"/>
              <w:bottom w:val="single" w:color="auto" w:sz="4" w:space="0"/>
              <w:right w:val="single" w:color="auto" w:sz="4" w:space="0"/>
            </w:tcBorders>
            <w:shd w:val="clear" w:color="auto" w:fill="auto"/>
            <w:noWrap/>
            <w:vAlign w:val="center"/>
          </w:tcPr>
          <w:p w14:paraId="77C3758C">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B</w:t>
            </w:r>
          </w:p>
          <w:p w14:paraId="4104B32A">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类</w:t>
            </w:r>
          </w:p>
        </w:tc>
        <w:tc>
          <w:tcPr>
            <w:tcW w:w="1867" w:type="dxa"/>
            <w:gridSpan w:val="3"/>
            <w:tcBorders>
              <w:top w:val="single" w:color="auto" w:sz="4" w:space="0"/>
              <w:left w:val="nil"/>
              <w:bottom w:val="single" w:color="auto" w:sz="4" w:space="0"/>
              <w:right w:val="single" w:color="auto" w:sz="4" w:space="0"/>
            </w:tcBorders>
            <w:shd w:val="clear" w:color="auto" w:fill="auto"/>
            <w:noWrap/>
            <w:vAlign w:val="center"/>
          </w:tcPr>
          <w:p w14:paraId="6B937558">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40" w:type="dxa"/>
            <w:gridSpan w:val="3"/>
            <w:tcBorders>
              <w:top w:val="single" w:color="auto" w:sz="4" w:space="0"/>
              <w:left w:val="nil"/>
              <w:bottom w:val="single" w:color="auto" w:sz="4" w:space="0"/>
              <w:right w:val="single" w:color="000000" w:sz="4" w:space="0"/>
            </w:tcBorders>
            <w:shd w:val="clear" w:color="auto" w:fill="auto"/>
            <w:noWrap/>
            <w:vAlign w:val="center"/>
          </w:tcPr>
          <w:p w14:paraId="5DCADB70">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561" w:type="dxa"/>
            <w:gridSpan w:val="2"/>
            <w:tcBorders>
              <w:top w:val="nil"/>
              <w:left w:val="nil"/>
              <w:bottom w:val="single" w:color="auto" w:sz="4" w:space="0"/>
              <w:right w:val="single" w:color="auto" w:sz="4" w:space="0"/>
            </w:tcBorders>
            <w:shd w:val="clear" w:color="auto" w:fill="auto"/>
            <w:noWrap/>
            <w:vAlign w:val="center"/>
          </w:tcPr>
          <w:p w14:paraId="626BB9C5">
            <w:pPr>
              <w:widowControl/>
              <w:jc w:val="right"/>
              <w:rPr>
                <w:snapToGrid w:val="0"/>
                <w:color w:val="auto"/>
                <w:kern w:val="0"/>
                <w:sz w:val="24"/>
                <w:highlight w:val="none"/>
              </w:rPr>
            </w:pPr>
            <w:r>
              <w:rPr>
                <w:snapToGrid w:val="0"/>
                <w:color w:val="auto"/>
                <w:kern w:val="0"/>
                <w:sz w:val="24"/>
                <w:highlight w:val="none"/>
              </w:rPr>
              <w:t>　</w:t>
            </w:r>
          </w:p>
        </w:tc>
        <w:tc>
          <w:tcPr>
            <w:tcW w:w="2058" w:type="dxa"/>
            <w:tcBorders>
              <w:top w:val="nil"/>
              <w:left w:val="nil"/>
              <w:bottom w:val="single" w:color="auto" w:sz="4" w:space="0"/>
              <w:right w:val="single" w:color="auto" w:sz="4" w:space="0"/>
            </w:tcBorders>
            <w:shd w:val="clear" w:color="auto" w:fill="auto"/>
            <w:noWrap/>
            <w:vAlign w:val="center"/>
          </w:tcPr>
          <w:p w14:paraId="6CD2792A">
            <w:pPr>
              <w:widowControl/>
              <w:jc w:val="right"/>
              <w:rPr>
                <w:snapToGrid w:val="0"/>
                <w:color w:val="auto"/>
                <w:kern w:val="0"/>
                <w:sz w:val="24"/>
                <w:highlight w:val="none"/>
              </w:rPr>
            </w:pPr>
            <w:r>
              <w:rPr>
                <w:snapToGrid w:val="0"/>
                <w:color w:val="auto"/>
                <w:kern w:val="0"/>
                <w:sz w:val="24"/>
                <w:highlight w:val="none"/>
              </w:rPr>
              <w:t>　</w:t>
            </w:r>
          </w:p>
        </w:tc>
      </w:tr>
      <w:tr w14:paraId="0027715F">
        <w:tblPrEx>
          <w:tblCellMar>
            <w:top w:w="0" w:type="dxa"/>
            <w:left w:w="108" w:type="dxa"/>
            <w:bottom w:w="0" w:type="dxa"/>
            <w:right w:w="108" w:type="dxa"/>
          </w:tblCellMar>
        </w:tblPrEx>
        <w:trPr>
          <w:trHeight w:val="315" w:hRule="atLeast"/>
        </w:trPr>
        <w:tc>
          <w:tcPr>
            <w:tcW w:w="2114" w:type="dxa"/>
            <w:vMerge w:val="continue"/>
            <w:tcBorders>
              <w:top w:val="nil"/>
              <w:left w:val="single" w:color="auto" w:sz="4" w:space="0"/>
              <w:bottom w:val="single" w:color="auto" w:sz="4" w:space="0"/>
              <w:right w:val="single" w:color="auto" w:sz="4" w:space="0"/>
            </w:tcBorders>
            <w:vAlign w:val="center"/>
          </w:tcPr>
          <w:p w14:paraId="5BCA854A">
            <w:pPr>
              <w:widowControl/>
              <w:jc w:val="left"/>
              <w:rPr>
                <w:rFonts w:ascii="宋体" w:hAnsi="宋体" w:cs="宋体"/>
                <w:snapToGrid w:val="0"/>
                <w:color w:val="auto"/>
                <w:kern w:val="0"/>
                <w:sz w:val="24"/>
                <w:highlight w:val="none"/>
              </w:rPr>
            </w:pPr>
          </w:p>
        </w:tc>
        <w:tc>
          <w:tcPr>
            <w:tcW w:w="1867" w:type="dxa"/>
            <w:gridSpan w:val="3"/>
            <w:tcBorders>
              <w:top w:val="single" w:color="auto" w:sz="4" w:space="0"/>
              <w:left w:val="nil"/>
              <w:bottom w:val="single" w:color="auto" w:sz="4" w:space="0"/>
              <w:right w:val="single" w:color="auto" w:sz="4" w:space="0"/>
            </w:tcBorders>
            <w:shd w:val="clear" w:color="auto" w:fill="auto"/>
            <w:noWrap/>
            <w:vAlign w:val="center"/>
          </w:tcPr>
          <w:p w14:paraId="33590AE9">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40" w:type="dxa"/>
            <w:gridSpan w:val="3"/>
            <w:tcBorders>
              <w:top w:val="single" w:color="auto" w:sz="4" w:space="0"/>
              <w:left w:val="nil"/>
              <w:bottom w:val="single" w:color="auto" w:sz="4" w:space="0"/>
              <w:right w:val="single" w:color="000000" w:sz="4" w:space="0"/>
            </w:tcBorders>
            <w:shd w:val="clear" w:color="auto" w:fill="auto"/>
            <w:noWrap/>
            <w:vAlign w:val="center"/>
          </w:tcPr>
          <w:p w14:paraId="4085CF01">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561" w:type="dxa"/>
            <w:gridSpan w:val="2"/>
            <w:tcBorders>
              <w:top w:val="nil"/>
              <w:left w:val="nil"/>
              <w:bottom w:val="single" w:color="auto" w:sz="4" w:space="0"/>
              <w:right w:val="single" w:color="auto" w:sz="4" w:space="0"/>
            </w:tcBorders>
            <w:shd w:val="clear" w:color="auto" w:fill="auto"/>
            <w:noWrap/>
            <w:vAlign w:val="center"/>
          </w:tcPr>
          <w:p w14:paraId="1901677F">
            <w:pPr>
              <w:widowControl/>
              <w:jc w:val="right"/>
              <w:rPr>
                <w:snapToGrid w:val="0"/>
                <w:color w:val="auto"/>
                <w:kern w:val="0"/>
                <w:sz w:val="24"/>
                <w:highlight w:val="none"/>
              </w:rPr>
            </w:pPr>
            <w:r>
              <w:rPr>
                <w:snapToGrid w:val="0"/>
                <w:color w:val="auto"/>
                <w:kern w:val="0"/>
                <w:sz w:val="24"/>
                <w:highlight w:val="none"/>
              </w:rPr>
              <w:t>　</w:t>
            </w:r>
          </w:p>
        </w:tc>
        <w:tc>
          <w:tcPr>
            <w:tcW w:w="2058" w:type="dxa"/>
            <w:tcBorders>
              <w:top w:val="nil"/>
              <w:left w:val="nil"/>
              <w:bottom w:val="single" w:color="auto" w:sz="4" w:space="0"/>
              <w:right w:val="single" w:color="auto" w:sz="4" w:space="0"/>
            </w:tcBorders>
            <w:shd w:val="clear" w:color="auto" w:fill="auto"/>
            <w:noWrap/>
            <w:vAlign w:val="center"/>
          </w:tcPr>
          <w:p w14:paraId="12797419">
            <w:pPr>
              <w:widowControl/>
              <w:jc w:val="right"/>
              <w:rPr>
                <w:snapToGrid w:val="0"/>
                <w:color w:val="auto"/>
                <w:kern w:val="0"/>
                <w:sz w:val="24"/>
                <w:highlight w:val="none"/>
              </w:rPr>
            </w:pPr>
            <w:r>
              <w:rPr>
                <w:snapToGrid w:val="0"/>
                <w:color w:val="auto"/>
                <w:kern w:val="0"/>
                <w:sz w:val="24"/>
                <w:highlight w:val="none"/>
              </w:rPr>
              <w:t>　</w:t>
            </w:r>
          </w:p>
        </w:tc>
      </w:tr>
      <w:tr w14:paraId="1AC4A8D4">
        <w:tblPrEx>
          <w:tblCellMar>
            <w:top w:w="0" w:type="dxa"/>
            <w:left w:w="108" w:type="dxa"/>
            <w:bottom w:w="0" w:type="dxa"/>
            <w:right w:w="108" w:type="dxa"/>
          </w:tblCellMar>
        </w:tblPrEx>
        <w:trPr>
          <w:trHeight w:val="315" w:hRule="atLeast"/>
        </w:trPr>
        <w:tc>
          <w:tcPr>
            <w:tcW w:w="2114" w:type="dxa"/>
            <w:vMerge w:val="continue"/>
            <w:tcBorders>
              <w:top w:val="nil"/>
              <w:left w:val="single" w:color="auto" w:sz="4" w:space="0"/>
              <w:bottom w:val="single" w:color="auto" w:sz="4" w:space="0"/>
              <w:right w:val="single" w:color="auto" w:sz="4" w:space="0"/>
            </w:tcBorders>
            <w:vAlign w:val="center"/>
          </w:tcPr>
          <w:p w14:paraId="1F6DD207">
            <w:pPr>
              <w:widowControl/>
              <w:jc w:val="left"/>
              <w:rPr>
                <w:rFonts w:ascii="宋体" w:hAnsi="宋体" w:cs="宋体"/>
                <w:snapToGrid w:val="0"/>
                <w:color w:val="auto"/>
                <w:kern w:val="0"/>
                <w:sz w:val="24"/>
                <w:highlight w:val="none"/>
              </w:rPr>
            </w:pPr>
          </w:p>
        </w:tc>
        <w:tc>
          <w:tcPr>
            <w:tcW w:w="1867" w:type="dxa"/>
            <w:gridSpan w:val="3"/>
            <w:tcBorders>
              <w:top w:val="single" w:color="auto" w:sz="4" w:space="0"/>
              <w:left w:val="nil"/>
              <w:bottom w:val="single" w:color="auto" w:sz="4" w:space="0"/>
              <w:right w:val="single" w:color="auto" w:sz="4" w:space="0"/>
            </w:tcBorders>
            <w:shd w:val="clear" w:color="auto" w:fill="auto"/>
            <w:noWrap/>
            <w:vAlign w:val="center"/>
          </w:tcPr>
          <w:p w14:paraId="60D93173">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40" w:type="dxa"/>
            <w:gridSpan w:val="3"/>
            <w:tcBorders>
              <w:top w:val="single" w:color="auto" w:sz="4" w:space="0"/>
              <w:left w:val="nil"/>
              <w:bottom w:val="single" w:color="auto" w:sz="4" w:space="0"/>
              <w:right w:val="single" w:color="000000" w:sz="4" w:space="0"/>
            </w:tcBorders>
            <w:shd w:val="clear" w:color="auto" w:fill="auto"/>
            <w:noWrap/>
            <w:vAlign w:val="center"/>
          </w:tcPr>
          <w:p w14:paraId="28B563C8">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561" w:type="dxa"/>
            <w:gridSpan w:val="2"/>
            <w:tcBorders>
              <w:top w:val="nil"/>
              <w:left w:val="nil"/>
              <w:bottom w:val="single" w:color="auto" w:sz="4" w:space="0"/>
              <w:right w:val="single" w:color="auto" w:sz="4" w:space="0"/>
            </w:tcBorders>
            <w:shd w:val="clear" w:color="auto" w:fill="auto"/>
            <w:noWrap/>
            <w:vAlign w:val="center"/>
          </w:tcPr>
          <w:p w14:paraId="51250D20">
            <w:pPr>
              <w:widowControl/>
              <w:jc w:val="right"/>
              <w:rPr>
                <w:snapToGrid w:val="0"/>
                <w:color w:val="auto"/>
                <w:kern w:val="0"/>
                <w:sz w:val="24"/>
                <w:highlight w:val="none"/>
              </w:rPr>
            </w:pPr>
            <w:r>
              <w:rPr>
                <w:snapToGrid w:val="0"/>
                <w:color w:val="auto"/>
                <w:kern w:val="0"/>
                <w:sz w:val="24"/>
                <w:highlight w:val="none"/>
              </w:rPr>
              <w:t>　</w:t>
            </w:r>
          </w:p>
        </w:tc>
        <w:tc>
          <w:tcPr>
            <w:tcW w:w="2058" w:type="dxa"/>
            <w:tcBorders>
              <w:top w:val="nil"/>
              <w:left w:val="nil"/>
              <w:bottom w:val="single" w:color="auto" w:sz="4" w:space="0"/>
              <w:right w:val="single" w:color="auto" w:sz="4" w:space="0"/>
            </w:tcBorders>
            <w:shd w:val="clear" w:color="auto" w:fill="auto"/>
            <w:noWrap/>
            <w:vAlign w:val="center"/>
          </w:tcPr>
          <w:p w14:paraId="7AEACA6D">
            <w:pPr>
              <w:widowControl/>
              <w:jc w:val="right"/>
              <w:rPr>
                <w:snapToGrid w:val="0"/>
                <w:color w:val="auto"/>
                <w:kern w:val="0"/>
                <w:sz w:val="24"/>
                <w:highlight w:val="none"/>
              </w:rPr>
            </w:pPr>
            <w:r>
              <w:rPr>
                <w:snapToGrid w:val="0"/>
                <w:color w:val="auto"/>
                <w:kern w:val="0"/>
                <w:sz w:val="24"/>
                <w:highlight w:val="none"/>
              </w:rPr>
              <w:t>　</w:t>
            </w:r>
          </w:p>
        </w:tc>
      </w:tr>
      <w:tr w14:paraId="0FC4F352">
        <w:tblPrEx>
          <w:tblCellMar>
            <w:top w:w="0" w:type="dxa"/>
            <w:left w:w="108" w:type="dxa"/>
            <w:bottom w:w="0" w:type="dxa"/>
            <w:right w:w="108" w:type="dxa"/>
          </w:tblCellMar>
        </w:tblPrEx>
        <w:trPr>
          <w:trHeight w:val="315" w:hRule="atLeast"/>
        </w:trPr>
        <w:tc>
          <w:tcPr>
            <w:tcW w:w="2114" w:type="dxa"/>
            <w:vMerge w:val="continue"/>
            <w:tcBorders>
              <w:top w:val="nil"/>
              <w:left w:val="single" w:color="auto" w:sz="4" w:space="0"/>
              <w:bottom w:val="single" w:color="auto" w:sz="4" w:space="0"/>
              <w:right w:val="single" w:color="auto" w:sz="4" w:space="0"/>
            </w:tcBorders>
            <w:vAlign w:val="center"/>
          </w:tcPr>
          <w:p w14:paraId="0EE0DC31">
            <w:pPr>
              <w:widowControl/>
              <w:jc w:val="left"/>
              <w:rPr>
                <w:rFonts w:ascii="宋体" w:hAnsi="宋体" w:cs="宋体"/>
                <w:snapToGrid w:val="0"/>
                <w:color w:val="auto"/>
                <w:kern w:val="0"/>
                <w:sz w:val="24"/>
                <w:highlight w:val="none"/>
              </w:rPr>
            </w:pPr>
          </w:p>
        </w:tc>
        <w:tc>
          <w:tcPr>
            <w:tcW w:w="1867" w:type="dxa"/>
            <w:gridSpan w:val="3"/>
            <w:tcBorders>
              <w:top w:val="single" w:color="auto" w:sz="4" w:space="0"/>
              <w:left w:val="nil"/>
              <w:bottom w:val="single" w:color="auto" w:sz="4" w:space="0"/>
              <w:right w:val="single" w:color="auto" w:sz="4" w:space="0"/>
            </w:tcBorders>
            <w:shd w:val="clear" w:color="auto" w:fill="auto"/>
            <w:noWrap/>
            <w:vAlign w:val="center"/>
          </w:tcPr>
          <w:p w14:paraId="29B58202">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40" w:type="dxa"/>
            <w:gridSpan w:val="3"/>
            <w:tcBorders>
              <w:top w:val="single" w:color="auto" w:sz="4" w:space="0"/>
              <w:left w:val="nil"/>
              <w:bottom w:val="single" w:color="auto" w:sz="4" w:space="0"/>
              <w:right w:val="single" w:color="000000" w:sz="4" w:space="0"/>
            </w:tcBorders>
            <w:shd w:val="clear" w:color="auto" w:fill="auto"/>
            <w:noWrap/>
            <w:vAlign w:val="center"/>
          </w:tcPr>
          <w:p w14:paraId="4814B5B8">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561" w:type="dxa"/>
            <w:gridSpan w:val="2"/>
            <w:tcBorders>
              <w:top w:val="nil"/>
              <w:left w:val="nil"/>
              <w:bottom w:val="single" w:color="auto" w:sz="4" w:space="0"/>
              <w:right w:val="single" w:color="auto" w:sz="4" w:space="0"/>
            </w:tcBorders>
            <w:shd w:val="clear" w:color="auto" w:fill="auto"/>
            <w:noWrap/>
            <w:vAlign w:val="center"/>
          </w:tcPr>
          <w:p w14:paraId="6D0DC4AA">
            <w:pPr>
              <w:widowControl/>
              <w:jc w:val="right"/>
              <w:rPr>
                <w:snapToGrid w:val="0"/>
                <w:color w:val="auto"/>
                <w:kern w:val="0"/>
                <w:sz w:val="24"/>
                <w:highlight w:val="none"/>
              </w:rPr>
            </w:pPr>
            <w:r>
              <w:rPr>
                <w:snapToGrid w:val="0"/>
                <w:color w:val="auto"/>
                <w:kern w:val="0"/>
                <w:sz w:val="24"/>
                <w:highlight w:val="none"/>
              </w:rPr>
              <w:t>　</w:t>
            </w:r>
          </w:p>
        </w:tc>
        <w:tc>
          <w:tcPr>
            <w:tcW w:w="2058" w:type="dxa"/>
            <w:tcBorders>
              <w:top w:val="nil"/>
              <w:left w:val="nil"/>
              <w:bottom w:val="single" w:color="auto" w:sz="4" w:space="0"/>
              <w:right w:val="single" w:color="auto" w:sz="4" w:space="0"/>
            </w:tcBorders>
            <w:shd w:val="clear" w:color="auto" w:fill="auto"/>
            <w:noWrap/>
            <w:vAlign w:val="center"/>
          </w:tcPr>
          <w:p w14:paraId="04EBA017">
            <w:pPr>
              <w:widowControl/>
              <w:jc w:val="right"/>
              <w:rPr>
                <w:snapToGrid w:val="0"/>
                <w:color w:val="auto"/>
                <w:kern w:val="0"/>
                <w:sz w:val="24"/>
                <w:highlight w:val="none"/>
              </w:rPr>
            </w:pPr>
            <w:r>
              <w:rPr>
                <w:snapToGrid w:val="0"/>
                <w:color w:val="auto"/>
                <w:kern w:val="0"/>
                <w:sz w:val="24"/>
                <w:highlight w:val="none"/>
              </w:rPr>
              <w:t>　</w:t>
            </w:r>
          </w:p>
        </w:tc>
      </w:tr>
      <w:tr w14:paraId="00C285DE">
        <w:tblPrEx>
          <w:tblCellMar>
            <w:top w:w="0" w:type="dxa"/>
            <w:left w:w="108" w:type="dxa"/>
            <w:bottom w:w="0" w:type="dxa"/>
            <w:right w:w="108" w:type="dxa"/>
          </w:tblCellMar>
        </w:tblPrEx>
        <w:trPr>
          <w:trHeight w:val="315" w:hRule="atLeast"/>
        </w:trPr>
        <w:tc>
          <w:tcPr>
            <w:tcW w:w="2114" w:type="dxa"/>
            <w:vMerge w:val="continue"/>
            <w:tcBorders>
              <w:top w:val="nil"/>
              <w:left w:val="single" w:color="auto" w:sz="4" w:space="0"/>
              <w:bottom w:val="single" w:color="auto" w:sz="4" w:space="0"/>
              <w:right w:val="single" w:color="auto" w:sz="4" w:space="0"/>
            </w:tcBorders>
            <w:vAlign w:val="center"/>
          </w:tcPr>
          <w:p w14:paraId="071C44A3">
            <w:pPr>
              <w:widowControl/>
              <w:jc w:val="left"/>
              <w:rPr>
                <w:rFonts w:ascii="宋体" w:hAnsi="宋体" w:cs="宋体"/>
                <w:snapToGrid w:val="0"/>
                <w:color w:val="auto"/>
                <w:kern w:val="0"/>
                <w:sz w:val="24"/>
                <w:highlight w:val="none"/>
              </w:rPr>
            </w:pPr>
          </w:p>
        </w:tc>
        <w:tc>
          <w:tcPr>
            <w:tcW w:w="1867" w:type="dxa"/>
            <w:gridSpan w:val="3"/>
            <w:tcBorders>
              <w:top w:val="single" w:color="auto" w:sz="4" w:space="0"/>
              <w:left w:val="nil"/>
              <w:bottom w:val="single" w:color="auto" w:sz="4" w:space="0"/>
              <w:right w:val="single" w:color="auto" w:sz="4" w:space="0"/>
            </w:tcBorders>
            <w:shd w:val="clear" w:color="auto" w:fill="auto"/>
            <w:noWrap/>
            <w:vAlign w:val="center"/>
          </w:tcPr>
          <w:p w14:paraId="5B2A8E91">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40" w:type="dxa"/>
            <w:gridSpan w:val="3"/>
            <w:tcBorders>
              <w:top w:val="single" w:color="auto" w:sz="4" w:space="0"/>
              <w:left w:val="nil"/>
              <w:bottom w:val="single" w:color="auto" w:sz="4" w:space="0"/>
              <w:right w:val="single" w:color="000000" w:sz="4" w:space="0"/>
            </w:tcBorders>
            <w:shd w:val="clear" w:color="auto" w:fill="auto"/>
            <w:noWrap/>
            <w:vAlign w:val="center"/>
          </w:tcPr>
          <w:p w14:paraId="0F872626">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561" w:type="dxa"/>
            <w:gridSpan w:val="2"/>
            <w:tcBorders>
              <w:top w:val="nil"/>
              <w:left w:val="nil"/>
              <w:bottom w:val="single" w:color="auto" w:sz="4" w:space="0"/>
              <w:right w:val="single" w:color="auto" w:sz="4" w:space="0"/>
            </w:tcBorders>
            <w:shd w:val="clear" w:color="auto" w:fill="auto"/>
            <w:noWrap/>
            <w:vAlign w:val="center"/>
          </w:tcPr>
          <w:p w14:paraId="5271279B">
            <w:pPr>
              <w:widowControl/>
              <w:jc w:val="right"/>
              <w:rPr>
                <w:snapToGrid w:val="0"/>
                <w:color w:val="auto"/>
                <w:kern w:val="0"/>
                <w:sz w:val="24"/>
                <w:highlight w:val="none"/>
              </w:rPr>
            </w:pPr>
            <w:r>
              <w:rPr>
                <w:snapToGrid w:val="0"/>
                <w:color w:val="auto"/>
                <w:kern w:val="0"/>
                <w:sz w:val="24"/>
                <w:highlight w:val="none"/>
              </w:rPr>
              <w:t>　</w:t>
            </w:r>
          </w:p>
        </w:tc>
        <w:tc>
          <w:tcPr>
            <w:tcW w:w="2058" w:type="dxa"/>
            <w:tcBorders>
              <w:top w:val="nil"/>
              <w:left w:val="nil"/>
              <w:bottom w:val="single" w:color="auto" w:sz="4" w:space="0"/>
              <w:right w:val="single" w:color="auto" w:sz="4" w:space="0"/>
            </w:tcBorders>
            <w:shd w:val="clear" w:color="auto" w:fill="auto"/>
            <w:noWrap/>
            <w:vAlign w:val="center"/>
          </w:tcPr>
          <w:p w14:paraId="19E57538">
            <w:pPr>
              <w:widowControl/>
              <w:jc w:val="right"/>
              <w:rPr>
                <w:snapToGrid w:val="0"/>
                <w:color w:val="auto"/>
                <w:kern w:val="0"/>
                <w:sz w:val="24"/>
                <w:highlight w:val="none"/>
              </w:rPr>
            </w:pPr>
            <w:r>
              <w:rPr>
                <w:snapToGrid w:val="0"/>
                <w:color w:val="auto"/>
                <w:kern w:val="0"/>
                <w:sz w:val="24"/>
                <w:highlight w:val="none"/>
              </w:rPr>
              <w:t>　</w:t>
            </w:r>
          </w:p>
        </w:tc>
      </w:tr>
      <w:tr w14:paraId="4407444A">
        <w:tblPrEx>
          <w:tblCellMar>
            <w:top w:w="0" w:type="dxa"/>
            <w:left w:w="108" w:type="dxa"/>
            <w:bottom w:w="0" w:type="dxa"/>
            <w:right w:w="108" w:type="dxa"/>
          </w:tblCellMar>
        </w:tblPrEx>
        <w:trPr>
          <w:trHeight w:val="315" w:hRule="atLeast"/>
        </w:trPr>
        <w:tc>
          <w:tcPr>
            <w:tcW w:w="6321"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323B9180">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本类合计</w:t>
            </w:r>
          </w:p>
        </w:tc>
        <w:tc>
          <w:tcPr>
            <w:tcW w:w="1561" w:type="dxa"/>
            <w:gridSpan w:val="2"/>
            <w:tcBorders>
              <w:top w:val="nil"/>
              <w:left w:val="nil"/>
              <w:bottom w:val="single" w:color="auto" w:sz="4" w:space="0"/>
              <w:right w:val="single" w:color="auto" w:sz="4" w:space="0"/>
            </w:tcBorders>
            <w:shd w:val="clear" w:color="auto" w:fill="auto"/>
            <w:noWrap/>
            <w:vAlign w:val="center"/>
          </w:tcPr>
          <w:p w14:paraId="69A9DC77">
            <w:pPr>
              <w:widowControl/>
              <w:jc w:val="right"/>
              <w:rPr>
                <w:snapToGrid w:val="0"/>
                <w:color w:val="auto"/>
                <w:kern w:val="0"/>
                <w:sz w:val="24"/>
                <w:highlight w:val="none"/>
              </w:rPr>
            </w:pPr>
            <w:r>
              <w:rPr>
                <w:snapToGrid w:val="0"/>
                <w:color w:val="auto"/>
                <w:kern w:val="0"/>
                <w:sz w:val="24"/>
                <w:highlight w:val="none"/>
              </w:rPr>
              <w:t xml:space="preserve">      -   </w:t>
            </w:r>
          </w:p>
        </w:tc>
        <w:tc>
          <w:tcPr>
            <w:tcW w:w="2058" w:type="dxa"/>
            <w:tcBorders>
              <w:top w:val="nil"/>
              <w:left w:val="nil"/>
              <w:bottom w:val="single" w:color="auto" w:sz="4" w:space="0"/>
              <w:right w:val="single" w:color="auto" w:sz="4" w:space="0"/>
            </w:tcBorders>
            <w:shd w:val="clear" w:color="auto" w:fill="auto"/>
            <w:noWrap/>
            <w:vAlign w:val="center"/>
          </w:tcPr>
          <w:p w14:paraId="434CE589">
            <w:pPr>
              <w:widowControl/>
              <w:jc w:val="right"/>
              <w:rPr>
                <w:snapToGrid w:val="0"/>
                <w:color w:val="auto"/>
                <w:kern w:val="0"/>
                <w:sz w:val="24"/>
                <w:highlight w:val="none"/>
              </w:rPr>
            </w:pPr>
            <w:r>
              <w:rPr>
                <w:snapToGrid w:val="0"/>
                <w:color w:val="auto"/>
                <w:kern w:val="0"/>
                <w:sz w:val="24"/>
                <w:highlight w:val="none"/>
              </w:rPr>
              <w:t xml:space="preserve">              -   </w:t>
            </w:r>
          </w:p>
        </w:tc>
      </w:tr>
      <w:tr w14:paraId="44D1D3A8">
        <w:tblPrEx>
          <w:tblCellMar>
            <w:top w:w="0" w:type="dxa"/>
            <w:left w:w="108" w:type="dxa"/>
            <w:bottom w:w="0" w:type="dxa"/>
            <w:right w:w="108" w:type="dxa"/>
          </w:tblCellMar>
        </w:tblPrEx>
        <w:trPr>
          <w:trHeight w:val="315" w:hRule="atLeast"/>
        </w:trPr>
        <w:tc>
          <w:tcPr>
            <w:tcW w:w="2114" w:type="dxa"/>
            <w:vMerge w:val="restart"/>
            <w:tcBorders>
              <w:top w:val="nil"/>
              <w:left w:val="single" w:color="auto" w:sz="4" w:space="0"/>
              <w:bottom w:val="single" w:color="auto" w:sz="4" w:space="0"/>
              <w:right w:val="single" w:color="auto" w:sz="4" w:space="0"/>
            </w:tcBorders>
            <w:shd w:val="clear" w:color="auto" w:fill="auto"/>
            <w:noWrap/>
            <w:vAlign w:val="center"/>
          </w:tcPr>
          <w:p w14:paraId="534DEDF3">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C</w:t>
            </w:r>
          </w:p>
          <w:p w14:paraId="2E1A2A31">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类</w:t>
            </w:r>
          </w:p>
        </w:tc>
        <w:tc>
          <w:tcPr>
            <w:tcW w:w="1867" w:type="dxa"/>
            <w:gridSpan w:val="3"/>
            <w:tcBorders>
              <w:top w:val="single" w:color="auto" w:sz="4" w:space="0"/>
              <w:left w:val="nil"/>
              <w:bottom w:val="single" w:color="auto" w:sz="4" w:space="0"/>
              <w:right w:val="single" w:color="auto" w:sz="4" w:space="0"/>
            </w:tcBorders>
            <w:shd w:val="clear" w:color="auto" w:fill="auto"/>
            <w:noWrap/>
            <w:vAlign w:val="center"/>
          </w:tcPr>
          <w:p w14:paraId="4D0F67F8">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工资性支出</w:t>
            </w:r>
          </w:p>
        </w:tc>
        <w:tc>
          <w:tcPr>
            <w:tcW w:w="2340" w:type="dxa"/>
            <w:gridSpan w:val="3"/>
            <w:tcBorders>
              <w:top w:val="single" w:color="auto" w:sz="4" w:space="0"/>
              <w:left w:val="nil"/>
              <w:bottom w:val="single" w:color="auto" w:sz="4" w:space="0"/>
              <w:right w:val="single" w:color="000000" w:sz="4" w:space="0"/>
            </w:tcBorders>
            <w:shd w:val="clear" w:color="auto" w:fill="auto"/>
            <w:noWrap/>
            <w:vAlign w:val="center"/>
          </w:tcPr>
          <w:p w14:paraId="7B1040DC">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561" w:type="dxa"/>
            <w:gridSpan w:val="2"/>
            <w:tcBorders>
              <w:top w:val="nil"/>
              <w:left w:val="nil"/>
              <w:bottom w:val="single" w:color="auto" w:sz="4" w:space="0"/>
              <w:right w:val="single" w:color="auto" w:sz="4" w:space="0"/>
            </w:tcBorders>
            <w:shd w:val="clear" w:color="auto" w:fill="auto"/>
            <w:noWrap/>
            <w:vAlign w:val="center"/>
          </w:tcPr>
          <w:p w14:paraId="00BEB4CE">
            <w:pPr>
              <w:widowControl/>
              <w:jc w:val="right"/>
              <w:rPr>
                <w:snapToGrid w:val="0"/>
                <w:color w:val="auto"/>
                <w:kern w:val="0"/>
                <w:sz w:val="24"/>
                <w:highlight w:val="none"/>
              </w:rPr>
            </w:pPr>
            <w:r>
              <w:rPr>
                <w:snapToGrid w:val="0"/>
                <w:color w:val="auto"/>
                <w:kern w:val="0"/>
                <w:sz w:val="24"/>
                <w:highlight w:val="none"/>
              </w:rPr>
              <w:t>　</w:t>
            </w:r>
          </w:p>
        </w:tc>
        <w:tc>
          <w:tcPr>
            <w:tcW w:w="2058" w:type="dxa"/>
            <w:tcBorders>
              <w:top w:val="nil"/>
              <w:left w:val="nil"/>
              <w:bottom w:val="single" w:color="auto" w:sz="4" w:space="0"/>
              <w:right w:val="single" w:color="auto" w:sz="4" w:space="0"/>
            </w:tcBorders>
            <w:shd w:val="clear" w:color="auto" w:fill="auto"/>
            <w:noWrap/>
            <w:vAlign w:val="center"/>
          </w:tcPr>
          <w:p w14:paraId="70E48C34">
            <w:pPr>
              <w:widowControl/>
              <w:jc w:val="right"/>
              <w:rPr>
                <w:snapToGrid w:val="0"/>
                <w:color w:val="auto"/>
                <w:kern w:val="0"/>
                <w:sz w:val="24"/>
                <w:highlight w:val="none"/>
              </w:rPr>
            </w:pPr>
            <w:r>
              <w:rPr>
                <w:snapToGrid w:val="0"/>
                <w:color w:val="auto"/>
                <w:kern w:val="0"/>
                <w:sz w:val="24"/>
                <w:highlight w:val="none"/>
              </w:rPr>
              <w:t>　</w:t>
            </w:r>
          </w:p>
        </w:tc>
      </w:tr>
      <w:tr w14:paraId="2309F0CB">
        <w:tblPrEx>
          <w:tblCellMar>
            <w:top w:w="0" w:type="dxa"/>
            <w:left w:w="108" w:type="dxa"/>
            <w:bottom w:w="0" w:type="dxa"/>
            <w:right w:w="108" w:type="dxa"/>
          </w:tblCellMar>
        </w:tblPrEx>
        <w:trPr>
          <w:trHeight w:val="315" w:hRule="atLeast"/>
        </w:trPr>
        <w:tc>
          <w:tcPr>
            <w:tcW w:w="2114" w:type="dxa"/>
            <w:vMerge w:val="continue"/>
            <w:tcBorders>
              <w:top w:val="nil"/>
              <w:left w:val="single" w:color="auto" w:sz="4" w:space="0"/>
              <w:bottom w:val="single" w:color="auto" w:sz="4" w:space="0"/>
              <w:right w:val="single" w:color="auto" w:sz="4" w:space="0"/>
            </w:tcBorders>
            <w:vAlign w:val="center"/>
          </w:tcPr>
          <w:p w14:paraId="2E88EDEF">
            <w:pPr>
              <w:widowControl/>
              <w:jc w:val="left"/>
              <w:rPr>
                <w:rFonts w:ascii="宋体" w:hAnsi="宋体" w:cs="宋体"/>
                <w:snapToGrid w:val="0"/>
                <w:color w:val="auto"/>
                <w:kern w:val="0"/>
                <w:sz w:val="24"/>
                <w:highlight w:val="none"/>
              </w:rPr>
            </w:pPr>
          </w:p>
        </w:tc>
        <w:tc>
          <w:tcPr>
            <w:tcW w:w="1867" w:type="dxa"/>
            <w:gridSpan w:val="3"/>
            <w:tcBorders>
              <w:top w:val="single" w:color="auto" w:sz="4" w:space="0"/>
              <w:left w:val="nil"/>
              <w:bottom w:val="single" w:color="auto" w:sz="4" w:space="0"/>
              <w:right w:val="single" w:color="auto" w:sz="4" w:space="0"/>
            </w:tcBorders>
            <w:shd w:val="clear" w:color="auto" w:fill="auto"/>
            <w:noWrap/>
            <w:vAlign w:val="center"/>
          </w:tcPr>
          <w:p w14:paraId="4C7CE7D6">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40" w:type="dxa"/>
            <w:gridSpan w:val="3"/>
            <w:tcBorders>
              <w:top w:val="single" w:color="auto" w:sz="4" w:space="0"/>
              <w:left w:val="nil"/>
              <w:bottom w:val="single" w:color="auto" w:sz="4" w:space="0"/>
              <w:right w:val="single" w:color="000000" w:sz="4" w:space="0"/>
            </w:tcBorders>
            <w:shd w:val="clear" w:color="auto" w:fill="auto"/>
            <w:noWrap/>
            <w:vAlign w:val="center"/>
          </w:tcPr>
          <w:p w14:paraId="381670A5">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561" w:type="dxa"/>
            <w:gridSpan w:val="2"/>
            <w:tcBorders>
              <w:top w:val="nil"/>
              <w:left w:val="nil"/>
              <w:bottom w:val="single" w:color="auto" w:sz="4" w:space="0"/>
              <w:right w:val="single" w:color="auto" w:sz="4" w:space="0"/>
            </w:tcBorders>
            <w:shd w:val="clear" w:color="auto" w:fill="auto"/>
            <w:noWrap/>
            <w:vAlign w:val="center"/>
          </w:tcPr>
          <w:p w14:paraId="0F05772A">
            <w:pPr>
              <w:widowControl/>
              <w:jc w:val="right"/>
              <w:rPr>
                <w:snapToGrid w:val="0"/>
                <w:color w:val="auto"/>
                <w:kern w:val="0"/>
                <w:sz w:val="24"/>
                <w:highlight w:val="none"/>
              </w:rPr>
            </w:pPr>
            <w:r>
              <w:rPr>
                <w:snapToGrid w:val="0"/>
                <w:color w:val="auto"/>
                <w:kern w:val="0"/>
                <w:sz w:val="24"/>
                <w:highlight w:val="none"/>
              </w:rPr>
              <w:t>　</w:t>
            </w:r>
          </w:p>
        </w:tc>
        <w:tc>
          <w:tcPr>
            <w:tcW w:w="2058" w:type="dxa"/>
            <w:tcBorders>
              <w:top w:val="nil"/>
              <w:left w:val="nil"/>
              <w:bottom w:val="single" w:color="auto" w:sz="4" w:space="0"/>
              <w:right w:val="single" w:color="auto" w:sz="4" w:space="0"/>
            </w:tcBorders>
            <w:shd w:val="clear" w:color="auto" w:fill="auto"/>
            <w:noWrap/>
            <w:vAlign w:val="center"/>
          </w:tcPr>
          <w:p w14:paraId="5856D41F">
            <w:pPr>
              <w:widowControl/>
              <w:jc w:val="right"/>
              <w:rPr>
                <w:snapToGrid w:val="0"/>
                <w:color w:val="auto"/>
                <w:kern w:val="0"/>
                <w:sz w:val="24"/>
                <w:highlight w:val="none"/>
              </w:rPr>
            </w:pPr>
            <w:r>
              <w:rPr>
                <w:snapToGrid w:val="0"/>
                <w:color w:val="auto"/>
                <w:kern w:val="0"/>
                <w:sz w:val="24"/>
                <w:highlight w:val="none"/>
              </w:rPr>
              <w:t>　</w:t>
            </w:r>
          </w:p>
        </w:tc>
      </w:tr>
      <w:tr w14:paraId="1A38B18E">
        <w:tblPrEx>
          <w:tblCellMar>
            <w:top w:w="0" w:type="dxa"/>
            <w:left w:w="108" w:type="dxa"/>
            <w:bottom w:w="0" w:type="dxa"/>
            <w:right w:w="108" w:type="dxa"/>
          </w:tblCellMar>
        </w:tblPrEx>
        <w:trPr>
          <w:trHeight w:val="315" w:hRule="atLeast"/>
        </w:trPr>
        <w:tc>
          <w:tcPr>
            <w:tcW w:w="2114" w:type="dxa"/>
            <w:vMerge w:val="continue"/>
            <w:tcBorders>
              <w:top w:val="nil"/>
              <w:left w:val="single" w:color="auto" w:sz="4" w:space="0"/>
              <w:bottom w:val="single" w:color="auto" w:sz="4" w:space="0"/>
              <w:right w:val="single" w:color="auto" w:sz="4" w:space="0"/>
            </w:tcBorders>
            <w:vAlign w:val="center"/>
          </w:tcPr>
          <w:p w14:paraId="0AA2A352">
            <w:pPr>
              <w:widowControl/>
              <w:jc w:val="left"/>
              <w:rPr>
                <w:rFonts w:ascii="宋体" w:hAnsi="宋体" w:cs="宋体"/>
                <w:snapToGrid w:val="0"/>
                <w:color w:val="auto"/>
                <w:kern w:val="0"/>
                <w:sz w:val="24"/>
                <w:highlight w:val="none"/>
              </w:rPr>
            </w:pPr>
          </w:p>
        </w:tc>
        <w:tc>
          <w:tcPr>
            <w:tcW w:w="1867" w:type="dxa"/>
            <w:gridSpan w:val="3"/>
            <w:tcBorders>
              <w:top w:val="single" w:color="auto" w:sz="4" w:space="0"/>
              <w:left w:val="nil"/>
              <w:bottom w:val="single" w:color="auto" w:sz="4" w:space="0"/>
              <w:right w:val="single" w:color="auto" w:sz="4" w:space="0"/>
            </w:tcBorders>
            <w:shd w:val="clear" w:color="auto" w:fill="auto"/>
            <w:noWrap/>
            <w:vAlign w:val="center"/>
          </w:tcPr>
          <w:p w14:paraId="1E129BD9">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40" w:type="dxa"/>
            <w:gridSpan w:val="3"/>
            <w:tcBorders>
              <w:top w:val="single" w:color="auto" w:sz="4" w:space="0"/>
              <w:left w:val="nil"/>
              <w:bottom w:val="single" w:color="auto" w:sz="4" w:space="0"/>
              <w:right w:val="single" w:color="000000" w:sz="4" w:space="0"/>
            </w:tcBorders>
            <w:shd w:val="clear" w:color="auto" w:fill="auto"/>
            <w:noWrap/>
            <w:vAlign w:val="center"/>
          </w:tcPr>
          <w:p w14:paraId="0B66C319">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561" w:type="dxa"/>
            <w:gridSpan w:val="2"/>
            <w:tcBorders>
              <w:top w:val="nil"/>
              <w:left w:val="nil"/>
              <w:bottom w:val="single" w:color="auto" w:sz="4" w:space="0"/>
              <w:right w:val="single" w:color="auto" w:sz="4" w:space="0"/>
            </w:tcBorders>
            <w:shd w:val="clear" w:color="auto" w:fill="auto"/>
            <w:noWrap/>
            <w:vAlign w:val="center"/>
          </w:tcPr>
          <w:p w14:paraId="2BC20472">
            <w:pPr>
              <w:widowControl/>
              <w:jc w:val="right"/>
              <w:rPr>
                <w:snapToGrid w:val="0"/>
                <w:color w:val="auto"/>
                <w:kern w:val="0"/>
                <w:sz w:val="24"/>
                <w:highlight w:val="none"/>
              </w:rPr>
            </w:pPr>
            <w:r>
              <w:rPr>
                <w:snapToGrid w:val="0"/>
                <w:color w:val="auto"/>
                <w:kern w:val="0"/>
                <w:sz w:val="24"/>
                <w:highlight w:val="none"/>
              </w:rPr>
              <w:t>　</w:t>
            </w:r>
          </w:p>
        </w:tc>
        <w:tc>
          <w:tcPr>
            <w:tcW w:w="2058" w:type="dxa"/>
            <w:tcBorders>
              <w:top w:val="nil"/>
              <w:left w:val="nil"/>
              <w:bottom w:val="single" w:color="auto" w:sz="4" w:space="0"/>
              <w:right w:val="single" w:color="auto" w:sz="4" w:space="0"/>
            </w:tcBorders>
            <w:shd w:val="clear" w:color="auto" w:fill="auto"/>
            <w:noWrap/>
            <w:vAlign w:val="center"/>
          </w:tcPr>
          <w:p w14:paraId="6696DE69">
            <w:pPr>
              <w:widowControl/>
              <w:jc w:val="right"/>
              <w:rPr>
                <w:snapToGrid w:val="0"/>
                <w:color w:val="auto"/>
                <w:kern w:val="0"/>
                <w:sz w:val="24"/>
                <w:highlight w:val="none"/>
              </w:rPr>
            </w:pPr>
            <w:r>
              <w:rPr>
                <w:snapToGrid w:val="0"/>
                <w:color w:val="auto"/>
                <w:kern w:val="0"/>
                <w:sz w:val="24"/>
                <w:highlight w:val="none"/>
              </w:rPr>
              <w:t>　</w:t>
            </w:r>
          </w:p>
        </w:tc>
      </w:tr>
      <w:tr w14:paraId="2DEBA815">
        <w:tblPrEx>
          <w:tblCellMar>
            <w:top w:w="0" w:type="dxa"/>
            <w:left w:w="108" w:type="dxa"/>
            <w:bottom w:w="0" w:type="dxa"/>
            <w:right w:w="108" w:type="dxa"/>
          </w:tblCellMar>
        </w:tblPrEx>
        <w:trPr>
          <w:trHeight w:val="315" w:hRule="atLeast"/>
        </w:trPr>
        <w:tc>
          <w:tcPr>
            <w:tcW w:w="2114" w:type="dxa"/>
            <w:vMerge w:val="continue"/>
            <w:tcBorders>
              <w:top w:val="nil"/>
              <w:left w:val="single" w:color="auto" w:sz="4" w:space="0"/>
              <w:bottom w:val="single" w:color="auto" w:sz="4" w:space="0"/>
              <w:right w:val="single" w:color="auto" w:sz="4" w:space="0"/>
            </w:tcBorders>
            <w:vAlign w:val="center"/>
          </w:tcPr>
          <w:p w14:paraId="6F69D562">
            <w:pPr>
              <w:widowControl/>
              <w:jc w:val="left"/>
              <w:rPr>
                <w:rFonts w:ascii="宋体" w:hAnsi="宋体" w:cs="宋体"/>
                <w:snapToGrid w:val="0"/>
                <w:color w:val="auto"/>
                <w:kern w:val="0"/>
                <w:sz w:val="24"/>
                <w:highlight w:val="none"/>
              </w:rPr>
            </w:pPr>
          </w:p>
        </w:tc>
        <w:tc>
          <w:tcPr>
            <w:tcW w:w="1867" w:type="dxa"/>
            <w:gridSpan w:val="3"/>
            <w:tcBorders>
              <w:top w:val="single" w:color="auto" w:sz="4" w:space="0"/>
              <w:left w:val="nil"/>
              <w:bottom w:val="single" w:color="auto" w:sz="4" w:space="0"/>
              <w:right w:val="single" w:color="auto" w:sz="4" w:space="0"/>
            </w:tcBorders>
            <w:shd w:val="clear" w:color="auto" w:fill="auto"/>
            <w:noWrap/>
            <w:vAlign w:val="center"/>
          </w:tcPr>
          <w:p w14:paraId="1DB76D8A">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40" w:type="dxa"/>
            <w:gridSpan w:val="3"/>
            <w:tcBorders>
              <w:top w:val="single" w:color="auto" w:sz="4" w:space="0"/>
              <w:left w:val="nil"/>
              <w:bottom w:val="single" w:color="auto" w:sz="4" w:space="0"/>
              <w:right w:val="single" w:color="000000" w:sz="4" w:space="0"/>
            </w:tcBorders>
            <w:shd w:val="clear" w:color="auto" w:fill="auto"/>
            <w:noWrap/>
            <w:vAlign w:val="center"/>
          </w:tcPr>
          <w:p w14:paraId="37498A47">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561" w:type="dxa"/>
            <w:gridSpan w:val="2"/>
            <w:tcBorders>
              <w:top w:val="nil"/>
              <w:left w:val="nil"/>
              <w:bottom w:val="single" w:color="auto" w:sz="4" w:space="0"/>
              <w:right w:val="single" w:color="auto" w:sz="4" w:space="0"/>
            </w:tcBorders>
            <w:shd w:val="clear" w:color="auto" w:fill="auto"/>
            <w:noWrap/>
            <w:vAlign w:val="center"/>
          </w:tcPr>
          <w:p w14:paraId="21E7B9A4">
            <w:pPr>
              <w:widowControl/>
              <w:jc w:val="right"/>
              <w:rPr>
                <w:snapToGrid w:val="0"/>
                <w:color w:val="auto"/>
                <w:kern w:val="0"/>
                <w:sz w:val="24"/>
                <w:highlight w:val="none"/>
              </w:rPr>
            </w:pPr>
            <w:r>
              <w:rPr>
                <w:snapToGrid w:val="0"/>
                <w:color w:val="auto"/>
                <w:kern w:val="0"/>
                <w:sz w:val="24"/>
                <w:highlight w:val="none"/>
              </w:rPr>
              <w:t>　</w:t>
            </w:r>
          </w:p>
        </w:tc>
        <w:tc>
          <w:tcPr>
            <w:tcW w:w="2058" w:type="dxa"/>
            <w:tcBorders>
              <w:top w:val="nil"/>
              <w:left w:val="nil"/>
              <w:bottom w:val="single" w:color="auto" w:sz="4" w:space="0"/>
              <w:right w:val="single" w:color="auto" w:sz="4" w:space="0"/>
            </w:tcBorders>
            <w:shd w:val="clear" w:color="auto" w:fill="auto"/>
            <w:noWrap/>
            <w:vAlign w:val="center"/>
          </w:tcPr>
          <w:p w14:paraId="788D79EC">
            <w:pPr>
              <w:widowControl/>
              <w:jc w:val="right"/>
              <w:rPr>
                <w:snapToGrid w:val="0"/>
                <w:color w:val="auto"/>
                <w:kern w:val="0"/>
                <w:sz w:val="24"/>
                <w:highlight w:val="none"/>
              </w:rPr>
            </w:pPr>
            <w:r>
              <w:rPr>
                <w:snapToGrid w:val="0"/>
                <w:color w:val="auto"/>
                <w:kern w:val="0"/>
                <w:sz w:val="24"/>
                <w:highlight w:val="none"/>
              </w:rPr>
              <w:t>　</w:t>
            </w:r>
          </w:p>
        </w:tc>
      </w:tr>
      <w:tr w14:paraId="02A833E3">
        <w:tblPrEx>
          <w:tblCellMar>
            <w:top w:w="0" w:type="dxa"/>
            <w:left w:w="108" w:type="dxa"/>
            <w:bottom w:w="0" w:type="dxa"/>
            <w:right w:w="108" w:type="dxa"/>
          </w:tblCellMar>
        </w:tblPrEx>
        <w:trPr>
          <w:trHeight w:val="315" w:hRule="atLeast"/>
        </w:trPr>
        <w:tc>
          <w:tcPr>
            <w:tcW w:w="2114" w:type="dxa"/>
            <w:vMerge w:val="continue"/>
            <w:tcBorders>
              <w:top w:val="nil"/>
              <w:left w:val="single" w:color="auto" w:sz="4" w:space="0"/>
              <w:bottom w:val="single" w:color="auto" w:sz="4" w:space="0"/>
              <w:right w:val="single" w:color="auto" w:sz="4" w:space="0"/>
            </w:tcBorders>
            <w:vAlign w:val="center"/>
          </w:tcPr>
          <w:p w14:paraId="0F78BD65">
            <w:pPr>
              <w:widowControl/>
              <w:jc w:val="left"/>
              <w:rPr>
                <w:rFonts w:ascii="宋体" w:hAnsi="宋体" w:cs="宋体"/>
                <w:snapToGrid w:val="0"/>
                <w:color w:val="auto"/>
                <w:kern w:val="0"/>
                <w:sz w:val="24"/>
                <w:highlight w:val="none"/>
              </w:rPr>
            </w:pPr>
          </w:p>
        </w:tc>
        <w:tc>
          <w:tcPr>
            <w:tcW w:w="1867" w:type="dxa"/>
            <w:gridSpan w:val="3"/>
            <w:tcBorders>
              <w:top w:val="single" w:color="auto" w:sz="4" w:space="0"/>
              <w:left w:val="nil"/>
              <w:bottom w:val="single" w:color="auto" w:sz="4" w:space="0"/>
              <w:right w:val="single" w:color="auto" w:sz="4" w:space="0"/>
            </w:tcBorders>
            <w:shd w:val="clear" w:color="auto" w:fill="auto"/>
            <w:noWrap/>
            <w:vAlign w:val="center"/>
          </w:tcPr>
          <w:p w14:paraId="682E4411">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40" w:type="dxa"/>
            <w:gridSpan w:val="3"/>
            <w:tcBorders>
              <w:top w:val="single" w:color="auto" w:sz="4" w:space="0"/>
              <w:left w:val="nil"/>
              <w:bottom w:val="single" w:color="auto" w:sz="4" w:space="0"/>
              <w:right w:val="single" w:color="000000" w:sz="4" w:space="0"/>
            </w:tcBorders>
            <w:shd w:val="clear" w:color="auto" w:fill="auto"/>
            <w:noWrap/>
            <w:vAlign w:val="center"/>
          </w:tcPr>
          <w:p w14:paraId="1AF2AEB5">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561" w:type="dxa"/>
            <w:gridSpan w:val="2"/>
            <w:tcBorders>
              <w:top w:val="nil"/>
              <w:left w:val="nil"/>
              <w:bottom w:val="single" w:color="auto" w:sz="4" w:space="0"/>
              <w:right w:val="single" w:color="auto" w:sz="4" w:space="0"/>
            </w:tcBorders>
            <w:shd w:val="clear" w:color="auto" w:fill="auto"/>
            <w:noWrap/>
            <w:vAlign w:val="center"/>
          </w:tcPr>
          <w:p w14:paraId="7F4728B2">
            <w:pPr>
              <w:widowControl/>
              <w:jc w:val="right"/>
              <w:rPr>
                <w:snapToGrid w:val="0"/>
                <w:color w:val="auto"/>
                <w:kern w:val="0"/>
                <w:sz w:val="24"/>
                <w:highlight w:val="none"/>
              </w:rPr>
            </w:pPr>
            <w:r>
              <w:rPr>
                <w:snapToGrid w:val="0"/>
                <w:color w:val="auto"/>
                <w:kern w:val="0"/>
                <w:sz w:val="24"/>
                <w:highlight w:val="none"/>
              </w:rPr>
              <w:t>　</w:t>
            </w:r>
          </w:p>
        </w:tc>
        <w:tc>
          <w:tcPr>
            <w:tcW w:w="2058" w:type="dxa"/>
            <w:tcBorders>
              <w:top w:val="nil"/>
              <w:left w:val="nil"/>
              <w:bottom w:val="single" w:color="auto" w:sz="4" w:space="0"/>
              <w:right w:val="single" w:color="auto" w:sz="4" w:space="0"/>
            </w:tcBorders>
            <w:shd w:val="clear" w:color="auto" w:fill="auto"/>
            <w:noWrap/>
            <w:vAlign w:val="center"/>
          </w:tcPr>
          <w:p w14:paraId="56242B6E">
            <w:pPr>
              <w:widowControl/>
              <w:jc w:val="right"/>
              <w:rPr>
                <w:snapToGrid w:val="0"/>
                <w:color w:val="auto"/>
                <w:kern w:val="0"/>
                <w:sz w:val="24"/>
                <w:highlight w:val="none"/>
              </w:rPr>
            </w:pPr>
            <w:r>
              <w:rPr>
                <w:snapToGrid w:val="0"/>
                <w:color w:val="auto"/>
                <w:kern w:val="0"/>
                <w:sz w:val="24"/>
                <w:highlight w:val="none"/>
              </w:rPr>
              <w:t>　</w:t>
            </w:r>
          </w:p>
        </w:tc>
      </w:tr>
      <w:tr w14:paraId="733F4B5B">
        <w:tblPrEx>
          <w:tblCellMar>
            <w:top w:w="0" w:type="dxa"/>
            <w:left w:w="108" w:type="dxa"/>
            <w:bottom w:w="0" w:type="dxa"/>
            <w:right w:w="108" w:type="dxa"/>
          </w:tblCellMar>
        </w:tblPrEx>
        <w:trPr>
          <w:trHeight w:val="315" w:hRule="atLeast"/>
        </w:trPr>
        <w:tc>
          <w:tcPr>
            <w:tcW w:w="6321"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272A514D">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本类合计</w:t>
            </w:r>
          </w:p>
        </w:tc>
        <w:tc>
          <w:tcPr>
            <w:tcW w:w="1561" w:type="dxa"/>
            <w:gridSpan w:val="2"/>
            <w:tcBorders>
              <w:top w:val="nil"/>
              <w:left w:val="nil"/>
              <w:bottom w:val="single" w:color="auto" w:sz="4" w:space="0"/>
              <w:right w:val="single" w:color="auto" w:sz="4" w:space="0"/>
            </w:tcBorders>
            <w:shd w:val="clear" w:color="auto" w:fill="auto"/>
            <w:noWrap/>
            <w:vAlign w:val="center"/>
          </w:tcPr>
          <w:p w14:paraId="1502FB06">
            <w:pPr>
              <w:widowControl/>
              <w:jc w:val="right"/>
              <w:rPr>
                <w:snapToGrid w:val="0"/>
                <w:color w:val="auto"/>
                <w:kern w:val="0"/>
                <w:sz w:val="24"/>
                <w:highlight w:val="none"/>
              </w:rPr>
            </w:pPr>
            <w:r>
              <w:rPr>
                <w:snapToGrid w:val="0"/>
                <w:color w:val="auto"/>
                <w:kern w:val="0"/>
                <w:sz w:val="24"/>
                <w:highlight w:val="none"/>
              </w:rPr>
              <w:t xml:space="preserve">      -   </w:t>
            </w:r>
          </w:p>
        </w:tc>
        <w:tc>
          <w:tcPr>
            <w:tcW w:w="2058" w:type="dxa"/>
            <w:tcBorders>
              <w:top w:val="nil"/>
              <w:left w:val="nil"/>
              <w:bottom w:val="single" w:color="auto" w:sz="4" w:space="0"/>
              <w:right w:val="single" w:color="auto" w:sz="4" w:space="0"/>
            </w:tcBorders>
            <w:shd w:val="clear" w:color="auto" w:fill="auto"/>
            <w:noWrap/>
            <w:vAlign w:val="center"/>
          </w:tcPr>
          <w:p w14:paraId="6485E799">
            <w:pPr>
              <w:widowControl/>
              <w:jc w:val="right"/>
              <w:rPr>
                <w:snapToGrid w:val="0"/>
                <w:color w:val="auto"/>
                <w:kern w:val="0"/>
                <w:sz w:val="24"/>
                <w:highlight w:val="none"/>
              </w:rPr>
            </w:pPr>
            <w:r>
              <w:rPr>
                <w:snapToGrid w:val="0"/>
                <w:color w:val="auto"/>
                <w:kern w:val="0"/>
                <w:sz w:val="24"/>
                <w:highlight w:val="none"/>
              </w:rPr>
              <w:t xml:space="preserve">              -   </w:t>
            </w:r>
          </w:p>
        </w:tc>
      </w:tr>
      <w:tr w14:paraId="45565D3F">
        <w:tblPrEx>
          <w:tblCellMar>
            <w:top w:w="0" w:type="dxa"/>
            <w:left w:w="108" w:type="dxa"/>
            <w:bottom w:w="0" w:type="dxa"/>
            <w:right w:w="108" w:type="dxa"/>
          </w:tblCellMar>
        </w:tblPrEx>
        <w:trPr>
          <w:trHeight w:val="315" w:hRule="atLeast"/>
        </w:trPr>
        <w:tc>
          <w:tcPr>
            <w:tcW w:w="6321"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316C8102">
            <w:pPr>
              <w:widowControl/>
              <w:jc w:val="center"/>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总计</w:t>
            </w:r>
          </w:p>
        </w:tc>
        <w:tc>
          <w:tcPr>
            <w:tcW w:w="1561" w:type="dxa"/>
            <w:gridSpan w:val="2"/>
            <w:tcBorders>
              <w:top w:val="nil"/>
              <w:left w:val="nil"/>
              <w:bottom w:val="single" w:color="auto" w:sz="4" w:space="0"/>
              <w:right w:val="single" w:color="auto" w:sz="4" w:space="0"/>
            </w:tcBorders>
            <w:shd w:val="clear" w:color="auto" w:fill="auto"/>
            <w:noWrap/>
            <w:vAlign w:val="center"/>
          </w:tcPr>
          <w:p w14:paraId="7E6D4720">
            <w:pPr>
              <w:widowControl/>
              <w:jc w:val="right"/>
              <w:rPr>
                <w:b/>
                <w:bCs/>
                <w:snapToGrid w:val="0"/>
                <w:color w:val="auto"/>
                <w:kern w:val="0"/>
                <w:sz w:val="24"/>
                <w:highlight w:val="none"/>
              </w:rPr>
            </w:pPr>
            <w:r>
              <w:rPr>
                <w:b/>
                <w:bCs/>
                <w:snapToGrid w:val="0"/>
                <w:color w:val="auto"/>
                <w:kern w:val="0"/>
                <w:sz w:val="24"/>
                <w:highlight w:val="none"/>
              </w:rPr>
              <w:t xml:space="preserve">      -   </w:t>
            </w:r>
          </w:p>
        </w:tc>
        <w:tc>
          <w:tcPr>
            <w:tcW w:w="2058" w:type="dxa"/>
            <w:tcBorders>
              <w:top w:val="nil"/>
              <w:left w:val="nil"/>
              <w:bottom w:val="single" w:color="auto" w:sz="4" w:space="0"/>
              <w:right w:val="single" w:color="auto" w:sz="4" w:space="0"/>
            </w:tcBorders>
            <w:shd w:val="clear" w:color="auto" w:fill="auto"/>
            <w:noWrap/>
            <w:vAlign w:val="center"/>
          </w:tcPr>
          <w:p w14:paraId="3873D050">
            <w:pPr>
              <w:widowControl/>
              <w:jc w:val="right"/>
              <w:rPr>
                <w:b/>
                <w:bCs/>
                <w:snapToGrid w:val="0"/>
                <w:color w:val="auto"/>
                <w:kern w:val="0"/>
                <w:sz w:val="24"/>
                <w:highlight w:val="none"/>
              </w:rPr>
            </w:pPr>
            <w:r>
              <w:rPr>
                <w:b/>
                <w:bCs/>
                <w:snapToGrid w:val="0"/>
                <w:color w:val="auto"/>
                <w:kern w:val="0"/>
                <w:sz w:val="24"/>
                <w:highlight w:val="none"/>
              </w:rPr>
              <w:t xml:space="preserve">              -   </w:t>
            </w:r>
          </w:p>
        </w:tc>
      </w:tr>
      <w:tr w14:paraId="00840E7E">
        <w:tblPrEx>
          <w:tblCellMar>
            <w:top w:w="0" w:type="dxa"/>
            <w:left w:w="108" w:type="dxa"/>
            <w:bottom w:w="0" w:type="dxa"/>
            <w:right w:w="108" w:type="dxa"/>
          </w:tblCellMar>
        </w:tblPrEx>
        <w:trPr>
          <w:trHeight w:val="285" w:hRule="atLeast"/>
        </w:trPr>
        <w:tc>
          <w:tcPr>
            <w:tcW w:w="9940" w:type="dxa"/>
            <w:gridSpan w:val="10"/>
            <w:tcBorders>
              <w:top w:val="nil"/>
              <w:left w:val="nil"/>
              <w:bottom w:val="nil"/>
              <w:right w:val="nil"/>
            </w:tcBorders>
            <w:shd w:val="clear" w:color="auto" w:fill="auto"/>
            <w:noWrap/>
            <w:vAlign w:val="center"/>
          </w:tcPr>
          <w:p w14:paraId="37EE5D9C">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备注：1.本表根据本期审定资金额编制用款计划（加盖单位公章），连同计量相关资料报送</w:t>
            </w:r>
          </w:p>
        </w:tc>
      </w:tr>
      <w:tr w14:paraId="290F9B0B">
        <w:tblPrEx>
          <w:tblCellMar>
            <w:top w:w="0" w:type="dxa"/>
            <w:left w:w="108" w:type="dxa"/>
            <w:bottom w:w="0" w:type="dxa"/>
            <w:right w:w="108" w:type="dxa"/>
          </w:tblCellMar>
        </w:tblPrEx>
        <w:trPr>
          <w:trHeight w:val="285" w:hRule="atLeast"/>
        </w:trPr>
        <w:tc>
          <w:tcPr>
            <w:tcW w:w="7460" w:type="dxa"/>
            <w:gridSpan w:val="8"/>
            <w:tcBorders>
              <w:top w:val="nil"/>
              <w:left w:val="nil"/>
              <w:bottom w:val="nil"/>
              <w:right w:val="nil"/>
            </w:tcBorders>
            <w:shd w:val="clear" w:color="auto" w:fill="auto"/>
            <w:noWrap/>
            <w:vAlign w:val="center"/>
          </w:tcPr>
          <w:p w14:paraId="095FC8BA">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2.A、B、C类别划分由广州市越秀区代建项目管理中心 工程部根据实际情况审定</w:t>
            </w:r>
          </w:p>
        </w:tc>
        <w:tc>
          <w:tcPr>
            <w:tcW w:w="422" w:type="dxa"/>
            <w:tcBorders>
              <w:top w:val="nil"/>
              <w:left w:val="nil"/>
              <w:bottom w:val="nil"/>
              <w:right w:val="nil"/>
            </w:tcBorders>
            <w:shd w:val="clear" w:color="auto" w:fill="auto"/>
            <w:noWrap/>
            <w:vAlign w:val="center"/>
          </w:tcPr>
          <w:p w14:paraId="4612C138">
            <w:pPr>
              <w:widowControl/>
              <w:jc w:val="left"/>
              <w:rPr>
                <w:rFonts w:ascii="宋体" w:hAnsi="宋体" w:cs="宋体"/>
                <w:snapToGrid w:val="0"/>
                <w:color w:val="auto"/>
                <w:kern w:val="0"/>
                <w:sz w:val="24"/>
                <w:highlight w:val="none"/>
              </w:rPr>
            </w:pPr>
          </w:p>
        </w:tc>
        <w:tc>
          <w:tcPr>
            <w:tcW w:w="2058" w:type="dxa"/>
            <w:tcBorders>
              <w:top w:val="nil"/>
              <w:left w:val="nil"/>
              <w:bottom w:val="nil"/>
              <w:right w:val="nil"/>
            </w:tcBorders>
            <w:shd w:val="clear" w:color="auto" w:fill="auto"/>
            <w:noWrap/>
            <w:vAlign w:val="center"/>
          </w:tcPr>
          <w:p w14:paraId="6BE91BCF">
            <w:pPr>
              <w:widowControl/>
              <w:jc w:val="left"/>
              <w:rPr>
                <w:rFonts w:ascii="宋体" w:hAnsi="宋体" w:cs="宋体"/>
                <w:snapToGrid w:val="0"/>
                <w:color w:val="auto"/>
                <w:kern w:val="0"/>
                <w:sz w:val="24"/>
                <w:highlight w:val="none"/>
              </w:rPr>
            </w:pPr>
          </w:p>
        </w:tc>
      </w:tr>
      <w:tr w14:paraId="41E8257B">
        <w:tblPrEx>
          <w:tblCellMar>
            <w:top w:w="0" w:type="dxa"/>
            <w:left w:w="108" w:type="dxa"/>
            <w:bottom w:w="0" w:type="dxa"/>
            <w:right w:w="108" w:type="dxa"/>
          </w:tblCellMar>
        </w:tblPrEx>
        <w:trPr>
          <w:trHeight w:val="285" w:hRule="atLeast"/>
        </w:trPr>
        <w:tc>
          <w:tcPr>
            <w:tcW w:w="4426" w:type="dxa"/>
            <w:gridSpan w:val="5"/>
            <w:tcBorders>
              <w:top w:val="nil"/>
              <w:left w:val="nil"/>
              <w:bottom w:val="nil"/>
              <w:right w:val="nil"/>
            </w:tcBorders>
            <w:shd w:val="clear" w:color="auto" w:fill="auto"/>
            <w:noWrap/>
            <w:vAlign w:val="center"/>
          </w:tcPr>
          <w:p w14:paraId="69AC6067">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3.工资发放明细表附后</w:t>
            </w:r>
          </w:p>
        </w:tc>
        <w:tc>
          <w:tcPr>
            <w:tcW w:w="1355" w:type="dxa"/>
            <w:tcBorders>
              <w:top w:val="nil"/>
              <w:left w:val="nil"/>
              <w:bottom w:val="nil"/>
              <w:right w:val="nil"/>
            </w:tcBorders>
            <w:shd w:val="clear" w:color="auto" w:fill="auto"/>
            <w:noWrap/>
            <w:vAlign w:val="center"/>
          </w:tcPr>
          <w:p w14:paraId="13B783A8">
            <w:pPr>
              <w:widowControl/>
              <w:jc w:val="left"/>
              <w:rPr>
                <w:rFonts w:ascii="宋体" w:hAnsi="宋体" w:cs="宋体"/>
                <w:snapToGrid w:val="0"/>
                <w:color w:val="auto"/>
                <w:kern w:val="0"/>
                <w:sz w:val="24"/>
                <w:highlight w:val="none"/>
              </w:rPr>
            </w:pPr>
          </w:p>
        </w:tc>
        <w:tc>
          <w:tcPr>
            <w:tcW w:w="1679" w:type="dxa"/>
            <w:gridSpan w:val="2"/>
            <w:tcBorders>
              <w:top w:val="nil"/>
              <w:left w:val="nil"/>
              <w:bottom w:val="nil"/>
              <w:right w:val="nil"/>
            </w:tcBorders>
            <w:shd w:val="clear" w:color="auto" w:fill="auto"/>
            <w:noWrap/>
            <w:vAlign w:val="center"/>
          </w:tcPr>
          <w:p w14:paraId="3E91A600">
            <w:pPr>
              <w:widowControl/>
              <w:jc w:val="left"/>
              <w:rPr>
                <w:rFonts w:ascii="宋体" w:hAnsi="宋体" w:cs="宋体"/>
                <w:snapToGrid w:val="0"/>
                <w:color w:val="auto"/>
                <w:kern w:val="0"/>
                <w:sz w:val="24"/>
                <w:highlight w:val="none"/>
              </w:rPr>
            </w:pPr>
          </w:p>
        </w:tc>
        <w:tc>
          <w:tcPr>
            <w:tcW w:w="422" w:type="dxa"/>
            <w:tcBorders>
              <w:top w:val="nil"/>
              <w:left w:val="nil"/>
              <w:bottom w:val="nil"/>
              <w:right w:val="nil"/>
            </w:tcBorders>
            <w:shd w:val="clear" w:color="auto" w:fill="auto"/>
            <w:noWrap/>
            <w:vAlign w:val="center"/>
          </w:tcPr>
          <w:p w14:paraId="38FF7F51">
            <w:pPr>
              <w:widowControl/>
              <w:jc w:val="left"/>
              <w:rPr>
                <w:rFonts w:ascii="宋体" w:hAnsi="宋体" w:cs="宋体"/>
                <w:snapToGrid w:val="0"/>
                <w:color w:val="auto"/>
                <w:kern w:val="0"/>
                <w:sz w:val="24"/>
                <w:highlight w:val="none"/>
              </w:rPr>
            </w:pPr>
          </w:p>
        </w:tc>
        <w:tc>
          <w:tcPr>
            <w:tcW w:w="2058" w:type="dxa"/>
            <w:tcBorders>
              <w:top w:val="nil"/>
              <w:left w:val="nil"/>
              <w:bottom w:val="nil"/>
              <w:right w:val="nil"/>
            </w:tcBorders>
            <w:shd w:val="clear" w:color="auto" w:fill="auto"/>
            <w:noWrap/>
            <w:vAlign w:val="center"/>
          </w:tcPr>
          <w:p w14:paraId="39BC6754">
            <w:pPr>
              <w:widowControl/>
              <w:jc w:val="left"/>
              <w:rPr>
                <w:rFonts w:ascii="宋体" w:hAnsi="宋体" w:cs="宋体"/>
                <w:snapToGrid w:val="0"/>
                <w:color w:val="auto"/>
                <w:kern w:val="0"/>
                <w:sz w:val="24"/>
                <w:highlight w:val="none"/>
              </w:rPr>
            </w:pPr>
          </w:p>
        </w:tc>
      </w:tr>
      <w:tr w14:paraId="5DDAC8FB">
        <w:tblPrEx>
          <w:tblCellMar>
            <w:top w:w="0" w:type="dxa"/>
            <w:left w:w="108" w:type="dxa"/>
            <w:bottom w:w="0" w:type="dxa"/>
            <w:right w:w="108" w:type="dxa"/>
          </w:tblCellMar>
        </w:tblPrEx>
        <w:trPr>
          <w:trHeight w:val="285" w:hRule="atLeast"/>
        </w:trPr>
        <w:tc>
          <w:tcPr>
            <w:tcW w:w="2114" w:type="dxa"/>
            <w:tcBorders>
              <w:top w:val="nil"/>
              <w:left w:val="nil"/>
              <w:bottom w:val="nil"/>
              <w:right w:val="nil"/>
            </w:tcBorders>
            <w:shd w:val="clear" w:color="auto" w:fill="auto"/>
            <w:noWrap/>
            <w:vAlign w:val="center"/>
          </w:tcPr>
          <w:p w14:paraId="1C65A112">
            <w:pPr>
              <w:widowControl/>
              <w:jc w:val="left"/>
              <w:rPr>
                <w:rFonts w:ascii="宋体" w:hAnsi="宋体" w:cs="宋体"/>
                <w:snapToGrid w:val="0"/>
                <w:color w:val="auto"/>
                <w:kern w:val="0"/>
                <w:sz w:val="24"/>
                <w:highlight w:val="none"/>
              </w:rPr>
            </w:pPr>
          </w:p>
        </w:tc>
        <w:tc>
          <w:tcPr>
            <w:tcW w:w="236" w:type="dxa"/>
            <w:tcBorders>
              <w:top w:val="nil"/>
              <w:left w:val="nil"/>
              <w:bottom w:val="nil"/>
              <w:right w:val="nil"/>
            </w:tcBorders>
            <w:shd w:val="clear" w:color="auto" w:fill="auto"/>
            <w:noWrap/>
            <w:vAlign w:val="center"/>
          </w:tcPr>
          <w:p w14:paraId="6E42B99D">
            <w:pPr>
              <w:widowControl/>
              <w:jc w:val="left"/>
              <w:rPr>
                <w:rFonts w:ascii="宋体" w:hAnsi="宋体" w:cs="宋体"/>
                <w:snapToGrid w:val="0"/>
                <w:color w:val="auto"/>
                <w:kern w:val="0"/>
                <w:sz w:val="24"/>
                <w:highlight w:val="none"/>
              </w:rPr>
            </w:pPr>
          </w:p>
        </w:tc>
        <w:tc>
          <w:tcPr>
            <w:tcW w:w="2076" w:type="dxa"/>
            <w:gridSpan w:val="3"/>
            <w:tcBorders>
              <w:top w:val="nil"/>
              <w:left w:val="nil"/>
              <w:bottom w:val="nil"/>
              <w:right w:val="nil"/>
            </w:tcBorders>
            <w:shd w:val="clear" w:color="auto" w:fill="auto"/>
            <w:noWrap/>
            <w:vAlign w:val="center"/>
          </w:tcPr>
          <w:p w14:paraId="26B94D8D">
            <w:pPr>
              <w:widowControl/>
              <w:jc w:val="left"/>
              <w:rPr>
                <w:rFonts w:ascii="宋体" w:hAnsi="宋体" w:cs="宋体"/>
                <w:snapToGrid w:val="0"/>
                <w:color w:val="auto"/>
                <w:kern w:val="0"/>
                <w:sz w:val="24"/>
                <w:highlight w:val="none"/>
              </w:rPr>
            </w:pPr>
          </w:p>
        </w:tc>
        <w:tc>
          <w:tcPr>
            <w:tcW w:w="1355" w:type="dxa"/>
            <w:tcBorders>
              <w:top w:val="nil"/>
              <w:left w:val="nil"/>
              <w:bottom w:val="nil"/>
              <w:right w:val="nil"/>
            </w:tcBorders>
            <w:shd w:val="clear" w:color="auto" w:fill="auto"/>
            <w:noWrap/>
            <w:vAlign w:val="center"/>
          </w:tcPr>
          <w:p w14:paraId="3B2F3D17">
            <w:pPr>
              <w:widowControl/>
              <w:jc w:val="left"/>
              <w:rPr>
                <w:rFonts w:ascii="宋体" w:hAnsi="宋体" w:cs="宋体"/>
                <w:snapToGrid w:val="0"/>
                <w:color w:val="auto"/>
                <w:kern w:val="0"/>
                <w:sz w:val="24"/>
                <w:highlight w:val="none"/>
              </w:rPr>
            </w:pPr>
          </w:p>
        </w:tc>
        <w:tc>
          <w:tcPr>
            <w:tcW w:w="1679" w:type="dxa"/>
            <w:gridSpan w:val="2"/>
            <w:tcBorders>
              <w:top w:val="nil"/>
              <w:left w:val="nil"/>
              <w:bottom w:val="nil"/>
              <w:right w:val="nil"/>
            </w:tcBorders>
            <w:shd w:val="clear" w:color="auto" w:fill="auto"/>
            <w:noWrap/>
            <w:vAlign w:val="center"/>
          </w:tcPr>
          <w:p w14:paraId="59EE1F7E">
            <w:pPr>
              <w:widowControl/>
              <w:jc w:val="left"/>
              <w:rPr>
                <w:rFonts w:ascii="宋体" w:hAnsi="宋体" w:cs="宋体"/>
                <w:snapToGrid w:val="0"/>
                <w:color w:val="auto"/>
                <w:kern w:val="0"/>
                <w:sz w:val="24"/>
                <w:highlight w:val="none"/>
              </w:rPr>
            </w:pPr>
          </w:p>
        </w:tc>
        <w:tc>
          <w:tcPr>
            <w:tcW w:w="422" w:type="dxa"/>
            <w:tcBorders>
              <w:top w:val="nil"/>
              <w:left w:val="nil"/>
              <w:bottom w:val="nil"/>
              <w:right w:val="nil"/>
            </w:tcBorders>
            <w:shd w:val="clear" w:color="auto" w:fill="auto"/>
            <w:noWrap/>
            <w:vAlign w:val="center"/>
          </w:tcPr>
          <w:p w14:paraId="62297B58">
            <w:pPr>
              <w:widowControl/>
              <w:jc w:val="left"/>
              <w:rPr>
                <w:rFonts w:ascii="宋体" w:hAnsi="宋体" w:cs="宋体"/>
                <w:snapToGrid w:val="0"/>
                <w:color w:val="auto"/>
                <w:kern w:val="0"/>
                <w:sz w:val="24"/>
                <w:highlight w:val="none"/>
              </w:rPr>
            </w:pPr>
          </w:p>
        </w:tc>
        <w:tc>
          <w:tcPr>
            <w:tcW w:w="2058" w:type="dxa"/>
            <w:tcBorders>
              <w:top w:val="nil"/>
              <w:left w:val="nil"/>
              <w:bottom w:val="nil"/>
              <w:right w:val="nil"/>
            </w:tcBorders>
            <w:shd w:val="clear" w:color="auto" w:fill="auto"/>
            <w:noWrap/>
            <w:vAlign w:val="center"/>
          </w:tcPr>
          <w:p w14:paraId="559D5274">
            <w:pPr>
              <w:widowControl/>
              <w:jc w:val="left"/>
              <w:rPr>
                <w:rFonts w:ascii="宋体" w:hAnsi="宋体" w:cs="宋体"/>
                <w:snapToGrid w:val="0"/>
                <w:color w:val="auto"/>
                <w:kern w:val="0"/>
                <w:sz w:val="24"/>
                <w:highlight w:val="none"/>
              </w:rPr>
            </w:pPr>
          </w:p>
        </w:tc>
      </w:tr>
      <w:tr w14:paraId="568C1777">
        <w:tblPrEx>
          <w:tblCellMar>
            <w:top w:w="0" w:type="dxa"/>
            <w:left w:w="108" w:type="dxa"/>
            <w:bottom w:w="0" w:type="dxa"/>
            <w:right w:w="108" w:type="dxa"/>
          </w:tblCellMar>
        </w:tblPrEx>
        <w:trPr>
          <w:trHeight w:val="285" w:hRule="atLeast"/>
        </w:trPr>
        <w:tc>
          <w:tcPr>
            <w:tcW w:w="2114" w:type="dxa"/>
            <w:tcBorders>
              <w:top w:val="nil"/>
              <w:left w:val="nil"/>
              <w:bottom w:val="nil"/>
              <w:right w:val="nil"/>
            </w:tcBorders>
            <w:shd w:val="clear" w:color="auto" w:fill="auto"/>
            <w:noWrap/>
            <w:vAlign w:val="center"/>
          </w:tcPr>
          <w:p w14:paraId="68659AE8">
            <w:pPr>
              <w:widowControl/>
              <w:jc w:val="left"/>
              <w:rPr>
                <w:rFonts w:ascii="宋体" w:hAnsi="宋体" w:cs="宋体"/>
                <w:snapToGrid w:val="0"/>
                <w:color w:val="auto"/>
                <w:kern w:val="0"/>
                <w:sz w:val="24"/>
                <w:highlight w:val="none"/>
              </w:rPr>
            </w:pPr>
          </w:p>
        </w:tc>
        <w:tc>
          <w:tcPr>
            <w:tcW w:w="236" w:type="dxa"/>
            <w:tcBorders>
              <w:top w:val="nil"/>
              <w:left w:val="nil"/>
              <w:bottom w:val="nil"/>
              <w:right w:val="nil"/>
            </w:tcBorders>
            <w:shd w:val="clear" w:color="auto" w:fill="auto"/>
            <w:noWrap/>
            <w:vAlign w:val="center"/>
          </w:tcPr>
          <w:p w14:paraId="2A73D2AA">
            <w:pPr>
              <w:widowControl/>
              <w:jc w:val="left"/>
              <w:rPr>
                <w:rFonts w:ascii="宋体" w:hAnsi="宋体" w:cs="宋体"/>
                <w:snapToGrid w:val="0"/>
                <w:color w:val="auto"/>
                <w:kern w:val="0"/>
                <w:sz w:val="24"/>
                <w:highlight w:val="none"/>
              </w:rPr>
            </w:pPr>
          </w:p>
        </w:tc>
        <w:tc>
          <w:tcPr>
            <w:tcW w:w="2076" w:type="dxa"/>
            <w:gridSpan w:val="3"/>
            <w:tcBorders>
              <w:top w:val="nil"/>
              <w:left w:val="nil"/>
              <w:bottom w:val="nil"/>
              <w:right w:val="nil"/>
            </w:tcBorders>
            <w:shd w:val="clear" w:color="auto" w:fill="auto"/>
            <w:noWrap/>
            <w:vAlign w:val="center"/>
          </w:tcPr>
          <w:p w14:paraId="7AE1D673">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广州市越秀区代建项目管理中心 工程部：</w:t>
            </w:r>
          </w:p>
        </w:tc>
        <w:tc>
          <w:tcPr>
            <w:tcW w:w="1355" w:type="dxa"/>
            <w:tcBorders>
              <w:top w:val="nil"/>
              <w:left w:val="nil"/>
              <w:bottom w:val="nil"/>
              <w:right w:val="nil"/>
            </w:tcBorders>
            <w:shd w:val="clear" w:color="auto" w:fill="auto"/>
            <w:noWrap/>
            <w:vAlign w:val="center"/>
          </w:tcPr>
          <w:p w14:paraId="49521FF2">
            <w:pPr>
              <w:widowControl/>
              <w:jc w:val="left"/>
              <w:rPr>
                <w:rFonts w:ascii="宋体" w:hAnsi="宋体" w:cs="宋体"/>
                <w:snapToGrid w:val="0"/>
                <w:color w:val="auto"/>
                <w:kern w:val="0"/>
                <w:sz w:val="24"/>
                <w:highlight w:val="none"/>
              </w:rPr>
            </w:pPr>
          </w:p>
        </w:tc>
        <w:tc>
          <w:tcPr>
            <w:tcW w:w="1679" w:type="dxa"/>
            <w:gridSpan w:val="2"/>
            <w:tcBorders>
              <w:top w:val="nil"/>
              <w:left w:val="nil"/>
              <w:bottom w:val="nil"/>
              <w:right w:val="nil"/>
            </w:tcBorders>
            <w:shd w:val="clear" w:color="auto" w:fill="auto"/>
            <w:noWrap/>
            <w:vAlign w:val="center"/>
          </w:tcPr>
          <w:p w14:paraId="1607ADBD">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单位：</w:t>
            </w:r>
          </w:p>
        </w:tc>
        <w:tc>
          <w:tcPr>
            <w:tcW w:w="422" w:type="dxa"/>
            <w:tcBorders>
              <w:top w:val="nil"/>
              <w:left w:val="nil"/>
              <w:bottom w:val="nil"/>
              <w:right w:val="nil"/>
            </w:tcBorders>
            <w:shd w:val="clear" w:color="auto" w:fill="auto"/>
            <w:noWrap/>
            <w:vAlign w:val="center"/>
          </w:tcPr>
          <w:p w14:paraId="48659F20">
            <w:pPr>
              <w:widowControl/>
              <w:jc w:val="left"/>
              <w:rPr>
                <w:rFonts w:ascii="宋体" w:hAnsi="宋体" w:cs="宋体"/>
                <w:snapToGrid w:val="0"/>
                <w:color w:val="auto"/>
                <w:kern w:val="0"/>
                <w:sz w:val="24"/>
                <w:highlight w:val="none"/>
              </w:rPr>
            </w:pPr>
          </w:p>
        </w:tc>
        <w:tc>
          <w:tcPr>
            <w:tcW w:w="2058" w:type="dxa"/>
            <w:tcBorders>
              <w:top w:val="nil"/>
              <w:left w:val="nil"/>
              <w:bottom w:val="nil"/>
              <w:right w:val="nil"/>
            </w:tcBorders>
            <w:shd w:val="clear" w:color="auto" w:fill="auto"/>
            <w:noWrap/>
            <w:vAlign w:val="center"/>
          </w:tcPr>
          <w:p w14:paraId="5524FF34">
            <w:pPr>
              <w:widowControl/>
              <w:jc w:val="left"/>
              <w:rPr>
                <w:rFonts w:ascii="宋体" w:hAnsi="宋体" w:cs="宋体"/>
                <w:snapToGrid w:val="0"/>
                <w:color w:val="auto"/>
                <w:kern w:val="0"/>
                <w:sz w:val="24"/>
                <w:highlight w:val="none"/>
              </w:rPr>
            </w:pPr>
          </w:p>
        </w:tc>
      </w:tr>
      <w:tr w14:paraId="341F1DC2">
        <w:tblPrEx>
          <w:tblCellMar>
            <w:top w:w="0" w:type="dxa"/>
            <w:left w:w="108" w:type="dxa"/>
            <w:bottom w:w="0" w:type="dxa"/>
            <w:right w:w="108" w:type="dxa"/>
          </w:tblCellMar>
        </w:tblPrEx>
        <w:trPr>
          <w:trHeight w:val="285" w:hRule="atLeast"/>
        </w:trPr>
        <w:tc>
          <w:tcPr>
            <w:tcW w:w="2114" w:type="dxa"/>
            <w:tcBorders>
              <w:top w:val="nil"/>
              <w:left w:val="nil"/>
              <w:bottom w:val="nil"/>
              <w:right w:val="nil"/>
            </w:tcBorders>
            <w:shd w:val="clear" w:color="auto" w:fill="auto"/>
            <w:noWrap/>
            <w:vAlign w:val="center"/>
          </w:tcPr>
          <w:p w14:paraId="1C9E93E2">
            <w:pPr>
              <w:widowControl/>
              <w:jc w:val="left"/>
              <w:rPr>
                <w:rFonts w:ascii="宋体" w:hAnsi="宋体" w:cs="宋体"/>
                <w:snapToGrid w:val="0"/>
                <w:color w:val="auto"/>
                <w:kern w:val="0"/>
                <w:sz w:val="24"/>
                <w:highlight w:val="none"/>
              </w:rPr>
            </w:pPr>
          </w:p>
        </w:tc>
        <w:tc>
          <w:tcPr>
            <w:tcW w:w="236" w:type="dxa"/>
            <w:tcBorders>
              <w:top w:val="nil"/>
              <w:left w:val="nil"/>
              <w:bottom w:val="nil"/>
              <w:right w:val="nil"/>
            </w:tcBorders>
            <w:shd w:val="clear" w:color="auto" w:fill="auto"/>
            <w:noWrap/>
            <w:vAlign w:val="center"/>
          </w:tcPr>
          <w:p w14:paraId="304760C6">
            <w:pPr>
              <w:widowControl/>
              <w:jc w:val="left"/>
              <w:rPr>
                <w:rFonts w:ascii="宋体" w:hAnsi="宋体" w:cs="宋体"/>
                <w:snapToGrid w:val="0"/>
                <w:color w:val="auto"/>
                <w:kern w:val="0"/>
                <w:sz w:val="24"/>
                <w:highlight w:val="none"/>
              </w:rPr>
            </w:pPr>
          </w:p>
        </w:tc>
        <w:tc>
          <w:tcPr>
            <w:tcW w:w="2076" w:type="dxa"/>
            <w:gridSpan w:val="3"/>
            <w:tcBorders>
              <w:top w:val="nil"/>
              <w:left w:val="nil"/>
              <w:bottom w:val="nil"/>
              <w:right w:val="nil"/>
            </w:tcBorders>
            <w:shd w:val="clear" w:color="auto" w:fill="auto"/>
            <w:noWrap/>
            <w:vAlign w:val="center"/>
          </w:tcPr>
          <w:p w14:paraId="34D3883C">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审定日期：</w:t>
            </w:r>
          </w:p>
        </w:tc>
        <w:tc>
          <w:tcPr>
            <w:tcW w:w="1355" w:type="dxa"/>
            <w:tcBorders>
              <w:top w:val="nil"/>
              <w:left w:val="nil"/>
              <w:bottom w:val="nil"/>
              <w:right w:val="nil"/>
            </w:tcBorders>
            <w:shd w:val="clear" w:color="auto" w:fill="auto"/>
            <w:noWrap/>
            <w:vAlign w:val="center"/>
          </w:tcPr>
          <w:p w14:paraId="0BEB8E95">
            <w:pPr>
              <w:widowControl/>
              <w:jc w:val="left"/>
              <w:rPr>
                <w:rFonts w:ascii="宋体" w:hAnsi="宋体" w:cs="宋体"/>
                <w:snapToGrid w:val="0"/>
                <w:color w:val="auto"/>
                <w:kern w:val="0"/>
                <w:sz w:val="24"/>
                <w:highlight w:val="none"/>
              </w:rPr>
            </w:pPr>
          </w:p>
        </w:tc>
        <w:tc>
          <w:tcPr>
            <w:tcW w:w="1679" w:type="dxa"/>
            <w:gridSpan w:val="2"/>
            <w:tcBorders>
              <w:top w:val="nil"/>
              <w:left w:val="nil"/>
              <w:bottom w:val="nil"/>
              <w:right w:val="nil"/>
            </w:tcBorders>
            <w:shd w:val="clear" w:color="auto" w:fill="auto"/>
            <w:noWrap/>
            <w:vAlign w:val="center"/>
          </w:tcPr>
          <w:p w14:paraId="58B457E5">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制表日期：</w:t>
            </w:r>
          </w:p>
        </w:tc>
        <w:tc>
          <w:tcPr>
            <w:tcW w:w="422" w:type="dxa"/>
            <w:tcBorders>
              <w:top w:val="nil"/>
              <w:left w:val="nil"/>
              <w:bottom w:val="nil"/>
              <w:right w:val="nil"/>
            </w:tcBorders>
            <w:shd w:val="clear" w:color="auto" w:fill="auto"/>
            <w:noWrap/>
            <w:vAlign w:val="center"/>
          </w:tcPr>
          <w:p w14:paraId="39C94CCB">
            <w:pPr>
              <w:widowControl/>
              <w:jc w:val="left"/>
              <w:rPr>
                <w:rFonts w:ascii="宋体" w:hAnsi="宋体" w:cs="宋体"/>
                <w:snapToGrid w:val="0"/>
                <w:color w:val="auto"/>
                <w:kern w:val="0"/>
                <w:sz w:val="24"/>
                <w:highlight w:val="none"/>
              </w:rPr>
            </w:pPr>
          </w:p>
        </w:tc>
        <w:tc>
          <w:tcPr>
            <w:tcW w:w="2058" w:type="dxa"/>
            <w:tcBorders>
              <w:top w:val="nil"/>
              <w:left w:val="nil"/>
              <w:bottom w:val="nil"/>
              <w:right w:val="nil"/>
            </w:tcBorders>
            <w:shd w:val="clear" w:color="auto" w:fill="auto"/>
            <w:noWrap/>
            <w:vAlign w:val="center"/>
          </w:tcPr>
          <w:p w14:paraId="22E24107">
            <w:pPr>
              <w:widowControl/>
              <w:jc w:val="left"/>
              <w:rPr>
                <w:rFonts w:ascii="宋体" w:hAnsi="宋体" w:cs="宋体"/>
                <w:snapToGrid w:val="0"/>
                <w:color w:val="auto"/>
                <w:kern w:val="0"/>
                <w:sz w:val="24"/>
                <w:highlight w:val="none"/>
              </w:rPr>
            </w:pPr>
          </w:p>
        </w:tc>
      </w:tr>
    </w:tbl>
    <w:p w14:paraId="50616103">
      <w:pPr>
        <w:jc w:val="center"/>
        <w:rPr>
          <w:b/>
          <w:snapToGrid w:val="0"/>
          <w:color w:val="auto"/>
          <w:kern w:val="0"/>
          <w:sz w:val="24"/>
          <w:highlight w:val="none"/>
        </w:rPr>
      </w:pPr>
    </w:p>
    <w:p w14:paraId="7A3399B1">
      <w:pPr>
        <w:jc w:val="center"/>
        <w:rPr>
          <w:b/>
          <w:snapToGrid w:val="0"/>
          <w:color w:val="auto"/>
          <w:kern w:val="0"/>
          <w:sz w:val="24"/>
          <w:highlight w:val="none"/>
        </w:rPr>
      </w:pPr>
    </w:p>
    <w:p w14:paraId="21A9AC34">
      <w:pPr>
        <w:jc w:val="center"/>
        <w:rPr>
          <w:b/>
          <w:snapToGrid w:val="0"/>
          <w:color w:val="auto"/>
          <w:kern w:val="0"/>
          <w:sz w:val="24"/>
          <w:highlight w:val="none"/>
        </w:rPr>
      </w:pPr>
    </w:p>
    <w:tbl>
      <w:tblPr>
        <w:tblStyle w:val="47"/>
        <w:tblW w:w="0" w:type="auto"/>
        <w:jc w:val="center"/>
        <w:tblLayout w:type="fixed"/>
        <w:tblCellMar>
          <w:top w:w="0" w:type="dxa"/>
          <w:left w:w="108" w:type="dxa"/>
          <w:bottom w:w="0" w:type="dxa"/>
          <w:right w:w="108" w:type="dxa"/>
        </w:tblCellMar>
      </w:tblPr>
      <w:tblGrid>
        <w:gridCol w:w="2020"/>
        <w:gridCol w:w="723"/>
        <w:gridCol w:w="860"/>
        <w:gridCol w:w="1783"/>
        <w:gridCol w:w="737"/>
        <w:gridCol w:w="1225"/>
        <w:gridCol w:w="2404"/>
      </w:tblGrid>
      <w:tr w14:paraId="778FA655">
        <w:tblPrEx>
          <w:tblCellMar>
            <w:top w:w="0" w:type="dxa"/>
            <w:left w:w="108" w:type="dxa"/>
            <w:bottom w:w="0" w:type="dxa"/>
            <w:right w:w="108" w:type="dxa"/>
          </w:tblCellMar>
        </w:tblPrEx>
        <w:trPr>
          <w:trHeight w:val="540" w:hRule="atLeast"/>
          <w:jc w:val="center"/>
        </w:trPr>
        <w:tc>
          <w:tcPr>
            <w:tcW w:w="9752" w:type="dxa"/>
            <w:gridSpan w:val="7"/>
            <w:tcBorders>
              <w:top w:val="nil"/>
              <w:left w:val="nil"/>
              <w:bottom w:val="nil"/>
              <w:right w:val="nil"/>
            </w:tcBorders>
            <w:shd w:val="clear" w:color="auto" w:fill="auto"/>
            <w:noWrap/>
            <w:vAlign w:val="center"/>
          </w:tcPr>
          <w:p w14:paraId="17C78604">
            <w:pPr>
              <w:widowControl/>
              <w:jc w:val="center"/>
              <w:rPr>
                <w:rFonts w:ascii="宋体" w:hAnsi="宋体" w:cs="宋体"/>
                <w:b/>
                <w:bCs/>
                <w:snapToGrid w:val="0"/>
                <w:color w:val="auto"/>
                <w:kern w:val="0"/>
                <w:sz w:val="44"/>
                <w:szCs w:val="44"/>
                <w:highlight w:val="none"/>
              </w:rPr>
            </w:pPr>
          </w:p>
        </w:tc>
      </w:tr>
      <w:tr w14:paraId="63BB644C">
        <w:tblPrEx>
          <w:tblCellMar>
            <w:top w:w="0" w:type="dxa"/>
            <w:left w:w="108" w:type="dxa"/>
            <w:bottom w:w="0" w:type="dxa"/>
            <w:right w:w="108" w:type="dxa"/>
          </w:tblCellMar>
        </w:tblPrEx>
        <w:trPr>
          <w:trHeight w:val="540" w:hRule="atLeast"/>
          <w:jc w:val="center"/>
        </w:trPr>
        <w:tc>
          <w:tcPr>
            <w:tcW w:w="9752" w:type="dxa"/>
            <w:gridSpan w:val="7"/>
            <w:tcBorders>
              <w:top w:val="nil"/>
              <w:left w:val="nil"/>
              <w:bottom w:val="nil"/>
              <w:right w:val="nil"/>
            </w:tcBorders>
            <w:shd w:val="clear" w:color="auto" w:fill="auto"/>
            <w:noWrap/>
            <w:vAlign w:val="center"/>
          </w:tcPr>
          <w:p w14:paraId="7E3B4E33">
            <w:pPr>
              <w:widowControl/>
              <w:jc w:val="center"/>
              <w:rPr>
                <w:rFonts w:ascii="宋体" w:hAnsi="宋体" w:cs="宋体"/>
                <w:b/>
                <w:bCs/>
                <w:snapToGrid w:val="0"/>
                <w:color w:val="auto"/>
                <w:kern w:val="0"/>
                <w:sz w:val="44"/>
                <w:szCs w:val="44"/>
                <w:highlight w:val="none"/>
              </w:rPr>
            </w:pPr>
            <w:r>
              <w:rPr>
                <w:rFonts w:hint="eastAsia" w:ascii="宋体" w:hAnsi="宋体" w:cs="宋体"/>
                <w:b/>
                <w:bCs/>
                <w:snapToGrid w:val="0"/>
                <w:color w:val="auto"/>
                <w:kern w:val="0"/>
                <w:sz w:val="44"/>
                <w:szCs w:val="44"/>
                <w:highlight w:val="none"/>
              </w:rPr>
              <w:t>工程资金使用计划（2）</w:t>
            </w:r>
          </w:p>
        </w:tc>
      </w:tr>
      <w:tr w14:paraId="48A5C25E">
        <w:tblPrEx>
          <w:tblCellMar>
            <w:top w:w="0" w:type="dxa"/>
            <w:left w:w="108" w:type="dxa"/>
            <w:bottom w:w="0" w:type="dxa"/>
            <w:right w:w="108" w:type="dxa"/>
          </w:tblCellMar>
        </w:tblPrEx>
        <w:trPr>
          <w:trHeight w:val="397" w:hRule="atLeast"/>
          <w:jc w:val="center"/>
        </w:trPr>
        <w:tc>
          <w:tcPr>
            <w:tcW w:w="27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8CF6BEC">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参建单位</w:t>
            </w:r>
          </w:p>
        </w:tc>
        <w:tc>
          <w:tcPr>
            <w:tcW w:w="7009" w:type="dxa"/>
            <w:gridSpan w:val="5"/>
            <w:tcBorders>
              <w:top w:val="single" w:color="auto" w:sz="4" w:space="0"/>
              <w:left w:val="nil"/>
              <w:bottom w:val="single" w:color="auto" w:sz="4" w:space="0"/>
              <w:right w:val="single" w:color="000000" w:sz="4" w:space="0"/>
            </w:tcBorders>
            <w:shd w:val="clear" w:color="auto" w:fill="auto"/>
            <w:noWrap/>
            <w:vAlign w:val="center"/>
          </w:tcPr>
          <w:p w14:paraId="368E6629">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041FCFA1">
        <w:tblPrEx>
          <w:tblCellMar>
            <w:top w:w="0" w:type="dxa"/>
            <w:left w:w="108" w:type="dxa"/>
            <w:bottom w:w="0" w:type="dxa"/>
            <w:right w:w="108" w:type="dxa"/>
          </w:tblCellMar>
        </w:tblPrEx>
        <w:trPr>
          <w:trHeight w:val="397" w:hRule="atLeast"/>
          <w:jc w:val="center"/>
        </w:trPr>
        <w:tc>
          <w:tcPr>
            <w:tcW w:w="27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D5DA96">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合同名称</w:t>
            </w:r>
          </w:p>
        </w:tc>
        <w:tc>
          <w:tcPr>
            <w:tcW w:w="860" w:type="dxa"/>
            <w:tcBorders>
              <w:top w:val="nil"/>
              <w:left w:val="nil"/>
              <w:bottom w:val="single" w:color="auto" w:sz="4" w:space="0"/>
              <w:right w:val="single" w:color="auto" w:sz="4" w:space="0"/>
            </w:tcBorders>
            <w:shd w:val="clear" w:color="auto" w:fill="auto"/>
            <w:noWrap/>
            <w:vAlign w:val="center"/>
          </w:tcPr>
          <w:p w14:paraId="7E63320A">
            <w:pPr>
              <w:widowControl/>
              <w:spacing w:line="320" w:lineRule="exact"/>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783" w:type="dxa"/>
            <w:tcBorders>
              <w:top w:val="nil"/>
              <w:left w:val="nil"/>
              <w:bottom w:val="single" w:color="auto" w:sz="4" w:space="0"/>
              <w:right w:val="single" w:color="auto" w:sz="4" w:space="0"/>
            </w:tcBorders>
            <w:shd w:val="clear" w:color="auto" w:fill="auto"/>
            <w:noWrap/>
            <w:vAlign w:val="center"/>
          </w:tcPr>
          <w:p w14:paraId="149D32C6">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合同编号</w:t>
            </w:r>
          </w:p>
        </w:tc>
        <w:tc>
          <w:tcPr>
            <w:tcW w:w="4366" w:type="dxa"/>
            <w:gridSpan w:val="3"/>
            <w:tcBorders>
              <w:top w:val="single" w:color="auto" w:sz="4" w:space="0"/>
              <w:left w:val="nil"/>
              <w:bottom w:val="single" w:color="auto" w:sz="4" w:space="0"/>
              <w:right w:val="single" w:color="000000" w:sz="4" w:space="0"/>
            </w:tcBorders>
            <w:shd w:val="clear" w:color="auto" w:fill="auto"/>
            <w:noWrap/>
            <w:vAlign w:val="center"/>
          </w:tcPr>
          <w:p w14:paraId="026C6B60">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485C8AC5">
        <w:tblPrEx>
          <w:tblCellMar>
            <w:top w:w="0" w:type="dxa"/>
            <w:left w:w="108" w:type="dxa"/>
            <w:bottom w:w="0" w:type="dxa"/>
            <w:right w:w="108" w:type="dxa"/>
          </w:tblCellMar>
        </w:tblPrEx>
        <w:trPr>
          <w:trHeight w:val="397" w:hRule="atLeast"/>
          <w:jc w:val="center"/>
        </w:trPr>
        <w:tc>
          <w:tcPr>
            <w:tcW w:w="27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EB0E88">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开户银行</w:t>
            </w:r>
          </w:p>
        </w:tc>
        <w:tc>
          <w:tcPr>
            <w:tcW w:w="860" w:type="dxa"/>
            <w:tcBorders>
              <w:top w:val="nil"/>
              <w:left w:val="nil"/>
              <w:bottom w:val="single" w:color="auto" w:sz="4" w:space="0"/>
              <w:right w:val="single" w:color="auto" w:sz="4" w:space="0"/>
            </w:tcBorders>
            <w:shd w:val="clear" w:color="auto" w:fill="auto"/>
            <w:noWrap/>
            <w:vAlign w:val="center"/>
          </w:tcPr>
          <w:p w14:paraId="084F3472">
            <w:pPr>
              <w:widowControl/>
              <w:spacing w:line="320" w:lineRule="exact"/>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783" w:type="dxa"/>
            <w:tcBorders>
              <w:top w:val="nil"/>
              <w:left w:val="nil"/>
              <w:bottom w:val="single" w:color="auto" w:sz="4" w:space="0"/>
              <w:right w:val="single" w:color="auto" w:sz="4" w:space="0"/>
            </w:tcBorders>
            <w:shd w:val="clear" w:color="auto" w:fill="auto"/>
            <w:noWrap/>
            <w:vAlign w:val="center"/>
          </w:tcPr>
          <w:p w14:paraId="53A5E199">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银行帐号</w:t>
            </w:r>
          </w:p>
        </w:tc>
        <w:tc>
          <w:tcPr>
            <w:tcW w:w="4366" w:type="dxa"/>
            <w:gridSpan w:val="3"/>
            <w:tcBorders>
              <w:top w:val="single" w:color="auto" w:sz="4" w:space="0"/>
              <w:left w:val="nil"/>
              <w:bottom w:val="single" w:color="auto" w:sz="4" w:space="0"/>
              <w:right w:val="single" w:color="000000" w:sz="4" w:space="0"/>
            </w:tcBorders>
            <w:shd w:val="clear" w:color="auto" w:fill="auto"/>
            <w:noWrap/>
            <w:vAlign w:val="center"/>
          </w:tcPr>
          <w:p w14:paraId="53A38DBE">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2664A673">
        <w:tblPrEx>
          <w:tblCellMar>
            <w:top w:w="0" w:type="dxa"/>
            <w:left w:w="108" w:type="dxa"/>
            <w:bottom w:w="0" w:type="dxa"/>
            <w:right w:w="108" w:type="dxa"/>
          </w:tblCellMar>
        </w:tblPrEx>
        <w:trPr>
          <w:trHeight w:val="397" w:hRule="atLeast"/>
          <w:jc w:val="center"/>
        </w:trPr>
        <w:tc>
          <w:tcPr>
            <w:tcW w:w="27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ACF3EC">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本期审定应收资金额</w:t>
            </w:r>
          </w:p>
        </w:tc>
        <w:tc>
          <w:tcPr>
            <w:tcW w:w="860" w:type="dxa"/>
            <w:tcBorders>
              <w:top w:val="nil"/>
              <w:left w:val="nil"/>
              <w:bottom w:val="single" w:color="auto" w:sz="4" w:space="0"/>
              <w:right w:val="single" w:color="auto" w:sz="4" w:space="0"/>
            </w:tcBorders>
            <w:shd w:val="clear" w:color="auto" w:fill="auto"/>
            <w:noWrap/>
            <w:vAlign w:val="center"/>
          </w:tcPr>
          <w:p w14:paraId="16DA6838">
            <w:pPr>
              <w:widowControl/>
              <w:spacing w:line="320" w:lineRule="exact"/>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520" w:type="dxa"/>
            <w:gridSpan w:val="2"/>
            <w:tcBorders>
              <w:top w:val="single" w:color="auto" w:sz="4" w:space="0"/>
              <w:left w:val="nil"/>
              <w:bottom w:val="single" w:color="auto" w:sz="4" w:space="0"/>
              <w:right w:val="single" w:color="000000" w:sz="4" w:space="0"/>
            </w:tcBorders>
            <w:shd w:val="clear" w:color="auto" w:fill="auto"/>
            <w:noWrap/>
            <w:vAlign w:val="center"/>
          </w:tcPr>
          <w:p w14:paraId="16814DF6">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累计已收额</w:t>
            </w:r>
          </w:p>
        </w:tc>
        <w:tc>
          <w:tcPr>
            <w:tcW w:w="3629" w:type="dxa"/>
            <w:gridSpan w:val="2"/>
            <w:tcBorders>
              <w:top w:val="single" w:color="auto" w:sz="4" w:space="0"/>
              <w:left w:val="nil"/>
              <w:bottom w:val="single" w:color="auto" w:sz="4" w:space="0"/>
              <w:right w:val="single" w:color="000000" w:sz="4" w:space="0"/>
            </w:tcBorders>
            <w:shd w:val="clear" w:color="auto" w:fill="auto"/>
            <w:noWrap/>
            <w:vAlign w:val="center"/>
          </w:tcPr>
          <w:p w14:paraId="1C940119">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08A302CF">
        <w:tblPrEx>
          <w:tblCellMar>
            <w:top w:w="0" w:type="dxa"/>
            <w:left w:w="108" w:type="dxa"/>
            <w:bottom w:w="0" w:type="dxa"/>
            <w:right w:w="108" w:type="dxa"/>
          </w:tblCellMar>
        </w:tblPrEx>
        <w:trPr>
          <w:trHeight w:val="397" w:hRule="atLeast"/>
          <w:jc w:val="center"/>
        </w:trPr>
        <w:tc>
          <w:tcPr>
            <w:tcW w:w="2020" w:type="dxa"/>
            <w:tcBorders>
              <w:top w:val="nil"/>
              <w:left w:val="single" w:color="auto" w:sz="4" w:space="0"/>
              <w:bottom w:val="single" w:color="auto" w:sz="4" w:space="0"/>
              <w:right w:val="single" w:color="auto" w:sz="4" w:space="0"/>
            </w:tcBorders>
            <w:shd w:val="clear" w:color="auto" w:fill="auto"/>
            <w:noWrap/>
            <w:vAlign w:val="center"/>
          </w:tcPr>
          <w:p w14:paraId="79A2A03F">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583" w:type="dxa"/>
            <w:gridSpan w:val="2"/>
            <w:tcBorders>
              <w:top w:val="single" w:color="auto" w:sz="4" w:space="0"/>
              <w:left w:val="nil"/>
              <w:bottom w:val="single" w:color="auto" w:sz="4" w:space="0"/>
              <w:right w:val="single" w:color="auto" w:sz="4" w:space="0"/>
            </w:tcBorders>
            <w:shd w:val="clear" w:color="auto" w:fill="auto"/>
            <w:noWrap/>
            <w:vAlign w:val="center"/>
          </w:tcPr>
          <w:p w14:paraId="627AB657">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用款单位</w:t>
            </w:r>
          </w:p>
        </w:tc>
        <w:tc>
          <w:tcPr>
            <w:tcW w:w="1783" w:type="dxa"/>
            <w:tcBorders>
              <w:top w:val="nil"/>
              <w:left w:val="nil"/>
              <w:bottom w:val="single" w:color="auto" w:sz="4" w:space="0"/>
              <w:right w:val="single" w:color="auto" w:sz="4" w:space="0"/>
            </w:tcBorders>
            <w:shd w:val="clear" w:color="auto" w:fill="auto"/>
            <w:noWrap/>
            <w:vAlign w:val="center"/>
          </w:tcPr>
          <w:p w14:paraId="2E7E3DB7">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合同金额</w:t>
            </w:r>
          </w:p>
        </w:tc>
        <w:tc>
          <w:tcPr>
            <w:tcW w:w="737" w:type="dxa"/>
            <w:tcBorders>
              <w:top w:val="single" w:color="auto" w:sz="4" w:space="0"/>
              <w:left w:val="nil"/>
              <w:bottom w:val="single" w:color="auto" w:sz="4" w:space="0"/>
              <w:right w:val="single" w:color="auto" w:sz="4" w:space="0"/>
            </w:tcBorders>
            <w:shd w:val="clear" w:color="auto" w:fill="auto"/>
            <w:noWrap/>
            <w:vAlign w:val="center"/>
          </w:tcPr>
          <w:p w14:paraId="515EE3FE">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用途</w:t>
            </w:r>
          </w:p>
        </w:tc>
        <w:tc>
          <w:tcPr>
            <w:tcW w:w="1225" w:type="dxa"/>
            <w:tcBorders>
              <w:top w:val="nil"/>
              <w:left w:val="nil"/>
              <w:bottom w:val="single" w:color="auto" w:sz="4" w:space="0"/>
              <w:right w:val="single" w:color="auto" w:sz="4" w:space="0"/>
            </w:tcBorders>
            <w:shd w:val="clear" w:color="auto" w:fill="auto"/>
            <w:noWrap/>
            <w:vAlign w:val="center"/>
          </w:tcPr>
          <w:p w14:paraId="5BDFFF95">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金额</w:t>
            </w:r>
          </w:p>
        </w:tc>
        <w:tc>
          <w:tcPr>
            <w:tcW w:w="2404" w:type="dxa"/>
            <w:tcBorders>
              <w:top w:val="nil"/>
              <w:left w:val="nil"/>
              <w:bottom w:val="single" w:color="auto" w:sz="4" w:space="0"/>
              <w:right w:val="single" w:color="auto" w:sz="4" w:space="0"/>
            </w:tcBorders>
            <w:shd w:val="clear" w:color="auto" w:fill="auto"/>
            <w:noWrap/>
            <w:vAlign w:val="center"/>
          </w:tcPr>
          <w:p w14:paraId="0FBC47D4">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累计支付</w:t>
            </w:r>
          </w:p>
        </w:tc>
      </w:tr>
      <w:tr w14:paraId="7E306104">
        <w:tblPrEx>
          <w:tblCellMar>
            <w:top w:w="0" w:type="dxa"/>
            <w:left w:w="108" w:type="dxa"/>
            <w:bottom w:w="0" w:type="dxa"/>
            <w:right w:w="108" w:type="dxa"/>
          </w:tblCellMar>
        </w:tblPrEx>
        <w:trPr>
          <w:trHeight w:val="397" w:hRule="atLeast"/>
          <w:jc w:val="center"/>
        </w:trPr>
        <w:tc>
          <w:tcPr>
            <w:tcW w:w="2020" w:type="dxa"/>
            <w:vMerge w:val="restart"/>
            <w:tcBorders>
              <w:top w:val="nil"/>
              <w:left w:val="single" w:color="auto" w:sz="4" w:space="0"/>
              <w:bottom w:val="single" w:color="auto" w:sz="4" w:space="0"/>
              <w:right w:val="single" w:color="auto" w:sz="4" w:space="0"/>
            </w:tcBorders>
            <w:shd w:val="clear" w:color="auto" w:fill="auto"/>
            <w:noWrap/>
            <w:vAlign w:val="center"/>
          </w:tcPr>
          <w:p w14:paraId="50CF5D0F">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A</w:t>
            </w:r>
          </w:p>
          <w:p w14:paraId="308F1CBF">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类</w:t>
            </w:r>
          </w:p>
        </w:tc>
        <w:tc>
          <w:tcPr>
            <w:tcW w:w="1583" w:type="dxa"/>
            <w:gridSpan w:val="2"/>
            <w:tcBorders>
              <w:top w:val="single" w:color="auto" w:sz="4" w:space="0"/>
              <w:left w:val="nil"/>
              <w:bottom w:val="single" w:color="auto" w:sz="4" w:space="0"/>
              <w:right w:val="single" w:color="auto" w:sz="4" w:space="0"/>
            </w:tcBorders>
            <w:shd w:val="clear" w:color="auto" w:fill="auto"/>
            <w:noWrap/>
            <w:vAlign w:val="center"/>
          </w:tcPr>
          <w:p w14:paraId="32160892">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783" w:type="dxa"/>
            <w:tcBorders>
              <w:top w:val="nil"/>
              <w:left w:val="nil"/>
              <w:bottom w:val="single" w:color="auto" w:sz="4" w:space="0"/>
              <w:right w:val="nil"/>
            </w:tcBorders>
            <w:shd w:val="clear" w:color="auto" w:fill="auto"/>
            <w:noWrap/>
            <w:vAlign w:val="center"/>
          </w:tcPr>
          <w:p w14:paraId="1A87196A">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73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FC34F09">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225" w:type="dxa"/>
            <w:tcBorders>
              <w:top w:val="nil"/>
              <w:left w:val="nil"/>
              <w:bottom w:val="single" w:color="auto" w:sz="4" w:space="0"/>
              <w:right w:val="single" w:color="auto" w:sz="4" w:space="0"/>
            </w:tcBorders>
            <w:shd w:val="clear" w:color="auto" w:fill="auto"/>
            <w:noWrap/>
            <w:vAlign w:val="center"/>
          </w:tcPr>
          <w:p w14:paraId="47D8BA77">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c>
          <w:tcPr>
            <w:tcW w:w="2404" w:type="dxa"/>
            <w:tcBorders>
              <w:top w:val="nil"/>
              <w:left w:val="nil"/>
              <w:bottom w:val="single" w:color="auto" w:sz="4" w:space="0"/>
              <w:right w:val="single" w:color="auto" w:sz="4" w:space="0"/>
            </w:tcBorders>
            <w:shd w:val="clear" w:color="auto" w:fill="auto"/>
            <w:noWrap/>
            <w:vAlign w:val="center"/>
          </w:tcPr>
          <w:p w14:paraId="03A5134C">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r>
      <w:tr w14:paraId="09019F09">
        <w:tblPrEx>
          <w:tblCellMar>
            <w:top w:w="0" w:type="dxa"/>
            <w:left w:w="108" w:type="dxa"/>
            <w:bottom w:w="0" w:type="dxa"/>
            <w:right w:w="108" w:type="dxa"/>
          </w:tblCellMar>
        </w:tblPrEx>
        <w:trPr>
          <w:trHeight w:val="397" w:hRule="atLeast"/>
          <w:jc w:val="center"/>
        </w:trPr>
        <w:tc>
          <w:tcPr>
            <w:tcW w:w="2020" w:type="dxa"/>
            <w:vMerge w:val="continue"/>
            <w:tcBorders>
              <w:top w:val="nil"/>
              <w:left w:val="single" w:color="auto" w:sz="4" w:space="0"/>
              <w:bottom w:val="single" w:color="auto" w:sz="4" w:space="0"/>
              <w:right w:val="single" w:color="auto" w:sz="4" w:space="0"/>
            </w:tcBorders>
            <w:vAlign w:val="center"/>
          </w:tcPr>
          <w:p w14:paraId="44999E41">
            <w:pPr>
              <w:widowControl/>
              <w:spacing w:line="320" w:lineRule="exact"/>
              <w:jc w:val="left"/>
              <w:rPr>
                <w:rFonts w:ascii="宋体" w:hAnsi="宋体" w:cs="宋体"/>
                <w:snapToGrid w:val="0"/>
                <w:color w:val="auto"/>
                <w:kern w:val="0"/>
                <w:sz w:val="24"/>
                <w:highlight w:val="none"/>
              </w:rPr>
            </w:pPr>
          </w:p>
        </w:tc>
        <w:tc>
          <w:tcPr>
            <w:tcW w:w="1583" w:type="dxa"/>
            <w:gridSpan w:val="2"/>
            <w:tcBorders>
              <w:top w:val="single" w:color="auto" w:sz="4" w:space="0"/>
              <w:left w:val="nil"/>
              <w:bottom w:val="single" w:color="auto" w:sz="4" w:space="0"/>
              <w:right w:val="single" w:color="auto" w:sz="4" w:space="0"/>
            </w:tcBorders>
            <w:shd w:val="clear" w:color="auto" w:fill="auto"/>
            <w:noWrap/>
            <w:vAlign w:val="center"/>
          </w:tcPr>
          <w:p w14:paraId="3BE794A3">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783" w:type="dxa"/>
            <w:tcBorders>
              <w:top w:val="nil"/>
              <w:left w:val="nil"/>
              <w:bottom w:val="single" w:color="auto" w:sz="4" w:space="0"/>
              <w:right w:val="nil"/>
            </w:tcBorders>
            <w:shd w:val="clear" w:color="auto" w:fill="auto"/>
            <w:noWrap/>
            <w:vAlign w:val="center"/>
          </w:tcPr>
          <w:p w14:paraId="7C0274DC">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73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D674371">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225" w:type="dxa"/>
            <w:tcBorders>
              <w:top w:val="nil"/>
              <w:left w:val="nil"/>
              <w:bottom w:val="single" w:color="auto" w:sz="4" w:space="0"/>
              <w:right w:val="single" w:color="auto" w:sz="4" w:space="0"/>
            </w:tcBorders>
            <w:shd w:val="clear" w:color="auto" w:fill="auto"/>
            <w:noWrap/>
            <w:vAlign w:val="center"/>
          </w:tcPr>
          <w:p w14:paraId="762A8969">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c>
          <w:tcPr>
            <w:tcW w:w="2404" w:type="dxa"/>
            <w:tcBorders>
              <w:top w:val="nil"/>
              <w:left w:val="nil"/>
              <w:bottom w:val="single" w:color="auto" w:sz="4" w:space="0"/>
              <w:right w:val="single" w:color="auto" w:sz="4" w:space="0"/>
            </w:tcBorders>
            <w:shd w:val="clear" w:color="auto" w:fill="auto"/>
            <w:noWrap/>
            <w:vAlign w:val="center"/>
          </w:tcPr>
          <w:p w14:paraId="283FF84B">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r>
      <w:tr w14:paraId="752F6D3C">
        <w:tblPrEx>
          <w:tblCellMar>
            <w:top w:w="0" w:type="dxa"/>
            <w:left w:w="108" w:type="dxa"/>
            <w:bottom w:w="0" w:type="dxa"/>
            <w:right w:w="108" w:type="dxa"/>
          </w:tblCellMar>
        </w:tblPrEx>
        <w:trPr>
          <w:trHeight w:val="397" w:hRule="atLeast"/>
          <w:jc w:val="center"/>
        </w:trPr>
        <w:tc>
          <w:tcPr>
            <w:tcW w:w="2020" w:type="dxa"/>
            <w:vMerge w:val="continue"/>
            <w:tcBorders>
              <w:top w:val="nil"/>
              <w:left w:val="single" w:color="auto" w:sz="4" w:space="0"/>
              <w:bottom w:val="single" w:color="auto" w:sz="4" w:space="0"/>
              <w:right w:val="single" w:color="auto" w:sz="4" w:space="0"/>
            </w:tcBorders>
            <w:vAlign w:val="center"/>
          </w:tcPr>
          <w:p w14:paraId="2F7633C5">
            <w:pPr>
              <w:widowControl/>
              <w:spacing w:line="320" w:lineRule="exact"/>
              <w:jc w:val="left"/>
              <w:rPr>
                <w:rFonts w:ascii="宋体" w:hAnsi="宋体" w:cs="宋体"/>
                <w:snapToGrid w:val="0"/>
                <w:color w:val="auto"/>
                <w:kern w:val="0"/>
                <w:sz w:val="24"/>
                <w:highlight w:val="none"/>
              </w:rPr>
            </w:pPr>
          </w:p>
        </w:tc>
        <w:tc>
          <w:tcPr>
            <w:tcW w:w="1583" w:type="dxa"/>
            <w:gridSpan w:val="2"/>
            <w:tcBorders>
              <w:top w:val="single" w:color="auto" w:sz="4" w:space="0"/>
              <w:left w:val="nil"/>
              <w:bottom w:val="single" w:color="auto" w:sz="4" w:space="0"/>
              <w:right w:val="single" w:color="auto" w:sz="4" w:space="0"/>
            </w:tcBorders>
            <w:shd w:val="clear" w:color="auto" w:fill="auto"/>
            <w:noWrap/>
            <w:vAlign w:val="center"/>
          </w:tcPr>
          <w:p w14:paraId="6A10C94D">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783" w:type="dxa"/>
            <w:tcBorders>
              <w:top w:val="nil"/>
              <w:left w:val="nil"/>
              <w:bottom w:val="single" w:color="auto" w:sz="4" w:space="0"/>
              <w:right w:val="nil"/>
            </w:tcBorders>
            <w:shd w:val="clear" w:color="auto" w:fill="auto"/>
            <w:noWrap/>
            <w:vAlign w:val="center"/>
          </w:tcPr>
          <w:p w14:paraId="36A8DEAB">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73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CAAAF75">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225" w:type="dxa"/>
            <w:tcBorders>
              <w:top w:val="nil"/>
              <w:left w:val="nil"/>
              <w:bottom w:val="single" w:color="auto" w:sz="4" w:space="0"/>
              <w:right w:val="single" w:color="auto" w:sz="4" w:space="0"/>
            </w:tcBorders>
            <w:shd w:val="clear" w:color="auto" w:fill="auto"/>
            <w:noWrap/>
            <w:vAlign w:val="center"/>
          </w:tcPr>
          <w:p w14:paraId="21F46D98">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c>
          <w:tcPr>
            <w:tcW w:w="2404" w:type="dxa"/>
            <w:tcBorders>
              <w:top w:val="nil"/>
              <w:left w:val="nil"/>
              <w:bottom w:val="single" w:color="auto" w:sz="4" w:space="0"/>
              <w:right w:val="single" w:color="auto" w:sz="4" w:space="0"/>
            </w:tcBorders>
            <w:shd w:val="clear" w:color="auto" w:fill="auto"/>
            <w:noWrap/>
            <w:vAlign w:val="center"/>
          </w:tcPr>
          <w:p w14:paraId="6D05C9DC">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r>
      <w:tr w14:paraId="0777F488">
        <w:tblPrEx>
          <w:tblCellMar>
            <w:top w:w="0" w:type="dxa"/>
            <w:left w:w="108" w:type="dxa"/>
            <w:bottom w:w="0" w:type="dxa"/>
            <w:right w:w="108" w:type="dxa"/>
          </w:tblCellMar>
        </w:tblPrEx>
        <w:trPr>
          <w:trHeight w:val="397" w:hRule="atLeast"/>
          <w:jc w:val="center"/>
        </w:trPr>
        <w:tc>
          <w:tcPr>
            <w:tcW w:w="2020" w:type="dxa"/>
            <w:vMerge w:val="continue"/>
            <w:tcBorders>
              <w:top w:val="nil"/>
              <w:left w:val="single" w:color="auto" w:sz="4" w:space="0"/>
              <w:bottom w:val="single" w:color="auto" w:sz="4" w:space="0"/>
              <w:right w:val="single" w:color="auto" w:sz="4" w:space="0"/>
            </w:tcBorders>
            <w:vAlign w:val="center"/>
          </w:tcPr>
          <w:p w14:paraId="1D022916">
            <w:pPr>
              <w:widowControl/>
              <w:spacing w:line="320" w:lineRule="exact"/>
              <w:jc w:val="left"/>
              <w:rPr>
                <w:rFonts w:ascii="宋体" w:hAnsi="宋体" w:cs="宋体"/>
                <w:snapToGrid w:val="0"/>
                <w:color w:val="auto"/>
                <w:kern w:val="0"/>
                <w:sz w:val="24"/>
                <w:highlight w:val="none"/>
              </w:rPr>
            </w:pPr>
          </w:p>
        </w:tc>
        <w:tc>
          <w:tcPr>
            <w:tcW w:w="1583" w:type="dxa"/>
            <w:gridSpan w:val="2"/>
            <w:tcBorders>
              <w:top w:val="single" w:color="auto" w:sz="4" w:space="0"/>
              <w:left w:val="nil"/>
              <w:bottom w:val="single" w:color="auto" w:sz="4" w:space="0"/>
              <w:right w:val="single" w:color="auto" w:sz="4" w:space="0"/>
            </w:tcBorders>
            <w:shd w:val="clear" w:color="auto" w:fill="auto"/>
            <w:noWrap/>
            <w:vAlign w:val="center"/>
          </w:tcPr>
          <w:p w14:paraId="02643B04">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783" w:type="dxa"/>
            <w:tcBorders>
              <w:top w:val="nil"/>
              <w:left w:val="nil"/>
              <w:bottom w:val="single" w:color="auto" w:sz="4" w:space="0"/>
              <w:right w:val="nil"/>
            </w:tcBorders>
            <w:shd w:val="clear" w:color="auto" w:fill="auto"/>
            <w:noWrap/>
            <w:vAlign w:val="center"/>
          </w:tcPr>
          <w:p w14:paraId="4A7A76AF">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73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9B24268">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225" w:type="dxa"/>
            <w:tcBorders>
              <w:top w:val="nil"/>
              <w:left w:val="nil"/>
              <w:bottom w:val="single" w:color="auto" w:sz="4" w:space="0"/>
              <w:right w:val="single" w:color="auto" w:sz="4" w:space="0"/>
            </w:tcBorders>
            <w:shd w:val="clear" w:color="auto" w:fill="auto"/>
            <w:noWrap/>
            <w:vAlign w:val="center"/>
          </w:tcPr>
          <w:p w14:paraId="085DF026">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c>
          <w:tcPr>
            <w:tcW w:w="2404" w:type="dxa"/>
            <w:tcBorders>
              <w:top w:val="nil"/>
              <w:left w:val="nil"/>
              <w:bottom w:val="single" w:color="auto" w:sz="4" w:space="0"/>
              <w:right w:val="single" w:color="auto" w:sz="4" w:space="0"/>
            </w:tcBorders>
            <w:shd w:val="clear" w:color="auto" w:fill="auto"/>
            <w:noWrap/>
            <w:vAlign w:val="center"/>
          </w:tcPr>
          <w:p w14:paraId="533FA3E3">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r>
      <w:tr w14:paraId="2584B6AA">
        <w:tblPrEx>
          <w:tblCellMar>
            <w:top w:w="0" w:type="dxa"/>
            <w:left w:w="108" w:type="dxa"/>
            <w:bottom w:w="0" w:type="dxa"/>
            <w:right w:w="108" w:type="dxa"/>
          </w:tblCellMar>
        </w:tblPrEx>
        <w:trPr>
          <w:trHeight w:val="397" w:hRule="atLeast"/>
          <w:jc w:val="center"/>
        </w:trPr>
        <w:tc>
          <w:tcPr>
            <w:tcW w:w="2020" w:type="dxa"/>
            <w:vMerge w:val="continue"/>
            <w:tcBorders>
              <w:top w:val="nil"/>
              <w:left w:val="single" w:color="auto" w:sz="4" w:space="0"/>
              <w:bottom w:val="single" w:color="auto" w:sz="4" w:space="0"/>
              <w:right w:val="single" w:color="auto" w:sz="4" w:space="0"/>
            </w:tcBorders>
            <w:vAlign w:val="center"/>
          </w:tcPr>
          <w:p w14:paraId="00212DCA">
            <w:pPr>
              <w:widowControl/>
              <w:spacing w:line="320" w:lineRule="exact"/>
              <w:jc w:val="left"/>
              <w:rPr>
                <w:rFonts w:ascii="宋体" w:hAnsi="宋体" w:cs="宋体"/>
                <w:snapToGrid w:val="0"/>
                <w:color w:val="auto"/>
                <w:kern w:val="0"/>
                <w:sz w:val="24"/>
                <w:highlight w:val="none"/>
              </w:rPr>
            </w:pPr>
          </w:p>
        </w:tc>
        <w:tc>
          <w:tcPr>
            <w:tcW w:w="1583" w:type="dxa"/>
            <w:gridSpan w:val="2"/>
            <w:tcBorders>
              <w:top w:val="single" w:color="auto" w:sz="4" w:space="0"/>
              <w:left w:val="nil"/>
              <w:bottom w:val="single" w:color="auto" w:sz="4" w:space="0"/>
              <w:right w:val="single" w:color="auto" w:sz="4" w:space="0"/>
            </w:tcBorders>
            <w:shd w:val="clear" w:color="auto" w:fill="auto"/>
            <w:noWrap/>
            <w:vAlign w:val="center"/>
          </w:tcPr>
          <w:p w14:paraId="02BB8F7A">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783" w:type="dxa"/>
            <w:tcBorders>
              <w:top w:val="nil"/>
              <w:left w:val="nil"/>
              <w:bottom w:val="single" w:color="auto" w:sz="4" w:space="0"/>
              <w:right w:val="nil"/>
            </w:tcBorders>
            <w:shd w:val="clear" w:color="auto" w:fill="auto"/>
            <w:noWrap/>
            <w:vAlign w:val="center"/>
          </w:tcPr>
          <w:p w14:paraId="422A4ABF">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73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773DFBE">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225" w:type="dxa"/>
            <w:tcBorders>
              <w:top w:val="nil"/>
              <w:left w:val="nil"/>
              <w:bottom w:val="single" w:color="auto" w:sz="4" w:space="0"/>
              <w:right w:val="single" w:color="auto" w:sz="4" w:space="0"/>
            </w:tcBorders>
            <w:shd w:val="clear" w:color="auto" w:fill="auto"/>
            <w:noWrap/>
            <w:vAlign w:val="center"/>
          </w:tcPr>
          <w:p w14:paraId="322C35A4">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c>
          <w:tcPr>
            <w:tcW w:w="2404" w:type="dxa"/>
            <w:tcBorders>
              <w:top w:val="nil"/>
              <w:left w:val="nil"/>
              <w:bottom w:val="single" w:color="auto" w:sz="4" w:space="0"/>
              <w:right w:val="single" w:color="auto" w:sz="4" w:space="0"/>
            </w:tcBorders>
            <w:shd w:val="clear" w:color="auto" w:fill="auto"/>
            <w:noWrap/>
            <w:vAlign w:val="center"/>
          </w:tcPr>
          <w:p w14:paraId="602B658F">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r>
      <w:tr w14:paraId="526AE348">
        <w:tblPrEx>
          <w:tblCellMar>
            <w:top w:w="0" w:type="dxa"/>
            <w:left w:w="108" w:type="dxa"/>
            <w:bottom w:w="0" w:type="dxa"/>
            <w:right w:w="108" w:type="dxa"/>
          </w:tblCellMar>
        </w:tblPrEx>
        <w:trPr>
          <w:trHeight w:val="397" w:hRule="atLeast"/>
          <w:jc w:val="center"/>
        </w:trPr>
        <w:tc>
          <w:tcPr>
            <w:tcW w:w="6123"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14:paraId="76D74C94">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本类合计</w:t>
            </w:r>
          </w:p>
        </w:tc>
        <w:tc>
          <w:tcPr>
            <w:tcW w:w="1225" w:type="dxa"/>
            <w:tcBorders>
              <w:top w:val="nil"/>
              <w:left w:val="nil"/>
              <w:bottom w:val="single" w:color="auto" w:sz="4" w:space="0"/>
              <w:right w:val="single" w:color="auto" w:sz="4" w:space="0"/>
            </w:tcBorders>
            <w:shd w:val="clear" w:color="auto" w:fill="auto"/>
            <w:noWrap/>
            <w:vAlign w:val="center"/>
          </w:tcPr>
          <w:p w14:paraId="0457E2C2">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   </w:t>
            </w:r>
          </w:p>
        </w:tc>
        <w:tc>
          <w:tcPr>
            <w:tcW w:w="2404" w:type="dxa"/>
            <w:tcBorders>
              <w:top w:val="nil"/>
              <w:left w:val="nil"/>
              <w:bottom w:val="single" w:color="auto" w:sz="4" w:space="0"/>
              <w:right w:val="single" w:color="auto" w:sz="4" w:space="0"/>
            </w:tcBorders>
            <w:shd w:val="clear" w:color="auto" w:fill="auto"/>
            <w:noWrap/>
            <w:vAlign w:val="center"/>
          </w:tcPr>
          <w:p w14:paraId="227A5F0D">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   </w:t>
            </w:r>
          </w:p>
        </w:tc>
      </w:tr>
      <w:tr w14:paraId="26515BCF">
        <w:tblPrEx>
          <w:tblCellMar>
            <w:top w:w="0" w:type="dxa"/>
            <w:left w:w="108" w:type="dxa"/>
            <w:bottom w:w="0" w:type="dxa"/>
            <w:right w:w="108" w:type="dxa"/>
          </w:tblCellMar>
        </w:tblPrEx>
        <w:trPr>
          <w:trHeight w:val="397" w:hRule="atLeast"/>
          <w:jc w:val="center"/>
        </w:trPr>
        <w:tc>
          <w:tcPr>
            <w:tcW w:w="2020" w:type="dxa"/>
            <w:vMerge w:val="restart"/>
            <w:tcBorders>
              <w:top w:val="nil"/>
              <w:left w:val="single" w:color="auto" w:sz="4" w:space="0"/>
              <w:bottom w:val="single" w:color="auto" w:sz="4" w:space="0"/>
              <w:right w:val="single" w:color="auto" w:sz="4" w:space="0"/>
            </w:tcBorders>
            <w:shd w:val="clear" w:color="auto" w:fill="auto"/>
            <w:noWrap/>
            <w:vAlign w:val="center"/>
          </w:tcPr>
          <w:p w14:paraId="3502E8A7">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B</w:t>
            </w:r>
          </w:p>
          <w:p w14:paraId="4DE7A377">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类</w:t>
            </w:r>
          </w:p>
        </w:tc>
        <w:tc>
          <w:tcPr>
            <w:tcW w:w="1583" w:type="dxa"/>
            <w:gridSpan w:val="2"/>
            <w:tcBorders>
              <w:top w:val="single" w:color="auto" w:sz="4" w:space="0"/>
              <w:left w:val="nil"/>
              <w:bottom w:val="single" w:color="auto" w:sz="4" w:space="0"/>
              <w:right w:val="single" w:color="auto" w:sz="4" w:space="0"/>
            </w:tcBorders>
            <w:shd w:val="clear" w:color="auto" w:fill="auto"/>
            <w:noWrap/>
            <w:vAlign w:val="center"/>
          </w:tcPr>
          <w:p w14:paraId="25572878">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783" w:type="dxa"/>
            <w:tcBorders>
              <w:top w:val="nil"/>
              <w:left w:val="nil"/>
              <w:bottom w:val="single" w:color="auto" w:sz="4" w:space="0"/>
              <w:right w:val="nil"/>
            </w:tcBorders>
            <w:shd w:val="clear" w:color="auto" w:fill="auto"/>
            <w:noWrap/>
            <w:vAlign w:val="center"/>
          </w:tcPr>
          <w:p w14:paraId="16204166">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73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CCB33B5">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225" w:type="dxa"/>
            <w:tcBorders>
              <w:top w:val="nil"/>
              <w:left w:val="nil"/>
              <w:bottom w:val="single" w:color="auto" w:sz="4" w:space="0"/>
              <w:right w:val="single" w:color="auto" w:sz="4" w:space="0"/>
            </w:tcBorders>
            <w:shd w:val="clear" w:color="auto" w:fill="auto"/>
            <w:noWrap/>
            <w:vAlign w:val="center"/>
          </w:tcPr>
          <w:p w14:paraId="10352928">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c>
          <w:tcPr>
            <w:tcW w:w="2404" w:type="dxa"/>
            <w:tcBorders>
              <w:top w:val="nil"/>
              <w:left w:val="nil"/>
              <w:bottom w:val="single" w:color="auto" w:sz="4" w:space="0"/>
              <w:right w:val="single" w:color="auto" w:sz="4" w:space="0"/>
            </w:tcBorders>
            <w:shd w:val="clear" w:color="auto" w:fill="auto"/>
            <w:noWrap/>
            <w:vAlign w:val="center"/>
          </w:tcPr>
          <w:p w14:paraId="1C170FA6">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r>
      <w:tr w14:paraId="2B454144">
        <w:tblPrEx>
          <w:tblCellMar>
            <w:top w:w="0" w:type="dxa"/>
            <w:left w:w="108" w:type="dxa"/>
            <w:bottom w:w="0" w:type="dxa"/>
            <w:right w:w="108" w:type="dxa"/>
          </w:tblCellMar>
        </w:tblPrEx>
        <w:trPr>
          <w:trHeight w:val="397" w:hRule="atLeast"/>
          <w:jc w:val="center"/>
        </w:trPr>
        <w:tc>
          <w:tcPr>
            <w:tcW w:w="2020" w:type="dxa"/>
            <w:vMerge w:val="continue"/>
            <w:tcBorders>
              <w:top w:val="nil"/>
              <w:left w:val="single" w:color="auto" w:sz="4" w:space="0"/>
              <w:bottom w:val="single" w:color="auto" w:sz="4" w:space="0"/>
              <w:right w:val="single" w:color="auto" w:sz="4" w:space="0"/>
            </w:tcBorders>
            <w:vAlign w:val="center"/>
          </w:tcPr>
          <w:p w14:paraId="48794D4F">
            <w:pPr>
              <w:widowControl/>
              <w:spacing w:line="320" w:lineRule="exact"/>
              <w:jc w:val="left"/>
              <w:rPr>
                <w:rFonts w:ascii="宋体" w:hAnsi="宋体" w:cs="宋体"/>
                <w:snapToGrid w:val="0"/>
                <w:color w:val="auto"/>
                <w:kern w:val="0"/>
                <w:sz w:val="24"/>
                <w:highlight w:val="none"/>
              </w:rPr>
            </w:pPr>
          </w:p>
        </w:tc>
        <w:tc>
          <w:tcPr>
            <w:tcW w:w="1583" w:type="dxa"/>
            <w:gridSpan w:val="2"/>
            <w:tcBorders>
              <w:top w:val="single" w:color="auto" w:sz="4" w:space="0"/>
              <w:left w:val="nil"/>
              <w:bottom w:val="single" w:color="auto" w:sz="4" w:space="0"/>
              <w:right w:val="single" w:color="auto" w:sz="4" w:space="0"/>
            </w:tcBorders>
            <w:shd w:val="clear" w:color="auto" w:fill="auto"/>
            <w:noWrap/>
            <w:vAlign w:val="center"/>
          </w:tcPr>
          <w:p w14:paraId="4E1FFF59">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783" w:type="dxa"/>
            <w:tcBorders>
              <w:top w:val="nil"/>
              <w:left w:val="nil"/>
              <w:bottom w:val="single" w:color="auto" w:sz="4" w:space="0"/>
              <w:right w:val="nil"/>
            </w:tcBorders>
            <w:shd w:val="clear" w:color="auto" w:fill="auto"/>
            <w:noWrap/>
            <w:vAlign w:val="center"/>
          </w:tcPr>
          <w:p w14:paraId="61F72BF8">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73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5BC77F5">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225" w:type="dxa"/>
            <w:tcBorders>
              <w:top w:val="nil"/>
              <w:left w:val="nil"/>
              <w:bottom w:val="single" w:color="auto" w:sz="4" w:space="0"/>
              <w:right w:val="single" w:color="auto" w:sz="4" w:space="0"/>
            </w:tcBorders>
            <w:shd w:val="clear" w:color="auto" w:fill="auto"/>
            <w:noWrap/>
            <w:vAlign w:val="center"/>
          </w:tcPr>
          <w:p w14:paraId="7C0394CA">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c>
          <w:tcPr>
            <w:tcW w:w="2404" w:type="dxa"/>
            <w:tcBorders>
              <w:top w:val="nil"/>
              <w:left w:val="nil"/>
              <w:bottom w:val="single" w:color="auto" w:sz="4" w:space="0"/>
              <w:right w:val="single" w:color="auto" w:sz="4" w:space="0"/>
            </w:tcBorders>
            <w:shd w:val="clear" w:color="auto" w:fill="auto"/>
            <w:noWrap/>
            <w:vAlign w:val="center"/>
          </w:tcPr>
          <w:p w14:paraId="63D6FF6E">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r>
      <w:tr w14:paraId="2F5B2BB5">
        <w:tblPrEx>
          <w:tblCellMar>
            <w:top w:w="0" w:type="dxa"/>
            <w:left w:w="108" w:type="dxa"/>
            <w:bottom w:w="0" w:type="dxa"/>
            <w:right w:w="108" w:type="dxa"/>
          </w:tblCellMar>
        </w:tblPrEx>
        <w:trPr>
          <w:trHeight w:val="397" w:hRule="atLeast"/>
          <w:jc w:val="center"/>
        </w:trPr>
        <w:tc>
          <w:tcPr>
            <w:tcW w:w="2020" w:type="dxa"/>
            <w:vMerge w:val="continue"/>
            <w:tcBorders>
              <w:top w:val="nil"/>
              <w:left w:val="single" w:color="auto" w:sz="4" w:space="0"/>
              <w:bottom w:val="single" w:color="auto" w:sz="4" w:space="0"/>
              <w:right w:val="single" w:color="auto" w:sz="4" w:space="0"/>
            </w:tcBorders>
            <w:vAlign w:val="center"/>
          </w:tcPr>
          <w:p w14:paraId="0B229BCA">
            <w:pPr>
              <w:widowControl/>
              <w:spacing w:line="320" w:lineRule="exact"/>
              <w:jc w:val="left"/>
              <w:rPr>
                <w:rFonts w:ascii="宋体" w:hAnsi="宋体" w:cs="宋体"/>
                <w:snapToGrid w:val="0"/>
                <w:color w:val="auto"/>
                <w:kern w:val="0"/>
                <w:sz w:val="24"/>
                <w:highlight w:val="none"/>
              </w:rPr>
            </w:pPr>
          </w:p>
        </w:tc>
        <w:tc>
          <w:tcPr>
            <w:tcW w:w="1583" w:type="dxa"/>
            <w:gridSpan w:val="2"/>
            <w:tcBorders>
              <w:top w:val="single" w:color="auto" w:sz="4" w:space="0"/>
              <w:left w:val="nil"/>
              <w:bottom w:val="single" w:color="auto" w:sz="4" w:space="0"/>
              <w:right w:val="single" w:color="auto" w:sz="4" w:space="0"/>
            </w:tcBorders>
            <w:shd w:val="clear" w:color="auto" w:fill="auto"/>
            <w:noWrap/>
            <w:vAlign w:val="center"/>
          </w:tcPr>
          <w:p w14:paraId="6C48CE61">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783" w:type="dxa"/>
            <w:tcBorders>
              <w:top w:val="nil"/>
              <w:left w:val="nil"/>
              <w:bottom w:val="single" w:color="auto" w:sz="4" w:space="0"/>
              <w:right w:val="nil"/>
            </w:tcBorders>
            <w:shd w:val="clear" w:color="auto" w:fill="auto"/>
            <w:noWrap/>
            <w:vAlign w:val="center"/>
          </w:tcPr>
          <w:p w14:paraId="5607A00C">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73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317E6C3">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225" w:type="dxa"/>
            <w:tcBorders>
              <w:top w:val="nil"/>
              <w:left w:val="nil"/>
              <w:bottom w:val="single" w:color="auto" w:sz="4" w:space="0"/>
              <w:right w:val="single" w:color="auto" w:sz="4" w:space="0"/>
            </w:tcBorders>
            <w:shd w:val="clear" w:color="auto" w:fill="auto"/>
            <w:noWrap/>
            <w:vAlign w:val="center"/>
          </w:tcPr>
          <w:p w14:paraId="47B2F601">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c>
          <w:tcPr>
            <w:tcW w:w="2404" w:type="dxa"/>
            <w:tcBorders>
              <w:top w:val="nil"/>
              <w:left w:val="nil"/>
              <w:bottom w:val="single" w:color="auto" w:sz="4" w:space="0"/>
              <w:right w:val="single" w:color="auto" w:sz="4" w:space="0"/>
            </w:tcBorders>
            <w:shd w:val="clear" w:color="auto" w:fill="auto"/>
            <w:noWrap/>
            <w:vAlign w:val="center"/>
          </w:tcPr>
          <w:p w14:paraId="733D638A">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r>
      <w:tr w14:paraId="304DEBAC">
        <w:tblPrEx>
          <w:tblCellMar>
            <w:top w:w="0" w:type="dxa"/>
            <w:left w:w="108" w:type="dxa"/>
            <w:bottom w:w="0" w:type="dxa"/>
            <w:right w:w="108" w:type="dxa"/>
          </w:tblCellMar>
        </w:tblPrEx>
        <w:trPr>
          <w:trHeight w:val="397" w:hRule="atLeast"/>
          <w:jc w:val="center"/>
        </w:trPr>
        <w:tc>
          <w:tcPr>
            <w:tcW w:w="2020" w:type="dxa"/>
            <w:vMerge w:val="continue"/>
            <w:tcBorders>
              <w:top w:val="nil"/>
              <w:left w:val="single" w:color="auto" w:sz="4" w:space="0"/>
              <w:bottom w:val="single" w:color="auto" w:sz="4" w:space="0"/>
              <w:right w:val="single" w:color="auto" w:sz="4" w:space="0"/>
            </w:tcBorders>
            <w:vAlign w:val="center"/>
          </w:tcPr>
          <w:p w14:paraId="44C4F0C4">
            <w:pPr>
              <w:widowControl/>
              <w:spacing w:line="320" w:lineRule="exact"/>
              <w:jc w:val="left"/>
              <w:rPr>
                <w:rFonts w:ascii="宋体" w:hAnsi="宋体" w:cs="宋体"/>
                <w:snapToGrid w:val="0"/>
                <w:color w:val="auto"/>
                <w:kern w:val="0"/>
                <w:sz w:val="24"/>
                <w:highlight w:val="none"/>
              </w:rPr>
            </w:pPr>
          </w:p>
        </w:tc>
        <w:tc>
          <w:tcPr>
            <w:tcW w:w="1583" w:type="dxa"/>
            <w:gridSpan w:val="2"/>
            <w:tcBorders>
              <w:top w:val="single" w:color="auto" w:sz="4" w:space="0"/>
              <w:left w:val="nil"/>
              <w:bottom w:val="single" w:color="auto" w:sz="4" w:space="0"/>
              <w:right w:val="single" w:color="auto" w:sz="4" w:space="0"/>
            </w:tcBorders>
            <w:shd w:val="clear" w:color="auto" w:fill="auto"/>
            <w:noWrap/>
            <w:vAlign w:val="center"/>
          </w:tcPr>
          <w:p w14:paraId="30F09CEF">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783" w:type="dxa"/>
            <w:tcBorders>
              <w:top w:val="nil"/>
              <w:left w:val="nil"/>
              <w:bottom w:val="single" w:color="auto" w:sz="4" w:space="0"/>
              <w:right w:val="nil"/>
            </w:tcBorders>
            <w:shd w:val="clear" w:color="auto" w:fill="auto"/>
            <w:noWrap/>
            <w:vAlign w:val="center"/>
          </w:tcPr>
          <w:p w14:paraId="10B56975">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73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9E0FE97">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225" w:type="dxa"/>
            <w:tcBorders>
              <w:top w:val="nil"/>
              <w:left w:val="nil"/>
              <w:bottom w:val="single" w:color="auto" w:sz="4" w:space="0"/>
              <w:right w:val="single" w:color="auto" w:sz="4" w:space="0"/>
            </w:tcBorders>
            <w:shd w:val="clear" w:color="auto" w:fill="auto"/>
            <w:noWrap/>
            <w:vAlign w:val="center"/>
          </w:tcPr>
          <w:p w14:paraId="30D28581">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c>
          <w:tcPr>
            <w:tcW w:w="2404" w:type="dxa"/>
            <w:tcBorders>
              <w:top w:val="nil"/>
              <w:left w:val="nil"/>
              <w:bottom w:val="single" w:color="auto" w:sz="4" w:space="0"/>
              <w:right w:val="single" w:color="auto" w:sz="4" w:space="0"/>
            </w:tcBorders>
            <w:shd w:val="clear" w:color="auto" w:fill="auto"/>
            <w:noWrap/>
            <w:vAlign w:val="center"/>
          </w:tcPr>
          <w:p w14:paraId="78D4897C">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r>
      <w:tr w14:paraId="60EA549A">
        <w:tblPrEx>
          <w:tblCellMar>
            <w:top w:w="0" w:type="dxa"/>
            <w:left w:w="108" w:type="dxa"/>
            <w:bottom w:w="0" w:type="dxa"/>
            <w:right w:w="108" w:type="dxa"/>
          </w:tblCellMar>
        </w:tblPrEx>
        <w:trPr>
          <w:trHeight w:val="397" w:hRule="atLeast"/>
          <w:jc w:val="center"/>
        </w:trPr>
        <w:tc>
          <w:tcPr>
            <w:tcW w:w="2020" w:type="dxa"/>
            <w:vMerge w:val="continue"/>
            <w:tcBorders>
              <w:top w:val="nil"/>
              <w:left w:val="single" w:color="auto" w:sz="4" w:space="0"/>
              <w:bottom w:val="single" w:color="auto" w:sz="4" w:space="0"/>
              <w:right w:val="single" w:color="auto" w:sz="4" w:space="0"/>
            </w:tcBorders>
            <w:vAlign w:val="center"/>
          </w:tcPr>
          <w:p w14:paraId="15FAAFDC">
            <w:pPr>
              <w:widowControl/>
              <w:spacing w:line="320" w:lineRule="exact"/>
              <w:jc w:val="left"/>
              <w:rPr>
                <w:rFonts w:ascii="宋体" w:hAnsi="宋体" w:cs="宋体"/>
                <w:snapToGrid w:val="0"/>
                <w:color w:val="auto"/>
                <w:kern w:val="0"/>
                <w:sz w:val="24"/>
                <w:highlight w:val="none"/>
              </w:rPr>
            </w:pPr>
          </w:p>
        </w:tc>
        <w:tc>
          <w:tcPr>
            <w:tcW w:w="1583" w:type="dxa"/>
            <w:gridSpan w:val="2"/>
            <w:tcBorders>
              <w:top w:val="single" w:color="auto" w:sz="4" w:space="0"/>
              <w:left w:val="nil"/>
              <w:bottom w:val="single" w:color="auto" w:sz="4" w:space="0"/>
              <w:right w:val="single" w:color="auto" w:sz="4" w:space="0"/>
            </w:tcBorders>
            <w:shd w:val="clear" w:color="auto" w:fill="auto"/>
            <w:noWrap/>
            <w:vAlign w:val="center"/>
          </w:tcPr>
          <w:p w14:paraId="37E0DB72">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783" w:type="dxa"/>
            <w:tcBorders>
              <w:top w:val="nil"/>
              <w:left w:val="nil"/>
              <w:bottom w:val="single" w:color="auto" w:sz="4" w:space="0"/>
              <w:right w:val="nil"/>
            </w:tcBorders>
            <w:shd w:val="clear" w:color="auto" w:fill="auto"/>
            <w:noWrap/>
            <w:vAlign w:val="center"/>
          </w:tcPr>
          <w:p w14:paraId="671BE875">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73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9A853FC">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225" w:type="dxa"/>
            <w:tcBorders>
              <w:top w:val="nil"/>
              <w:left w:val="nil"/>
              <w:bottom w:val="single" w:color="auto" w:sz="4" w:space="0"/>
              <w:right w:val="single" w:color="auto" w:sz="4" w:space="0"/>
            </w:tcBorders>
            <w:shd w:val="clear" w:color="auto" w:fill="auto"/>
            <w:noWrap/>
            <w:vAlign w:val="center"/>
          </w:tcPr>
          <w:p w14:paraId="1B95118E">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c>
          <w:tcPr>
            <w:tcW w:w="2404" w:type="dxa"/>
            <w:tcBorders>
              <w:top w:val="nil"/>
              <w:left w:val="nil"/>
              <w:bottom w:val="single" w:color="auto" w:sz="4" w:space="0"/>
              <w:right w:val="single" w:color="auto" w:sz="4" w:space="0"/>
            </w:tcBorders>
            <w:shd w:val="clear" w:color="auto" w:fill="auto"/>
            <w:noWrap/>
            <w:vAlign w:val="center"/>
          </w:tcPr>
          <w:p w14:paraId="64F097AF">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r>
      <w:tr w14:paraId="0A83D850">
        <w:tblPrEx>
          <w:tblCellMar>
            <w:top w:w="0" w:type="dxa"/>
            <w:left w:w="108" w:type="dxa"/>
            <w:bottom w:w="0" w:type="dxa"/>
            <w:right w:w="108" w:type="dxa"/>
          </w:tblCellMar>
        </w:tblPrEx>
        <w:trPr>
          <w:trHeight w:val="397" w:hRule="atLeast"/>
          <w:jc w:val="center"/>
        </w:trPr>
        <w:tc>
          <w:tcPr>
            <w:tcW w:w="6123"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14:paraId="4C066E1B">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本类合计</w:t>
            </w:r>
          </w:p>
        </w:tc>
        <w:tc>
          <w:tcPr>
            <w:tcW w:w="1225" w:type="dxa"/>
            <w:tcBorders>
              <w:top w:val="nil"/>
              <w:left w:val="nil"/>
              <w:bottom w:val="single" w:color="auto" w:sz="4" w:space="0"/>
              <w:right w:val="single" w:color="auto" w:sz="4" w:space="0"/>
            </w:tcBorders>
            <w:shd w:val="clear" w:color="auto" w:fill="auto"/>
            <w:noWrap/>
            <w:vAlign w:val="center"/>
          </w:tcPr>
          <w:p w14:paraId="4F82981D">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   </w:t>
            </w:r>
          </w:p>
        </w:tc>
        <w:tc>
          <w:tcPr>
            <w:tcW w:w="2404" w:type="dxa"/>
            <w:tcBorders>
              <w:top w:val="nil"/>
              <w:left w:val="nil"/>
              <w:bottom w:val="single" w:color="auto" w:sz="4" w:space="0"/>
              <w:right w:val="single" w:color="auto" w:sz="4" w:space="0"/>
            </w:tcBorders>
            <w:shd w:val="clear" w:color="auto" w:fill="auto"/>
            <w:noWrap/>
            <w:vAlign w:val="center"/>
          </w:tcPr>
          <w:p w14:paraId="3A55F5BE">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   </w:t>
            </w:r>
          </w:p>
        </w:tc>
      </w:tr>
      <w:tr w14:paraId="28B57459">
        <w:tblPrEx>
          <w:tblCellMar>
            <w:top w:w="0" w:type="dxa"/>
            <w:left w:w="108" w:type="dxa"/>
            <w:bottom w:w="0" w:type="dxa"/>
            <w:right w:w="108" w:type="dxa"/>
          </w:tblCellMar>
        </w:tblPrEx>
        <w:trPr>
          <w:trHeight w:val="397" w:hRule="atLeast"/>
          <w:jc w:val="center"/>
        </w:trPr>
        <w:tc>
          <w:tcPr>
            <w:tcW w:w="2020" w:type="dxa"/>
            <w:vMerge w:val="restart"/>
            <w:tcBorders>
              <w:top w:val="nil"/>
              <w:left w:val="single" w:color="auto" w:sz="4" w:space="0"/>
              <w:bottom w:val="single" w:color="auto" w:sz="4" w:space="0"/>
              <w:right w:val="single" w:color="auto" w:sz="4" w:space="0"/>
            </w:tcBorders>
            <w:shd w:val="clear" w:color="auto" w:fill="auto"/>
            <w:noWrap/>
            <w:vAlign w:val="center"/>
          </w:tcPr>
          <w:p w14:paraId="1B11B1E1">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C</w:t>
            </w:r>
          </w:p>
          <w:p w14:paraId="07B2426B">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类</w:t>
            </w:r>
          </w:p>
        </w:tc>
        <w:tc>
          <w:tcPr>
            <w:tcW w:w="1583" w:type="dxa"/>
            <w:gridSpan w:val="2"/>
            <w:tcBorders>
              <w:top w:val="single" w:color="auto" w:sz="4" w:space="0"/>
              <w:left w:val="nil"/>
              <w:bottom w:val="single" w:color="auto" w:sz="4" w:space="0"/>
              <w:right w:val="single" w:color="auto" w:sz="4" w:space="0"/>
            </w:tcBorders>
            <w:shd w:val="clear" w:color="auto" w:fill="auto"/>
            <w:noWrap/>
            <w:vAlign w:val="center"/>
          </w:tcPr>
          <w:p w14:paraId="634AFDDE">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工资性支出</w:t>
            </w:r>
          </w:p>
        </w:tc>
        <w:tc>
          <w:tcPr>
            <w:tcW w:w="1783" w:type="dxa"/>
            <w:tcBorders>
              <w:top w:val="nil"/>
              <w:left w:val="nil"/>
              <w:bottom w:val="single" w:color="auto" w:sz="4" w:space="0"/>
              <w:right w:val="nil"/>
            </w:tcBorders>
            <w:shd w:val="clear" w:color="auto" w:fill="auto"/>
            <w:noWrap/>
            <w:vAlign w:val="center"/>
          </w:tcPr>
          <w:p w14:paraId="19ED9FCC">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73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F2CFAA5">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225" w:type="dxa"/>
            <w:tcBorders>
              <w:top w:val="nil"/>
              <w:left w:val="nil"/>
              <w:bottom w:val="single" w:color="auto" w:sz="4" w:space="0"/>
              <w:right w:val="single" w:color="auto" w:sz="4" w:space="0"/>
            </w:tcBorders>
            <w:shd w:val="clear" w:color="auto" w:fill="auto"/>
            <w:noWrap/>
            <w:vAlign w:val="center"/>
          </w:tcPr>
          <w:p w14:paraId="66FD1474">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c>
          <w:tcPr>
            <w:tcW w:w="2404" w:type="dxa"/>
            <w:tcBorders>
              <w:top w:val="nil"/>
              <w:left w:val="nil"/>
              <w:bottom w:val="single" w:color="auto" w:sz="4" w:space="0"/>
              <w:right w:val="single" w:color="auto" w:sz="4" w:space="0"/>
            </w:tcBorders>
            <w:shd w:val="clear" w:color="auto" w:fill="auto"/>
            <w:noWrap/>
            <w:vAlign w:val="center"/>
          </w:tcPr>
          <w:p w14:paraId="0D91DF76">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r>
      <w:tr w14:paraId="29CAD169">
        <w:tblPrEx>
          <w:tblCellMar>
            <w:top w:w="0" w:type="dxa"/>
            <w:left w:w="108" w:type="dxa"/>
            <w:bottom w:w="0" w:type="dxa"/>
            <w:right w:w="108" w:type="dxa"/>
          </w:tblCellMar>
        </w:tblPrEx>
        <w:trPr>
          <w:trHeight w:val="397" w:hRule="atLeast"/>
          <w:jc w:val="center"/>
        </w:trPr>
        <w:tc>
          <w:tcPr>
            <w:tcW w:w="2020" w:type="dxa"/>
            <w:vMerge w:val="continue"/>
            <w:tcBorders>
              <w:top w:val="nil"/>
              <w:left w:val="single" w:color="auto" w:sz="4" w:space="0"/>
              <w:bottom w:val="single" w:color="auto" w:sz="4" w:space="0"/>
              <w:right w:val="single" w:color="auto" w:sz="4" w:space="0"/>
            </w:tcBorders>
            <w:vAlign w:val="center"/>
          </w:tcPr>
          <w:p w14:paraId="3F434639">
            <w:pPr>
              <w:widowControl/>
              <w:spacing w:line="320" w:lineRule="exact"/>
              <w:jc w:val="left"/>
              <w:rPr>
                <w:rFonts w:ascii="宋体" w:hAnsi="宋体" w:cs="宋体"/>
                <w:snapToGrid w:val="0"/>
                <w:color w:val="auto"/>
                <w:kern w:val="0"/>
                <w:sz w:val="24"/>
                <w:highlight w:val="none"/>
              </w:rPr>
            </w:pPr>
          </w:p>
        </w:tc>
        <w:tc>
          <w:tcPr>
            <w:tcW w:w="1583" w:type="dxa"/>
            <w:gridSpan w:val="2"/>
            <w:tcBorders>
              <w:top w:val="single" w:color="auto" w:sz="4" w:space="0"/>
              <w:left w:val="nil"/>
              <w:bottom w:val="single" w:color="auto" w:sz="4" w:space="0"/>
              <w:right w:val="single" w:color="auto" w:sz="4" w:space="0"/>
            </w:tcBorders>
            <w:shd w:val="clear" w:color="auto" w:fill="auto"/>
            <w:noWrap/>
            <w:vAlign w:val="center"/>
          </w:tcPr>
          <w:p w14:paraId="6FAFA997">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783" w:type="dxa"/>
            <w:tcBorders>
              <w:top w:val="nil"/>
              <w:left w:val="nil"/>
              <w:bottom w:val="single" w:color="auto" w:sz="4" w:space="0"/>
              <w:right w:val="nil"/>
            </w:tcBorders>
            <w:shd w:val="clear" w:color="auto" w:fill="auto"/>
            <w:noWrap/>
            <w:vAlign w:val="center"/>
          </w:tcPr>
          <w:p w14:paraId="2B610571">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73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5EF71BD">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225" w:type="dxa"/>
            <w:tcBorders>
              <w:top w:val="nil"/>
              <w:left w:val="nil"/>
              <w:bottom w:val="single" w:color="auto" w:sz="4" w:space="0"/>
              <w:right w:val="single" w:color="auto" w:sz="4" w:space="0"/>
            </w:tcBorders>
            <w:shd w:val="clear" w:color="auto" w:fill="auto"/>
            <w:noWrap/>
            <w:vAlign w:val="center"/>
          </w:tcPr>
          <w:p w14:paraId="18EECECD">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c>
          <w:tcPr>
            <w:tcW w:w="2404" w:type="dxa"/>
            <w:tcBorders>
              <w:top w:val="nil"/>
              <w:left w:val="nil"/>
              <w:bottom w:val="single" w:color="auto" w:sz="4" w:space="0"/>
              <w:right w:val="single" w:color="auto" w:sz="4" w:space="0"/>
            </w:tcBorders>
            <w:shd w:val="clear" w:color="auto" w:fill="auto"/>
            <w:noWrap/>
            <w:vAlign w:val="center"/>
          </w:tcPr>
          <w:p w14:paraId="1EBCE58F">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r>
      <w:tr w14:paraId="49589A2B">
        <w:tblPrEx>
          <w:tblCellMar>
            <w:top w:w="0" w:type="dxa"/>
            <w:left w:w="108" w:type="dxa"/>
            <w:bottom w:w="0" w:type="dxa"/>
            <w:right w:w="108" w:type="dxa"/>
          </w:tblCellMar>
        </w:tblPrEx>
        <w:trPr>
          <w:trHeight w:val="397" w:hRule="atLeast"/>
          <w:jc w:val="center"/>
        </w:trPr>
        <w:tc>
          <w:tcPr>
            <w:tcW w:w="2020" w:type="dxa"/>
            <w:vMerge w:val="continue"/>
            <w:tcBorders>
              <w:top w:val="nil"/>
              <w:left w:val="single" w:color="auto" w:sz="4" w:space="0"/>
              <w:bottom w:val="single" w:color="auto" w:sz="4" w:space="0"/>
              <w:right w:val="single" w:color="auto" w:sz="4" w:space="0"/>
            </w:tcBorders>
            <w:vAlign w:val="center"/>
          </w:tcPr>
          <w:p w14:paraId="41577400">
            <w:pPr>
              <w:widowControl/>
              <w:spacing w:line="320" w:lineRule="exact"/>
              <w:jc w:val="left"/>
              <w:rPr>
                <w:rFonts w:ascii="宋体" w:hAnsi="宋体" w:cs="宋体"/>
                <w:snapToGrid w:val="0"/>
                <w:color w:val="auto"/>
                <w:kern w:val="0"/>
                <w:sz w:val="24"/>
                <w:highlight w:val="none"/>
              </w:rPr>
            </w:pPr>
          </w:p>
        </w:tc>
        <w:tc>
          <w:tcPr>
            <w:tcW w:w="1583" w:type="dxa"/>
            <w:gridSpan w:val="2"/>
            <w:tcBorders>
              <w:top w:val="single" w:color="auto" w:sz="4" w:space="0"/>
              <w:left w:val="nil"/>
              <w:bottom w:val="single" w:color="auto" w:sz="4" w:space="0"/>
              <w:right w:val="single" w:color="auto" w:sz="4" w:space="0"/>
            </w:tcBorders>
            <w:shd w:val="clear" w:color="auto" w:fill="auto"/>
            <w:noWrap/>
            <w:vAlign w:val="center"/>
          </w:tcPr>
          <w:p w14:paraId="38DAE135">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783" w:type="dxa"/>
            <w:tcBorders>
              <w:top w:val="nil"/>
              <w:left w:val="nil"/>
              <w:bottom w:val="single" w:color="auto" w:sz="4" w:space="0"/>
              <w:right w:val="nil"/>
            </w:tcBorders>
            <w:shd w:val="clear" w:color="auto" w:fill="auto"/>
            <w:noWrap/>
            <w:vAlign w:val="center"/>
          </w:tcPr>
          <w:p w14:paraId="69E9E788">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73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AB8C981">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225" w:type="dxa"/>
            <w:tcBorders>
              <w:top w:val="nil"/>
              <w:left w:val="nil"/>
              <w:bottom w:val="single" w:color="auto" w:sz="4" w:space="0"/>
              <w:right w:val="single" w:color="auto" w:sz="4" w:space="0"/>
            </w:tcBorders>
            <w:shd w:val="clear" w:color="auto" w:fill="auto"/>
            <w:noWrap/>
            <w:vAlign w:val="center"/>
          </w:tcPr>
          <w:p w14:paraId="6A0F6661">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c>
          <w:tcPr>
            <w:tcW w:w="2404" w:type="dxa"/>
            <w:tcBorders>
              <w:top w:val="nil"/>
              <w:left w:val="nil"/>
              <w:bottom w:val="single" w:color="auto" w:sz="4" w:space="0"/>
              <w:right w:val="single" w:color="auto" w:sz="4" w:space="0"/>
            </w:tcBorders>
            <w:shd w:val="clear" w:color="auto" w:fill="auto"/>
            <w:noWrap/>
            <w:vAlign w:val="center"/>
          </w:tcPr>
          <w:p w14:paraId="44BCFC62">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r>
      <w:tr w14:paraId="5F348FE1">
        <w:tblPrEx>
          <w:tblCellMar>
            <w:top w:w="0" w:type="dxa"/>
            <w:left w:w="108" w:type="dxa"/>
            <w:bottom w:w="0" w:type="dxa"/>
            <w:right w:w="108" w:type="dxa"/>
          </w:tblCellMar>
        </w:tblPrEx>
        <w:trPr>
          <w:trHeight w:val="397" w:hRule="atLeast"/>
          <w:jc w:val="center"/>
        </w:trPr>
        <w:tc>
          <w:tcPr>
            <w:tcW w:w="2020" w:type="dxa"/>
            <w:vMerge w:val="continue"/>
            <w:tcBorders>
              <w:top w:val="nil"/>
              <w:left w:val="single" w:color="auto" w:sz="4" w:space="0"/>
              <w:bottom w:val="single" w:color="auto" w:sz="4" w:space="0"/>
              <w:right w:val="single" w:color="auto" w:sz="4" w:space="0"/>
            </w:tcBorders>
            <w:vAlign w:val="center"/>
          </w:tcPr>
          <w:p w14:paraId="29973F31">
            <w:pPr>
              <w:widowControl/>
              <w:spacing w:line="320" w:lineRule="exact"/>
              <w:jc w:val="left"/>
              <w:rPr>
                <w:rFonts w:ascii="宋体" w:hAnsi="宋体" w:cs="宋体"/>
                <w:snapToGrid w:val="0"/>
                <w:color w:val="auto"/>
                <w:kern w:val="0"/>
                <w:sz w:val="24"/>
                <w:highlight w:val="none"/>
              </w:rPr>
            </w:pPr>
          </w:p>
        </w:tc>
        <w:tc>
          <w:tcPr>
            <w:tcW w:w="1583" w:type="dxa"/>
            <w:gridSpan w:val="2"/>
            <w:tcBorders>
              <w:top w:val="single" w:color="auto" w:sz="4" w:space="0"/>
              <w:left w:val="nil"/>
              <w:bottom w:val="single" w:color="auto" w:sz="4" w:space="0"/>
              <w:right w:val="single" w:color="auto" w:sz="4" w:space="0"/>
            </w:tcBorders>
            <w:shd w:val="clear" w:color="auto" w:fill="auto"/>
            <w:noWrap/>
            <w:vAlign w:val="center"/>
          </w:tcPr>
          <w:p w14:paraId="038BED62">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783" w:type="dxa"/>
            <w:tcBorders>
              <w:top w:val="nil"/>
              <w:left w:val="nil"/>
              <w:bottom w:val="single" w:color="auto" w:sz="4" w:space="0"/>
              <w:right w:val="nil"/>
            </w:tcBorders>
            <w:shd w:val="clear" w:color="auto" w:fill="auto"/>
            <w:noWrap/>
            <w:vAlign w:val="center"/>
          </w:tcPr>
          <w:p w14:paraId="13A2FB42">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73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5D6AE41">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225" w:type="dxa"/>
            <w:tcBorders>
              <w:top w:val="nil"/>
              <w:left w:val="nil"/>
              <w:bottom w:val="single" w:color="auto" w:sz="4" w:space="0"/>
              <w:right w:val="single" w:color="auto" w:sz="4" w:space="0"/>
            </w:tcBorders>
            <w:shd w:val="clear" w:color="auto" w:fill="auto"/>
            <w:noWrap/>
            <w:vAlign w:val="center"/>
          </w:tcPr>
          <w:p w14:paraId="7F79B0B5">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c>
          <w:tcPr>
            <w:tcW w:w="2404" w:type="dxa"/>
            <w:tcBorders>
              <w:top w:val="nil"/>
              <w:left w:val="nil"/>
              <w:bottom w:val="single" w:color="auto" w:sz="4" w:space="0"/>
              <w:right w:val="single" w:color="auto" w:sz="4" w:space="0"/>
            </w:tcBorders>
            <w:shd w:val="clear" w:color="auto" w:fill="auto"/>
            <w:noWrap/>
            <w:vAlign w:val="center"/>
          </w:tcPr>
          <w:p w14:paraId="5F56BE0A">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r>
      <w:tr w14:paraId="5FD8AF38">
        <w:tblPrEx>
          <w:tblCellMar>
            <w:top w:w="0" w:type="dxa"/>
            <w:left w:w="108" w:type="dxa"/>
            <w:bottom w:w="0" w:type="dxa"/>
            <w:right w:w="108" w:type="dxa"/>
          </w:tblCellMar>
        </w:tblPrEx>
        <w:trPr>
          <w:trHeight w:val="397" w:hRule="atLeast"/>
          <w:jc w:val="center"/>
        </w:trPr>
        <w:tc>
          <w:tcPr>
            <w:tcW w:w="2020" w:type="dxa"/>
            <w:vMerge w:val="continue"/>
            <w:tcBorders>
              <w:top w:val="nil"/>
              <w:left w:val="single" w:color="auto" w:sz="4" w:space="0"/>
              <w:bottom w:val="single" w:color="auto" w:sz="4" w:space="0"/>
              <w:right w:val="single" w:color="auto" w:sz="4" w:space="0"/>
            </w:tcBorders>
            <w:vAlign w:val="center"/>
          </w:tcPr>
          <w:p w14:paraId="3D7104DB">
            <w:pPr>
              <w:widowControl/>
              <w:spacing w:line="320" w:lineRule="exact"/>
              <w:jc w:val="left"/>
              <w:rPr>
                <w:rFonts w:ascii="宋体" w:hAnsi="宋体" w:cs="宋体"/>
                <w:snapToGrid w:val="0"/>
                <w:color w:val="auto"/>
                <w:kern w:val="0"/>
                <w:sz w:val="24"/>
                <w:highlight w:val="none"/>
              </w:rPr>
            </w:pPr>
          </w:p>
        </w:tc>
        <w:tc>
          <w:tcPr>
            <w:tcW w:w="1583" w:type="dxa"/>
            <w:gridSpan w:val="2"/>
            <w:tcBorders>
              <w:top w:val="single" w:color="auto" w:sz="4" w:space="0"/>
              <w:left w:val="nil"/>
              <w:bottom w:val="single" w:color="auto" w:sz="4" w:space="0"/>
              <w:right w:val="single" w:color="auto" w:sz="4" w:space="0"/>
            </w:tcBorders>
            <w:shd w:val="clear" w:color="auto" w:fill="auto"/>
            <w:noWrap/>
            <w:vAlign w:val="center"/>
          </w:tcPr>
          <w:p w14:paraId="07816741">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783" w:type="dxa"/>
            <w:tcBorders>
              <w:top w:val="nil"/>
              <w:left w:val="nil"/>
              <w:bottom w:val="single" w:color="auto" w:sz="4" w:space="0"/>
              <w:right w:val="nil"/>
            </w:tcBorders>
            <w:shd w:val="clear" w:color="auto" w:fill="auto"/>
            <w:noWrap/>
            <w:vAlign w:val="center"/>
          </w:tcPr>
          <w:p w14:paraId="505C0893">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73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29CCBD6">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225" w:type="dxa"/>
            <w:tcBorders>
              <w:top w:val="nil"/>
              <w:left w:val="nil"/>
              <w:bottom w:val="single" w:color="auto" w:sz="4" w:space="0"/>
              <w:right w:val="single" w:color="auto" w:sz="4" w:space="0"/>
            </w:tcBorders>
            <w:shd w:val="clear" w:color="auto" w:fill="auto"/>
            <w:noWrap/>
            <w:vAlign w:val="center"/>
          </w:tcPr>
          <w:p w14:paraId="64354F77">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c>
          <w:tcPr>
            <w:tcW w:w="2404" w:type="dxa"/>
            <w:tcBorders>
              <w:top w:val="nil"/>
              <w:left w:val="nil"/>
              <w:bottom w:val="single" w:color="auto" w:sz="4" w:space="0"/>
              <w:right w:val="single" w:color="auto" w:sz="4" w:space="0"/>
            </w:tcBorders>
            <w:shd w:val="clear" w:color="auto" w:fill="auto"/>
            <w:noWrap/>
            <w:vAlign w:val="center"/>
          </w:tcPr>
          <w:p w14:paraId="1D06132C">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w:t>
            </w:r>
          </w:p>
        </w:tc>
      </w:tr>
      <w:tr w14:paraId="0B772CA2">
        <w:tblPrEx>
          <w:tblCellMar>
            <w:top w:w="0" w:type="dxa"/>
            <w:left w:w="108" w:type="dxa"/>
            <w:bottom w:w="0" w:type="dxa"/>
            <w:right w:w="108" w:type="dxa"/>
          </w:tblCellMar>
        </w:tblPrEx>
        <w:trPr>
          <w:trHeight w:val="397" w:hRule="atLeast"/>
          <w:jc w:val="center"/>
        </w:trPr>
        <w:tc>
          <w:tcPr>
            <w:tcW w:w="6123"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14:paraId="3289D5DD">
            <w:pPr>
              <w:widowControl/>
              <w:spacing w:line="320" w:lineRule="exact"/>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本类合计</w:t>
            </w:r>
          </w:p>
        </w:tc>
        <w:tc>
          <w:tcPr>
            <w:tcW w:w="1225" w:type="dxa"/>
            <w:tcBorders>
              <w:top w:val="nil"/>
              <w:left w:val="nil"/>
              <w:bottom w:val="single" w:color="auto" w:sz="4" w:space="0"/>
              <w:right w:val="single" w:color="auto" w:sz="4" w:space="0"/>
            </w:tcBorders>
            <w:shd w:val="clear" w:color="auto" w:fill="auto"/>
            <w:noWrap/>
            <w:vAlign w:val="center"/>
          </w:tcPr>
          <w:p w14:paraId="57AC9C14">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   </w:t>
            </w:r>
          </w:p>
        </w:tc>
        <w:tc>
          <w:tcPr>
            <w:tcW w:w="2404" w:type="dxa"/>
            <w:tcBorders>
              <w:top w:val="nil"/>
              <w:left w:val="nil"/>
              <w:bottom w:val="single" w:color="auto" w:sz="4" w:space="0"/>
              <w:right w:val="single" w:color="auto" w:sz="4" w:space="0"/>
            </w:tcBorders>
            <w:shd w:val="clear" w:color="auto" w:fill="auto"/>
            <w:noWrap/>
            <w:vAlign w:val="center"/>
          </w:tcPr>
          <w:p w14:paraId="6377799E">
            <w:pPr>
              <w:widowControl/>
              <w:spacing w:line="320" w:lineRule="exact"/>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   </w:t>
            </w:r>
          </w:p>
        </w:tc>
      </w:tr>
      <w:tr w14:paraId="7E9B6803">
        <w:tblPrEx>
          <w:tblCellMar>
            <w:top w:w="0" w:type="dxa"/>
            <w:left w:w="108" w:type="dxa"/>
            <w:bottom w:w="0" w:type="dxa"/>
            <w:right w:w="108" w:type="dxa"/>
          </w:tblCellMar>
        </w:tblPrEx>
        <w:trPr>
          <w:trHeight w:val="20" w:hRule="atLeast"/>
          <w:jc w:val="center"/>
        </w:trPr>
        <w:tc>
          <w:tcPr>
            <w:tcW w:w="6123"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14:paraId="6B1E5E7B">
            <w:pPr>
              <w:widowControl/>
              <w:spacing w:line="320" w:lineRule="exact"/>
              <w:jc w:val="center"/>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总计</w:t>
            </w:r>
          </w:p>
        </w:tc>
        <w:tc>
          <w:tcPr>
            <w:tcW w:w="1225" w:type="dxa"/>
            <w:tcBorders>
              <w:top w:val="nil"/>
              <w:left w:val="nil"/>
              <w:bottom w:val="single" w:color="auto" w:sz="4" w:space="0"/>
              <w:right w:val="single" w:color="auto" w:sz="4" w:space="0"/>
            </w:tcBorders>
            <w:shd w:val="clear" w:color="auto" w:fill="auto"/>
            <w:noWrap/>
            <w:vAlign w:val="center"/>
          </w:tcPr>
          <w:p w14:paraId="7BBC8CB9">
            <w:pPr>
              <w:widowControl/>
              <w:spacing w:line="320" w:lineRule="exact"/>
              <w:jc w:val="right"/>
              <w:rPr>
                <w:rFonts w:ascii="宋体" w:hAnsi="宋体"/>
                <w:b/>
                <w:bCs/>
                <w:snapToGrid w:val="0"/>
                <w:color w:val="auto"/>
                <w:kern w:val="0"/>
                <w:sz w:val="24"/>
                <w:highlight w:val="none"/>
              </w:rPr>
            </w:pPr>
            <w:r>
              <w:rPr>
                <w:rFonts w:ascii="宋体" w:hAnsi="宋体"/>
                <w:b/>
                <w:bCs/>
                <w:snapToGrid w:val="0"/>
                <w:color w:val="auto"/>
                <w:kern w:val="0"/>
                <w:sz w:val="24"/>
                <w:highlight w:val="none"/>
              </w:rPr>
              <w:t xml:space="preserve">     -   </w:t>
            </w:r>
          </w:p>
        </w:tc>
        <w:tc>
          <w:tcPr>
            <w:tcW w:w="2404" w:type="dxa"/>
            <w:tcBorders>
              <w:top w:val="nil"/>
              <w:left w:val="nil"/>
              <w:bottom w:val="single" w:color="auto" w:sz="4" w:space="0"/>
              <w:right w:val="single" w:color="auto" w:sz="4" w:space="0"/>
            </w:tcBorders>
            <w:shd w:val="clear" w:color="auto" w:fill="auto"/>
            <w:noWrap/>
            <w:vAlign w:val="center"/>
          </w:tcPr>
          <w:p w14:paraId="0977FC1D">
            <w:pPr>
              <w:widowControl/>
              <w:spacing w:line="320" w:lineRule="exact"/>
              <w:jc w:val="right"/>
              <w:rPr>
                <w:rFonts w:ascii="宋体" w:hAnsi="宋体"/>
                <w:b/>
                <w:bCs/>
                <w:snapToGrid w:val="0"/>
                <w:color w:val="auto"/>
                <w:kern w:val="0"/>
                <w:sz w:val="24"/>
                <w:highlight w:val="none"/>
              </w:rPr>
            </w:pPr>
            <w:r>
              <w:rPr>
                <w:rFonts w:ascii="宋体" w:hAnsi="宋体"/>
                <w:b/>
                <w:bCs/>
                <w:snapToGrid w:val="0"/>
                <w:color w:val="auto"/>
                <w:kern w:val="0"/>
                <w:sz w:val="24"/>
                <w:highlight w:val="none"/>
              </w:rPr>
              <w:t xml:space="preserve">             -   </w:t>
            </w:r>
          </w:p>
        </w:tc>
      </w:tr>
    </w:tbl>
    <w:p w14:paraId="7558A492">
      <w:pPr>
        <w:rPr>
          <w:b/>
          <w:snapToGrid w:val="0"/>
          <w:color w:val="auto"/>
          <w:kern w:val="0"/>
          <w:sz w:val="24"/>
          <w:highlight w:val="none"/>
        </w:rPr>
      </w:pPr>
      <w:r>
        <w:rPr>
          <w:rFonts w:hint="eastAsia"/>
          <w:b/>
          <w:snapToGrid w:val="0"/>
          <w:color w:val="auto"/>
          <w:kern w:val="0"/>
          <w:szCs w:val="21"/>
          <w:highlight w:val="none"/>
        </w:rPr>
        <w:t>备注： 1.本表根据本期审定资金额编制用款计划，加盖单位公章、一式叁份交广州市越秀区代建项目管理中心</w:t>
      </w:r>
    </w:p>
    <w:p w14:paraId="21A04327">
      <w:pPr>
        <w:rPr>
          <w:b/>
          <w:snapToGrid w:val="0"/>
          <w:color w:val="auto"/>
          <w:kern w:val="0"/>
          <w:sz w:val="24"/>
          <w:highlight w:val="none"/>
        </w:rPr>
      </w:pPr>
      <w:r>
        <w:rPr>
          <w:rFonts w:hint="eastAsia"/>
          <w:b/>
          <w:snapToGrid w:val="0"/>
          <w:color w:val="auto"/>
          <w:kern w:val="0"/>
          <w:sz w:val="24"/>
          <w:highlight w:val="none"/>
        </w:rPr>
        <w:t xml:space="preserve">      2.A、B、C类别划分由广州市越秀区代建项目管理中心工程部根据实际情况审定</w:t>
      </w:r>
    </w:p>
    <w:p w14:paraId="5FD32154">
      <w:pPr>
        <w:rPr>
          <w:b/>
          <w:snapToGrid w:val="0"/>
          <w:color w:val="auto"/>
          <w:kern w:val="0"/>
          <w:sz w:val="24"/>
          <w:highlight w:val="none"/>
        </w:rPr>
      </w:pPr>
      <w:r>
        <w:rPr>
          <w:rFonts w:hint="eastAsia"/>
          <w:b/>
          <w:snapToGrid w:val="0"/>
          <w:color w:val="auto"/>
          <w:kern w:val="0"/>
          <w:sz w:val="24"/>
          <w:highlight w:val="none"/>
        </w:rPr>
        <w:t xml:space="preserve">      3.工资计划及实际发放明细表附后</w:t>
      </w:r>
    </w:p>
    <w:tbl>
      <w:tblPr>
        <w:tblStyle w:val="47"/>
        <w:tblW w:w="0" w:type="auto"/>
        <w:tblInd w:w="95" w:type="dxa"/>
        <w:tblLayout w:type="fixed"/>
        <w:tblCellMar>
          <w:top w:w="0" w:type="dxa"/>
          <w:left w:w="108" w:type="dxa"/>
          <w:bottom w:w="0" w:type="dxa"/>
          <w:right w:w="108" w:type="dxa"/>
        </w:tblCellMar>
      </w:tblPr>
      <w:tblGrid>
        <w:gridCol w:w="2757"/>
        <w:gridCol w:w="236"/>
        <w:gridCol w:w="1620"/>
        <w:gridCol w:w="1120"/>
        <w:gridCol w:w="1596"/>
      </w:tblGrid>
      <w:tr w14:paraId="405562B7">
        <w:tblPrEx>
          <w:tblCellMar>
            <w:top w:w="0" w:type="dxa"/>
            <w:left w:w="108" w:type="dxa"/>
            <w:bottom w:w="0" w:type="dxa"/>
            <w:right w:w="108" w:type="dxa"/>
          </w:tblCellMar>
        </w:tblPrEx>
        <w:trPr>
          <w:trHeight w:val="420" w:hRule="atLeast"/>
        </w:trPr>
        <w:tc>
          <w:tcPr>
            <w:tcW w:w="2993" w:type="dxa"/>
            <w:gridSpan w:val="2"/>
            <w:tcBorders>
              <w:top w:val="nil"/>
              <w:left w:val="nil"/>
              <w:bottom w:val="nil"/>
              <w:right w:val="nil"/>
            </w:tcBorders>
            <w:shd w:val="clear" w:color="auto" w:fill="auto"/>
            <w:noWrap/>
            <w:vAlign w:val="center"/>
          </w:tcPr>
          <w:p w14:paraId="51456C7B">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广州市越秀区代建项目管理中心 工程部：</w:t>
            </w:r>
          </w:p>
        </w:tc>
        <w:tc>
          <w:tcPr>
            <w:tcW w:w="1620" w:type="dxa"/>
            <w:tcBorders>
              <w:top w:val="nil"/>
              <w:left w:val="nil"/>
              <w:bottom w:val="nil"/>
              <w:right w:val="nil"/>
            </w:tcBorders>
            <w:shd w:val="clear" w:color="auto" w:fill="auto"/>
            <w:noWrap/>
            <w:vAlign w:val="center"/>
          </w:tcPr>
          <w:p w14:paraId="7ADC213A">
            <w:pPr>
              <w:widowControl/>
              <w:jc w:val="left"/>
              <w:rPr>
                <w:rFonts w:ascii="宋体" w:hAnsi="宋体" w:cs="宋体"/>
                <w:snapToGrid w:val="0"/>
                <w:color w:val="auto"/>
                <w:kern w:val="0"/>
                <w:sz w:val="24"/>
                <w:highlight w:val="none"/>
              </w:rPr>
            </w:pPr>
          </w:p>
        </w:tc>
        <w:tc>
          <w:tcPr>
            <w:tcW w:w="1120" w:type="dxa"/>
            <w:tcBorders>
              <w:top w:val="nil"/>
              <w:left w:val="nil"/>
              <w:bottom w:val="nil"/>
              <w:right w:val="nil"/>
            </w:tcBorders>
            <w:shd w:val="clear" w:color="auto" w:fill="auto"/>
            <w:noWrap/>
            <w:vAlign w:val="center"/>
          </w:tcPr>
          <w:p w14:paraId="1B1DC8F0">
            <w:pPr>
              <w:widowControl/>
              <w:jc w:val="left"/>
              <w:rPr>
                <w:rFonts w:ascii="宋体" w:hAnsi="宋体" w:cs="宋体"/>
                <w:snapToGrid w:val="0"/>
                <w:color w:val="auto"/>
                <w:kern w:val="0"/>
                <w:sz w:val="24"/>
                <w:highlight w:val="none"/>
              </w:rPr>
            </w:pPr>
          </w:p>
        </w:tc>
        <w:tc>
          <w:tcPr>
            <w:tcW w:w="1596" w:type="dxa"/>
            <w:tcBorders>
              <w:top w:val="nil"/>
              <w:left w:val="nil"/>
              <w:bottom w:val="nil"/>
              <w:right w:val="nil"/>
            </w:tcBorders>
            <w:shd w:val="clear" w:color="auto" w:fill="auto"/>
            <w:noWrap/>
            <w:vAlign w:val="center"/>
          </w:tcPr>
          <w:p w14:paraId="1B9047E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单位：</w:t>
            </w:r>
          </w:p>
        </w:tc>
      </w:tr>
      <w:tr w14:paraId="490E7318">
        <w:tblPrEx>
          <w:tblCellMar>
            <w:top w:w="0" w:type="dxa"/>
            <w:left w:w="108" w:type="dxa"/>
            <w:bottom w:w="0" w:type="dxa"/>
            <w:right w:w="108" w:type="dxa"/>
          </w:tblCellMar>
        </w:tblPrEx>
        <w:trPr>
          <w:trHeight w:val="285" w:hRule="atLeast"/>
        </w:trPr>
        <w:tc>
          <w:tcPr>
            <w:tcW w:w="2757" w:type="dxa"/>
            <w:tcBorders>
              <w:top w:val="nil"/>
              <w:left w:val="nil"/>
              <w:bottom w:val="nil"/>
              <w:right w:val="nil"/>
            </w:tcBorders>
            <w:shd w:val="clear" w:color="auto" w:fill="auto"/>
            <w:noWrap/>
            <w:vAlign w:val="center"/>
          </w:tcPr>
          <w:p w14:paraId="23B1ED3A">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审定日期：</w:t>
            </w:r>
          </w:p>
        </w:tc>
        <w:tc>
          <w:tcPr>
            <w:tcW w:w="236" w:type="dxa"/>
            <w:tcBorders>
              <w:top w:val="nil"/>
              <w:left w:val="nil"/>
              <w:bottom w:val="nil"/>
              <w:right w:val="nil"/>
            </w:tcBorders>
            <w:shd w:val="clear" w:color="auto" w:fill="auto"/>
            <w:noWrap/>
            <w:vAlign w:val="center"/>
          </w:tcPr>
          <w:p w14:paraId="71D9A65D">
            <w:pPr>
              <w:widowControl/>
              <w:jc w:val="left"/>
              <w:rPr>
                <w:rFonts w:ascii="宋体" w:hAnsi="宋体" w:cs="宋体"/>
                <w:snapToGrid w:val="0"/>
                <w:color w:val="auto"/>
                <w:kern w:val="0"/>
                <w:sz w:val="24"/>
                <w:highlight w:val="none"/>
              </w:rPr>
            </w:pPr>
          </w:p>
        </w:tc>
        <w:tc>
          <w:tcPr>
            <w:tcW w:w="1620" w:type="dxa"/>
            <w:tcBorders>
              <w:top w:val="nil"/>
              <w:left w:val="nil"/>
              <w:bottom w:val="nil"/>
              <w:right w:val="nil"/>
            </w:tcBorders>
            <w:shd w:val="clear" w:color="auto" w:fill="auto"/>
            <w:noWrap/>
            <w:vAlign w:val="center"/>
          </w:tcPr>
          <w:p w14:paraId="7425DBB8">
            <w:pPr>
              <w:widowControl/>
              <w:jc w:val="left"/>
              <w:rPr>
                <w:rFonts w:ascii="宋体" w:hAnsi="宋体" w:cs="宋体"/>
                <w:snapToGrid w:val="0"/>
                <w:color w:val="auto"/>
                <w:kern w:val="0"/>
                <w:sz w:val="24"/>
                <w:highlight w:val="none"/>
              </w:rPr>
            </w:pPr>
          </w:p>
        </w:tc>
        <w:tc>
          <w:tcPr>
            <w:tcW w:w="1120" w:type="dxa"/>
            <w:tcBorders>
              <w:top w:val="nil"/>
              <w:left w:val="nil"/>
              <w:bottom w:val="nil"/>
              <w:right w:val="nil"/>
            </w:tcBorders>
            <w:shd w:val="clear" w:color="auto" w:fill="auto"/>
            <w:noWrap/>
            <w:vAlign w:val="center"/>
          </w:tcPr>
          <w:p w14:paraId="6553F6F8">
            <w:pPr>
              <w:widowControl/>
              <w:jc w:val="left"/>
              <w:rPr>
                <w:rFonts w:ascii="宋体" w:hAnsi="宋体" w:cs="宋体"/>
                <w:snapToGrid w:val="0"/>
                <w:color w:val="auto"/>
                <w:kern w:val="0"/>
                <w:sz w:val="24"/>
                <w:highlight w:val="none"/>
              </w:rPr>
            </w:pPr>
          </w:p>
        </w:tc>
        <w:tc>
          <w:tcPr>
            <w:tcW w:w="1596" w:type="dxa"/>
            <w:tcBorders>
              <w:top w:val="nil"/>
              <w:left w:val="nil"/>
              <w:bottom w:val="nil"/>
              <w:right w:val="nil"/>
            </w:tcBorders>
            <w:shd w:val="clear" w:color="auto" w:fill="auto"/>
            <w:noWrap/>
            <w:vAlign w:val="center"/>
          </w:tcPr>
          <w:p w14:paraId="775F86A9">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制表日期：</w:t>
            </w:r>
          </w:p>
        </w:tc>
      </w:tr>
    </w:tbl>
    <w:p w14:paraId="4F6FC8B7">
      <w:pPr>
        <w:rPr>
          <w:b/>
          <w:snapToGrid w:val="0"/>
          <w:color w:val="auto"/>
          <w:kern w:val="0"/>
          <w:sz w:val="24"/>
          <w:highlight w:val="none"/>
        </w:rPr>
      </w:pPr>
    </w:p>
    <w:tbl>
      <w:tblPr>
        <w:tblStyle w:val="47"/>
        <w:tblW w:w="0" w:type="auto"/>
        <w:tblInd w:w="95" w:type="dxa"/>
        <w:tblLayout w:type="fixed"/>
        <w:tblCellMar>
          <w:top w:w="0" w:type="dxa"/>
          <w:left w:w="108" w:type="dxa"/>
          <w:bottom w:w="0" w:type="dxa"/>
          <w:right w:w="108" w:type="dxa"/>
        </w:tblCellMar>
      </w:tblPr>
      <w:tblGrid>
        <w:gridCol w:w="1093"/>
        <w:gridCol w:w="1440"/>
        <w:gridCol w:w="876"/>
        <w:gridCol w:w="1112"/>
        <w:gridCol w:w="236"/>
        <w:gridCol w:w="876"/>
        <w:gridCol w:w="1116"/>
        <w:gridCol w:w="876"/>
        <w:gridCol w:w="1116"/>
      </w:tblGrid>
      <w:tr w14:paraId="2514340A">
        <w:tblPrEx>
          <w:tblCellMar>
            <w:top w:w="0" w:type="dxa"/>
            <w:left w:w="108" w:type="dxa"/>
            <w:bottom w:w="0" w:type="dxa"/>
            <w:right w:w="108" w:type="dxa"/>
          </w:tblCellMar>
        </w:tblPrEx>
        <w:trPr>
          <w:trHeight w:val="397" w:hRule="atLeast"/>
        </w:trPr>
        <w:tc>
          <w:tcPr>
            <w:tcW w:w="8741" w:type="dxa"/>
            <w:gridSpan w:val="9"/>
            <w:tcBorders>
              <w:top w:val="nil"/>
              <w:left w:val="nil"/>
              <w:bottom w:val="nil"/>
              <w:right w:val="nil"/>
            </w:tcBorders>
            <w:shd w:val="clear" w:color="auto" w:fill="auto"/>
            <w:noWrap/>
            <w:vAlign w:val="center"/>
          </w:tcPr>
          <w:p w14:paraId="600143D0">
            <w:pPr>
              <w:widowControl/>
              <w:jc w:val="center"/>
              <w:rPr>
                <w:rFonts w:ascii="宋体" w:hAnsi="宋体" w:cs="宋体"/>
                <w:b/>
                <w:bCs/>
                <w:snapToGrid w:val="0"/>
                <w:color w:val="auto"/>
                <w:kern w:val="0"/>
                <w:sz w:val="44"/>
                <w:szCs w:val="44"/>
                <w:highlight w:val="none"/>
              </w:rPr>
            </w:pPr>
          </w:p>
          <w:p w14:paraId="52ED0E7C">
            <w:pPr>
              <w:widowControl/>
              <w:jc w:val="center"/>
              <w:rPr>
                <w:rFonts w:ascii="宋体" w:hAnsi="宋体" w:cs="宋体"/>
                <w:b/>
                <w:bCs/>
                <w:snapToGrid w:val="0"/>
                <w:color w:val="auto"/>
                <w:kern w:val="0"/>
                <w:sz w:val="44"/>
                <w:szCs w:val="44"/>
                <w:highlight w:val="none"/>
              </w:rPr>
            </w:pPr>
            <w:r>
              <w:rPr>
                <w:rFonts w:hint="eastAsia" w:ascii="宋体" w:hAnsi="宋体" w:cs="宋体"/>
                <w:b/>
                <w:bCs/>
                <w:snapToGrid w:val="0"/>
                <w:color w:val="auto"/>
                <w:kern w:val="0"/>
                <w:sz w:val="44"/>
                <w:szCs w:val="44"/>
                <w:highlight w:val="none"/>
              </w:rPr>
              <w:t>工资发放明细表（计划）</w:t>
            </w:r>
          </w:p>
        </w:tc>
      </w:tr>
      <w:tr w14:paraId="1FC71A1D">
        <w:tblPrEx>
          <w:tblCellMar>
            <w:top w:w="0" w:type="dxa"/>
            <w:left w:w="108" w:type="dxa"/>
            <w:bottom w:w="0" w:type="dxa"/>
            <w:right w:w="108" w:type="dxa"/>
          </w:tblCellMar>
        </w:tblPrEx>
        <w:trPr>
          <w:trHeight w:val="397" w:hRule="atLeast"/>
        </w:trPr>
        <w:tc>
          <w:tcPr>
            <w:tcW w:w="2533" w:type="dxa"/>
            <w:gridSpan w:val="2"/>
            <w:tcBorders>
              <w:top w:val="nil"/>
              <w:left w:val="nil"/>
              <w:bottom w:val="nil"/>
              <w:right w:val="nil"/>
            </w:tcBorders>
            <w:shd w:val="clear" w:color="auto" w:fill="auto"/>
            <w:noWrap/>
            <w:vAlign w:val="center"/>
          </w:tcPr>
          <w:p w14:paraId="6209811F">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单位名称：</w:t>
            </w:r>
          </w:p>
        </w:tc>
        <w:tc>
          <w:tcPr>
            <w:tcW w:w="876" w:type="dxa"/>
            <w:tcBorders>
              <w:top w:val="nil"/>
              <w:left w:val="nil"/>
              <w:bottom w:val="nil"/>
              <w:right w:val="nil"/>
            </w:tcBorders>
            <w:shd w:val="clear" w:color="auto" w:fill="auto"/>
            <w:noWrap/>
            <w:vAlign w:val="center"/>
          </w:tcPr>
          <w:p w14:paraId="6AA75F5D">
            <w:pPr>
              <w:widowControl/>
              <w:jc w:val="left"/>
              <w:rPr>
                <w:rFonts w:ascii="宋体" w:hAnsi="宋体" w:cs="宋体"/>
                <w:snapToGrid w:val="0"/>
                <w:color w:val="auto"/>
                <w:kern w:val="0"/>
                <w:sz w:val="24"/>
                <w:highlight w:val="none"/>
              </w:rPr>
            </w:pPr>
          </w:p>
        </w:tc>
        <w:tc>
          <w:tcPr>
            <w:tcW w:w="1112" w:type="dxa"/>
            <w:tcBorders>
              <w:top w:val="nil"/>
              <w:left w:val="nil"/>
              <w:bottom w:val="nil"/>
              <w:right w:val="nil"/>
            </w:tcBorders>
            <w:shd w:val="clear" w:color="auto" w:fill="auto"/>
            <w:noWrap/>
            <w:vAlign w:val="center"/>
          </w:tcPr>
          <w:p w14:paraId="764D3A9A">
            <w:pPr>
              <w:widowControl/>
              <w:jc w:val="left"/>
              <w:rPr>
                <w:rFonts w:ascii="宋体" w:hAnsi="宋体" w:cs="宋体"/>
                <w:snapToGrid w:val="0"/>
                <w:color w:val="auto"/>
                <w:kern w:val="0"/>
                <w:sz w:val="24"/>
                <w:highlight w:val="none"/>
              </w:rPr>
            </w:pPr>
          </w:p>
        </w:tc>
        <w:tc>
          <w:tcPr>
            <w:tcW w:w="236" w:type="dxa"/>
            <w:tcBorders>
              <w:top w:val="nil"/>
              <w:left w:val="nil"/>
              <w:bottom w:val="nil"/>
              <w:right w:val="nil"/>
            </w:tcBorders>
            <w:shd w:val="clear" w:color="auto" w:fill="auto"/>
            <w:noWrap/>
            <w:vAlign w:val="center"/>
          </w:tcPr>
          <w:p w14:paraId="51E5281F">
            <w:pPr>
              <w:widowControl/>
              <w:jc w:val="left"/>
              <w:rPr>
                <w:rFonts w:ascii="宋体" w:hAnsi="宋体" w:cs="宋体"/>
                <w:snapToGrid w:val="0"/>
                <w:color w:val="auto"/>
                <w:kern w:val="0"/>
                <w:sz w:val="24"/>
                <w:highlight w:val="none"/>
              </w:rPr>
            </w:pPr>
          </w:p>
        </w:tc>
        <w:tc>
          <w:tcPr>
            <w:tcW w:w="1992" w:type="dxa"/>
            <w:gridSpan w:val="2"/>
            <w:tcBorders>
              <w:top w:val="nil"/>
              <w:left w:val="nil"/>
              <w:bottom w:val="nil"/>
              <w:right w:val="nil"/>
            </w:tcBorders>
            <w:shd w:val="clear" w:color="auto" w:fill="auto"/>
            <w:noWrap/>
            <w:vAlign w:val="center"/>
          </w:tcPr>
          <w:p w14:paraId="4ECEE308">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制表日期：</w:t>
            </w:r>
          </w:p>
        </w:tc>
        <w:tc>
          <w:tcPr>
            <w:tcW w:w="876" w:type="dxa"/>
            <w:tcBorders>
              <w:top w:val="nil"/>
              <w:left w:val="nil"/>
              <w:bottom w:val="nil"/>
              <w:right w:val="nil"/>
            </w:tcBorders>
            <w:shd w:val="clear" w:color="auto" w:fill="auto"/>
            <w:noWrap/>
            <w:vAlign w:val="center"/>
          </w:tcPr>
          <w:p w14:paraId="7CEE10C3">
            <w:pPr>
              <w:widowControl/>
              <w:jc w:val="left"/>
              <w:rPr>
                <w:rFonts w:ascii="宋体" w:hAnsi="宋体" w:cs="宋体"/>
                <w:snapToGrid w:val="0"/>
                <w:color w:val="auto"/>
                <w:kern w:val="0"/>
                <w:sz w:val="24"/>
                <w:highlight w:val="none"/>
              </w:rPr>
            </w:pPr>
          </w:p>
        </w:tc>
        <w:tc>
          <w:tcPr>
            <w:tcW w:w="1116" w:type="dxa"/>
            <w:tcBorders>
              <w:top w:val="nil"/>
              <w:left w:val="nil"/>
              <w:bottom w:val="nil"/>
              <w:right w:val="nil"/>
            </w:tcBorders>
            <w:shd w:val="clear" w:color="auto" w:fill="auto"/>
            <w:noWrap/>
            <w:vAlign w:val="center"/>
          </w:tcPr>
          <w:p w14:paraId="39FE5065">
            <w:pPr>
              <w:widowControl/>
              <w:jc w:val="left"/>
              <w:rPr>
                <w:rFonts w:ascii="宋体" w:hAnsi="宋体" w:cs="宋体"/>
                <w:snapToGrid w:val="0"/>
                <w:color w:val="auto"/>
                <w:kern w:val="0"/>
                <w:sz w:val="24"/>
                <w:highlight w:val="none"/>
              </w:rPr>
            </w:pPr>
          </w:p>
        </w:tc>
      </w:tr>
      <w:tr w14:paraId="5C0892C2">
        <w:tblPrEx>
          <w:tblCellMar>
            <w:top w:w="0" w:type="dxa"/>
            <w:left w:w="108" w:type="dxa"/>
            <w:bottom w:w="0" w:type="dxa"/>
            <w:right w:w="108" w:type="dxa"/>
          </w:tblCellMar>
        </w:tblPrEx>
        <w:trPr>
          <w:trHeight w:val="397" w:hRule="atLeast"/>
        </w:trPr>
        <w:tc>
          <w:tcPr>
            <w:tcW w:w="2533" w:type="dxa"/>
            <w:gridSpan w:val="2"/>
            <w:tcBorders>
              <w:top w:val="nil"/>
              <w:left w:val="nil"/>
              <w:bottom w:val="nil"/>
              <w:right w:val="nil"/>
            </w:tcBorders>
            <w:shd w:val="clear" w:color="auto" w:fill="auto"/>
            <w:noWrap/>
            <w:vAlign w:val="center"/>
          </w:tcPr>
          <w:p w14:paraId="52EA1898">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所属月份：</w:t>
            </w:r>
          </w:p>
        </w:tc>
        <w:tc>
          <w:tcPr>
            <w:tcW w:w="876" w:type="dxa"/>
            <w:tcBorders>
              <w:top w:val="nil"/>
              <w:left w:val="nil"/>
              <w:bottom w:val="nil"/>
              <w:right w:val="nil"/>
            </w:tcBorders>
            <w:shd w:val="clear" w:color="auto" w:fill="auto"/>
            <w:noWrap/>
            <w:vAlign w:val="center"/>
          </w:tcPr>
          <w:p w14:paraId="284A73C9">
            <w:pPr>
              <w:widowControl/>
              <w:jc w:val="left"/>
              <w:rPr>
                <w:rFonts w:ascii="宋体" w:hAnsi="宋体" w:cs="宋体"/>
                <w:snapToGrid w:val="0"/>
                <w:color w:val="auto"/>
                <w:kern w:val="0"/>
                <w:sz w:val="24"/>
                <w:highlight w:val="none"/>
              </w:rPr>
            </w:pPr>
          </w:p>
        </w:tc>
        <w:tc>
          <w:tcPr>
            <w:tcW w:w="1112" w:type="dxa"/>
            <w:tcBorders>
              <w:top w:val="nil"/>
              <w:left w:val="nil"/>
              <w:bottom w:val="nil"/>
              <w:right w:val="nil"/>
            </w:tcBorders>
            <w:shd w:val="clear" w:color="auto" w:fill="auto"/>
            <w:noWrap/>
            <w:vAlign w:val="center"/>
          </w:tcPr>
          <w:p w14:paraId="093DA3D5">
            <w:pPr>
              <w:widowControl/>
              <w:jc w:val="left"/>
              <w:rPr>
                <w:rFonts w:ascii="宋体" w:hAnsi="宋体" w:cs="宋体"/>
                <w:snapToGrid w:val="0"/>
                <w:color w:val="auto"/>
                <w:kern w:val="0"/>
                <w:sz w:val="24"/>
                <w:highlight w:val="none"/>
              </w:rPr>
            </w:pPr>
          </w:p>
        </w:tc>
        <w:tc>
          <w:tcPr>
            <w:tcW w:w="236" w:type="dxa"/>
            <w:tcBorders>
              <w:top w:val="nil"/>
              <w:left w:val="nil"/>
              <w:bottom w:val="nil"/>
              <w:right w:val="nil"/>
            </w:tcBorders>
            <w:shd w:val="clear" w:color="auto" w:fill="auto"/>
            <w:noWrap/>
            <w:vAlign w:val="center"/>
          </w:tcPr>
          <w:p w14:paraId="0FFDD7BA">
            <w:pPr>
              <w:widowControl/>
              <w:jc w:val="left"/>
              <w:rPr>
                <w:rFonts w:ascii="宋体" w:hAnsi="宋体" w:cs="宋体"/>
                <w:snapToGrid w:val="0"/>
                <w:color w:val="auto"/>
                <w:kern w:val="0"/>
                <w:sz w:val="24"/>
                <w:highlight w:val="none"/>
              </w:rPr>
            </w:pPr>
          </w:p>
        </w:tc>
        <w:tc>
          <w:tcPr>
            <w:tcW w:w="876" w:type="dxa"/>
            <w:tcBorders>
              <w:top w:val="nil"/>
              <w:left w:val="nil"/>
              <w:bottom w:val="nil"/>
              <w:right w:val="nil"/>
            </w:tcBorders>
            <w:shd w:val="clear" w:color="auto" w:fill="auto"/>
            <w:noWrap/>
            <w:vAlign w:val="center"/>
          </w:tcPr>
          <w:p w14:paraId="7F569E14">
            <w:pPr>
              <w:widowControl/>
              <w:jc w:val="left"/>
              <w:rPr>
                <w:rFonts w:ascii="宋体" w:hAnsi="宋体" w:cs="宋体"/>
                <w:snapToGrid w:val="0"/>
                <w:color w:val="auto"/>
                <w:kern w:val="0"/>
                <w:sz w:val="24"/>
                <w:highlight w:val="none"/>
              </w:rPr>
            </w:pPr>
          </w:p>
        </w:tc>
        <w:tc>
          <w:tcPr>
            <w:tcW w:w="1116" w:type="dxa"/>
            <w:tcBorders>
              <w:top w:val="nil"/>
              <w:left w:val="nil"/>
              <w:bottom w:val="nil"/>
              <w:right w:val="nil"/>
            </w:tcBorders>
            <w:shd w:val="clear" w:color="auto" w:fill="auto"/>
            <w:noWrap/>
            <w:vAlign w:val="center"/>
          </w:tcPr>
          <w:p w14:paraId="34100F00">
            <w:pPr>
              <w:widowControl/>
              <w:jc w:val="left"/>
              <w:rPr>
                <w:rFonts w:ascii="宋体" w:hAnsi="宋体" w:cs="宋体"/>
                <w:snapToGrid w:val="0"/>
                <w:color w:val="auto"/>
                <w:kern w:val="0"/>
                <w:sz w:val="24"/>
                <w:highlight w:val="none"/>
              </w:rPr>
            </w:pPr>
          </w:p>
        </w:tc>
        <w:tc>
          <w:tcPr>
            <w:tcW w:w="876" w:type="dxa"/>
            <w:tcBorders>
              <w:top w:val="nil"/>
              <w:left w:val="nil"/>
              <w:bottom w:val="nil"/>
              <w:right w:val="nil"/>
            </w:tcBorders>
            <w:shd w:val="clear" w:color="auto" w:fill="auto"/>
            <w:noWrap/>
            <w:vAlign w:val="center"/>
          </w:tcPr>
          <w:p w14:paraId="33251E75">
            <w:pPr>
              <w:widowControl/>
              <w:jc w:val="left"/>
              <w:rPr>
                <w:rFonts w:ascii="宋体" w:hAnsi="宋体" w:cs="宋体"/>
                <w:snapToGrid w:val="0"/>
                <w:color w:val="auto"/>
                <w:kern w:val="0"/>
                <w:sz w:val="24"/>
                <w:highlight w:val="none"/>
              </w:rPr>
            </w:pPr>
          </w:p>
        </w:tc>
        <w:tc>
          <w:tcPr>
            <w:tcW w:w="1116" w:type="dxa"/>
            <w:tcBorders>
              <w:top w:val="nil"/>
              <w:left w:val="nil"/>
              <w:bottom w:val="nil"/>
              <w:right w:val="nil"/>
            </w:tcBorders>
            <w:shd w:val="clear" w:color="auto" w:fill="auto"/>
            <w:noWrap/>
            <w:vAlign w:val="center"/>
          </w:tcPr>
          <w:p w14:paraId="0D89092C">
            <w:pPr>
              <w:widowControl/>
              <w:jc w:val="left"/>
              <w:rPr>
                <w:rFonts w:ascii="宋体" w:hAnsi="宋体" w:cs="宋体"/>
                <w:snapToGrid w:val="0"/>
                <w:color w:val="auto"/>
                <w:kern w:val="0"/>
                <w:sz w:val="24"/>
                <w:highlight w:val="none"/>
              </w:rPr>
            </w:pPr>
          </w:p>
        </w:tc>
      </w:tr>
      <w:tr w14:paraId="797ADBCE">
        <w:tblPrEx>
          <w:tblCellMar>
            <w:top w:w="0" w:type="dxa"/>
            <w:left w:w="108" w:type="dxa"/>
            <w:bottom w:w="0" w:type="dxa"/>
            <w:right w:w="108" w:type="dxa"/>
          </w:tblCellMar>
        </w:tblPrEx>
        <w:trPr>
          <w:trHeight w:val="397" w:hRule="atLeast"/>
        </w:trPr>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B2664">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序号</w:t>
            </w:r>
          </w:p>
        </w:tc>
        <w:tc>
          <w:tcPr>
            <w:tcW w:w="1440" w:type="dxa"/>
            <w:tcBorders>
              <w:top w:val="single" w:color="auto" w:sz="4" w:space="0"/>
              <w:left w:val="nil"/>
              <w:bottom w:val="single" w:color="auto" w:sz="4" w:space="0"/>
              <w:right w:val="single" w:color="auto" w:sz="4" w:space="0"/>
            </w:tcBorders>
            <w:shd w:val="clear" w:color="auto" w:fill="auto"/>
            <w:noWrap/>
            <w:vAlign w:val="center"/>
          </w:tcPr>
          <w:p w14:paraId="28017292">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姓  名</w:t>
            </w:r>
          </w:p>
        </w:tc>
        <w:tc>
          <w:tcPr>
            <w:tcW w:w="876" w:type="dxa"/>
            <w:tcBorders>
              <w:top w:val="single" w:color="auto" w:sz="4" w:space="0"/>
              <w:left w:val="nil"/>
              <w:bottom w:val="single" w:color="auto" w:sz="4" w:space="0"/>
              <w:right w:val="single" w:color="auto" w:sz="4" w:space="0"/>
            </w:tcBorders>
            <w:shd w:val="clear" w:color="auto" w:fill="auto"/>
            <w:noWrap/>
            <w:vAlign w:val="center"/>
          </w:tcPr>
          <w:p w14:paraId="0055F303">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金额</w:t>
            </w:r>
          </w:p>
        </w:tc>
        <w:tc>
          <w:tcPr>
            <w:tcW w:w="1112" w:type="dxa"/>
            <w:tcBorders>
              <w:top w:val="single" w:color="auto" w:sz="4" w:space="0"/>
              <w:left w:val="nil"/>
              <w:bottom w:val="single" w:color="auto" w:sz="4" w:space="0"/>
              <w:right w:val="nil"/>
            </w:tcBorders>
            <w:shd w:val="clear" w:color="auto" w:fill="auto"/>
            <w:noWrap/>
            <w:vAlign w:val="center"/>
          </w:tcPr>
          <w:p w14:paraId="70924850">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  名</w:t>
            </w:r>
          </w:p>
        </w:tc>
        <w:tc>
          <w:tcPr>
            <w:tcW w:w="236" w:type="dxa"/>
            <w:tcBorders>
              <w:top w:val="single" w:color="auto" w:sz="4" w:space="0"/>
              <w:left w:val="single" w:color="auto" w:sz="4" w:space="0"/>
              <w:bottom w:val="nil"/>
              <w:right w:val="single" w:color="auto" w:sz="4" w:space="0"/>
            </w:tcBorders>
            <w:shd w:val="clear" w:color="auto" w:fill="auto"/>
            <w:noWrap/>
            <w:vAlign w:val="center"/>
          </w:tcPr>
          <w:p w14:paraId="7E5768F9">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single" w:color="auto" w:sz="4" w:space="0"/>
              <w:left w:val="nil"/>
              <w:bottom w:val="single" w:color="auto" w:sz="4" w:space="0"/>
              <w:right w:val="single" w:color="auto" w:sz="4" w:space="0"/>
            </w:tcBorders>
            <w:shd w:val="clear" w:color="auto" w:fill="auto"/>
            <w:noWrap/>
            <w:vAlign w:val="center"/>
          </w:tcPr>
          <w:p w14:paraId="08A1D6A2">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序号</w:t>
            </w:r>
          </w:p>
        </w:tc>
        <w:tc>
          <w:tcPr>
            <w:tcW w:w="1116" w:type="dxa"/>
            <w:tcBorders>
              <w:top w:val="single" w:color="auto" w:sz="4" w:space="0"/>
              <w:left w:val="nil"/>
              <w:bottom w:val="single" w:color="auto" w:sz="4" w:space="0"/>
              <w:right w:val="single" w:color="auto" w:sz="4" w:space="0"/>
            </w:tcBorders>
            <w:shd w:val="clear" w:color="auto" w:fill="auto"/>
            <w:noWrap/>
            <w:vAlign w:val="center"/>
          </w:tcPr>
          <w:p w14:paraId="7E4D786F">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姓  名</w:t>
            </w:r>
          </w:p>
        </w:tc>
        <w:tc>
          <w:tcPr>
            <w:tcW w:w="876" w:type="dxa"/>
            <w:tcBorders>
              <w:top w:val="single" w:color="auto" w:sz="4" w:space="0"/>
              <w:left w:val="nil"/>
              <w:bottom w:val="single" w:color="auto" w:sz="4" w:space="0"/>
              <w:right w:val="single" w:color="auto" w:sz="4" w:space="0"/>
            </w:tcBorders>
            <w:shd w:val="clear" w:color="auto" w:fill="auto"/>
            <w:noWrap/>
            <w:vAlign w:val="center"/>
          </w:tcPr>
          <w:p w14:paraId="2EB5D899">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金额</w:t>
            </w:r>
          </w:p>
        </w:tc>
        <w:tc>
          <w:tcPr>
            <w:tcW w:w="1116" w:type="dxa"/>
            <w:tcBorders>
              <w:top w:val="single" w:color="auto" w:sz="4" w:space="0"/>
              <w:left w:val="nil"/>
              <w:bottom w:val="single" w:color="auto" w:sz="4" w:space="0"/>
              <w:right w:val="single" w:color="auto" w:sz="4" w:space="0"/>
            </w:tcBorders>
            <w:shd w:val="clear" w:color="auto" w:fill="auto"/>
            <w:noWrap/>
            <w:vAlign w:val="center"/>
          </w:tcPr>
          <w:p w14:paraId="5418CA5B">
            <w:pPr>
              <w:widowControl/>
              <w:jc w:val="center"/>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  名</w:t>
            </w:r>
          </w:p>
        </w:tc>
      </w:tr>
      <w:tr w14:paraId="34AFDF96">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4E434014">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0F03510A">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0BE264EA">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522ADCCB">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4668D57C">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69A15AE7">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525E8F97">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64DBBEF4">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5AD7B405">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26D260EF">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4FEFA48E">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03B8B257">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12D9D6AB">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27FDA079">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0ECD22A8">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75F32388">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3AB37763">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73FC382B">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6E640869">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1E7677B3">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0A53B208">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4C8F1959">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1659F281">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2BA1DADE">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28B50679">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1DA11D75">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150225C7">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54EB4E15">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4A1D7354">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1D0379A0">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2731B0C9">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0B95AFBA">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227ED5E5">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2CF57FF3">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54FE6CCB">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2AE4E60C">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152D11C3">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340AC52F">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7E68857B">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0E3A8998">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788801F4">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4B5F7879">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5247A43C">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1300ECB1">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0B24F0B5">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6E1C20A4">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536281B3">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1FCB97E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3BBDAFCA">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079891A0">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3204AB69">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7813652D">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18BDA96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7D5A2083">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5C8E4923">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35DB30E6">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2E8E9E5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446E4E4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66561B1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695B040F">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7A81E070">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14AAA20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53DF3F67">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1CC84B7A">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02C151B6">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6B3EC15A">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793B8A7C">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3FA190B3">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1AB8D7C9">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2E420E0E">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579B13B6">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5EBD4CA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29D5D516">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1EEB43B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546EE52F">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2DD3FA2B">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06340E85">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7326B56A">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34478649">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34C98A38">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5E2A118E">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31D4B57A">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6DB29D31">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48E7C910">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56A246DD">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3D942D34">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46EEB969">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199366DC">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6EF68D67">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56176EBD">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4AA5D6DF">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26FE0608">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1F3C6D5A">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5F9051AB">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58B32AEA">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2E7ADF54">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1C7979BC">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786B0D1E">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57F60AA9">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72CCB7BA">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43170AB7">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72251E23">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51E2956D">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1EAFF29E">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3F9B2D26">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7893D19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4BA03434">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0522F8C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539D4A4B">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3FC40E74">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5E7173F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0D04F42B">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6B1AC647">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29BB10A3">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683C08EF">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42E8EB3D">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2ADE5DCD">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01FA3708">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22E61C1A">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513DE9F9">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287C9EF6">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12818084">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38E1EECB">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54D51753">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7760894B">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6205CE6B">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673F5939">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7E2E0CE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42490F83">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57F0BEC0">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32C2866B">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0828239F">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12B515DA">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08E2F1A1">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3C48FBD6">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426F3137">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0F6B1FB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77B7F190">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6606CD33">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394ED4DC">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7E63AC6A">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73078FF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1C89ECFA">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34C61E63">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696EEDC3">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0466CD26">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2C35141C">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21C3BA75">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138D9130">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60D31B8B">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09AC90E7">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50030E3A">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0C908E78">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69DD739E">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070D9B7C">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04888403">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0F2F9628">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41D825AC">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1316F46F">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22330345">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66A76FC6">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431FDD18">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24C6A631">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6269C644">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4193B10E">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40EF5DC9">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4CDE4F03">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5A1DAB37">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14975D48">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63DCF33C">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34480F37">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2DF4E18F">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6471C1DC">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0ECA0DBF">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131ED95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7F47253F">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31370668">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678E0E13">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5F864D94">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63D7A474">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04F285A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4292B47D">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0FF72AA9">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5EB7314E">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4E7E8F08">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1BFE15A5">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6B5EB711">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7BE7EAA1">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69F31CF1">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57E5FC0A">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279CE7E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37EAC659">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49AADB1C">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58137FD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5D9A9621">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0A5678C3">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31787A9D">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5E6171DD">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6B3D88F1">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4225F7FC">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29D9EC9A">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4EA0A244">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3DCE8EEF">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368AA019">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4A83BAD7">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270E5B4F">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77117EC8">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0499E19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4A4D29E5">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2E2F2FC9">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3A2A751D">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742C713E">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17F91DA6">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09EA98FF">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4AC48C9E">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4BFF3F8D">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2C8B6BD8">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7A388618">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6D726208">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4A32600F">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44FBCE4D">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2F9BBAEB">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5F189F7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1E59A96D">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17D0434C">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7585F09D">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28455EA1">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7295623A">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21B6DB39">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0DF0FDFB">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52C4B06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6377808B">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0E3EE6C5">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457091FE">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33BF26E5">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46CD6BB6">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64C68326">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64851B79">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097A02FE">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57555488">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52AEF4A6">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5A3A67F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64A59144">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287E1C5C">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61D194F3">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22266694">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389AD65E">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3F7362D9">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5260DE19">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4A0E29FB">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2D763F4D">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2BDE5C95">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384F87C0">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6CF09237">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nil"/>
              <w:right w:val="single" w:color="auto" w:sz="4" w:space="0"/>
            </w:tcBorders>
            <w:shd w:val="clear" w:color="auto" w:fill="auto"/>
            <w:noWrap/>
            <w:vAlign w:val="center"/>
          </w:tcPr>
          <w:p w14:paraId="76C4CCDD">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0A690924">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50B8552B">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7CCA08AE">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176E061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62D50663">
        <w:tblPrEx>
          <w:tblCellMar>
            <w:top w:w="0" w:type="dxa"/>
            <w:left w:w="108" w:type="dxa"/>
            <w:bottom w:w="0" w:type="dxa"/>
            <w:right w:w="108" w:type="dxa"/>
          </w:tblCellMar>
        </w:tblPrEx>
        <w:trPr>
          <w:trHeight w:val="397"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14:paraId="18974845">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440" w:type="dxa"/>
            <w:tcBorders>
              <w:top w:val="nil"/>
              <w:left w:val="nil"/>
              <w:bottom w:val="single" w:color="auto" w:sz="4" w:space="0"/>
              <w:right w:val="single" w:color="auto" w:sz="4" w:space="0"/>
            </w:tcBorders>
            <w:shd w:val="clear" w:color="auto" w:fill="auto"/>
            <w:noWrap/>
            <w:vAlign w:val="center"/>
          </w:tcPr>
          <w:p w14:paraId="51313093">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2E28F3D0">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2" w:type="dxa"/>
            <w:tcBorders>
              <w:top w:val="nil"/>
              <w:left w:val="nil"/>
              <w:bottom w:val="single" w:color="auto" w:sz="4" w:space="0"/>
              <w:right w:val="nil"/>
            </w:tcBorders>
            <w:shd w:val="clear" w:color="auto" w:fill="auto"/>
            <w:noWrap/>
            <w:vAlign w:val="center"/>
          </w:tcPr>
          <w:p w14:paraId="3397E5A2">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236" w:type="dxa"/>
            <w:tcBorders>
              <w:top w:val="nil"/>
              <w:left w:val="single" w:color="auto" w:sz="4" w:space="0"/>
              <w:bottom w:val="single" w:color="auto" w:sz="4" w:space="0"/>
              <w:right w:val="single" w:color="auto" w:sz="4" w:space="0"/>
            </w:tcBorders>
            <w:shd w:val="clear" w:color="auto" w:fill="auto"/>
            <w:noWrap/>
            <w:vAlign w:val="center"/>
          </w:tcPr>
          <w:p w14:paraId="7D218FE5">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3CE19875">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6EA908A8">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876" w:type="dxa"/>
            <w:tcBorders>
              <w:top w:val="nil"/>
              <w:left w:val="nil"/>
              <w:bottom w:val="single" w:color="auto" w:sz="4" w:space="0"/>
              <w:right w:val="single" w:color="auto" w:sz="4" w:space="0"/>
            </w:tcBorders>
            <w:shd w:val="clear" w:color="auto" w:fill="auto"/>
            <w:noWrap/>
            <w:vAlign w:val="center"/>
          </w:tcPr>
          <w:p w14:paraId="7D5D347C">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c>
          <w:tcPr>
            <w:tcW w:w="1116" w:type="dxa"/>
            <w:tcBorders>
              <w:top w:val="nil"/>
              <w:left w:val="nil"/>
              <w:bottom w:val="single" w:color="auto" w:sz="4" w:space="0"/>
              <w:right w:val="single" w:color="auto" w:sz="4" w:space="0"/>
            </w:tcBorders>
            <w:shd w:val="clear" w:color="auto" w:fill="auto"/>
            <w:noWrap/>
            <w:vAlign w:val="center"/>
          </w:tcPr>
          <w:p w14:paraId="77918F9A">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w:t>
            </w:r>
          </w:p>
        </w:tc>
      </w:tr>
      <w:tr w14:paraId="4753573F">
        <w:tblPrEx>
          <w:tblCellMar>
            <w:top w:w="0" w:type="dxa"/>
            <w:left w:w="108" w:type="dxa"/>
            <w:bottom w:w="0" w:type="dxa"/>
            <w:right w:w="108" w:type="dxa"/>
          </w:tblCellMar>
        </w:tblPrEx>
        <w:trPr>
          <w:trHeight w:val="397" w:hRule="atLeast"/>
        </w:trPr>
        <w:tc>
          <w:tcPr>
            <w:tcW w:w="475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91C1567">
            <w:pPr>
              <w:widowControl/>
              <w:jc w:val="center"/>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工资发放总额合计</w:t>
            </w:r>
          </w:p>
        </w:tc>
        <w:tc>
          <w:tcPr>
            <w:tcW w:w="3984" w:type="dxa"/>
            <w:gridSpan w:val="4"/>
            <w:tcBorders>
              <w:top w:val="single" w:color="auto" w:sz="4" w:space="0"/>
              <w:left w:val="nil"/>
              <w:bottom w:val="single" w:color="auto" w:sz="4" w:space="0"/>
              <w:right w:val="single" w:color="auto" w:sz="4" w:space="0"/>
            </w:tcBorders>
            <w:shd w:val="clear" w:color="auto" w:fill="auto"/>
            <w:noWrap/>
            <w:vAlign w:val="center"/>
          </w:tcPr>
          <w:p w14:paraId="5D5FDBD9">
            <w:pPr>
              <w:widowControl/>
              <w:jc w:val="center"/>
              <w:rPr>
                <w:rFonts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　</w:t>
            </w:r>
          </w:p>
        </w:tc>
      </w:tr>
      <w:tr w14:paraId="78575CDB">
        <w:tblPrEx>
          <w:tblCellMar>
            <w:top w:w="0" w:type="dxa"/>
            <w:left w:w="108" w:type="dxa"/>
            <w:bottom w:w="0" w:type="dxa"/>
            <w:right w:w="108" w:type="dxa"/>
          </w:tblCellMar>
        </w:tblPrEx>
        <w:trPr>
          <w:trHeight w:val="397" w:hRule="atLeast"/>
        </w:trPr>
        <w:tc>
          <w:tcPr>
            <w:tcW w:w="8741" w:type="dxa"/>
            <w:gridSpan w:val="9"/>
            <w:tcBorders>
              <w:top w:val="nil"/>
              <w:left w:val="nil"/>
              <w:bottom w:val="nil"/>
              <w:right w:val="nil"/>
            </w:tcBorders>
            <w:shd w:val="clear" w:color="auto" w:fill="auto"/>
            <w:noWrap/>
            <w:vAlign w:val="center"/>
          </w:tcPr>
          <w:p w14:paraId="327FB51A">
            <w:pPr>
              <w:widowControl/>
              <w:jc w:val="lef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注：本工资发放计划表按实际发放完成后，把已发放工资单复印一式两份并加盖公章交广州市越秀区代建项目管理中心 备案。</w:t>
            </w:r>
          </w:p>
        </w:tc>
      </w:tr>
    </w:tbl>
    <w:p w14:paraId="6FBCC653">
      <w:pPr>
        <w:adjustRightInd w:val="0"/>
        <w:snapToGrid w:val="0"/>
        <w:spacing w:line="360" w:lineRule="auto"/>
        <w:ind w:right="11"/>
        <w:jc w:val="left"/>
        <w:rPr>
          <w:rFonts w:ascii="宋体" w:hAnsi="宋体"/>
          <w:bCs/>
          <w:snapToGrid w:val="0"/>
          <w:color w:val="auto"/>
          <w:kern w:val="0"/>
          <w:sz w:val="24"/>
          <w:highlight w:val="none"/>
        </w:rPr>
      </w:pPr>
      <w:r>
        <w:rPr>
          <w:b/>
          <w:snapToGrid w:val="0"/>
          <w:color w:val="auto"/>
          <w:kern w:val="0"/>
          <w:sz w:val="24"/>
          <w:highlight w:val="none"/>
        </w:rPr>
        <w:br w:type="page"/>
      </w:r>
      <w:r>
        <w:rPr>
          <w:rFonts w:hint="eastAsia" w:ascii="宋体" w:hAnsi="宋体"/>
          <w:snapToGrid w:val="0"/>
          <w:color w:val="auto"/>
          <w:kern w:val="0"/>
          <w:sz w:val="24"/>
          <w:highlight w:val="none"/>
        </w:rPr>
        <w:t>附件5：</w:t>
      </w:r>
    </w:p>
    <w:p w14:paraId="76467590">
      <w:pPr>
        <w:adjustRightInd w:val="0"/>
        <w:snapToGrid w:val="0"/>
        <w:spacing w:line="360" w:lineRule="auto"/>
        <w:jc w:val="center"/>
        <w:outlineLvl w:val="1"/>
        <w:rPr>
          <w:rFonts w:ascii="宋体" w:hAnsi="宋体"/>
          <w:b/>
          <w:snapToGrid w:val="0"/>
          <w:color w:val="auto"/>
          <w:kern w:val="0"/>
          <w:sz w:val="32"/>
          <w:szCs w:val="32"/>
          <w:highlight w:val="none"/>
        </w:rPr>
      </w:pPr>
      <w:r>
        <w:rPr>
          <w:rFonts w:ascii="宋体" w:hAnsi="宋体"/>
          <w:b/>
          <w:snapToGrid w:val="0"/>
          <w:color w:val="auto"/>
          <w:kern w:val="0"/>
          <w:sz w:val="32"/>
          <w:szCs w:val="32"/>
          <w:highlight w:val="none"/>
        </w:rPr>
        <w:t>花果山产业小镇综合配套工程建设项目</w:t>
      </w:r>
    </w:p>
    <w:p w14:paraId="0BDAFD12">
      <w:pPr>
        <w:adjustRightInd w:val="0"/>
        <w:snapToGrid w:val="0"/>
        <w:spacing w:line="360" w:lineRule="auto"/>
        <w:jc w:val="center"/>
        <w:outlineLvl w:val="1"/>
        <w:rPr>
          <w:rFonts w:ascii="宋体" w:hAnsi="宋体"/>
          <w:b/>
          <w:snapToGrid w:val="0"/>
          <w:color w:val="auto"/>
          <w:kern w:val="0"/>
          <w:sz w:val="52"/>
          <w:szCs w:val="52"/>
          <w:highlight w:val="none"/>
        </w:rPr>
      </w:pPr>
      <w:r>
        <w:rPr>
          <w:rFonts w:hint="eastAsia" w:ascii="宋体" w:hAnsi="宋体"/>
          <w:b/>
          <w:snapToGrid w:val="0"/>
          <w:color w:val="auto"/>
          <w:kern w:val="0"/>
          <w:sz w:val="32"/>
          <w:szCs w:val="32"/>
          <w:highlight w:val="none"/>
        </w:rPr>
        <w:t>结算工作协议书（格式）</w:t>
      </w:r>
    </w:p>
    <w:p w14:paraId="5C231A81">
      <w:pPr>
        <w:adjustRightInd w:val="0"/>
        <w:snapToGrid w:val="0"/>
        <w:spacing w:line="360" w:lineRule="auto"/>
        <w:rPr>
          <w:snapToGrid w:val="0"/>
          <w:color w:val="auto"/>
          <w:kern w:val="0"/>
          <w:sz w:val="24"/>
          <w:szCs w:val="24"/>
          <w:highlight w:val="none"/>
        </w:rPr>
      </w:pPr>
    </w:p>
    <w:p w14:paraId="6EBF1BC7">
      <w:pPr>
        <w:adjustRightInd w:val="0"/>
        <w:snapToGrid w:val="0"/>
        <w:spacing w:line="360" w:lineRule="auto"/>
        <w:rPr>
          <w:rFonts w:ascii="宋体" w:hAnsi="宋体" w:cs="宋体-18030"/>
          <w:b/>
          <w:bCs/>
          <w:snapToGrid w:val="0"/>
          <w:color w:val="auto"/>
          <w:kern w:val="0"/>
          <w:sz w:val="24"/>
          <w:szCs w:val="24"/>
          <w:highlight w:val="none"/>
        </w:rPr>
      </w:pPr>
      <w:r>
        <w:rPr>
          <w:rFonts w:hint="eastAsia" w:ascii="宋体" w:hAnsi="宋体" w:cs="宋体-18030"/>
          <w:b/>
          <w:bCs/>
          <w:snapToGrid w:val="0"/>
          <w:color w:val="auto"/>
          <w:kern w:val="0"/>
          <w:sz w:val="24"/>
          <w:szCs w:val="24"/>
          <w:highlight w:val="none"/>
        </w:rPr>
        <w:t xml:space="preserve">发包人：广州市越秀区代建项目管理中心  </w:t>
      </w:r>
    </w:p>
    <w:p w14:paraId="679F257C">
      <w:pPr>
        <w:adjustRightInd w:val="0"/>
        <w:snapToGrid w:val="0"/>
        <w:spacing w:line="360" w:lineRule="auto"/>
        <w:rPr>
          <w:rFonts w:ascii="宋体" w:hAnsi="宋体" w:cs="宋体-18030"/>
          <w:b/>
          <w:snapToGrid w:val="0"/>
          <w:color w:val="auto"/>
          <w:kern w:val="0"/>
          <w:sz w:val="24"/>
          <w:szCs w:val="24"/>
          <w:highlight w:val="none"/>
          <w:u w:val="single"/>
        </w:rPr>
      </w:pPr>
      <w:r>
        <w:rPr>
          <w:rFonts w:hint="eastAsia" w:ascii="宋体" w:hAnsi="宋体" w:cs="宋体-18030"/>
          <w:b/>
          <w:snapToGrid w:val="0"/>
          <w:color w:val="auto"/>
          <w:kern w:val="0"/>
          <w:sz w:val="24"/>
          <w:szCs w:val="24"/>
          <w:highlight w:val="none"/>
        </w:rPr>
        <w:t xml:space="preserve">承包人：   </w:t>
      </w:r>
    </w:p>
    <w:p w14:paraId="3B688789">
      <w:pPr>
        <w:adjustRightInd w:val="0"/>
        <w:snapToGrid w:val="0"/>
        <w:spacing w:line="360" w:lineRule="auto"/>
        <w:ind w:firstLine="460" w:firstLineChars="192"/>
        <w:rPr>
          <w:rFonts w:ascii="宋体" w:hAnsi="宋体" w:cs="宋体-18030"/>
          <w:snapToGrid w:val="0"/>
          <w:color w:val="auto"/>
          <w:kern w:val="0"/>
          <w:sz w:val="24"/>
          <w:szCs w:val="24"/>
          <w:highlight w:val="none"/>
        </w:rPr>
      </w:pPr>
    </w:p>
    <w:p w14:paraId="5805ADEF">
      <w:pPr>
        <w:adjustRightInd w:val="0"/>
        <w:snapToGrid w:val="0"/>
        <w:spacing w:line="360" w:lineRule="auto"/>
        <w:ind w:firstLine="460" w:firstLineChars="192"/>
        <w:rPr>
          <w:rFonts w:ascii="宋体" w:hAnsi="宋体" w:cs="宋体-18030"/>
          <w:snapToGrid w:val="0"/>
          <w:color w:val="auto"/>
          <w:kern w:val="0"/>
          <w:sz w:val="24"/>
          <w:szCs w:val="24"/>
          <w:highlight w:val="none"/>
        </w:rPr>
      </w:pPr>
      <w:r>
        <w:rPr>
          <w:rFonts w:hint="eastAsia" w:ascii="宋体" w:hAnsi="宋体" w:cs="宋体-18030"/>
          <w:snapToGrid w:val="0"/>
          <w:color w:val="auto"/>
          <w:kern w:val="0"/>
          <w:sz w:val="24"/>
          <w:szCs w:val="24"/>
          <w:highlight w:val="none"/>
        </w:rPr>
        <w:t>及时完成建设项目的结算工作，是建设项目开展财务决算、资产移交、工程审计等工作的前提条件，是圆满完成建设任务自身的需要。为及时做好工程结算工作，发包人、承包人双方经协商一致，签订本工作协议书，资双方共同遵照执行。</w:t>
      </w:r>
    </w:p>
    <w:p w14:paraId="7ABF7EB0">
      <w:pPr>
        <w:adjustRightInd w:val="0"/>
        <w:snapToGrid w:val="0"/>
        <w:spacing w:line="360" w:lineRule="auto"/>
        <w:ind w:firstLine="463" w:firstLineChars="192"/>
        <w:rPr>
          <w:rFonts w:ascii="宋体" w:hAnsi="宋体" w:cs="宋体-18030"/>
          <w:b/>
          <w:snapToGrid w:val="0"/>
          <w:color w:val="auto"/>
          <w:kern w:val="0"/>
          <w:sz w:val="24"/>
          <w:szCs w:val="24"/>
          <w:highlight w:val="none"/>
        </w:rPr>
      </w:pPr>
      <w:r>
        <w:rPr>
          <w:rFonts w:hint="eastAsia" w:ascii="宋体" w:hAnsi="宋体" w:cs="宋体-18030"/>
          <w:b/>
          <w:snapToGrid w:val="0"/>
          <w:color w:val="auto"/>
          <w:kern w:val="0"/>
          <w:sz w:val="24"/>
          <w:szCs w:val="24"/>
          <w:highlight w:val="none"/>
        </w:rPr>
        <w:t>1.工程结算报告的提交及审定</w:t>
      </w:r>
    </w:p>
    <w:p w14:paraId="11D9354B">
      <w:pPr>
        <w:pStyle w:val="25"/>
        <w:adjustRightInd w:val="0"/>
        <w:snapToGrid w:val="0"/>
        <w:spacing w:line="360" w:lineRule="auto"/>
        <w:ind w:firstLine="480" w:firstLineChars="200"/>
        <w:rPr>
          <w:rFonts w:hAnsi="宋体"/>
          <w:b/>
          <w:snapToGrid w:val="0"/>
          <w:color w:val="auto"/>
          <w:kern w:val="0"/>
          <w:sz w:val="32"/>
          <w:szCs w:val="32"/>
          <w:highlight w:val="none"/>
        </w:rPr>
      </w:pPr>
      <w:r>
        <w:rPr>
          <w:rFonts w:hint="eastAsia" w:hAnsi="宋体"/>
          <w:snapToGrid w:val="0"/>
          <w:color w:val="auto"/>
          <w:kern w:val="0"/>
          <w:sz w:val="24"/>
          <w:szCs w:val="24"/>
          <w:highlight w:val="none"/>
        </w:rPr>
        <w:t>（1）承包人应按发包人的要求和本项目结算工作的需要派出不少于</w:t>
      </w:r>
      <w:r>
        <w:rPr>
          <w:rFonts w:hint="eastAsia" w:hAnsi="宋体"/>
          <w:snapToGrid w:val="0"/>
          <w:color w:val="auto"/>
          <w:kern w:val="0"/>
          <w:sz w:val="24"/>
          <w:szCs w:val="24"/>
          <w:highlight w:val="none"/>
          <w:u w:val="single"/>
        </w:rPr>
        <w:t xml:space="preserve"> 2 </w:t>
      </w:r>
      <w:r>
        <w:rPr>
          <w:rFonts w:hint="eastAsia" w:hAnsi="宋体"/>
          <w:snapToGrid w:val="0"/>
          <w:color w:val="auto"/>
          <w:kern w:val="0"/>
          <w:sz w:val="24"/>
          <w:szCs w:val="24"/>
          <w:highlight w:val="none"/>
        </w:rPr>
        <w:t>名工程结算人员，在年月日至年月日必须保证在工地现场办公，专门从事竣工档案编制、工程结算工作；否则，应按</w:t>
      </w:r>
      <w:r>
        <w:rPr>
          <w:rFonts w:hint="eastAsia" w:hAnsi="宋体"/>
          <w:b/>
          <w:snapToGrid w:val="0"/>
          <w:color w:val="auto"/>
          <w:kern w:val="0"/>
          <w:sz w:val="24"/>
          <w:szCs w:val="24"/>
          <w:highlight w:val="none"/>
        </w:rPr>
        <w:t>《</w:t>
      </w:r>
      <w:r>
        <w:rPr>
          <w:rFonts w:hint="eastAsia" w:hAnsi="宋体"/>
          <w:b/>
          <w:snapToGrid w:val="0"/>
          <w:color w:val="auto"/>
          <w:kern w:val="0"/>
          <w:sz w:val="24"/>
          <w:szCs w:val="24"/>
          <w:highlight w:val="none"/>
          <w:u w:val="single"/>
        </w:rPr>
        <w:t>花果山产业小镇综合配套工程建设项目</w:t>
      </w:r>
    </w:p>
    <w:p w14:paraId="2F2F6C5E">
      <w:pPr>
        <w:pStyle w:val="25"/>
        <w:adjustRightInd w:val="0"/>
        <w:snapToGrid w:val="0"/>
        <w:spacing w:line="360" w:lineRule="auto"/>
        <w:ind w:firstLine="482" w:firstLineChars="200"/>
        <w:rPr>
          <w:rFonts w:hAnsi="宋体"/>
          <w:snapToGrid w:val="0"/>
          <w:color w:val="auto"/>
          <w:kern w:val="0"/>
          <w:sz w:val="24"/>
          <w:szCs w:val="24"/>
          <w:highlight w:val="none"/>
        </w:rPr>
      </w:pPr>
      <w:r>
        <w:rPr>
          <w:rFonts w:hint="eastAsia" w:hAnsi="宋体"/>
          <w:b/>
          <w:snapToGrid w:val="0"/>
          <w:color w:val="auto"/>
          <w:kern w:val="0"/>
          <w:sz w:val="24"/>
          <w:szCs w:val="24"/>
          <w:highlight w:val="none"/>
          <w:u w:val="single"/>
        </w:rPr>
        <w:t>合同</w:t>
      </w:r>
      <w:r>
        <w:rPr>
          <w:rFonts w:hint="eastAsia" w:hAnsi="宋体"/>
          <w:b/>
          <w:snapToGrid w:val="0"/>
          <w:color w:val="auto"/>
          <w:kern w:val="0"/>
          <w:sz w:val="24"/>
          <w:szCs w:val="24"/>
          <w:highlight w:val="none"/>
        </w:rPr>
        <w:t>》</w:t>
      </w:r>
      <w:r>
        <w:rPr>
          <w:rFonts w:hint="eastAsia" w:hAnsi="宋体"/>
          <w:snapToGrid w:val="0"/>
          <w:color w:val="auto"/>
          <w:kern w:val="0"/>
          <w:sz w:val="24"/>
          <w:szCs w:val="24"/>
          <w:highlight w:val="none"/>
        </w:rPr>
        <w:t>（以下简称原合同）合同专用条款第38.7（3）款的约定承担违</w:t>
      </w:r>
      <w:r>
        <w:rPr>
          <w:rFonts w:hint="eastAsia" w:hAnsi="宋体" w:cs="宋体"/>
          <w:snapToGrid w:val="0"/>
          <w:color w:val="auto"/>
          <w:kern w:val="0"/>
          <w:sz w:val="24"/>
          <w:szCs w:val="24"/>
          <w:highlight w:val="none"/>
          <w:lang w:val="zh-CN"/>
        </w:rPr>
        <w:t>约责任</w:t>
      </w:r>
      <w:r>
        <w:rPr>
          <w:rFonts w:hint="eastAsia" w:hAnsi="宋体"/>
          <w:snapToGrid w:val="0"/>
          <w:color w:val="auto"/>
          <w:kern w:val="0"/>
          <w:sz w:val="24"/>
          <w:szCs w:val="24"/>
          <w:highlight w:val="none"/>
        </w:rPr>
        <w:t>。</w:t>
      </w:r>
    </w:p>
    <w:p w14:paraId="5D43CE50">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cs="宋体-18030"/>
          <w:snapToGrid w:val="0"/>
          <w:color w:val="auto"/>
          <w:kern w:val="0"/>
          <w:sz w:val="24"/>
          <w:szCs w:val="24"/>
          <w:highlight w:val="none"/>
        </w:rPr>
        <w:t>（2）</w:t>
      </w:r>
      <w:r>
        <w:rPr>
          <w:rFonts w:hint="eastAsia" w:hAnsi="宋体"/>
          <w:snapToGrid w:val="0"/>
          <w:color w:val="auto"/>
          <w:kern w:val="0"/>
          <w:sz w:val="24"/>
          <w:szCs w:val="24"/>
          <w:highlight w:val="none"/>
        </w:rPr>
        <w:t>承包人应按原合同专用条款第36.5款的要求编制</w:t>
      </w:r>
      <w:r>
        <w:rPr>
          <w:rFonts w:hint="eastAsia" w:hAnsi="宋体" w:cs="宋体-18030"/>
          <w:snapToGrid w:val="0"/>
          <w:color w:val="auto"/>
          <w:kern w:val="0"/>
          <w:sz w:val="24"/>
          <w:szCs w:val="24"/>
          <w:highlight w:val="none"/>
        </w:rPr>
        <w:t>工程结算基础资料，</w:t>
      </w:r>
      <w:r>
        <w:rPr>
          <w:rFonts w:hint="eastAsia" w:hAnsi="宋体"/>
          <w:snapToGrid w:val="0"/>
          <w:color w:val="auto"/>
          <w:kern w:val="0"/>
          <w:sz w:val="24"/>
          <w:szCs w:val="24"/>
          <w:highlight w:val="none"/>
        </w:rPr>
        <w:t>并在年月日前向发包人提交符合原合同专用条款第36.5款要求的全部竣工结算资料。</w:t>
      </w:r>
    </w:p>
    <w:p w14:paraId="3B896284">
      <w:pPr>
        <w:pStyle w:val="25"/>
        <w:adjustRightInd w:val="0"/>
        <w:snapToGrid w:val="0"/>
        <w:spacing w:line="360" w:lineRule="auto"/>
        <w:ind w:firstLine="480" w:firstLineChars="200"/>
        <w:rPr>
          <w:rFonts w:hAnsi="宋体"/>
          <w:snapToGrid w:val="0"/>
          <w:color w:val="auto"/>
          <w:kern w:val="0"/>
          <w:sz w:val="24"/>
          <w:szCs w:val="24"/>
          <w:highlight w:val="none"/>
        </w:rPr>
      </w:pPr>
      <w:r>
        <w:rPr>
          <w:rFonts w:hint="eastAsia" w:hAnsi="宋体"/>
          <w:snapToGrid w:val="0"/>
          <w:color w:val="auto"/>
          <w:kern w:val="0"/>
          <w:sz w:val="24"/>
          <w:szCs w:val="24"/>
          <w:highlight w:val="none"/>
        </w:rPr>
        <w:t>（3）本项目合同正常结算工作以截止在年月日前上报的工程结算资料为基础进行，承包人应积极配合发包人，协助政府上级主管部门，完成上报结算书的审定工作。</w:t>
      </w:r>
    </w:p>
    <w:p w14:paraId="6062B04A">
      <w:pPr>
        <w:adjustRightInd w:val="0"/>
        <w:snapToGrid w:val="0"/>
        <w:spacing w:line="360" w:lineRule="auto"/>
        <w:ind w:firstLine="480" w:firstLineChars="200"/>
        <w:rPr>
          <w:rFonts w:ascii="宋体" w:hAnsi="宋体" w:cs="宋体-18030"/>
          <w:snapToGrid w:val="0"/>
          <w:color w:val="auto"/>
          <w:kern w:val="0"/>
          <w:sz w:val="24"/>
          <w:szCs w:val="24"/>
          <w:highlight w:val="none"/>
        </w:rPr>
      </w:pPr>
      <w:r>
        <w:rPr>
          <w:rFonts w:hint="eastAsia" w:ascii="宋体" w:hAnsi="宋体" w:cs="宋体-18030"/>
          <w:snapToGrid w:val="0"/>
          <w:color w:val="auto"/>
          <w:kern w:val="0"/>
          <w:sz w:val="24"/>
          <w:szCs w:val="24"/>
          <w:highlight w:val="none"/>
        </w:rPr>
        <w:t>（4）发包人在收到承包人</w:t>
      </w:r>
      <w:r>
        <w:rPr>
          <w:rFonts w:hint="eastAsia" w:hAnsi="宋体"/>
          <w:snapToGrid w:val="0"/>
          <w:color w:val="auto"/>
          <w:kern w:val="0"/>
          <w:sz w:val="24"/>
          <w:szCs w:val="24"/>
          <w:highlight w:val="none"/>
        </w:rPr>
        <w:t>年月日</w:t>
      </w:r>
      <w:r>
        <w:rPr>
          <w:rFonts w:hint="eastAsia" w:ascii="宋体" w:hAnsi="宋体" w:cs="宋体-18030"/>
          <w:snapToGrid w:val="0"/>
          <w:color w:val="auto"/>
          <w:kern w:val="0"/>
          <w:sz w:val="24"/>
          <w:szCs w:val="24"/>
          <w:highlight w:val="none"/>
        </w:rPr>
        <w:t>提交的手续齐备的工程结算资料后，应组织有关单位在</w:t>
      </w:r>
      <w:r>
        <w:rPr>
          <w:rFonts w:hint="eastAsia" w:hAnsi="宋体"/>
          <w:snapToGrid w:val="0"/>
          <w:color w:val="auto"/>
          <w:kern w:val="0"/>
          <w:sz w:val="24"/>
          <w:szCs w:val="24"/>
          <w:highlight w:val="none"/>
        </w:rPr>
        <w:t>年月日</w:t>
      </w:r>
      <w:r>
        <w:rPr>
          <w:rFonts w:hint="eastAsia" w:ascii="宋体" w:hAnsi="宋体" w:cs="宋体-18030"/>
          <w:snapToGrid w:val="0"/>
          <w:color w:val="auto"/>
          <w:kern w:val="0"/>
          <w:sz w:val="24"/>
          <w:szCs w:val="24"/>
          <w:highlight w:val="none"/>
        </w:rPr>
        <w:t>前审核完毕，及时报送上级部门审批。</w:t>
      </w:r>
    </w:p>
    <w:p w14:paraId="6F108CC7">
      <w:pPr>
        <w:adjustRightInd w:val="0"/>
        <w:snapToGrid w:val="0"/>
        <w:spacing w:line="360" w:lineRule="auto"/>
        <w:ind w:firstLine="480" w:firstLineChars="200"/>
        <w:rPr>
          <w:rFonts w:ascii="宋体" w:hAnsi="宋体" w:cs="宋体-18030"/>
          <w:snapToGrid w:val="0"/>
          <w:color w:val="auto"/>
          <w:kern w:val="0"/>
          <w:sz w:val="24"/>
          <w:szCs w:val="24"/>
          <w:highlight w:val="none"/>
        </w:rPr>
      </w:pPr>
      <w:r>
        <w:rPr>
          <w:rFonts w:hint="eastAsia" w:ascii="宋体" w:hAnsi="宋体" w:cs="宋体-18030"/>
          <w:snapToGrid w:val="0"/>
          <w:color w:val="auto"/>
          <w:kern w:val="0"/>
          <w:sz w:val="24"/>
          <w:szCs w:val="24"/>
          <w:highlight w:val="none"/>
        </w:rPr>
        <w:t>（5）承包人虽未能在</w:t>
      </w:r>
      <w:r>
        <w:rPr>
          <w:rFonts w:hint="eastAsia" w:hAnsi="宋体"/>
          <w:snapToGrid w:val="0"/>
          <w:color w:val="auto"/>
          <w:kern w:val="0"/>
          <w:sz w:val="24"/>
          <w:szCs w:val="24"/>
          <w:highlight w:val="none"/>
        </w:rPr>
        <w:t>年月日</w:t>
      </w:r>
      <w:r>
        <w:rPr>
          <w:rFonts w:hint="eastAsia" w:ascii="宋体" w:hAnsi="宋体" w:cs="宋体-18030"/>
          <w:snapToGrid w:val="0"/>
          <w:color w:val="auto"/>
          <w:kern w:val="0"/>
          <w:sz w:val="24"/>
          <w:szCs w:val="24"/>
          <w:highlight w:val="none"/>
        </w:rPr>
        <w:t>前上报，但能在</w:t>
      </w:r>
      <w:r>
        <w:rPr>
          <w:rFonts w:hint="eastAsia" w:hAnsi="宋体"/>
          <w:snapToGrid w:val="0"/>
          <w:color w:val="auto"/>
          <w:kern w:val="0"/>
          <w:sz w:val="24"/>
          <w:szCs w:val="24"/>
          <w:highlight w:val="none"/>
        </w:rPr>
        <w:t>年月日</w:t>
      </w:r>
      <w:r>
        <w:rPr>
          <w:rFonts w:hint="eastAsia" w:ascii="宋体" w:hAnsi="宋体" w:cs="宋体-18030"/>
          <w:snapToGrid w:val="0"/>
          <w:color w:val="auto"/>
          <w:kern w:val="0"/>
          <w:sz w:val="24"/>
          <w:szCs w:val="24"/>
          <w:highlight w:val="none"/>
        </w:rPr>
        <w:t>前上报且符合原合同专用条款第36.5款要求的工程结算资料，由发包人作为本项目合同的善后处理工作组织审核审定。</w:t>
      </w:r>
    </w:p>
    <w:p w14:paraId="2583C2CD">
      <w:pPr>
        <w:adjustRightInd w:val="0"/>
        <w:snapToGrid w:val="0"/>
        <w:spacing w:line="360" w:lineRule="auto"/>
        <w:ind w:firstLine="480" w:firstLineChars="200"/>
        <w:rPr>
          <w:rFonts w:ascii="宋体" w:hAnsi="宋体" w:cs="宋体-18030"/>
          <w:snapToGrid w:val="0"/>
          <w:color w:val="auto"/>
          <w:kern w:val="0"/>
          <w:sz w:val="24"/>
          <w:szCs w:val="24"/>
          <w:highlight w:val="none"/>
        </w:rPr>
      </w:pPr>
      <w:r>
        <w:rPr>
          <w:rFonts w:hint="eastAsia" w:ascii="宋体" w:hAnsi="宋体" w:cs="宋体-18030"/>
          <w:snapToGrid w:val="0"/>
          <w:color w:val="auto"/>
          <w:kern w:val="0"/>
          <w:sz w:val="24"/>
          <w:szCs w:val="24"/>
          <w:highlight w:val="none"/>
        </w:rPr>
        <w:t>（6）本项目结算资料发包人接收的最后截止日期为</w:t>
      </w:r>
      <w:r>
        <w:rPr>
          <w:rFonts w:hint="eastAsia" w:hAnsi="宋体"/>
          <w:snapToGrid w:val="0"/>
          <w:color w:val="auto"/>
          <w:kern w:val="0"/>
          <w:sz w:val="24"/>
          <w:szCs w:val="24"/>
          <w:highlight w:val="none"/>
        </w:rPr>
        <w:t>年月日</w:t>
      </w:r>
      <w:r>
        <w:rPr>
          <w:rFonts w:hint="eastAsia" w:ascii="宋体" w:hAnsi="宋体" w:cs="宋体-18030"/>
          <w:snapToGrid w:val="0"/>
          <w:color w:val="auto"/>
          <w:kern w:val="0"/>
          <w:sz w:val="24"/>
          <w:szCs w:val="24"/>
          <w:highlight w:val="none"/>
        </w:rPr>
        <w:t>。至</w:t>
      </w:r>
    </w:p>
    <w:p w14:paraId="220B24B6">
      <w:pPr>
        <w:adjustRightInd w:val="0"/>
        <w:snapToGrid w:val="0"/>
        <w:spacing w:line="360" w:lineRule="auto"/>
        <w:rPr>
          <w:rFonts w:ascii="宋体" w:hAnsi="宋体" w:cs="宋体-18030"/>
          <w:snapToGrid w:val="0"/>
          <w:color w:val="auto"/>
          <w:kern w:val="0"/>
          <w:sz w:val="24"/>
          <w:szCs w:val="24"/>
          <w:highlight w:val="none"/>
        </w:rPr>
      </w:pPr>
      <w:r>
        <w:rPr>
          <w:rFonts w:hint="eastAsia" w:hAnsi="宋体"/>
          <w:snapToGrid w:val="0"/>
          <w:color w:val="auto"/>
          <w:kern w:val="0"/>
          <w:sz w:val="24"/>
          <w:szCs w:val="24"/>
          <w:highlight w:val="none"/>
        </w:rPr>
        <w:t>年月日</w:t>
      </w:r>
      <w:r>
        <w:rPr>
          <w:rFonts w:hint="eastAsia" w:ascii="宋体" w:hAnsi="宋体" w:cs="宋体-18030"/>
          <w:snapToGrid w:val="0"/>
          <w:color w:val="auto"/>
          <w:kern w:val="0"/>
          <w:sz w:val="24"/>
          <w:szCs w:val="24"/>
          <w:highlight w:val="none"/>
        </w:rPr>
        <w:t>承包人仍未报送的本项目结算资料，视为已全部报出，发包人不再受理任何本项目结算资料。</w:t>
      </w:r>
    </w:p>
    <w:p w14:paraId="3E3B262B">
      <w:pPr>
        <w:adjustRightInd w:val="0"/>
        <w:snapToGrid w:val="0"/>
        <w:spacing w:line="360" w:lineRule="auto"/>
        <w:ind w:firstLine="420" w:firstLineChars="200"/>
        <w:rPr>
          <w:rFonts w:ascii="宋体" w:hAnsi="宋体" w:cs="宋体-18030"/>
          <w:snapToGrid w:val="0"/>
          <w:color w:val="auto"/>
          <w:kern w:val="0"/>
          <w:sz w:val="24"/>
          <w:szCs w:val="24"/>
          <w:highlight w:val="none"/>
        </w:rPr>
      </w:pPr>
      <w:r>
        <w:rPr>
          <w:rFonts w:hint="eastAsia" w:ascii="宋体" w:hAnsi="宋体"/>
          <w:bCs/>
          <w:snapToGrid w:val="0"/>
          <w:color w:val="auto"/>
          <w:kern w:val="0"/>
          <w:szCs w:val="21"/>
          <w:highlight w:val="none"/>
          <w:bdr w:val="single" w:color="auto" w:sz="4" w:space="0"/>
        </w:rPr>
        <w:t>√</w:t>
      </w:r>
      <w:r>
        <w:rPr>
          <w:rFonts w:hint="eastAsia" w:ascii="宋体" w:hAnsi="宋体" w:cs="宋体-18030"/>
          <w:snapToGrid w:val="0"/>
          <w:color w:val="auto"/>
          <w:kern w:val="0"/>
          <w:sz w:val="24"/>
          <w:szCs w:val="24"/>
          <w:highlight w:val="none"/>
        </w:rPr>
        <w:t>（7）承包人应按发包人的要求及时派出足够的工程结算管理人员与发包人派出的工程结算管理人员一起组成工程结算管理小组，并由承包人负责其总承包管理范围内工程结算的牵头工作，督促其总承包管理范围内的各专业单位按本条第（2）项的要求及时报送工程结算资料并予以落实，否则，应按原合同专用条款第</w:t>
      </w:r>
      <w:r>
        <w:rPr>
          <w:rFonts w:hint="eastAsia" w:ascii="宋体" w:hAnsi="宋体"/>
          <w:snapToGrid w:val="0"/>
          <w:color w:val="auto"/>
          <w:kern w:val="0"/>
          <w:sz w:val="24"/>
          <w:szCs w:val="24"/>
          <w:highlight w:val="none"/>
        </w:rPr>
        <w:t>38.7（6）</w:t>
      </w:r>
      <w:r>
        <w:rPr>
          <w:rFonts w:hint="eastAsia" w:ascii="宋体" w:hAnsi="宋体" w:cs="宋体-18030"/>
          <w:snapToGrid w:val="0"/>
          <w:color w:val="auto"/>
          <w:kern w:val="0"/>
          <w:sz w:val="24"/>
          <w:szCs w:val="24"/>
          <w:highlight w:val="none"/>
        </w:rPr>
        <w:t>款的约定承担违约责任。如承包人不按发包人的要求及时派出足够的工程结算管理人员，发包人有权另行聘请有关工程结算管理人员，有关费</w:t>
      </w:r>
      <w:r>
        <w:rPr>
          <w:rFonts w:hint="eastAsia" w:ascii="宋体-PUA" w:hAnsi="宋体" w:cs="宋体-18030"/>
          <w:snapToGrid w:val="0"/>
          <w:color w:val="auto"/>
          <w:kern w:val="0"/>
          <w:sz w:val="24"/>
          <w:szCs w:val="24"/>
          <w:highlight w:val="none"/>
        </w:rPr>
        <w:t>用在原合同的</w:t>
      </w:r>
      <w:r>
        <w:rPr>
          <w:rFonts w:hint="eastAsia" w:ascii="宋体-PUA" w:hAnsi="宋体" w:cs="宋体"/>
          <w:snapToGrid w:val="0"/>
          <w:color w:val="auto"/>
          <w:kern w:val="0"/>
          <w:sz w:val="24"/>
          <w:szCs w:val="24"/>
          <w:highlight w:val="none"/>
        </w:rPr>
        <w:t>总承包管理费或</w:t>
      </w:r>
      <w:r>
        <w:rPr>
          <w:rFonts w:hint="eastAsia" w:ascii="宋体" w:hAnsi="宋体" w:cs="宋体"/>
          <w:snapToGrid w:val="0"/>
          <w:color w:val="auto"/>
          <w:kern w:val="0"/>
          <w:sz w:val="24"/>
          <w:szCs w:val="24"/>
          <w:highlight w:val="none"/>
        </w:rPr>
        <w:t>专业工程配合服务费</w:t>
      </w:r>
      <w:r>
        <w:rPr>
          <w:rFonts w:hint="eastAsia" w:ascii="宋体-PUA" w:hAnsi="宋体" w:cs="宋体-18030"/>
          <w:snapToGrid w:val="0"/>
          <w:color w:val="auto"/>
          <w:kern w:val="0"/>
          <w:sz w:val="24"/>
          <w:szCs w:val="24"/>
          <w:highlight w:val="none"/>
        </w:rPr>
        <w:t>中支付，承包人不得有异议。</w:t>
      </w:r>
    </w:p>
    <w:p w14:paraId="18CC79B4">
      <w:pPr>
        <w:adjustRightInd w:val="0"/>
        <w:snapToGrid w:val="0"/>
        <w:spacing w:line="360" w:lineRule="auto"/>
        <w:ind w:firstLine="480" w:firstLineChars="200"/>
        <w:rPr>
          <w:rFonts w:ascii="宋体" w:hAnsi="宋体" w:cs="宋体-18030"/>
          <w:snapToGrid w:val="0"/>
          <w:color w:val="auto"/>
          <w:kern w:val="0"/>
          <w:sz w:val="24"/>
          <w:szCs w:val="24"/>
          <w:highlight w:val="none"/>
        </w:rPr>
      </w:pPr>
      <w:r>
        <w:rPr>
          <w:rFonts w:hint="eastAsia" w:ascii="宋体" w:hAnsi="宋体" w:cs="宋体-18030"/>
          <w:snapToGrid w:val="0"/>
          <w:color w:val="auto"/>
          <w:kern w:val="0"/>
          <w:sz w:val="24"/>
          <w:szCs w:val="24"/>
          <w:highlight w:val="none"/>
        </w:rPr>
        <w:t>2.工程结算定审后有关款项的支付</w:t>
      </w:r>
    </w:p>
    <w:p w14:paraId="7BC04584">
      <w:pPr>
        <w:adjustRightInd w:val="0"/>
        <w:snapToGrid w:val="0"/>
        <w:spacing w:line="360" w:lineRule="auto"/>
        <w:ind w:firstLine="480" w:firstLineChars="200"/>
        <w:rPr>
          <w:rFonts w:ascii="宋体" w:hAnsi="宋体" w:cs="宋体-18030"/>
          <w:snapToGrid w:val="0"/>
          <w:color w:val="auto"/>
          <w:kern w:val="0"/>
          <w:sz w:val="24"/>
          <w:szCs w:val="24"/>
          <w:highlight w:val="none"/>
        </w:rPr>
      </w:pPr>
      <w:r>
        <w:rPr>
          <w:rFonts w:hint="eastAsia" w:ascii="宋体" w:hAnsi="宋体" w:cs="宋体-18030"/>
          <w:snapToGrid w:val="0"/>
          <w:color w:val="auto"/>
          <w:kern w:val="0"/>
          <w:sz w:val="24"/>
          <w:szCs w:val="24"/>
          <w:highlight w:val="none"/>
        </w:rPr>
        <w:t>本项目结算定审、承包人按原合同专用条款第35条约定完整移交工程竣工档案且不发生原合同专用条款第38.10（3）、（4）款的违约情形的，双方同意依据原合同专用条款第28.1【</w:t>
      </w:r>
      <w:r>
        <w:rPr>
          <w:rFonts w:hint="eastAsia" w:ascii="宋体" w:hAnsi="宋体"/>
          <w:bCs/>
          <w:snapToGrid w:val="0"/>
          <w:color w:val="auto"/>
          <w:kern w:val="0"/>
          <w:szCs w:val="21"/>
          <w:highlight w:val="none"/>
          <w:bdr w:val="single" w:color="auto" w:sz="4" w:space="0"/>
        </w:rPr>
        <w:t>√</w:t>
      </w:r>
      <w:r>
        <w:rPr>
          <w:rFonts w:hint="eastAsia" w:ascii="宋体" w:hAnsi="宋体" w:cs="宋体-18030"/>
          <w:snapToGrid w:val="0"/>
          <w:color w:val="auto"/>
          <w:kern w:val="0"/>
          <w:sz w:val="24"/>
          <w:szCs w:val="24"/>
          <w:highlight w:val="none"/>
        </w:rPr>
        <w:t xml:space="preserve">（12）、（13）  </w:t>
      </w:r>
      <w:r>
        <w:rPr>
          <w:rFonts w:hint="eastAsia" w:ascii="宋体" w:hAnsi="宋体"/>
          <w:bCs/>
          <w:snapToGrid w:val="0"/>
          <w:color w:val="auto"/>
          <w:kern w:val="0"/>
          <w:szCs w:val="21"/>
          <w:highlight w:val="none"/>
          <w:bdr w:val="single" w:color="auto" w:sz="4" w:space="0"/>
        </w:rPr>
        <w:t>√</w:t>
      </w:r>
      <w:r>
        <w:rPr>
          <w:rFonts w:hint="eastAsia" w:ascii="宋体" w:hAnsi="宋体" w:cs="宋体-18030"/>
          <w:snapToGrid w:val="0"/>
          <w:color w:val="auto"/>
          <w:kern w:val="0"/>
          <w:sz w:val="24"/>
          <w:szCs w:val="24"/>
          <w:highlight w:val="none"/>
        </w:rPr>
        <w:t>（13）、（14）】款的约定按如下方法之一处理：（本条款的选用情况已在《合同选择补充文本》的“合同附件选择表”中列明）</w:t>
      </w:r>
    </w:p>
    <w:p w14:paraId="3A5BCFC1">
      <w:pPr>
        <w:adjustRightInd w:val="0"/>
        <w:snapToGrid w:val="0"/>
        <w:spacing w:line="360" w:lineRule="auto"/>
        <w:ind w:firstLine="480" w:firstLineChars="200"/>
        <w:rPr>
          <w:rFonts w:ascii="宋体" w:hAnsi="宋体" w:cs="宋体-18030"/>
          <w:snapToGrid w:val="0"/>
          <w:color w:val="auto"/>
          <w:kern w:val="0"/>
          <w:sz w:val="24"/>
          <w:szCs w:val="24"/>
          <w:highlight w:val="none"/>
        </w:rPr>
      </w:pPr>
      <w:r>
        <w:rPr>
          <w:rFonts w:hint="eastAsia" w:ascii="宋体" w:hAnsi="宋体" w:cs="宋体-18030"/>
          <w:snapToGrid w:val="0"/>
          <w:color w:val="auto"/>
          <w:kern w:val="0"/>
          <w:sz w:val="24"/>
          <w:szCs w:val="24"/>
          <w:highlight w:val="none"/>
        </w:rPr>
        <w:t>（1）发包人已支付的累计金额小于工程结算定审金额的97%的，发包人继续支付至结算定审金额的97%，留下结算定审金额的3%作为工程质量保证金并按如下约定方式支付：</w:t>
      </w:r>
    </w:p>
    <w:p w14:paraId="70EDA724">
      <w:pPr>
        <w:adjustRightInd w:val="0"/>
        <w:snapToGrid w:val="0"/>
        <w:spacing w:line="360" w:lineRule="auto"/>
        <w:ind w:firstLine="480" w:firstLineChars="200"/>
        <w:rPr>
          <w:rFonts w:ascii="宋体" w:hAnsi="宋体" w:cs="宋体-18030"/>
          <w:snapToGrid w:val="0"/>
          <w:color w:val="auto"/>
          <w:kern w:val="0"/>
          <w:sz w:val="24"/>
          <w:szCs w:val="24"/>
          <w:highlight w:val="none"/>
        </w:rPr>
      </w:pPr>
      <w:r>
        <w:rPr>
          <w:rFonts w:hint="eastAsia" w:ascii="宋体" w:hAnsi="宋体" w:cs="宋体-18030"/>
          <w:snapToGrid w:val="0"/>
          <w:color w:val="auto"/>
          <w:kern w:val="0"/>
          <w:sz w:val="24"/>
          <w:szCs w:val="24"/>
          <w:highlight w:val="none"/>
        </w:rPr>
        <w:t>1）缺陷责任期内，由承包人原因造成的缺陷，承包人应负责维修，并承担鉴定及维修费用；如承包人不维修也不承担费用，发包人可按合同约定扣除质量保证金，并由承包人承担违约责任；承包人维修并承担相应费用后，不免除承担对工程损失的赔偿责任。</w:t>
      </w:r>
    </w:p>
    <w:p w14:paraId="2ABC72F2">
      <w:pPr>
        <w:adjustRightInd w:val="0"/>
        <w:snapToGrid w:val="0"/>
        <w:spacing w:line="360" w:lineRule="auto"/>
        <w:ind w:firstLine="480" w:firstLineChars="200"/>
        <w:rPr>
          <w:rFonts w:ascii="宋体" w:hAnsi="宋体" w:cs="宋体-18030"/>
          <w:snapToGrid w:val="0"/>
          <w:color w:val="auto"/>
          <w:kern w:val="0"/>
          <w:sz w:val="24"/>
          <w:szCs w:val="24"/>
          <w:highlight w:val="none"/>
        </w:rPr>
      </w:pPr>
      <w:r>
        <w:rPr>
          <w:rFonts w:hint="eastAsia" w:ascii="宋体" w:hAnsi="宋体" w:cs="宋体-18030"/>
          <w:snapToGrid w:val="0"/>
          <w:color w:val="auto"/>
          <w:kern w:val="0"/>
          <w:sz w:val="24"/>
          <w:szCs w:val="24"/>
          <w:highlight w:val="none"/>
        </w:rPr>
        <w:t>2）工程竣工验收合格后满2年，且承包人在工程缺陷责任期内未出现违约情形，发包人应在收到承包人的款项申请手续且扣除应扣款项后14天内将工程质量保证金（结算定审金额的3%）无息支付给承包人。</w:t>
      </w:r>
    </w:p>
    <w:p w14:paraId="0A5A43A9">
      <w:pPr>
        <w:adjustRightInd w:val="0"/>
        <w:snapToGrid w:val="0"/>
        <w:spacing w:line="360" w:lineRule="auto"/>
        <w:ind w:firstLine="480" w:firstLineChars="200"/>
        <w:rPr>
          <w:rFonts w:ascii="宋体" w:hAnsi="宋体" w:cs="宋体-18030"/>
          <w:snapToGrid w:val="0"/>
          <w:color w:val="auto"/>
          <w:kern w:val="0"/>
          <w:sz w:val="24"/>
          <w:szCs w:val="24"/>
          <w:highlight w:val="none"/>
        </w:rPr>
      </w:pPr>
      <w:r>
        <w:rPr>
          <w:rFonts w:hint="eastAsia" w:ascii="宋体" w:hAnsi="宋体" w:cs="宋体-18030"/>
          <w:snapToGrid w:val="0"/>
          <w:color w:val="auto"/>
          <w:kern w:val="0"/>
          <w:sz w:val="24"/>
          <w:szCs w:val="24"/>
          <w:highlight w:val="none"/>
        </w:rPr>
        <w:t>结清工程尾款不豁免承包人继续按照原合同约定应承担的保修责任。</w:t>
      </w:r>
    </w:p>
    <w:p w14:paraId="39BA8E4C">
      <w:pPr>
        <w:adjustRightInd w:val="0"/>
        <w:snapToGrid w:val="0"/>
        <w:spacing w:line="360" w:lineRule="auto"/>
        <w:ind w:firstLine="480" w:firstLineChars="200"/>
        <w:rPr>
          <w:rFonts w:ascii="宋体" w:hAnsi="宋体" w:cs="宋体-18030"/>
          <w:snapToGrid w:val="0"/>
          <w:color w:val="auto"/>
          <w:kern w:val="0"/>
          <w:sz w:val="24"/>
          <w:szCs w:val="24"/>
          <w:highlight w:val="none"/>
        </w:rPr>
      </w:pPr>
      <w:r>
        <w:rPr>
          <w:rFonts w:hint="eastAsia" w:ascii="宋体" w:hAnsi="宋体" w:cs="宋体-18030"/>
          <w:snapToGrid w:val="0"/>
          <w:color w:val="auto"/>
          <w:kern w:val="0"/>
          <w:sz w:val="24"/>
          <w:szCs w:val="24"/>
          <w:highlight w:val="none"/>
        </w:rPr>
        <w:t>（2）发包人已支付的累计金额大于工程结算定审金额的97%的，承包人应在工程结算定审之日起15日内向发包人返还多收的款项；否则，发包人有权向承包人追索，承包人除应足额返还多收的款项外，还应每天按多收款项总金额的2‰向发包人支付违约金。工程质量保证金（结算定审金额的3%）按本条第（1）项的约定支付。</w:t>
      </w:r>
    </w:p>
    <w:p w14:paraId="6BD017A8">
      <w:pPr>
        <w:adjustRightInd w:val="0"/>
        <w:snapToGrid w:val="0"/>
        <w:spacing w:line="360" w:lineRule="auto"/>
        <w:ind w:firstLine="482" w:firstLineChars="200"/>
        <w:rPr>
          <w:rFonts w:ascii="宋体" w:hAnsi="宋体" w:cs="宋体-18030"/>
          <w:b/>
          <w:snapToGrid w:val="0"/>
          <w:color w:val="auto"/>
          <w:kern w:val="0"/>
          <w:sz w:val="24"/>
          <w:szCs w:val="24"/>
          <w:highlight w:val="none"/>
        </w:rPr>
      </w:pPr>
      <w:r>
        <w:rPr>
          <w:rFonts w:hint="eastAsia" w:ascii="宋体" w:hAnsi="宋体" w:cs="宋体-18030"/>
          <w:b/>
          <w:snapToGrid w:val="0"/>
          <w:color w:val="auto"/>
          <w:kern w:val="0"/>
          <w:sz w:val="24"/>
          <w:szCs w:val="24"/>
          <w:highlight w:val="none"/>
        </w:rPr>
        <w:t>3.工程结算中争议问题的处理</w:t>
      </w:r>
    </w:p>
    <w:p w14:paraId="77ED243E">
      <w:pPr>
        <w:adjustRightInd w:val="0"/>
        <w:snapToGrid w:val="0"/>
        <w:spacing w:line="360" w:lineRule="auto"/>
        <w:ind w:right="11" w:firstLine="460" w:firstLineChars="192"/>
        <w:rPr>
          <w:rFonts w:ascii="宋体" w:hAnsi="宋体" w:cs="宋体-18030"/>
          <w:snapToGrid w:val="0"/>
          <w:color w:val="auto"/>
          <w:kern w:val="0"/>
          <w:sz w:val="24"/>
          <w:szCs w:val="24"/>
          <w:highlight w:val="none"/>
        </w:rPr>
      </w:pPr>
      <w:r>
        <w:rPr>
          <w:rFonts w:hint="eastAsia" w:ascii="宋体" w:hAnsi="宋体" w:cs="宋体-18030"/>
          <w:snapToGrid w:val="0"/>
          <w:color w:val="auto"/>
          <w:kern w:val="0"/>
          <w:sz w:val="24"/>
          <w:szCs w:val="24"/>
          <w:highlight w:val="none"/>
        </w:rPr>
        <w:t>对于工程结算中有争议的问题，依据合同的相关约定，本着“依法依规，实事求是和风险共担”的原则，按如下约定处理：</w:t>
      </w:r>
    </w:p>
    <w:p w14:paraId="6803922C">
      <w:pPr>
        <w:adjustRightInd w:val="0"/>
        <w:snapToGrid w:val="0"/>
        <w:spacing w:line="360" w:lineRule="auto"/>
        <w:ind w:right="11" w:firstLine="460" w:firstLineChars="192"/>
        <w:rPr>
          <w:rFonts w:ascii="宋体" w:hAnsi="宋体" w:cs="宋体-18030"/>
          <w:snapToGrid w:val="0"/>
          <w:color w:val="auto"/>
          <w:kern w:val="0"/>
          <w:sz w:val="24"/>
          <w:szCs w:val="24"/>
          <w:highlight w:val="none"/>
        </w:rPr>
      </w:pPr>
      <w:r>
        <w:rPr>
          <w:rFonts w:hint="eastAsia" w:ascii="宋体" w:hAnsi="宋体" w:cs="宋体-18030"/>
          <w:snapToGrid w:val="0"/>
          <w:color w:val="auto"/>
          <w:kern w:val="0"/>
          <w:sz w:val="24"/>
          <w:szCs w:val="24"/>
          <w:highlight w:val="none"/>
        </w:rPr>
        <w:t>（1）承包人在</w:t>
      </w:r>
      <w:r>
        <w:rPr>
          <w:rFonts w:hint="eastAsia" w:hAnsi="宋体"/>
          <w:snapToGrid w:val="0"/>
          <w:color w:val="auto"/>
          <w:kern w:val="0"/>
          <w:sz w:val="24"/>
          <w:szCs w:val="24"/>
          <w:highlight w:val="none"/>
        </w:rPr>
        <w:t>年月日</w:t>
      </w:r>
      <w:r>
        <w:rPr>
          <w:rFonts w:hint="eastAsia" w:ascii="宋体" w:hAnsi="宋体" w:cs="宋体-18030"/>
          <w:snapToGrid w:val="0"/>
          <w:color w:val="auto"/>
          <w:kern w:val="0"/>
          <w:sz w:val="24"/>
          <w:szCs w:val="24"/>
          <w:highlight w:val="none"/>
        </w:rPr>
        <w:t>前上报的工程结算资料经发包人审核后如发生争议，在</w:t>
      </w:r>
      <w:r>
        <w:rPr>
          <w:rFonts w:hint="eastAsia" w:hAnsi="宋体"/>
          <w:snapToGrid w:val="0"/>
          <w:color w:val="auto"/>
          <w:kern w:val="0"/>
          <w:sz w:val="24"/>
          <w:szCs w:val="24"/>
          <w:highlight w:val="none"/>
        </w:rPr>
        <w:t>年月日</w:t>
      </w:r>
      <w:r>
        <w:rPr>
          <w:rFonts w:hint="eastAsia" w:ascii="宋体" w:hAnsi="宋体" w:cs="宋体-18030"/>
          <w:snapToGrid w:val="0"/>
          <w:color w:val="auto"/>
          <w:kern w:val="0"/>
          <w:sz w:val="24"/>
          <w:szCs w:val="24"/>
          <w:highlight w:val="none"/>
        </w:rPr>
        <w:t>前双方能达成一致且经上级主管部门审定的部分纳入正常结算审定；未能达成一致的部分如能在</w:t>
      </w:r>
      <w:r>
        <w:rPr>
          <w:rFonts w:hint="eastAsia" w:hAnsi="宋体"/>
          <w:snapToGrid w:val="0"/>
          <w:color w:val="auto"/>
          <w:kern w:val="0"/>
          <w:sz w:val="24"/>
          <w:szCs w:val="24"/>
          <w:highlight w:val="none"/>
        </w:rPr>
        <w:t>年月日</w:t>
      </w:r>
      <w:r>
        <w:rPr>
          <w:rFonts w:hint="eastAsia" w:ascii="宋体" w:hAnsi="宋体" w:cs="宋体-18030"/>
          <w:snapToGrid w:val="0"/>
          <w:color w:val="auto"/>
          <w:kern w:val="0"/>
          <w:sz w:val="24"/>
          <w:szCs w:val="24"/>
          <w:highlight w:val="none"/>
        </w:rPr>
        <w:t>前取得一致的，将与承包人在</w:t>
      </w:r>
      <w:r>
        <w:rPr>
          <w:rFonts w:hint="eastAsia" w:hAnsi="宋体"/>
          <w:snapToGrid w:val="0"/>
          <w:color w:val="auto"/>
          <w:kern w:val="0"/>
          <w:sz w:val="24"/>
          <w:szCs w:val="24"/>
          <w:highlight w:val="none"/>
        </w:rPr>
        <w:t>年月日</w:t>
      </w:r>
      <w:r>
        <w:rPr>
          <w:rFonts w:hint="eastAsia" w:ascii="宋体" w:hAnsi="宋体" w:cs="宋体-18030"/>
          <w:snapToGrid w:val="0"/>
          <w:color w:val="auto"/>
          <w:kern w:val="0"/>
          <w:sz w:val="24"/>
          <w:szCs w:val="24"/>
          <w:highlight w:val="none"/>
        </w:rPr>
        <w:t>至</w:t>
      </w:r>
      <w:r>
        <w:rPr>
          <w:rFonts w:hint="eastAsia" w:hAnsi="宋体"/>
          <w:snapToGrid w:val="0"/>
          <w:color w:val="auto"/>
          <w:kern w:val="0"/>
          <w:sz w:val="24"/>
          <w:szCs w:val="24"/>
          <w:highlight w:val="none"/>
        </w:rPr>
        <w:t>年月日</w:t>
      </w:r>
      <w:r>
        <w:rPr>
          <w:rFonts w:hint="eastAsia" w:ascii="宋体" w:hAnsi="宋体" w:cs="宋体-18030"/>
          <w:snapToGrid w:val="0"/>
          <w:color w:val="auto"/>
          <w:kern w:val="0"/>
          <w:sz w:val="24"/>
          <w:szCs w:val="24"/>
          <w:highlight w:val="none"/>
        </w:rPr>
        <w:t>之间上报的工程结算资料为基础并在</w:t>
      </w:r>
      <w:r>
        <w:rPr>
          <w:rFonts w:hint="eastAsia" w:hAnsi="宋体"/>
          <w:snapToGrid w:val="0"/>
          <w:color w:val="auto"/>
          <w:kern w:val="0"/>
          <w:sz w:val="24"/>
          <w:szCs w:val="24"/>
          <w:highlight w:val="none"/>
        </w:rPr>
        <w:t>年月日</w:t>
      </w:r>
      <w:r>
        <w:rPr>
          <w:rFonts w:hint="eastAsia" w:ascii="宋体" w:hAnsi="宋体" w:cs="宋体-18030"/>
          <w:snapToGrid w:val="0"/>
          <w:color w:val="auto"/>
          <w:kern w:val="0"/>
          <w:sz w:val="24"/>
          <w:szCs w:val="24"/>
          <w:highlight w:val="none"/>
        </w:rPr>
        <w:t>前取得一致的部分一起，经上级主管部门审定后，由发包人作为本项目合同的善后处理工作组织审核审定。</w:t>
      </w:r>
    </w:p>
    <w:p w14:paraId="5E2868ED">
      <w:pPr>
        <w:adjustRightInd w:val="0"/>
        <w:snapToGrid w:val="0"/>
        <w:spacing w:line="360" w:lineRule="auto"/>
        <w:ind w:right="11" w:firstLine="460" w:firstLineChars="192"/>
        <w:rPr>
          <w:rFonts w:ascii="宋体" w:hAnsi="宋体" w:cs="宋体-18030"/>
          <w:snapToGrid w:val="0"/>
          <w:color w:val="auto"/>
          <w:kern w:val="0"/>
          <w:sz w:val="24"/>
          <w:szCs w:val="24"/>
          <w:highlight w:val="none"/>
          <w:u w:val="single"/>
        </w:rPr>
      </w:pPr>
      <w:r>
        <w:rPr>
          <w:rFonts w:hint="eastAsia" w:ascii="宋体" w:hAnsi="宋体" w:cs="宋体-18030"/>
          <w:snapToGrid w:val="0"/>
          <w:color w:val="auto"/>
          <w:kern w:val="0"/>
          <w:sz w:val="24"/>
          <w:szCs w:val="24"/>
          <w:highlight w:val="none"/>
        </w:rPr>
        <w:t>（2）双方未能在</w:t>
      </w:r>
      <w:r>
        <w:rPr>
          <w:rFonts w:hint="eastAsia" w:hAnsi="宋体"/>
          <w:snapToGrid w:val="0"/>
          <w:color w:val="auto"/>
          <w:kern w:val="0"/>
          <w:sz w:val="24"/>
          <w:szCs w:val="24"/>
          <w:highlight w:val="none"/>
        </w:rPr>
        <w:t>年月日</w:t>
      </w:r>
      <w:r>
        <w:rPr>
          <w:rFonts w:hint="eastAsia" w:ascii="宋体" w:hAnsi="宋体" w:cs="宋体-18030"/>
          <w:snapToGrid w:val="0"/>
          <w:color w:val="auto"/>
          <w:kern w:val="0"/>
          <w:sz w:val="24"/>
          <w:szCs w:val="24"/>
          <w:highlight w:val="none"/>
        </w:rPr>
        <w:t>前达成一致的本项目结算争议，发包人可依据已有资料单方面组织结算，承包人有异议的可按照原合同专用条款第40.1款的约定通过法律途径解决。</w:t>
      </w:r>
    </w:p>
    <w:p w14:paraId="4E8B22EC">
      <w:pPr>
        <w:adjustRightInd w:val="0"/>
        <w:snapToGrid w:val="0"/>
        <w:spacing w:line="360" w:lineRule="auto"/>
        <w:ind w:firstLine="463" w:firstLineChars="192"/>
        <w:rPr>
          <w:rFonts w:ascii="宋体" w:hAnsi="宋体" w:cs="宋体-18030"/>
          <w:snapToGrid w:val="0"/>
          <w:color w:val="auto"/>
          <w:kern w:val="0"/>
          <w:sz w:val="24"/>
          <w:szCs w:val="24"/>
          <w:highlight w:val="none"/>
        </w:rPr>
      </w:pPr>
      <w:r>
        <w:rPr>
          <w:rFonts w:hint="eastAsia" w:ascii="宋体" w:hAnsi="宋体" w:cs="宋体-18030"/>
          <w:b/>
          <w:snapToGrid w:val="0"/>
          <w:color w:val="auto"/>
          <w:kern w:val="0"/>
          <w:sz w:val="24"/>
          <w:szCs w:val="24"/>
          <w:highlight w:val="none"/>
        </w:rPr>
        <w:t>4.</w:t>
      </w:r>
      <w:r>
        <w:rPr>
          <w:rFonts w:hint="eastAsia" w:ascii="宋体" w:hAnsi="宋体" w:cs="宋体-18030"/>
          <w:snapToGrid w:val="0"/>
          <w:color w:val="auto"/>
          <w:kern w:val="0"/>
          <w:sz w:val="24"/>
          <w:szCs w:val="24"/>
          <w:highlight w:val="none"/>
        </w:rPr>
        <w:t>本工作协议书作为原合同的组成部分，与原合同具有同等法律效力。本工作协议书的约定与原合同相冲突的，以本工作协议书的约定为准。</w:t>
      </w:r>
    </w:p>
    <w:p w14:paraId="2E1A5BFF">
      <w:pPr>
        <w:adjustRightInd w:val="0"/>
        <w:snapToGrid w:val="0"/>
        <w:spacing w:line="360" w:lineRule="auto"/>
        <w:ind w:firstLine="482" w:firstLineChars="200"/>
        <w:rPr>
          <w:rFonts w:ascii="宋体" w:hAnsi="宋体"/>
          <w:snapToGrid w:val="0"/>
          <w:color w:val="auto"/>
          <w:kern w:val="0"/>
          <w:sz w:val="24"/>
          <w:szCs w:val="24"/>
          <w:highlight w:val="none"/>
        </w:rPr>
      </w:pPr>
      <w:r>
        <w:rPr>
          <w:rFonts w:hint="eastAsia" w:ascii="宋体" w:hAnsi="宋体" w:cs="宋体-18030"/>
          <w:b/>
          <w:snapToGrid w:val="0"/>
          <w:color w:val="auto"/>
          <w:kern w:val="0"/>
          <w:sz w:val="24"/>
          <w:szCs w:val="24"/>
          <w:highlight w:val="none"/>
        </w:rPr>
        <w:t>5.</w:t>
      </w:r>
      <w:r>
        <w:rPr>
          <w:rFonts w:hint="eastAsia" w:ascii="宋体" w:hAnsi="宋体"/>
          <w:snapToGrid w:val="0"/>
          <w:color w:val="auto"/>
          <w:kern w:val="0"/>
          <w:sz w:val="24"/>
          <w:szCs w:val="24"/>
          <w:highlight w:val="none"/>
        </w:rPr>
        <w:t>本工作协议书于双方签字盖章后生效，至双方履行完本工作协议书中的义务与责任时终止。</w:t>
      </w:r>
    </w:p>
    <w:p w14:paraId="05DF8B70">
      <w:pPr>
        <w:adjustRightInd w:val="0"/>
        <w:snapToGrid w:val="0"/>
        <w:spacing w:line="360" w:lineRule="auto"/>
        <w:ind w:firstLine="463" w:firstLineChars="192"/>
        <w:rPr>
          <w:rFonts w:ascii="宋体" w:hAnsi="宋体" w:cs="宋体-18030"/>
          <w:b/>
          <w:snapToGrid w:val="0"/>
          <w:color w:val="auto"/>
          <w:kern w:val="0"/>
          <w:sz w:val="24"/>
          <w:szCs w:val="24"/>
          <w:highlight w:val="none"/>
        </w:rPr>
      </w:pPr>
      <w:r>
        <w:rPr>
          <w:rFonts w:hint="eastAsia" w:ascii="宋体" w:hAnsi="宋体" w:cs="宋体-18030"/>
          <w:b/>
          <w:snapToGrid w:val="0"/>
          <w:color w:val="auto"/>
          <w:kern w:val="0"/>
          <w:sz w:val="24"/>
          <w:szCs w:val="24"/>
          <w:highlight w:val="none"/>
        </w:rPr>
        <w:t>附件：</w:t>
      </w:r>
      <w:r>
        <w:rPr>
          <w:rFonts w:hint="eastAsia" w:ascii="宋体" w:hAnsi="宋体" w:cs="宋体-18030"/>
          <w:bCs/>
          <w:snapToGrid w:val="0"/>
          <w:color w:val="auto"/>
          <w:kern w:val="0"/>
          <w:sz w:val="24"/>
          <w:szCs w:val="24"/>
          <w:highlight w:val="none"/>
        </w:rPr>
        <w:t>花果山产业小镇综合配套工程建设项目</w:t>
      </w:r>
      <w:r>
        <w:rPr>
          <w:rFonts w:hint="eastAsia" w:ascii="宋体" w:hAnsi="宋体" w:cs="宋体-18030"/>
          <w:snapToGrid w:val="0"/>
          <w:color w:val="auto"/>
          <w:kern w:val="0"/>
          <w:sz w:val="24"/>
          <w:szCs w:val="24"/>
          <w:highlight w:val="none"/>
        </w:rPr>
        <w:t>结算工作架构（另附）。</w:t>
      </w:r>
    </w:p>
    <w:p w14:paraId="02DCB551">
      <w:pPr>
        <w:adjustRightInd w:val="0"/>
        <w:snapToGrid w:val="0"/>
        <w:spacing w:line="360" w:lineRule="auto"/>
        <w:ind w:right="11"/>
        <w:rPr>
          <w:rFonts w:ascii="宋体" w:hAnsi="宋体"/>
          <w:snapToGrid w:val="0"/>
          <w:color w:val="auto"/>
          <w:kern w:val="0"/>
          <w:sz w:val="24"/>
          <w:szCs w:val="24"/>
          <w:highlight w:val="none"/>
        </w:rPr>
      </w:pPr>
    </w:p>
    <w:p w14:paraId="52158C5B">
      <w:pPr>
        <w:adjustRightInd w:val="0"/>
        <w:snapToGrid w:val="0"/>
        <w:spacing w:line="360" w:lineRule="auto"/>
        <w:ind w:right="11"/>
        <w:rPr>
          <w:rFonts w:ascii="楷体_GB2312" w:hAnsi="宋体" w:eastAsia="楷体_GB2312"/>
          <w:snapToGrid w:val="0"/>
          <w:color w:val="auto"/>
          <w:kern w:val="0"/>
          <w:sz w:val="24"/>
          <w:szCs w:val="24"/>
          <w:highlight w:val="none"/>
        </w:rPr>
      </w:pPr>
      <w:r>
        <w:rPr>
          <w:rFonts w:ascii="宋体" w:hAnsi="宋体"/>
          <w:snapToGrid w:val="0"/>
          <w:color w:val="auto"/>
          <w:kern w:val="0"/>
          <w:sz w:val="24"/>
          <w:szCs w:val="24"/>
          <w:highlight w:val="none"/>
        </w:rPr>
        <w:br w:type="page"/>
      </w:r>
      <w:r>
        <w:rPr>
          <w:rFonts w:hint="eastAsia" w:ascii="楷体_GB2312" w:hAnsi="宋体" w:eastAsia="楷体_GB2312"/>
          <w:snapToGrid w:val="0"/>
          <w:color w:val="auto"/>
          <w:kern w:val="0"/>
          <w:sz w:val="24"/>
          <w:szCs w:val="24"/>
          <w:highlight w:val="none"/>
        </w:rPr>
        <w:t>（本页无正文）</w:t>
      </w:r>
    </w:p>
    <w:p w14:paraId="38FEC4A5">
      <w:pPr>
        <w:adjustRightInd w:val="0"/>
        <w:snapToGrid w:val="0"/>
        <w:spacing w:line="360" w:lineRule="auto"/>
        <w:ind w:right="11"/>
        <w:rPr>
          <w:rFonts w:ascii="宋体" w:hAnsi="宋体"/>
          <w:snapToGrid w:val="0"/>
          <w:color w:val="auto"/>
          <w:kern w:val="0"/>
          <w:sz w:val="24"/>
          <w:szCs w:val="24"/>
          <w:highlight w:val="none"/>
        </w:rPr>
      </w:pPr>
    </w:p>
    <w:p w14:paraId="019869AA">
      <w:pPr>
        <w:adjustRightInd w:val="0"/>
        <w:snapToGrid w:val="0"/>
        <w:spacing w:line="360" w:lineRule="auto"/>
        <w:ind w:right="11"/>
        <w:rPr>
          <w:rFonts w:ascii="宋体" w:hAnsi="宋体"/>
          <w:snapToGrid w:val="0"/>
          <w:color w:val="auto"/>
          <w:spacing w:val="-20"/>
          <w:kern w:val="0"/>
          <w:sz w:val="24"/>
          <w:szCs w:val="24"/>
          <w:highlight w:val="none"/>
        </w:rPr>
      </w:pPr>
      <w:r>
        <w:rPr>
          <w:rFonts w:hint="eastAsia" w:ascii="宋体" w:hAnsi="宋体"/>
          <w:snapToGrid w:val="0"/>
          <w:color w:val="auto"/>
          <w:spacing w:val="-20"/>
          <w:kern w:val="0"/>
          <w:sz w:val="24"/>
          <w:szCs w:val="24"/>
          <w:highlight w:val="none"/>
        </w:rPr>
        <w:t xml:space="preserve">发包人：广州市越秀区代建项目管理中心                 承包人： </w:t>
      </w:r>
    </w:p>
    <w:p w14:paraId="7D1A7849">
      <w:pPr>
        <w:adjustRightInd w:val="0"/>
        <w:snapToGrid w:val="0"/>
        <w:spacing w:line="360" w:lineRule="auto"/>
        <w:ind w:right="11" w:firstLine="2400" w:firstLineChars="10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（盖章）                         （盖章）</w:t>
      </w:r>
    </w:p>
    <w:p w14:paraId="0F23B26A">
      <w:pPr>
        <w:adjustRightInd w:val="0"/>
        <w:snapToGrid w:val="0"/>
        <w:spacing w:line="360" w:lineRule="auto"/>
        <w:ind w:right="11"/>
        <w:rPr>
          <w:rFonts w:ascii="宋体" w:hAnsi="宋体"/>
          <w:snapToGrid w:val="0"/>
          <w:color w:val="auto"/>
          <w:kern w:val="0"/>
          <w:sz w:val="24"/>
          <w:szCs w:val="24"/>
          <w:highlight w:val="none"/>
        </w:rPr>
      </w:pPr>
    </w:p>
    <w:p w14:paraId="3EA14539">
      <w:pPr>
        <w:adjustRightInd w:val="0"/>
        <w:snapToGrid w:val="0"/>
        <w:spacing w:line="360" w:lineRule="auto"/>
        <w:ind w:right="11"/>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法定代表人：                           法定代表人：</w:t>
      </w:r>
    </w:p>
    <w:p w14:paraId="4659B88B">
      <w:pPr>
        <w:tabs>
          <w:tab w:val="left" w:pos="5460"/>
        </w:tabs>
        <w:adjustRightInd w:val="0"/>
        <w:snapToGrid w:val="0"/>
        <w:spacing w:line="360" w:lineRule="auto"/>
        <w:ind w:left="-2" w:leftChars="-1" w:right="11"/>
        <w:rPr>
          <w:rFonts w:ascii="宋体" w:hAnsi="宋体"/>
          <w:snapToGrid w:val="0"/>
          <w:color w:val="auto"/>
          <w:kern w:val="0"/>
          <w:sz w:val="24"/>
          <w:szCs w:val="24"/>
          <w:highlight w:val="none"/>
        </w:rPr>
      </w:pPr>
    </w:p>
    <w:p w14:paraId="02A394EA">
      <w:pPr>
        <w:tabs>
          <w:tab w:val="left" w:pos="5460"/>
        </w:tabs>
        <w:adjustRightInd w:val="0"/>
        <w:snapToGrid w:val="0"/>
        <w:spacing w:line="360" w:lineRule="auto"/>
        <w:ind w:left="-2" w:leftChars="-1" w:right="11"/>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经办人：                               经办人：</w:t>
      </w:r>
    </w:p>
    <w:p w14:paraId="39340A8C">
      <w:pPr>
        <w:adjustRightInd w:val="0"/>
        <w:snapToGrid w:val="0"/>
        <w:spacing w:line="360" w:lineRule="auto"/>
        <w:ind w:right="11"/>
        <w:rPr>
          <w:rFonts w:ascii="宋体" w:hAnsi="宋体"/>
          <w:snapToGrid w:val="0"/>
          <w:color w:val="auto"/>
          <w:kern w:val="0"/>
          <w:sz w:val="24"/>
          <w:szCs w:val="24"/>
          <w:highlight w:val="none"/>
        </w:rPr>
      </w:pPr>
    </w:p>
    <w:p w14:paraId="768E620F">
      <w:pPr>
        <w:adjustRightInd w:val="0"/>
        <w:snapToGrid w:val="0"/>
        <w:spacing w:line="360" w:lineRule="auto"/>
        <w:ind w:right="11"/>
        <w:rPr>
          <w:rFonts w:ascii="宋体" w:hAnsi="宋体"/>
          <w:b/>
          <w:bCs/>
          <w:snapToGrid w:val="0"/>
          <w:color w:val="auto"/>
          <w:kern w:val="0"/>
          <w:sz w:val="24"/>
          <w:highlight w:val="none"/>
        </w:rPr>
      </w:pPr>
      <w:r>
        <w:rPr>
          <w:rFonts w:hint="eastAsia" w:ascii="宋体" w:hAnsi="宋体"/>
          <w:snapToGrid w:val="0"/>
          <w:color w:val="auto"/>
          <w:kern w:val="0"/>
          <w:sz w:val="24"/>
          <w:szCs w:val="24"/>
          <w:highlight w:val="none"/>
        </w:rPr>
        <w:t>2024年   月   日                      2024年   月   日</w:t>
      </w:r>
    </w:p>
    <w:p w14:paraId="5451F3B1">
      <w:pPr>
        <w:adjustRightInd w:val="0"/>
        <w:snapToGrid w:val="0"/>
        <w:spacing w:line="360" w:lineRule="auto"/>
        <w:ind w:right="11"/>
        <w:rPr>
          <w:rFonts w:ascii="宋体" w:hAnsi="宋体"/>
          <w:b/>
          <w:bCs/>
          <w:snapToGrid w:val="0"/>
          <w:color w:val="auto"/>
          <w:kern w:val="0"/>
          <w:sz w:val="24"/>
          <w:highlight w:val="none"/>
        </w:rPr>
      </w:pPr>
    </w:p>
    <w:p w14:paraId="213A23F1">
      <w:pPr>
        <w:adjustRightInd w:val="0"/>
        <w:snapToGrid w:val="0"/>
        <w:spacing w:line="288" w:lineRule="auto"/>
        <w:rPr>
          <w:rFonts w:ascii="宋体" w:hAnsi="宋体"/>
          <w:snapToGrid w:val="0"/>
          <w:color w:val="auto"/>
          <w:kern w:val="0"/>
          <w:sz w:val="24"/>
          <w:highlight w:val="none"/>
        </w:rPr>
      </w:pPr>
      <w:r>
        <w:rPr>
          <w:rFonts w:ascii="宋体" w:hAnsi="宋体"/>
          <w:b/>
          <w:bCs/>
          <w:snapToGrid w:val="0"/>
          <w:color w:val="auto"/>
          <w:kern w:val="0"/>
          <w:sz w:val="24"/>
          <w:highlight w:val="none"/>
        </w:rPr>
        <w:br w:type="page"/>
      </w:r>
      <w:r>
        <w:rPr>
          <w:rFonts w:hint="eastAsia" w:ascii="宋体" w:hAnsi="宋体"/>
          <w:snapToGrid w:val="0"/>
          <w:color w:val="auto"/>
          <w:kern w:val="0"/>
          <w:sz w:val="24"/>
          <w:highlight w:val="none"/>
        </w:rPr>
        <w:t>附件6：</w:t>
      </w:r>
    </w:p>
    <w:p w14:paraId="5BFE33D8">
      <w:pPr>
        <w:adjustRightInd w:val="0"/>
        <w:snapToGrid w:val="0"/>
        <w:spacing w:line="288" w:lineRule="auto"/>
        <w:rPr>
          <w:rFonts w:ascii="宋体" w:hAnsi="宋体"/>
          <w:snapToGrid w:val="0"/>
          <w:color w:val="auto"/>
          <w:kern w:val="0"/>
          <w:sz w:val="24"/>
          <w:highlight w:val="none"/>
        </w:rPr>
      </w:pPr>
    </w:p>
    <w:p w14:paraId="377FE6D2">
      <w:pPr>
        <w:adjustRightInd w:val="0"/>
        <w:snapToGrid w:val="0"/>
        <w:spacing w:line="288" w:lineRule="auto"/>
        <w:rPr>
          <w:rFonts w:ascii="宋体" w:hAnsi="宋体"/>
          <w:snapToGrid w:val="0"/>
          <w:color w:val="auto"/>
          <w:kern w:val="0"/>
          <w:sz w:val="24"/>
          <w:highlight w:val="none"/>
        </w:rPr>
      </w:pPr>
    </w:p>
    <w:p w14:paraId="19A4FC34">
      <w:pPr>
        <w:adjustRightInd w:val="0"/>
        <w:snapToGrid w:val="0"/>
        <w:spacing w:line="360" w:lineRule="auto"/>
        <w:jc w:val="center"/>
        <w:rPr>
          <w:rFonts w:ascii="宋体" w:hAnsi="宋体"/>
          <w:b/>
          <w:snapToGrid w:val="0"/>
          <w:color w:val="auto"/>
          <w:spacing w:val="-12"/>
          <w:kern w:val="0"/>
          <w:sz w:val="52"/>
          <w:szCs w:val="52"/>
          <w:highlight w:val="none"/>
        </w:rPr>
      </w:pPr>
      <w:r>
        <w:rPr>
          <w:rFonts w:hint="eastAsia" w:ascii="宋体" w:hAnsi="宋体"/>
          <w:b/>
          <w:snapToGrid w:val="0"/>
          <w:color w:val="auto"/>
          <w:kern w:val="0"/>
          <w:sz w:val="52"/>
          <w:szCs w:val="52"/>
          <w:highlight w:val="none"/>
        </w:rPr>
        <w:t>项目</w:t>
      </w:r>
      <w:r>
        <w:rPr>
          <w:rFonts w:hint="eastAsia" w:ascii="宋体" w:hAnsi="宋体"/>
          <w:b/>
          <w:snapToGrid w:val="0"/>
          <w:color w:val="auto"/>
          <w:spacing w:val="-12"/>
          <w:kern w:val="0"/>
          <w:sz w:val="52"/>
          <w:szCs w:val="52"/>
          <w:highlight w:val="none"/>
        </w:rPr>
        <w:t>使用维护管理责任</w:t>
      </w:r>
    </w:p>
    <w:p w14:paraId="4343A927">
      <w:pPr>
        <w:adjustRightInd w:val="0"/>
        <w:snapToGrid w:val="0"/>
        <w:spacing w:line="360" w:lineRule="auto"/>
        <w:jc w:val="center"/>
        <w:rPr>
          <w:rFonts w:ascii="宋体" w:hAnsi="宋体"/>
          <w:b/>
          <w:snapToGrid w:val="0"/>
          <w:color w:val="auto"/>
          <w:kern w:val="0"/>
          <w:sz w:val="52"/>
          <w:szCs w:val="52"/>
          <w:highlight w:val="none"/>
        </w:rPr>
      </w:pPr>
      <w:r>
        <w:rPr>
          <w:rFonts w:hint="eastAsia" w:ascii="宋体" w:hAnsi="宋体"/>
          <w:b/>
          <w:snapToGrid w:val="0"/>
          <w:color w:val="auto"/>
          <w:spacing w:val="-12"/>
          <w:kern w:val="0"/>
          <w:sz w:val="52"/>
          <w:szCs w:val="52"/>
          <w:highlight w:val="none"/>
        </w:rPr>
        <w:t>主体转移三方协议（格式）</w:t>
      </w:r>
    </w:p>
    <w:p w14:paraId="72B5EEB6">
      <w:pPr>
        <w:adjustRightInd w:val="0"/>
        <w:snapToGrid w:val="0"/>
        <w:spacing w:line="360" w:lineRule="auto"/>
        <w:jc w:val="center"/>
        <w:rPr>
          <w:rFonts w:ascii="宋体" w:hAnsi="宋体" w:cs="Arial"/>
          <w:b/>
          <w:snapToGrid w:val="0"/>
          <w:color w:val="auto"/>
          <w:kern w:val="0"/>
          <w:sz w:val="32"/>
          <w:szCs w:val="32"/>
          <w:highlight w:val="none"/>
        </w:rPr>
      </w:pPr>
      <w:r>
        <w:rPr>
          <w:rFonts w:hint="eastAsia" w:ascii="宋体" w:hAnsi="宋体" w:cs="Arial"/>
          <w:b/>
          <w:snapToGrid w:val="0"/>
          <w:color w:val="auto"/>
          <w:kern w:val="0"/>
          <w:sz w:val="32"/>
          <w:szCs w:val="32"/>
          <w:highlight w:val="none"/>
        </w:rPr>
        <w:t>编号：</w:t>
      </w:r>
    </w:p>
    <w:p w14:paraId="0A8F884A">
      <w:pPr>
        <w:adjustRightInd w:val="0"/>
        <w:snapToGrid w:val="0"/>
        <w:spacing w:line="360" w:lineRule="auto"/>
        <w:rPr>
          <w:rFonts w:ascii="宋体" w:hAnsi="宋体" w:cs="Arial"/>
          <w:b/>
          <w:snapToGrid w:val="0"/>
          <w:color w:val="auto"/>
          <w:kern w:val="0"/>
          <w:sz w:val="32"/>
          <w:szCs w:val="32"/>
          <w:highlight w:val="none"/>
        </w:rPr>
      </w:pPr>
    </w:p>
    <w:p w14:paraId="2EBFF25F">
      <w:pPr>
        <w:adjustRightInd w:val="0"/>
        <w:snapToGrid w:val="0"/>
        <w:spacing w:line="360" w:lineRule="auto"/>
        <w:rPr>
          <w:rFonts w:ascii="宋体" w:hAnsi="宋体" w:cs="Arial"/>
          <w:b/>
          <w:snapToGrid w:val="0"/>
          <w:color w:val="auto"/>
          <w:kern w:val="0"/>
          <w:sz w:val="32"/>
          <w:szCs w:val="32"/>
          <w:highlight w:val="none"/>
        </w:rPr>
      </w:pPr>
    </w:p>
    <w:p w14:paraId="6AE7334F">
      <w:pPr>
        <w:adjustRightInd w:val="0"/>
        <w:snapToGrid w:val="0"/>
        <w:spacing w:line="360" w:lineRule="auto"/>
        <w:rPr>
          <w:rFonts w:ascii="宋体" w:hAnsi="宋体" w:cs="Arial"/>
          <w:b/>
          <w:snapToGrid w:val="0"/>
          <w:color w:val="auto"/>
          <w:kern w:val="0"/>
          <w:sz w:val="32"/>
          <w:szCs w:val="32"/>
          <w:highlight w:val="none"/>
        </w:rPr>
      </w:pPr>
    </w:p>
    <w:p w14:paraId="3F576C22">
      <w:pPr>
        <w:adjustRightInd w:val="0"/>
        <w:snapToGrid w:val="0"/>
        <w:spacing w:line="360" w:lineRule="auto"/>
        <w:rPr>
          <w:rFonts w:ascii="宋体" w:hAnsi="宋体" w:cs="Arial"/>
          <w:b/>
          <w:snapToGrid w:val="0"/>
          <w:color w:val="auto"/>
          <w:kern w:val="0"/>
          <w:sz w:val="32"/>
          <w:szCs w:val="32"/>
          <w:highlight w:val="none"/>
        </w:rPr>
      </w:pPr>
    </w:p>
    <w:p w14:paraId="23E19291">
      <w:pPr>
        <w:adjustRightInd w:val="0"/>
        <w:snapToGrid w:val="0"/>
        <w:spacing w:line="360" w:lineRule="auto"/>
        <w:rPr>
          <w:rFonts w:ascii="宋体" w:hAnsi="宋体" w:cs="Arial"/>
          <w:b/>
          <w:snapToGrid w:val="0"/>
          <w:color w:val="auto"/>
          <w:kern w:val="0"/>
          <w:sz w:val="32"/>
          <w:szCs w:val="32"/>
          <w:highlight w:val="none"/>
        </w:rPr>
      </w:pPr>
    </w:p>
    <w:p w14:paraId="1AE112E9">
      <w:pPr>
        <w:adjustRightInd w:val="0"/>
        <w:snapToGrid w:val="0"/>
        <w:spacing w:line="360" w:lineRule="auto"/>
        <w:rPr>
          <w:rFonts w:ascii="宋体" w:hAnsi="宋体" w:cs="Arial"/>
          <w:b/>
          <w:snapToGrid w:val="0"/>
          <w:color w:val="auto"/>
          <w:kern w:val="0"/>
          <w:sz w:val="32"/>
          <w:szCs w:val="32"/>
          <w:highlight w:val="none"/>
        </w:rPr>
      </w:pPr>
    </w:p>
    <w:p w14:paraId="48C5DBEA">
      <w:pPr>
        <w:adjustRightInd w:val="0"/>
        <w:snapToGrid w:val="0"/>
        <w:spacing w:line="360" w:lineRule="auto"/>
        <w:rPr>
          <w:rFonts w:ascii="宋体" w:hAnsi="宋体" w:cs="Arial"/>
          <w:b/>
          <w:snapToGrid w:val="0"/>
          <w:color w:val="auto"/>
          <w:kern w:val="0"/>
          <w:sz w:val="32"/>
          <w:szCs w:val="32"/>
          <w:highlight w:val="none"/>
        </w:rPr>
      </w:pPr>
    </w:p>
    <w:p w14:paraId="1E1E9BA9">
      <w:pPr>
        <w:adjustRightInd w:val="0"/>
        <w:snapToGrid w:val="0"/>
        <w:spacing w:line="360" w:lineRule="auto"/>
        <w:rPr>
          <w:rFonts w:ascii="宋体" w:hAnsi="宋体" w:cs="Arial"/>
          <w:b/>
          <w:snapToGrid w:val="0"/>
          <w:color w:val="auto"/>
          <w:kern w:val="0"/>
          <w:sz w:val="32"/>
          <w:szCs w:val="32"/>
          <w:highlight w:val="none"/>
        </w:rPr>
      </w:pPr>
    </w:p>
    <w:p w14:paraId="313FB736">
      <w:pPr>
        <w:adjustRightInd w:val="0"/>
        <w:snapToGrid w:val="0"/>
        <w:spacing w:line="360" w:lineRule="auto"/>
        <w:rPr>
          <w:rFonts w:ascii="宋体" w:hAnsi="宋体" w:cs="Arial"/>
          <w:b/>
          <w:snapToGrid w:val="0"/>
          <w:color w:val="auto"/>
          <w:kern w:val="0"/>
          <w:sz w:val="32"/>
          <w:szCs w:val="32"/>
          <w:highlight w:val="none"/>
        </w:rPr>
      </w:pPr>
    </w:p>
    <w:p w14:paraId="26FEDF4B">
      <w:pPr>
        <w:adjustRightInd w:val="0"/>
        <w:snapToGrid w:val="0"/>
        <w:spacing w:line="360" w:lineRule="auto"/>
        <w:ind w:firstLine="180" w:firstLineChars="56"/>
        <w:rPr>
          <w:rFonts w:ascii="宋体" w:hAnsi="宋体" w:cs="Arial"/>
          <w:b/>
          <w:snapToGrid w:val="0"/>
          <w:color w:val="auto"/>
          <w:kern w:val="0"/>
          <w:sz w:val="32"/>
          <w:szCs w:val="32"/>
          <w:highlight w:val="none"/>
        </w:rPr>
      </w:pPr>
      <w:r>
        <w:rPr>
          <w:rFonts w:hint="eastAsia" w:ascii="宋体" w:hAnsi="宋体" w:cs="Arial"/>
          <w:b/>
          <w:snapToGrid w:val="0"/>
          <w:color w:val="auto"/>
          <w:kern w:val="0"/>
          <w:sz w:val="32"/>
          <w:szCs w:val="32"/>
          <w:highlight w:val="none"/>
        </w:rPr>
        <w:t xml:space="preserve">甲方（发包人）：  </w:t>
      </w:r>
    </w:p>
    <w:p w14:paraId="7820450C">
      <w:pPr>
        <w:adjustRightInd w:val="0"/>
        <w:snapToGrid w:val="0"/>
        <w:spacing w:line="360" w:lineRule="auto"/>
        <w:ind w:firstLine="180" w:firstLineChars="56"/>
        <w:rPr>
          <w:rFonts w:ascii="宋体" w:hAnsi="宋体" w:cs="Arial"/>
          <w:b/>
          <w:snapToGrid w:val="0"/>
          <w:color w:val="auto"/>
          <w:kern w:val="0"/>
          <w:sz w:val="32"/>
          <w:szCs w:val="32"/>
          <w:highlight w:val="none"/>
        </w:rPr>
      </w:pPr>
    </w:p>
    <w:p w14:paraId="7DBCB225">
      <w:pPr>
        <w:adjustRightInd w:val="0"/>
        <w:snapToGrid w:val="0"/>
        <w:spacing w:line="360" w:lineRule="auto"/>
        <w:ind w:firstLine="180" w:firstLineChars="56"/>
        <w:rPr>
          <w:rFonts w:ascii="宋体" w:hAnsi="宋体" w:cs="Arial"/>
          <w:b/>
          <w:snapToGrid w:val="0"/>
          <w:color w:val="auto"/>
          <w:kern w:val="0"/>
          <w:sz w:val="32"/>
          <w:szCs w:val="32"/>
          <w:highlight w:val="none"/>
        </w:rPr>
      </w:pPr>
      <w:r>
        <w:rPr>
          <w:rFonts w:hint="eastAsia" w:ascii="宋体" w:hAnsi="宋体" w:cs="Arial"/>
          <w:b/>
          <w:snapToGrid w:val="0"/>
          <w:color w:val="auto"/>
          <w:kern w:val="0"/>
          <w:sz w:val="32"/>
          <w:szCs w:val="32"/>
          <w:highlight w:val="none"/>
        </w:rPr>
        <w:t xml:space="preserve">乙方（承包人）：   </w:t>
      </w:r>
    </w:p>
    <w:p w14:paraId="577DAF55">
      <w:pPr>
        <w:adjustRightInd w:val="0"/>
        <w:snapToGrid w:val="0"/>
        <w:spacing w:line="360" w:lineRule="auto"/>
        <w:ind w:firstLine="180" w:firstLineChars="56"/>
        <w:rPr>
          <w:rFonts w:ascii="宋体" w:hAnsi="宋体" w:cs="Arial"/>
          <w:b/>
          <w:snapToGrid w:val="0"/>
          <w:color w:val="auto"/>
          <w:kern w:val="0"/>
          <w:sz w:val="32"/>
          <w:szCs w:val="32"/>
          <w:highlight w:val="none"/>
        </w:rPr>
      </w:pPr>
    </w:p>
    <w:p w14:paraId="280C691B">
      <w:pPr>
        <w:adjustRightInd w:val="0"/>
        <w:snapToGrid w:val="0"/>
        <w:spacing w:line="360" w:lineRule="auto"/>
        <w:ind w:firstLine="180" w:firstLineChars="56"/>
        <w:rPr>
          <w:rFonts w:ascii="宋体" w:hAnsi="宋体" w:cs="Arial"/>
          <w:b/>
          <w:snapToGrid w:val="0"/>
          <w:color w:val="auto"/>
          <w:kern w:val="0"/>
          <w:sz w:val="32"/>
          <w:szCs w:val="32"/>
          <w:highlight w:val="none"/>
        </w:rPr>
      </w:pPr>
      <w:r>
        <w:rPr>
          <w:rFonts w:hint="eastAsia" w:ascii="宋体" w:hAnsi="宋体" w:cs="Arial"/>
          <w:b/>
          <w:snapToGrid w:val="0"/>
          <w:color w:val="auto"/>
          <w:kern w:val="0"/>
          <w:sz w:val="32"/>
          <w:szCs w:val="32"/>
          <w:highlight w:val="none"/>
        </w:rPr>
        <w:t>丙方（接收单位）：</w:t>
      </w:r>
    </w:p>
    <w:p w14:paraId="04FBC655">
      <w:pPr>
        <w:adjustRightInd w:val="0"/>
        <w:snapToGrid w:val="0"/>
        <w:spacing w:line="360" w:lineRule="auto"/>
        <w:rPr>
          <w:rFonts w:ascii="宋体" w:hAnsi="宋体" w:cs="Arial"/>
          <w:snapToGrid w:val="0"/>
          <w:color w:val="auto"/>
          <w:kern w:val="0"/>
          <w:sz w:val="24"/>
          <w:highlight w:val="none"/>
        </w:rPr>
      </w:pPr>
    </w:p>
    <w:p w14:paraId="08F28376">
      <w:pPr>
        <w:adjustRightInd w:val="0"/>
        <w:snapToGrid w:val="0"/>
        <w:spacing w:line="360" w:lineRule="auto"/>
        <w:ind w:firstLine="472" w:firstLineChars="196"/>
        <w:rPr>
          <w:rFonts w:ascii="宋体" w:hAnsi="宋体" w:cs="Arial"/>
          <w:snapToGrid w:val="0"/>
          <w:color w:val="auto"/>
          <w:kern w:val="0"/>
          <w:sz w:val="24"/>
          <w:szCs w:val="24"/>
          <w:highlight w:val="none"/>
        </w:rPr>
      </w:pPr>
      <w:r>
        <w:rPr>
          <w:rFonts w:ascii="宋体" w:hAnsi="宋体" w:cs="Arial"/>
          <w:b/>
          <w:snapToGrid w:val="0"/>
          <w:color w:val="auto"/>
          <w:kern w:val="0"/>
          <w:sz w:val="24"/>
          <w:highlight w:val="none"/>
        </w:rPr>
        <w:br w:type="page"/>
      </w:r>
      <w:r>
        <w:rPr>
          <w:rFonts w:hint="eastAsia" w:ascii="宋体" w:hAnsi="宋体" w:cs="宋体"/>
          <w:color w:val="auto"/>
          <w:kern w:val="0"/>
          <w:sz w:val="24"/>
          <w:szCs w:val="24"/>
          <w:highlight w:val="none"/>
        </w:rPr>
        <w:t>鉴于甲、丙双方已经签订《  项目移交协议书》，约定从202__年__月__日起，甲方正式将   项目移交给丙方经营管理。根据《花果山产业小镇综合配套工程建设项目合同》（合同编号：   ，以下简称“原合同”）合同专用条款第35.12款“工程项目移交给项目产权管理单位后，由项目产权管理单位替代发包人在本合同中的地位，承继发包人的权利和义务”和原合同及其附件有关工程质量保证金申请审核支付的约定，经甲、乙、丙三方协商一致，共同签订工程质量保修维护责任转移的三方协议，就原合同及其附件《工程质量保修书》项下的工程质量保修事宜达成以下协议条款：</w:t>
      </w:r>
    </w:p>
    <w:p w14:paraId="6EDF2FAF">
      <w:pPr>
        <w:tabs>
          <w:tab w:val="left" w:pos="632"/>
          <w:tab w:val="left" w:pos="9240"/>
        </w:tabs>
        <w:adjustRightInd w:val="0"/>
        <w:snapToGrid w:val="0"/>
        <w:spacing w:line="360" w:lineRule="auto"/>
        <w:ind w:right="-31" w:rightChars="-15" w:firstLine="480" w:firstLineChars="200"/>
        <w:rPr>
          <w:rFonts w:ascii="宋体" w:hAnsi="宋体" w:cs="Arial"/>
          <w:snapToGrid w:val="0"/>
          <w:color w:val="auto"/>
          <w:kern w:val="0"/>
          <w:sz w:val="24"/>
          <w:highlight w:val="none"/>
        </w:rPr>
      </w:pPr>
      <w:r>
        <w:rPr>
          <w:rFonts w:ascii="宋体" w:hAnsi="宋体" w:cs="Arial"/>
          <w:snapToGrid w:val="0"/>
          <w:color w:val="auto"/>
          <w:kern w:val="0"/>
          <w:sz w:val="24"/>
          <w:highlight w:val="none"/>
        </w:rPr>
        <w:t>1</w:t>
      </w:r>
      <w:r>
        <w:rPr>
          <w:rFonts w:hint="eastAsia" w:ascii="宋体" w:hAnsi="宋体" w:cs="Arial"/>
          <w:snapToGrid w:val="0"/>
          <w:color w:val="auto"/>
          <w:kern w:val="0"/>
          <w:sz w:val="24"/>
          <w:highlight w:val="none"/>
        </w:rPr>
        <w:t>.甲、乙、丙三方一致同意，自本协议签订之日起，甲方将其在原合同及其附件《工程质量保修书》项下有关工程质量保修事宜所涉及的权利和义务全部转让给丙方，丙方予以受让，即：自本协议签订之日起，由丙方牵头组织完成原合同及其附件《工程质量保修书》约定范围内的工程质量保修期服务，甲方负责监督协调，乙方在原合同及其附件《工程质量保修书》中约定的工程质量保修的权利和义务不变。</w:t>
      </w:r>
    </w:p>
    <w:p w14:paraId="5A5C86D3">
      <w:pPr>
        <w:adjustRightInd w:val="0"/>
        <w:snapToGrid w:val="0"/>
        <w:spacing w:line="360" w:lineRule="auto"/>
        <w:ind w:right="11" w:firstLine="480" w:firstLineChars="200"/>
        <w:rPr>
          <w:rFonts w:ascii="宋体" w:hAnsi="宋体"/>
          <w:snapToGrid w:val="0"/>
          <w:color w:val="auto"/>
          <w:kern w:val="0"/>
          <w:sz w:val="24"/>
          <w:highlight w:val="none"/>
        </w:rPr>
      </w:pPr>
      <w:r>
        <w:rPr>
          <w:rFonts w:ascii="宋体" w:hAnsi="宋体" w:cs="Arial"/>
          <w:snapToGrid w:val="0"/>
          <w:color w:val="auto"/>
          <w:kern w:val="0"/>
          <w:sz w:val="24"/>
          <w:highlight w:val="none"/>
        </w:rPr>
        <w:t>2</w:t>
      </w:r>
      <w:r>
        <w:rPr>
          <w:rFonts w:hint="eastAsia" w:ascii="宋体" w:hAnsi="宋体" w:cs="Arial"/>
          <w:snapToGrid w:val="0"/>
          <w:color w:val="auto"/>
          <w:kern w:val="0"/>
          <w:sz w:val="24"/>
          <w:highlight w:val="none"/>
        </w:rPr>
        <w:t>.自本协议签订之日起，乙方按原合同及其附件《工程质量保修书》的约定向丙方履行工程质量保修义务，</w:t>
      </w:r>
      <w:r>
        <w:rPr>
          <w:rFonts w:hint="eastAsia" w:ascii="宋体" w:hAnsi="宋体"/>
          <w:snapToGrid w:val="0"/>
          <w:color w:val="auto"/>
          <w:kern w:val="0"/>
          <w:sz w:val="24"/>
          <w:highlight w:val="none"/>
        </w:rPr>
        <w:t>工程质量保修期自工程通过竣工验收之日（即202__年__月__日）起计算。</w:t>
      </w:r>
    </w:p>
    <w:p w14:paraId="4DD0A23B">
      <w:pPr>
        <w:tabs>
          <w:tab w:val="left" w:pos="632"/>
          <w:tab w:val="left" w:pos="9240"/>
        </w:tabs>
        <w:adjustRightInd w:val="0"/>
        <w:snapToGrid w:val="0"/>
        <w:spacing w:line="360" w:lineRule="auto"/>
        <w:ind w:right="-31" w:rightChars="-15" w:firstLine="480" w:firstLineChars="200"/>
        <w:rPr>
          <w:rFonts w:ascii="宋体" w:hAnsi="宋体" w:cs="AdobeSongStd-Light"/>
          <w:snapToGrid w:val="0"/>
          <w:color w:val="auto"/>
          <w:kern w:val="0"/>
          <w:sz w:val="24"/>
          <w:highlight w:val="none"/>
        </w:rPr>
      </w:pPr>
      <w:r>
        <w:rPr>
          <w:rFonts w:ascii="宋体" w:hAnsi="宋体" w:cs="AdobeSongStd-Light"/>
          <w:snapToGrid w:val="0"/>
          <w:color w:val="auto"/>
          <w:kern w:val="0"/>
          <w:sz w:val="24"/>
          <w:highlight w:val="none"/>
        </w:rPr>
        <w:t>3</w:t>
      </w:r>
      <w:r>
        <w:rPr>
          <w:rFonts w:hint="eastAsia" w:ascii="宋体" w:hAnsi="宋体" w:cs="AdobeSongStd-Light"/>
          <w:snapToGrid w:val="0"/>
          <w:color w:val="auto"/>
          <w:kern w:val="0"/>
          <w:sz w:val="24"/>
          <w:highlight w:val="none"/>
        </w:rPr>
        <w:t>.</w:t>
      </w:r>
      <w:r>
        <w:rPr>
          <w:rFonts w:hint="eastAsia" w:ascii="宋体" w:hAnsi="宋体" w:cs="Arial"/>
          <w:snapToGrid w:val="0"/>
          <w:color w:val="auto"/>
          <w:kern w:val="0"/>
          <w:sz w:val="24"/>
          <w:highlight w:val="none"/>
        </w:rPr>
        <w:t>甲、乙、丙三方一致同意，原合同约定的工程质量保证金仍按原合同的相关约定办理，具体办理程序为：由乙方按原合同相关约定向丙方提交申请支付资料，丙方按原合同相关约定组织审核后，将相关付款资料和乙方提交的发票送交越秀区财政局办理拨款手续或者由丙方直接。</w:t>
      </w:r>
    </w:p>
    <w:p w14:paraId="5E88C4EB">
      <w:pPr>
        <w:tabs>
          <w:tab w:val="left" w:pos="632"/>
          <w:tab w:val="left" w:pos="9240"/>
        </w:tabs>
        <w:adjustRightInd w:val="0"/>
        <w:snapToGrid w:val="0"/>
        <w:spacing w:line="360" w:lineRule="auto"/>
        <w:ind w:right="-31" w:rightChars="-15" w:firstLine="480" w:firstLineChars="200"/>
        <w:rPr>
          <w:rFonts w:ascii="宋体" w:hAnsi="宋体" w:cs="Arial"/>
          <w:snapToGrid w:val="0"/>
          <w:color w:val="auto"/>
          <w:kern w:val="0"/>
          <w:sz w:val="24"/>
          <w:highlight w:val="none"/>
        </w:rPr>
      </w:pPr>
      <w:r>
        <w:rPr>
          <w:rFonts w:ascii="宋体" w:hAnsi="宋体"/>
          <w:snapToGrid w:val="0"/>
          <w:color w:val="auto"/>
          <w:kern w:val="0"/>
          <w:sz w:val="24"/>
          <w:highlight w:val="none"/>
        </w:rPr>
        <w:t>4</w:t>
      </w:r>
      <w:r>
        <w:rPr>
          <w:rFonts w:hint="eastAsia" w:ascii="宋体" w:hAnsi="宋体"/>
          <w:snapToGrid w:val="0"/>
          <w:color w:val="auto"/>
          <w:kern w:val="0"/>
          <w:sz w:val="24"/>
          <w:highlight w:val="none"/>
        </w:rPr>
        <w:t>.本协议与原合同及其附件《工程质量保修书》具有同等的法律效力。</w:t>
      </w:r>
      <w:r>
        <w:rPr>
          <w:rFonts w:hint="eastAsia" w:ascii="宋体" w:hAnsi="宋体" w:cs="Arial"/>
          <w:snapToGrid w:val="0"/>
          <w:color w:val="auto"/>
          <w:kern w:val="0"/>
          <w:sz w:val="24"/>
          <w:highlight w:val="none"/>
        </w:rPr>
        <w:t>本协议没有约定的事项，仍按原合同及其附件《工程质量保修书》的约定执行；但当原合同及其附件《工程质量保修书》的约定与本协议不相一致时，以本协议为准。</w:t>
      </w:r>
    </w:p>
    <w:p w14:paraId="268FDC16">
      <w:pPr>
        <w:tabs>
          <w:tab w:val="left" w:pos="632"/>
          <w:tab w:val="left" w:pos="9240"/>
        </w:tabs>
        <w:adjustRightInd w:val="0"/>
        <w:snapToGrid w:val="0"/>
        <w:spacing w:line="360" w:lineRule="auto"/>
        <w:ind w:right="-31" w:rightChars="-15"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5</w:t>
      </w:r>
      <w:r>
        <w:rPr>
          <w:rFonts w:hint="eastAsia" w:ascii="宋体" w:hAnsi="宋体"/>
          <w:snapToGrid w:val="0"/>
          <w:color w:val="auto"/>
          <w:kern w:val="0"/>
          <w:sz w:val="24"/>
          <w:highlight w:val="none"/>
        </w:rPr>
        <w:t>.若有其他未尽事宜，由甲、乙、丙三方另行商议达成补充协议。</w:t>
      </w:r>
    </w:p>
    <w:p w14:paraId="73C90B6D">
      <w:pPr>
        <w:tabs>
          <w:tab w:val="left" w:pos="632"/>
          <w:tab w:val="left" w:pos="9240"/>
        </w:tabs>
        <w:adjustRightInd w:val="0"/>
        <w:snapToGrid w:val="0"/>
        <w:spacing w:line="360" w:lineRule="auto"/>
        <w:ind w:right="-31" w:rightChars="-15"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6.甲、乙、丙三方如因本协议发生争议，可先行协商解决；若协商不成，三方均可向工程所在地人民法院提请诉讼。</w:t>
      </w:r>
    </w:p>
    <w:p w14:paraId="132776B3">
      <w:pPr>
        <w:tabs>
          <w:tab w:val="left" w:pos="632"/>
          <w:tab w:val="left" w:pos="9240"/>
        </w:tabs>
        <w:adjustRightInd w:val="0"/>
        <w:snapToGrid w:val="0"/>
        <w:spacing w:line="360" w:lineRule="auto"/>
        <w:ind w:right="-31" w:rightChars="-15" w:firstLine="480" w:firstLineChars="200"/>
        <w:rPr>
          <w:rFonts w:ascii="宋体" w:hAnsi="宋体" w:cs="Arial"/>
          <w:snapToGrid w:val="0"/>
          <w:color w:val="auto"/>
          <w:kern w:val="0"/>
          <w:sz w:val="24"/>
          <w:highlight w:val="none"/>
        </w:rPr>
      </w:pPr>
      <w:r>
        <w:rPr>
          <w:rFonts w:ascii="宋体" w:hAnsi="宋体" w:cs="Arial"/>
          <w:snapToGrid w:val="0"/>
          <w:color w:val="auto"/>
          <w:kern w:val="0"/>
          <w:sz w:val="24"/>
          <w:highlight w:val="none"/>
        </w:rPr>
        <w:t>7</w:t>
      </w:r>
      <w:r>
        <w:rPr>
          <w:rFonts w:hint="eastAsia" w:ascii="宋体" w:hAnsi="宋体" w:cs="Arial"/>
          <w:snapToGrid w:val="0"/>
          <w:color w:val="auto"/>
          <w:kern w:val="0"/>
          <w:sz w:val="24"/>
          <w:highlight w:val="none"/>
        </w:rPr>
        <w:t>.本协议一式十份，甲方执六份，乙方、丙方各执二份，均具有同等效力。</w:t>
      </w:r>
    </w:p>
    <w:p w14:paraId="04CD7C6F">
      <w:pPr>
        <w:tabs>
          <w:tab w:val="left" w:pos="632"/>
          <w:tab w:val="left" w:pos="9240"/>
        </w:tabs>
        <w:adjustRightInd w:val="0"/>
        <w:snapToGrid w:val="0"/>
        <w:spacing w:line="360" w:lineRule="auto"/>
        <w:ind w:right="-31" w:rightChars="-15" w:firstLine="480" w:firstLineChars="200"/>
        <w:rPr>
          <w:rFonts w:ascii="宋体" w:hAnsi="宋体" w:cs="Arial"/>
          <w:snapToGrid w:val="0"/>
          <w:color w:val="auto"/>
          <w:kern w:val="0"/>
          <w:sz w:val="24"/>
          <w:highlight w:val="none"/>
        </w:rPr>
      </w:pPr>
    </w:p>
    <w:p w14:paraId="338269F3">
      <w:pPr>
        <w:adjustRightInd w:val="0"/>
        <w:snapToGrid w:val="0"/>
        <w:spacing w:line="360" w:lineRule="auto"/>
        <w:ind w:right="11"/>
        <w:rPr>
          <w:rFonts w:ascii="楷体_GB2312" w:hAnsi="宋体" w:eastAsia="楷体_GB2312" w:cs="Arial"/>
          <w:snapToGrid w:val="0"/>
          <w:color w:val="auto"/>
          <w:kern w:val="0"/>
          <w:sz w:val="24"/>
          <w:highlight w:val="none"/>
        </w:rPr>
      </w:pPr>
      <w:r>
        <w:rPr>
          <w:rFonts w:hint="eastAsia" w:ascii="楷体_GB2312" w:hAnsi="宋体" w:eastAsia="楷体_GB2312" w:cs="Arial"/>
          <w:snapToGrid w:val="0"/>
          <w:color w:val="auto"/>
          <w:kern w:val="0"/>
          <w:sz w:val="24"/>
          <w:highlight w:val="none"/>
        </w:rPr>
        <w:t>（本页无正文）</w:t>
      </w:r>
    </w:p>
    <w:p w14:paraId="44DB1676">
      <w:pPr>
        <w:adjustRightInd w:val="0"/>
        <w:snapToGrid w:val="0"/>
        <w:spacing w:line="360" w:lineRule="auto"/>
        <w:ind w:right="11"/>
        <w:rPr>
          <w:rFonts w:ascii="宋体" w:hAnsi="宋体"/>
          <w:snapToGrid w:val="0"/>
          <w:color w:val="auto"/>
          <w:kern w:val="0"/>
          <w:sz w:val="24"/>
          <w:highlight w:val="none"/>
        </w:rPr>
      </w:pPr>
    </w:p>
    <w:p w14:paraId="625DBD21">
      <w:pPr>
        <w:adjustRightInd w:val="0"/>
        <w:snapToGrid w:val="0"/>
        <w:spacing w:line="360" w:lineRule="auto"/>
        <w:ind w:right="11"/>
        <w:rPr>
          <w:rFonts w:ascii="宋体" w:hAnsi="宋体"/>
          <w:snapToGrid w:val="0"/>
          <w:color w:val="auto"/>
          <w:kern w:val="0"/>
          <w:sz w:val="24"/>
          <w:highlight w:val="none"/>
        </w:rPr>
      </w:pPr>
      <w:r>
        <w:rPr>
          <w:rFonts w:hint="eastAsia" w:ascii="宋体" w:hAnsi="宋体"/>
          <w:snapToGrid w:val="0"/>
          <w:color w:val="auto"/>
          <w:kern w:val="0"/>
          <w:sz w:val="24"/>
          <w:highlight w:val="none"/>
        </w:rPr>
        <w:t>甲方：          乙方：</w:t>
      </w:r>
    </w:p>
    <w:p w14:paraId="3BAC6658">
      <w:pPr>
        <w:adjustRightInd w:val="0"/>
        <w:snapToGrid w:val="0"/>
        <w:spacing w:line="360" w:lineRule="auto"/>
        <w:ind w:right="11" w:firstLine="1800" w:firstLineChars="750"/>
        <w:rPr>
          <w:rFonts w:ascii="宋体" w:hAnsi="宋体"/>
          <w:snapToGrid w:val="0"/>
          <w:color w:val="auto"/>
          <w:kern w:val="0"/>
          <w:sz w:val="24"/>
          <w:highlight w:val="none"/>
        </w:rPr>
      </w:pPr>
      <w:r>
        <w:rPr>
          <w:rFonts w:hint="eastAsia" w:ascii="宋体" w:hAnsi="宋体"/>
          <w:snapToGrid w:val="0"/>
          <w:color w:val="auto"/>
          <w:kern w:val="0"/>
          <w:sz w:val="24"/>
          <w:highlight w:val="none"/>
        </w:rPr>
        <w:t>（盖章）                             （盖章）</w:t>
      </w:r>
    </w:p>
    <w:p w14:paraId="67134BD8">
      <w:pPr>
        <w:adjustRightInd w:val="0"/>
        <w:snapToGrid w:val="0"/>
        <w:spacing w:line="360" w:lineRule="auto"/>
        <w:ind w:right="11"/>
        <w:rPr>
          <w:rFonts w:ascii="宋体" w:hAnsi="宋体"/>
          <w:snapToGrid w:val="0"/>
          <w:color w:val="auto"/>
          <w:kern w:val="0"/>
          <w:sz w:val="24"/>
          <w:highlight w:val="none"/>
        </w:rPr>
      </w:pPr>
    </w:p>
    <w:p w14:paraId="0C1569C2">
      <w:pPr>
        <w:adjustRightInd w:val="0"/>
        <w:snapToGrid w:val="0"/>
        <w:spacing w:line="360" w:lineRule="auto"/>
        <w:ind w:right="11"/>
        <w:rPr>
          <w:rFonts w:ascii="宋体" w:hAnsi="宋体"/>
          <w:snapToGrid w:val="0"/>
          <w:color w:val="auto"/>
          <w:kern w:val="0"/>
          <w:sz w:val="24"/>
          <w:highlight w:val="none"/>
        </w:rPr>
      </w:pPr>
      <w:r>
        <w:rPr>
          <w:rFonts w:hint="eastAsia" w:ascii="宋体" w:hAnsi="宋体"/>
          <w:snapToGrid w:val="0"/>
          <w:color w:val="auto"/>
          <w:kern w:val="0"/>
          <w:sz w:val="24"/>
          <w:highlight w:val="none"/>
        </w:rPr>
        <w:t>签约代表：                           签约代表：</w:t>
      </w:r>
    </w:p>
    <w:p w14:paraId="0C16E86A">
      <w:pPr>
        <w:adjustRightInd w:val="0"/>
        <w:snapToGrid w:val="0"/>
        <w:spacing w:line="360" w:lineRule="auto"/>
        <w:ind w:right="11"/>
        <w:rPr>
          <w:rFonts w:ascii="宋体" w:hAnsi="宋体"/>
          <w:snapToGrid w:val="0"/>
          <w:color w:val="auto"/>
          <w:kern w:val="0"/>
          <w:sz w:val="24"/>
          <w:highlight w:val="none"/>
        </w:rPr>
      </w:pPr>
    </w:p>
    <w:p w14:paraId="7AFACCDF">
      <w:pPr>
        <w:adjustRightInd w:val="0"/>
        <w:snapToGrid w:val="0"/>
        <w:spacing w:line="360" w:lineRule="auto"/>
        <w:ind w:right="11"/>
        <w:rPr>
          <w:rFonts w:ascii="宋体" w:hAnsi="宋体"/>
          <w:snapToGrid w:val="0"/>
          <w:color w:val="auto"/>
          <w:kern w:val="0"/>
          <w:sz w:val="24"/>
          <w:highlight w:val="none"/>
        </w:rPr>
      </w:pPr>
    </w:p>
    <w:p w14:paraId="3C28CE6E">
      <w:pPr>
        <w:adjustRightInd w:val="0"/>
        <w:snapToGrid w:val="0"/>
        <w:spacing w:line="360" w:lineRule="auto"/>
        <w:ind w:right="11"/>
        <w:rPr>
          <w:rFonts w:ascii="宋体" w:hAnsi="宋体"/>
          <w:snapToGrid w:val="0"/>
          <w:color w:val="auto"/>
          <w:kern w:val="0"/>
          <w:sz w:val="24"/>
          <w:highlight w:val="none"/>
        </w:rPr>
      </w:pPr>
      <w:r>
        <w:rPr>
          <w:rFonts w:hint="eastAsia" w:ascii="宋体" w:hAnsi="宋体"/>
          <w:snapToGrid w:val="0"/>
          <w:color w:val="auto"/>
          <w:kern w:val="0"/>
          <w:sz w:val="24"/>
          <w:highlight w:val="none"/>
        </w:rPr>
        <w:t>地址：                               地址：</w:t>
      </w:r>
    </w:p>
    <w:p w14:paraId="6A818D7C">
      <w:pPr>
        <w:adjustRightInd w:val="0"/>
        <w:snapToGrid w:val="0"/>
        <w:spacing w:line="360" w:lineRule="auto"/>
        <w:ind w:right="11"/>
        <w:rPr>
          <w:rFonts w:ascii="宋体" w:hAnsi="宋体"/>
          <w:snapToGrid w:val="0"/>
          <w:color w:val="auto"/>
          <w:kern w:val="0"/>
          <w:sz w:val="24"/>
          <w:highlight w:val="none"/>
        </w:rPr>
      </w:pPr>
      <w:r>
        <w:rPr>
          <w:rFonts w:hint="eastAsia" w:ascii="宋体" w:hAnsi="宋体"/>
          <w:snapToGrid w:val="0"/>
          <w:color w:val="auto"/>
          <w:kern w:val="0"/>
          <w:sz w:val="24"/>
          <w:highlight w:val="none"/>
        </w:rPr>
        <w:t>邮政编码：                           邮政编码：</w:t>
      </w:r>
    </w:p>
    <w:p w14:paraId="651F0098">
      <w:pPr>
        <w:adjustRightInd w:val="0"/>
        <w:snapToGrid w:val="0"/>
        <w:spacing w:line="360" w:lineRule="auto"/>
        <w:ind w:right="11"/>
        <w:rPr>
          <w:rFonts w:ascii="宋体" w:hAnsi="宋体"/>
          <w:snapToGrid w:val="0"/>
          <w:color w:val="auto"/>
          <w:kern w:val="0"/>
          <w:sz w:val="24"/>
          <w:highlight w:val="none"/>
        </w:rPr>
      </w:pPr>
      <w:r>
        <w:rPr>
          <w:rFonts w:hint="eastAsia" w:ascii="宋体" w:hAnsi="宋体"/>
          <w:snapToGrid w:val="0"/>
          <w:color w:val="auto"/>
          <w:kern w:val="0"/>
          <w:sz w:val="24"/>
          <w:highlight w:val="none"/>
        </w:rPr>
        <w:t>电话：                               电话：</w:t>
      </w:r>
    </w:p>
    <w:p w14:paraId="3960B6C9">
      <w:pPr>
        <w:adjustRightInd w:val="0"/>
        <w:snapToGrid w:val="0"/>
        <w:spacing w:line="360" w:lineRule="auto"/>
        <w:ind w:right="11"/>
        <w:rPr>
          <w:rFonts w:ascii="宋体" w:hAnsi="宋体"/>
          <w:snapToGrid w:val="0"/>
          <w:color w:val="auto"/>
          <w:kern w:val="0"/>
          <w:sz w:val="24"/>
          <w:highlight w:val="none"/>
        </w:rPr>
      </w:pPr>
      <w:r>
        <w:rPr>
          <w:rFonts w:hint="eastAsia" w:ascii="宋体" w:hAnsi="宋体"/>
          <w:snapToGrid w:val="0"/>
          <w:color w:val="auto"/>
          <w:kern w:val="0"/>
          <w:sz w:val="24"/>
          <w:highlight w:val="none"/>
        </w:rPr>
        <w:t>传真：                               传真：</w:t>
      </w:r>
    </w:p>
    <w:p w14:paraId="26AE34BE">
      <w:pPr>
        <w:adjustRightInd w:val="0"/>
        <w:snapToGrid w:val="0"/>
        <w:spacing w:line="360" w:lineRule="auto"/>
        <w:ind w:right="11"/>
        <w:rPr>
          <w:rFonts w:ascii="宋体" w:hAnsi="宋体"/>
          <w:snapToGrid w:val="0"/>
          <w:color w:val="auto"/>
          <w:kern w:val="0"/>
          <w:sz w:val="24"/>
          <w:highlight w:val="none"/>
        </w:rPr>
      </w:pPr>
    </w:p>
    <w:p w14:paraId="11DDB696">
      <w:pPr>
        <w:adjustRightInd w:val="0"/>
        <w:snapToGrid w:val="0"/>
        <w:spacing w:line="360" w:lineRule="auto"/>
        <w:ind w:right="11"/>
        <w:rPr>
          <w:rFonts w:ascii="宋体" w:hAnsi="宋体"/>
          <w:snapToGrid w:val="0"/>
          <w:color w:val="auto"/>
          <w:kern w:val="0"/>
          <w:sz w:val="24"/>
          <w:highlight w:val="none"/>
        </w:rPr>
      </w:pPr>
    </w:p>
    <w:p w14:paraId="4D124D46">
      <w:pPr>
        <w:adjustRightInd w:val="0"/>
        <w:snapToGrid w:val="0"/>
        <w:spacing w:line="360" w:lineRule="auto"/>
        <w:ind w:right="11"/>
        <w:rPr>
          <w:rFonts w:ascii="宋体" w:hAnsi="宋体"/>
          <w:snapToGrid w:val="0"/>
          <w:color w:val="auto"/>
          <w:kern w:val="0"/>
          <w:sz w:val="24"/>
          <w:highlight w:val="none"/>
        </w:rPr>
      </w:pPr>
      <w:r>
        <w:rPr>
          <w:rFonts w:hint="eastAsia" w:ascii="宋体" w:hAnsi="宋体"/>
          <w:snapToGrid w:val="0"/>
          <w:color w:val="auto"/>
          <w:kern w:val="0"/>
          <w:sz w:val="24"/>
          <w:highlight w:val="none"/>
        </w:rPr>
        <w:t>丙方：</w:t>
      </w:r>
    </w:p>
    <w:p w14:paraId="56A718EF">
      <w:pPr>
        <w:adjustRightInd w:val="0"/>
        <w:snapToGrid w:val="0"/>
        <w:spacing w:line="360" w:lineRule="auto"/>
        <w:ind w:right="11" w:firstLine="1560" w:firstLineChars="650"/>
        <w:rPr>
          <w:rFonts w:ascii="宋体" w:hAnsi="宋体"/>
          <w:snapToGrid w:val="0"/>
          <w:color w:val="auto"/>
          <w:kern w:val="0"/>
          <w:sz w:val="24"/>
          <w:highlight w:val="none"/>
        </w:rPr>
      </w:pPr>
      <w:r>
        <w:rPr>
          <w:rFonts w:hint="eastAsia" w:ascii="宋体" w:hAnsi="宋体"/>
          <w:snapToGrid w:val="0"/>
          <w:color w:val="auto"/>
          <w:kern w:val="0"/>
          <w:sz w:val="24"/>
          <w:highlight w:val="none"/>
        </w:rPr>
        <w:t>（盖章）</w:t>
      </w:r>
    </w:p>
    <w:p w14:paraId="581CEEBB">
      <w:pPr>
        <w:adjustRightInd w:val="0"/>
        <w:snapToGrid w:val="0"/>
        <w:spacing w:line="360" w:lineRule="auto"/>
        <w:ind w:right="11"/>
        <w:rPr>
          <w:rFonts w:ascii="宋体" w:hAnsi="宋体"/>
          <w:snapToGrid w:val="0"/>
          <w:color w:val="auto"/>
          <w:kern w:val="0"/>
          <w:sz w:val="24"/>
          <w:highlight w:val="none"/>
        </w:rPr>
      </w:pPr>
    </w:p>
    <w:p w14:paraId="3820061C">
      <w:pPr>
        <w:adjustRightInd w:val="0"/>
        <w:snapToGrid w:val="0"/>
        <w:spacing w:line="360" w:lineRule="auto"/>
        <w:ind w:right="11"/>
        <w:rPr>
          <w:rFonts w:ascii="宋体" w:hAnsi="宋体"/>
          <w:snapToGrid w:val="0"/>
          <w:color w:val="auto"/>
          <w:kern w:val="0"/>
          <w:sz w:val="24"/>
          <w:highlight w:val="none"/>
        </w:rPr>
      </w:pPr>
      <w:r>
        <w:rPr>
          <w:rFonts w:hint="eastAsia" w:ascii="宋体" w:hAnsi="宋体"/>
          <w:snapToGrid w:val="0"/>
          <w:color w:val="auto"/>
          <w:kern w:val="0"/>
          <w:sz w:val="24"/>
          <w:highlight w:val="none"/>
        </w:rPr>
        <w:t>签约代表：</w:t>
      </w:r>
    </w:p>
    <w:p w14:paraId="1326BBE2">
      <w:pPr>
        <w:adjustRightInd w:val="0"/>
        <w:snapToGrid w:val="0"/>
        <w:spacing w:line="360" w:lineRule="auto"/>
        <w:ind w:right="11"/>
        <w:rPr>
          <w:rFonts w:ascii="宋体" w:hAnsi="宋体"/>
          <w:snapToGrid w:val="0"/>
          <w:color w:val="auto"/>
          <w:kern w:val="0"/>
          <w:sz w:val="24"/>
          <w:highlight w:val="none"/>
        </w:rPr>
      </w:pPr>
    </w:p>
    <w:p w14:paraId="6C5AE2A5">
      <w:pPr>
        <w:adjustRightInd w:val="0"/>
        <w:snapToGrid w:val="0"/>
        <w:spacing w:line="360" w:lineRule="auto"/>
        <w:ind w:right="11"/>
        <w:rPr>
          <w:rFonts w:ascii="宋体" w:hAnsi="宋体"/>
          <w:snapToGrid w:val="0"/>
          <w:color w:val="auto"/>
          <w:kern w:val="0"/>
          <w:sz w:val="24"/>
          <w:highlight w:val="none"/>
        </w:rPr>
      </w:pPr>
    </w:p>
    <w:p w14:paraId="38171604">
      <w:pPr>
        <w:adjustRightInd w:val="0"/>
        <w:snapToGrid w:val="0"/>
        <w:spacing w:line="360" w:lineRule="auto"/>
        <w:ind w:right="11"/>
        <w:rPr>
          <w:rFonts w:ascii="宋体" w:hAnsi="宋体"/>
          <w:snapToGrid w:val="0"/>
          <w:color w:val="auto"/>
          <w:kern w:val="0"/>
          <w:sz w:val="24"/>
          <w:highlight w:val="none"/>
        </w:rPr>
      </w:pPr>
      <w:r>
        <w:rPr>
          <w:rFonts w:hint="eastAsia" w:ascii="宋体" w:hAnsi="宋体"/>
          <w:snapToGrid w:val="0"/>
          <w:color w:val="auto"/>
          <w:kern w:val="0"/>
          <w:sz w:val="24"/>
          <w:highlight w:val="none"/>
        </w:rPr>
        <w:t>地址：</w:t>
      </w:r>
    </w:p>
    <w:p w14:paraId="43ECB9FA">
      <w:pPr>
        <w:adjustRightInd w:val="0"/>
        <w:snapToGrid w:val="0"/>
        <w:spacing w:line="360" w:lineRule="auto"/>
        <w:ind w:right="11"/>
        <w:rPr>
          <w:rFonts w:ascii="宋体" w:hAnsi="宋体"/>
          <w:snapToGrid w:val="0"/>
          <w:color w:val="auto"/>
          <w:kern w:val="0"/>
          <w:sz w:val="24"/>
          <w:highlight w:val="none"/>
        </w:rPr>
      </w:pPr>
      <w:r>
        <w:rPr>
          <w:rFonts w:hint="eastAsia" w:ascii="宋体" w:hAnsi="宋体"/>
          <w:snapToGrid w:val="0"/>
          <w:color w:val="auto"/>
          <w:kern w:val="0"/>
          <w:sz w:val="24"/>
          <w:highlight w:val="none"/>
        </w:rPr>
        <w:t>邮政编码：</w:t>
      </w:r>
    </w:p>
    <w:p w14:paraId="778FE506">
      <w:pPr>
        <w:adjustRightInd w:val="0"/>
        <w:snapToGrid w:val="0"/>
        <w:spacing w:line="360" w:lineRule="auto"/>
        <w:ind w:right="11"/>
        <w:rPr>
          <w:rFonts w:ascii="宋体" w:hAnsi="宋体"/>
          <w:snapToGrid w:val="0"/>
          <w:color w:val="auto"/>
          <w:kern w:val="0"/>
          <w:sz w:val="24"/>
          <w:highlight w:val="none"/>
        </w:rPr>
      </w:pPr>
      <w:r>
        <w:rPr>
          <w:rFonts w:hint="eastAsia" w:ascii="宋体" w:hAnsi="宋体"/>
          <w:snapToGrid w:val="0"/>
          <w:color w:val="auto"/>
          <w:kern w:val="0"/>
          <w:sz w:val="24"/>
          <w:highlight w:val="none"/>
        </w:rPr>
        <w:t>电话：</w:t>
      </w:r>
    </w:p>
    <w:p w14:paraId="1B423548">
      <w:pPr>
        <w:adjustRightInd w:val="0"/>
        <w:snapToGrid w:val="0"/>
        <w:spacing w:line="360" w:lineRule="auto"/>
        <w:ind w:right="11"/>
        <w:rPr>
          <w:rFonts w:ascii="宋体" w:hAnsi="宋体"/>
          <w:snapToGrid w:val="0"/>
          <w:color w:val="auto"/>
          <w:kern w:val="0"/>
          <w:sz w:val="24"/>
          <w:highlight w:val="none"/>
        </w:rPr>
      </w:pPr>
      <w:r>
        <w:rPr>
          <w:rFonts w:hint="eastAsia" w:ascii="宋体" w:hAnsi="宋体"/>
          <w:snapToGrid w:val="0"/>
          <w:color w:val="auto"/>
          <w:kern w:val="0"/>
          <w:sz w:val="24"/>
          <w:highlight w:val="none"/>
        </w:rPr>
        <w:t>传真：</w:t>
      </w:r>
    </w:p>
    <w:p w14:paraId="02980D3C">
      <w:pPr>
        <w:tabs>
          <w:tab w:val="left" w:pos="632"/>
          <w:tab w:val="left" w:pos="9240"/>
        </w:tabs>
        <w:adjustRightInd w:val="0"/>
        <w:snapToGrid w:val="0"/>
        <w:spacing w:line="341" w:lineRule="auto"/>
        <w:ind w:right="-31" w:rightChars="-15"/>
        <w:rPr>
          <w:rFonts w:ascii="宋体" w:hAnsi="宋体" w:cs="Arial"/>
          <w:snapToGrid w:val="0"/>
          <w:color w:val="auto"/>
          <w:kern w:val="0"/>
          <w:sz w:val="24"/>
          <w:highlight w:val="none"/>
        </w:rPr>
      </w:pPr>
    </w:p>
    <w:p w14:paraId="17670A07">
      <w:pPr>
        <w:tabs>
          <w:tab w:val="left" w:pos="632"/>
          <w:tab w:val="left" w:pos="9240"/>
        </w:tabs>
        <w:adjustRightInd w:val="0"/>
        <w:snapToGrid w:val="0"/>
        <w:spacing w:line="341" w:lineRule="auto"/>
        <w:ind w:right="-31" w:rightChars="-15"/>
        <w:rPr>
          <w:rFonts w:ascii="宋体" w:hAnsi="宋体" w:cs="Arial"/>
          <w:snapToGrid w:val="0"/>
          <w:color w:val="auto"/>
          <w:kern w:val="0"/>
          <w:sz w:val="24"/>
          <w:highlight w:val="none"/>
        </w:rPr>
      </w:pPr>
    </w:p>
    <w:p w14:paraId="406BC56C">
      <w:pPr>
        <w:tabs>
          <w:tab w:val="left" w:pos="632"/>
          <w:tab w:val="left" w:pos="9240"/>
        </w:tabs>
        <w:adjustRightInd w:val="0"/>
        <w:snapToGrid w:val="0"/>
        <w:spacing w:line="341" w:lineRule="auto"/>
        <w:ind w:right="-31" w:rightChars="-15" w:firstLine="480" w:firstLineChars="200"/>
        <w:jc w:val="center"/>
        <w:rPr>
          <w:rFonts w:ascii="宋体" w:cs="Arial"/>
          <w:snapToGrid w:val="0"/>
          <w:color w:val="auto"/>
          <w:kern w:val="0"/>
          <w:sz w:val="24"/>
          <w:highlight w:val="none"/>
        </w:rPr>
      </w:pPr>
      <w:r>
        <w:rPr>
          <w:rFonts w:hint="eastAsia" w:ascii="宋体" w:hAnsi="宋体" w:cs="Arial"/>
          <w:snapToGrid w:val="0"/>
          <w:color w:val="auto"/>
          <w:kern w:val="0"/>
          <w:sz w:val="24"/>
          <w:highlight w:val="none"/>
        </w:rPr>
        <w:t>本协议于</w:t>
      </w:r>
      <w:r>
        <w:rPr>
          <w:rFonts w:ascii="宋体" w:hAnsi="宋体" w:cs="Arial"/>
          <w:snapToGrid w:val="0"/>
          <w:color w:val="auto"/>
          <w:kern w:val="0"/>
          <w:sz w:val="24"/>
          <w:highlight w:val="none"/>
        </w:rPr>
        <w:t>20</w:t>
      </w:r>
      <w:r>
        <w:rPr>
          <w:rFonts w:hint="eastAsia" w:ascii="宋体" w:hAnsi="宋体" w:cs="Arial"/>
          <w:snapToGrid w:val="0"/>
          <w:color w:val="auto"/>
          <w:kern w:val="0"/>
          <w:sz w:val="24"/>
          <w:highlight w:val="none"/>
        </w:rPr>
        <w:t xml:space="preserve">2 </w:t>
      </w:r>
      <w:r>
        <w:rPr>
          <w:rFonts w:ascii="宋体" w:hAnsi="宋体" w:cs="Arial"/>
          <w:snapToGrid w:val="0"/>
          <w:color w:val="auto"/>
          <w:kern w:val="0"/>
          <w:sz w:val="24"/>
          <w:highlight w:val="none"/>
        </w:rPr>
        <w:t>年</w:t>
      </w:r>
      <w:r>
        <w:rPr>
          <w:rFonts w:hint="eastAsia" w:ascii="宋体" w:hAnsi="宋体" w:cs="Arial"/>
          <w:snapToGrid w:val="0"/>
          <w:color w:val="auto"/>
          <w:kern w:val="0"/>
          <w:sz w:val="24"/>
          <w:highlight w:val="none"/>
        </w:rPr>
        <w:t xml:space="preserve">  </w:t>
      </w:r>
      <w:r>
        <w:rPr>
          <w:rFonts w:ascii="宋体" w:hAnsi="宋体" w:cs="Arial"/>
          <w:snapToGrid w:val="0"/>
          <w:color w:val="auto"/>
          <w:kern w:val="0"/>
          <w:sz w:val="24"/>
          <w:highlight w:val="none"/>
        </w:rPr>
        <w:t>月</w:t>
      </w:r>
      <w:r>
        <w:rPr>
          <w:rFonts w:hint="eastAsia" w:ascii="宋体" w:hAnsi="宋体" w:cs="Arial"/>
          <w:snapToGrid w:val="0"/>
          <w:color w:val="auto"/>
          <w:kern w:val="0"/>
          <w:sz w:val="24"/>
          <w:highlight w:val="none"/>
        </w:rPr>
        <w:t xml:space="preserve">  </w:t>
      </w:r>
      <w:r>
        <w:rPr>
          <w:rFonts w:ascii="宋体" w:hAnsi="宋体" w:cs="Arial"/>
          <w:snapToGrid w:val="0"/>
          <w:color w:val="auto"/>
          <w:kern w:val="0"/>
          <w:sz w:val="24"/>
          <w:highlight w:val="none"/>
        </w:rPr>
        <w:t>日</w:t>
      </w:r>
      <w:r>
        <w:rPr>
          <w:rFonts w:hint="eastAsia" w:ascii="宋体" w:hAnsi="宋体" w:cs="Arial"/>
          <w:snapToGrid w:val="0"/>
          <w:color w:val="auto"/>
          <w:kern w:val="0"/>
          <w:sz w:val="24"/>
          <w:highlight w:val="none"/>
        </w:rPr>
        <w:t>签订于广东省广州市越秀区。</w:t>
      </w:r>
    </w:p>
    <w:p w14:paraId="6163C75E">
      <w:pPr>
        <w:tabs>
          <w:tab w:val="left" w:pos="632"/>
          <w:tab w:val="left" w:pos="9240"/>
        </w:tabs>
        <w:adjustRightInd w:val="0"/>
        <w:snapToGrid w:val="0"/>
        <w:spacing w:line="341" w:lineRule="auto"/>
        <w:ind w:right="-31" w:rightChars="-15"/>
        <w:rPr>
          <w:rFonts w:ascii="宋体" w:hAnsi="宋体" w:cs="Arial"/>
          <w:snapToGrid w:val="0"/>
          <w:color w:val="auto"/>
          <w:kern w:val="0"/>
          <w:sz w:val="24"/>
          <w:highlight w:val="none"/>
        </w:rPr>
      </w:pPr>
    </w:p>
    <w:p w14:paraId="3A8A46FE">
      <w:pPr>
        <w:adjustRightInd w:val="0"/>
        <w:snapToGrid w:val="0"/>
        <w:spacing w:line="360" w:lineRule="auto"/>
        <w:rPr>
          <w:rFonts w:ascii="宋体" w:hAnsi="宋体"/>
          <w:snapToGrid w:val="0"/>
          <w:color w:val="auto"/>
          <w:kern w:val="0"/>
          <w:sz w:val="24"/>
          <w:szCs w:val="24"/>
          <w:highlight w:val="none"/>
        </w:rPr>
      </w:pPr>
      <w:r>
        <w:rPr>
          <w:rFonts w:ascii="宋体" w:hAnsi="宋体" w:cs="Arial"/>
          <w:snapToGrid w:val="0"/>
          <w:color w:val="auto"/>
          <w:kern w:val="0"/>
          <w:sz w:val="24"/>
          <w:highlight w:val="none"/>
        </w:rPr>
        <w:br w:type="page"/>
      </w:r>
      <w:r>
        <w:rPr>
          <w:rFonts w:hint="eastAsia" w:ascii="宋体" w:hAnsi="宋体"/>
          <w:snapToGrid w:val="0"/>
          <w:color w:val="auto"/>
          <w:kern w:val="0"/>
          <w:sz w:val="24"/>
          <w:szCs w:val="24"/>
          <w:highlight w:val="none"/>
        </w:rPr>
        <w:t>附件7：</w:t>
      </w:r>
    </w:p>
    <w:p w14:paraId="3DC23F90">
      <w:pPr>
        <w:adjustRightInd w:val="0"/>
        <w:snapToGrid w:val="0"/>
        <w:spacing w:line="360" w:lineRule="auto"/>
        <w:jc w:val="center"/>
        <w:outlineLvl w:val="1"/>
        <w:rPr>
          <w:rFonts w:ascii="宋体" w:hAnsi="宋体"/>
          <w:b/>
          <w:snapToGrid w:val="0"/>
          <w:color w:val="auto"/>
          <w:kern w:val="0"/>
          <w:sz w:val="32"/>
          <w:szCs w:val="32"/>
          <w:highlight w:val="none"/>
        </w:rPr>
      </w:pPr>
      <w:r>
        <w:rPr>
          <w:rFonts w:hint="eastAsia" w:ascii="宋体" w:hAnsi="宋体"/>
          <w:b/>
          <w:snapToGrid w:val="0"/>
          <w:color w:val="auto"/>
          <w:kern w:val="0"/>
          <w:sz w:val="32"/>
          <w:szCs w:val="32"/>
          <w:highlight w:val="none"/>
        </w:rPr>
        <w:t>承包人履约银行保函（格式）</w:t>
      </w:r>
    </w:p>
    <w:p w14:paraId="1F5726B4">
      <w:pPr>
        <w:autoSpaceDE w:val="0"/>
        <w:autoSpaceDN w:val="0"/>
        <w:adjustRightInd w:val="0"/>
        <w:snapToGrid w:val="0"/>
        <w:spacing w:line="360" w:lineRule="auto"/>
        <w:jc w:val="center"/>
        <w:rPr>
          <w:rFonts w:ascii="宋体" w:hAnsi="宋体" w:cs="宋体"/>
          <w:snapToGrid w:val="0"/>
          <w:color w:val="auto"/>
          <w:kern w:val="0"/>
          <w:sz w:val="24"/>
          <w:szCs w:val="24"/>
          <w:highlight w:val="none"/>
          <w:lang w:val="zh-CN"/>
        </w:rPr>
      </w:pPr>
      <w:r>
        <w:rPr>
          <w:rFonts w:hint="eastAsia" w:ascii="宋体" w:hAnsi="宋体" w:cs="宋体"/>
          <w:snapToGrid w:val="0"/>
          <w:color w:val="auto"/>
          <w:kern w:val="0"/>
          <w:sz w:val="24"/>
          <w:szCs w:val="24"/>
          <w:highlight w:val="none"/>
          <w:lang w:val="zh-CN"/>
        </w:rPr>
        <w:t>编号：</w:t>
      </w:r>
    </w:p>
    <w:p w14:paraId="46AE265C">
      <w:pPr>
        <w:adjustRightInd w:val="0"/>
        <w:snapToGrid w:val="0"/>
        <w:spacing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26A0A0E1">
      <w:pPr>
        <w:adjustRightInd w:val="0"/>
        <w:snapToGrid w:val="0"/>
        <w:spacing w:line="360" w:lineRule="auto"/>
        <w:ind w:firstLine="420" w:firstLineChars="200"/>
        <w:rPr>
          <w:rFonts w:ascii="宋体" w:hAnsi="宋体" w:cs="宋体"/>
          <w:snapToGrid w:val="0"/>
          <w:color w:val="auto"/>
          <w:kern w:val="0"/>
          <w:szCs w:val="21"/>
          <w:highlight w:val="none"/>
          <w:lang w:val="zh-CN"/>
        </w:rPr>
      </w:pPr>
      <w:r>
        <w:rPr>
          <w:rFonts w:hint="eastAsia" w:ascii="宋体" w:hAnsi="宋体"/>
          <w:snapToGrid w:val="0"/>
          <w:color w:val="auto"/>
          <w:kern w:val="0"/>
          <w:szCs w:val="21"/>
          <w:highlight w:val="none"/>
        </w:rPr>
        <w:t>鉴于</w:t>
      </w:r>
      <w:r>
        <w:rPr>
          <w:rFonts w:hint="eastAsia" w:ascii="宋体" w:hAnsi="宋体"/>
          <w:color w:val="auto"/>
          <w:highlight w:val="none"/>
        </w:rPr>
        <w:t>（</w:t>
      </w:r>
      <w:r>
        <w:rPr>
          <w:rFonts w:hint="eastAsia" w:ascii="宋体" w:hAnsi="宋体"/>
          <w:snapToGrid w:val="0"/>
          <w:color w:val="auto"/>
          <w:kern w:val="0"/>
          <w:szCs w:val="21"/>
          <w:highlight w:val="none"/>
        </w:rPr>
        <w:t>以下称承包人）应依法按照《</w:t>
      </w:r>
      <w:r>
        <w:rPr>
          <w:rFonts w:hint="eastAsia" w:ascii="宋体" w:hAnsi="宋体" w:cs="宋体"/>
          <w:color w:val="auto"/>
          <w:szCs w:val="21"/>
          <w:highlight w:val="none"/>
          <w:u w:val="single"/>
        </w:rPr>
        <w:t>花果山产业小镇综合配套工程建设项目</w:t>
      </w:r>
      <w:r>
        <w:rPr>
          <w:rFonts w:hint="eastAsia" w:ascii="宋体" w:hAnsi="宋体"/>
          <w:snapToGrid w:val="0"/>
          <w:color w:val="auto"/>
          <w:kern w:val="0"/>
          <w:szCs w:val="21"/>
          <w:highlight w:val="none"/>
        </w:rPr>
        <w:t>招标文件》和承包人中标的投标文件与贵单位订立《</w:t>
      </w:r>
      <w:r>
        <w:rPr>
          <w:rFonts w:hint="eastAsia" w:ascii="宋体" w:hAnsi="宋体" w:cs="宋体"/>
          <w:color w:val="auto"/>
          <w:szCs w:val="21"/>
          <w:highlight w:val="none"/>
          <w:u w:val="single"/>
        </w:rPr>
        <w:t>花果山产业小镇综合配套工程建设项目</w:t>
      </w:r>
      <w:r>
        <w:rPr>
          <w:rFonts w:hint="eastAsia" w:ascii="宋体" w:hAnsi="宋体"/>
          <w:color w:val="auto"/>
          <w:highlight w:val="none"/>
          <w:u w:val="single"/>
        </w:rPr>
        <w:t>合同</w:t>
      </w:r>
      <w:r>
        <w:rPr>
          <w:rFonts w:hint="eastAsia" w:ascii="宋体" w:hAnsi="宋体"/>
          <w:snapToGrid w:val="0"/>
          <w:color w:val="auto"/>
          <w:kern w:val="0"/>
          <w:szCs w:val="21"/>
          <w:highlight w:val="none"/>
        </w:rPr>
        <w:t>》（以下简称合同）。我行</w:t>
      </w:r>
      <w:r>
        <w:rPr>
          <w:rFonts w:hint="eastAsia" w:ascii="宋体" w:hAnsi="宋体" w:cs="宋体"/>
          <w:snapToGrid w:val="0"/>
          <w:color w:val="auto"/>
          <w:kern w:val="0"/>
          <w:szCs w:val="21"/>
          <w:highlight w:val="none"/>
          <w:lang w:val="zh-CN"/>
        </w:rPr>
        <w:t>同意为承包人出具担保金额为</w:t>
      </w:r>
      <w:r>
        <w:rPr>
          <w:rFonts w:hint="eastAsia" w:ascii="宋体" w:hAnsi="宋体"/>
          <w:snapToGrid w:val="0"/>
          <w:color w:val="auto"/>
          <w:kern w:val="0"/>
          <w:szCs w:val="21"/>
          <w:highlight w:val="none"/>
        </w:rPr>
        <w:t>人民币  （￥元）</w:t>
      </w:r>
      <w:r>
        <w:rPr>
          <w:rFonts w:hint="eastAsia" w:ascii="宋体" w:hAnsi="宋体" w:cs="宋体"/>
          <w:snapToGrid w:val="0"/>
          <w:color w:val="auto"/>
          <w:kern w:val="0"/>
          <w:szCs w:val="21"/>
          <w:highlight w:val="none"/>
          <w:lang w:val="zh-CN"/>
        </w:rPr>
        <w:t>的保函作为承包人向贵单位履约的担保，</w:t>
      </w:r>
      <w:r>
        <w:rPr>
          <w:rFonts w:hint="eastAsia" w:ascii="宋体" w:hAnsi="宋体"/>
          <w:snapToGrid w:val="0"/>
          <w:color w:val="auto"/>
          <w:kern w:val="0"/>
          <w:szCs w:val="21"/>
          <w:highlight w:val="none"/>
        </w:rPr>
        <w:t>担保的范围为承包人按合同约定应向贵单位履行的全部债务，</w:t>
      </w:r>
      <w:r>
        <w:rPr>
          <w:rFonts w:hint="eastAsia" w:ascii="宋体" w:hAnsi="宋体" w:cs="宋体"/>
          <w:snapToGrid w:val="0"/>
          <w:color w:val="auto"/>
          <w:kern w:val="0"/>
          <w:szCs w:val="21"/>
          <w:highlight w:val="none"/>
          <w:lang w:val="zh-CN"/>
        </w:rPr>
        <w:t>包括但不限于合同约定的债务，应向贵单位支付的利息，在人力资源、材料、机械设备投入，施工质量，施工工期，施工人员工资支付，工程分包，工程结算，施工（总）承包管理和现场整体组织，专业协调及配合等方面的违约金，损害赔偿金，实现债权的费用。</w:t>
      </w:r>
    </w:p>
    <w:p w14:paraId="26D433F8">
      <w:pPr>
        <w:autoSpaceDE w:val="0"/>
        <w:autoSpaceDN w:val="0"/>
        <w:adjustRightInd w:val="0"/>
        <w:snapToGrid w:val="0"/>
        <w:spacing w:line="360" w:lineRule="auto"/>
        <w:ind w:firstLine="48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我行承诺如下：</w:t>
      </w:r>
    </w:p>
    <w:p w14:paraId="6125B7B2">
      <w:pPr>
        <w:autoSpaceDE w:val="0"/>
        <w:autoSpaceDN w:val="0"/>
        <w:adjustRightInd w:val="0"/>
        <w:snapToGrid w:val="0"/>
        <w:spacing w:line="360" w:lineRule="auto"/>
        <w:ind w:firstLine="48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1.承包人在履行合同中，由于资金、技术、质量或非不可抗力及违约等原因需向贵单位支付违约金或赔偿金时，在贵单位</w:t>
      </w:r>
      <w:r>
        <w:rPr>
          <w:rFonts w:hint="eastAsia" w:ascii="宋体" w:hAnsi="宋体"/>
          <w:color w:val="auto"/>
          <w:szCs w:val="21"/>
          <w:highlight w:val="none"/>
        </w:rPr>
        <w:t>以书面索赔通知纸质原件形式提出要求得到上述金额内的任何付款时（需提供本保函正本原件供我行核对），我行在7个工作日内予以支付累计不超过上述担保金额的款项</w:t>
      </w:r>
      <w:r>
        <w:rPr>
          <w:rFonts w:hint="eastAsia" w:ascii="宋体" w:hAnsi="宋体" w:cs="宋体"/>
          <w:snapToGrid w:val="0"/>
          <w:color w:val="auto"/>
          <w:kern w:val="0"/>
          <w:szCs w:val="21"/>
          <w:highlight w:val="none"/>
          <w:lang w:val="zh-CN"/>
        </w:rPr>
        <w:t>，不挑剔、不争辩，也不要求贵单位出具证明或说明背景、理由。</w:t>
      </w:r>
    </w:p>
    <w:p w14:paraId="76C62B09">
      <w:pPr>
        <w:autoSpaceDE w:val="0"/>
        <w:autoSpaceDN w:val="0"/>
        <w:adjustRightInd w:val="0"/>
        <w:snapToGrid w:val="0"/>
        <w:spacing w:line="360" w:lineRule="auto"/>
        <w:ind w:firstLine="48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2.我行放弃贵单位应先向承包人要求赔偿上述金额然后再向我行提出要求的权利。</w:t>
      </w:r>
    </w:p>
    <w:p w14:paraId="06572F23">
      <w:pPr>
        <w:autoSpaceDE w:val="0"/>
        <w:autoSpaceDN w:val="0"/>
        <w:adjustRightInd w:val="0"/>
        <w:snapToGrid w:val="0"/>
        <w:spacing w:line="360" w:lineRule="auto"/>
        <w:ind w:firstLine="48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3.我行进一步同意，在贵单位和承包人之间的合同条件、合同项下的工程或合同发生变化、补充或修改，</w:t>
      </w:r>
      <w:r>
        <w:rPr>
          <w:rFonts w:hint="eastAsia" w:ascii="宋体" w:hAnsi="宋体"/>
          <w:snapToGrid w:val="0"/>
          <w:color w:val="auto"/>
          <w:kern w:val="0"/>
          <w:szCs w:val="21"/>
          <w:highlight w:val="none"/>
        </w:rPr>
        <w:t>在不加重我行担保责任的情况下，</w:t>
      </w:r>
      <w:r>
        <w:rPr>
          <w:rFonts w:hint="eastAsia" w:ascii="宋体" w:hAnsi="宋体" w:cs="宋体"/>
          <w:snapToGrid w:val="0"/>
          <w:color w:val="auto"/>
          <w:kern w:val="0"/>
          <w:szCs w:val="21"/>
          <w:highlight w:val="none"/>
          <w:lang w:val="zh-CN"/>
        </w:rPr>
        <w:t>我行承担本保函的责任也不改变。有关上述变化、补充和修改也无须通知我行。</w:t>
      </w:r>
    </w:p>
    <w:p w14:paraId="2E8356E7">
      <w:pPr>
        <w:autoSpaceDE w:val="0"/>
        <w:autoSpaceDN w:val="0"/>
        <w:adjustRightInd w:val="0"/>
        <w:snapToGrid w:val="0"/>
        <w:spacing w:line="360" w:lineRule="auto"/>
        <w:ind w:firstLine="48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4.</w:t>
      </w:r>
      <w:r>
        <w:rPr>
          <w:rFonts w:hint="eastAsia" w:ascii="宋体" w:hAnsi="宋体"/>
          <w:color w:val="auto"/>
          <w:szCs w:val="21"/>
          <w:highlight w:val="none"/>
        </w:rPr>
        <w:t>我行的保函有效期间为</w:t>
      </w:r>
      <w:r>
        <w:rPr>
          <w:rFonts w:hint="eastAsia" w:ascii="宋体" w:hAnsi="宋体" w:cs="宋体"/>
          <w:snapToGrid w:val="0"/>
          <w:color w:val="auto"/>
          <w:kern w:val="0"/>
          <w:szCs w:val="21"/>
          <w:highlight w:val="none"/>
          <w:lang w:val="zh-CN"/>
        </w:rPr>
        <w:t>：自本保函签署之日起至合同约定项目</w:t>
      </w:r>
      <w:r>
        <w:rPr>
          <w:rFonts w:hint="eastAsia" w:ascii="宋体" w:hAnsi="宋体"/>
          <w:snapToGrid w:val="0"/>
          <w:color w:val="auto"/>
          <w:kern w:val="0"/>
          <w:szCs w:val="21"/>
          <w:highlight w:val="none"/>
        </w:rPr>
        <w:t>工程竣工验收且竣工验收备案完成之日</w:t>
      </w:r>
      <w:r>
        <w:rPr>
          <w:rFonts w:hint="eastAsia" w:ascii="宋体" w:hAnsi="宋体" w:cs="宋体"/>
          <w:snapToGrid w:val="0"/>
          <w:color w:val="auto"/>
          <w:kern w:val="0"/>
          <w:szCs w:val="21"/>
          <w:highlight w:val="none"/>
          <w:lang w:val="zh-CN"/>
        </w:rPr>
        <w:t>止，但最迟不超过</w:t>
      </w:r>
      <w:r>
        <w:rPr>
          <w:rFonts w:hint="eastAsia" w:ascii="宋体" w:hAnsi="宋体"/>
          <w:snapToGrid w:val="0"/>
          <w:color w:val="auto"/>
          <w:kern w:val="0"/>
          <w:szCs w:val="21"/>
          <w:highlight w:val="none"/>
        </w:rPr>
        <w:t>年月日</w:t>
      </w:r>
      <w:r>
        <w:rPr>
          <w:rFonts w:hint="eastAsia" w:ascii="宋体" w:hAnsi="宋体" w:cs="宋体"/>
          <w:snapToGrid w:val="0"/>
          <w:color w:val="auto"/>
          <w:kern w:val="0"/>
          <w:szCs w:val="21"/>
          <w:highlight w:val="none"/>
          <w:lang w:val="zh-CN"/>
        </w:rPr>
        <w:t>。</w:t>
      </w:r>
    </w:p>
    <w:p w14:paraId="5B2D5ACB">
      <w:pPr>
        <w:autoSpaceDE w:val="0"/>
        <w:autoSpaceDN w:val="0"/>
        <w:adjustRightInd w:val="0"/>
        <w:snapToGrid w:val="0"/>
        <w:spacing w:line="360" w:lineRule="auto"/>
        <w:ind w:firstLine="480"/>
        <w:rPr>
          <w:rFonts w:ascii="宋体" w:hAnsi="宋体"/>
          <w:color w:val="auto"/>
          <w:szCs w:val="21"/>
          <w:highlight w:val="none"/>
        </w:rPr>
      </w:pPr>
      <w:r>
        <w:rPr>
          <w:rFonts w:hint="eastAsia" w:ascii="宋体" w:hAnsi="宋体" w:cs="宋体"/>
          <w:snapToGrid w:val="0"/>
          <w:color w:val="auto"/>
          <w:kern w:val="0"/>
          <w:szCs w:val="21"/>
          <w:highlight w:val="none"/>
          <w:lang w:val="zh-CN"/>
        </w:rPr>
        <w:t>5.</w:t>
      </w:r>
      <w:r>
        <w:rPr>
          <w:rFonts w:hint="eastAsia" w:ascii="宋体" w:hAnsi="宋体"/>
          <w:color w:val="auto"/>
          <w:szCs w:val="21"/>
          <w:highlight w:val="none"/>
        </w:rPr>
        <w:t>本保函适用中华人民共和国法律管辖，任何与本保函有关的争议均需提交工程项目所在地人民法院提起诉讼。</w:t>
      </w:r>
    </w:p>
    <w:p w14:paraId="21CEF678">
      <w:pPr>
        <w:autoSpaceDE w:val="0"/>
        <w:autoSpaceDN w:val="0"/>
        <w:adjustRightInd w:val="0"/>
        <w:snapToGrid w:val="0"/>
        <w:spacing w:line="360" w:lineRule="auto"/>
        <w:rPr>
          <w:rFonts w:ascii="宋体" w:hAnsi="宋体" w:cs="宋体"/>
          <w:snapToGrid w:val="0"/>
          <w:color w:val="auto"/>
          <w:kern w:val="0"/>
          <w:szCs w:val="21"/>
          <w:highlight w:val="none"/>
          <w:lang w:val="zh-CN"/>
        </w:rPr>
      </w:pPr>
    </w:p>
    <w:p w14:paraId="597EFECE">
      <w:pPr>
        <w:autoSpaceDE w:val="0"/>
        <w:autoSpaceDN w:val="0"/>
        <w:adjustRightInd w:val="0"/>
        <w:snapToGrid w:val="0"/>
        <w:spacing w:line="360" w:lineRule="auto"/>
        <w:ind w:firstLine="4095" w:firstLineChars="195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银行名称：（盖章）</w:t>
      </w:r>
    </w:p>
    <w:p w14:paraId="4C734EA0">
      <w:pPr>
        <w:autoSpaceDE w:val="0"/>
        <w:autoSpaceDN w:val="0"/>
        <w:adjustRightInd w:val="0"/>
        <w:snapToGrid w:val="0"/>
        <w:spacing w:line="360" w:lineRule="auto"/>
        <w:ind w:firstLine="4095" w:firstLineChars="195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银行负责人（或委托代理人）：</w:t>
      </w:r>
    </w:p>
    <w:p w14:paraId="3C458379">
      <w:pPr>
        <w:autoSpaceDE w:val="0"/>
        <w:autoSpaceDN w:val="0"/>
        <w:adjustRightInd w:val="0"/>
        <w:snapToGrid w:val="0"/>
        <w:spacing w:line="360" w:lineRule="auto"/>
        <w:ind w:firstLine="4095" w:firstLineChars="195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地址：</w:t>
      </w:r>
    </w:p>
    <w:p w14:paraId="01474A70">
      <w:pPr>
        <w:autoSpaceDE w:val="0"/>
        <w:autoSpaceDN w:val="0"/>
        <w:adjustRightInd w:val="0"/>
        <w:snapToGrid w:val="0"/>
        <w:spacing w:line="360" w:lineRule="auto"/>
        <w:ind w:firstLine="4095" w:firstLineChars="195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邮政编码：</w:t>
      </w:r>
    </w:p>
    <w:p w14:paraId="28125686">
      <w:pPr>
        <w:autoSpaceDE w:val="0"/>
        <w:autoSpaceDN w:val="0"/>
        <w:adjustRightInd w:val="0"/>
        <w:snapToGrid w:val="0"/>
        <w:spacing w:line="360" w:lineRule="auto"/>
        <w:ind w:firstLine="4095" w:firstLineChars="195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联系电话：</w:t>
      </w:r>
    </w:p>
    <w:p w14:paraId="5A6C71AC">
      <w:pPr>
        <w:adjustRightInd w:val="0"/>
        <w:snapToGrid w:val="0"/>
        <w:spacing w:line="360" w:lineRule="auto"/>
        <w:ind w:firstLine="4095" w:firstLineChars="195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日期：年月日</w:t>
      </w:r>
    </w:p>
    <w:p w14:paraId="42670F1C">
      <w:pPr>
        <w:adjustRightInd w:val="0"/>
        <w:snapToGrid w:val="0"/>
        <w:spacing w:line="360" w:lineRule="auto"/>
        <w:ind w:firstLine="4095" w:firstLineChars="1950"/>
        <w:rPr>
          <w:rFonts w:ascii="宋体" w:hAnsi="宋体"/>
          <w:b/>
          <w:snapToGrid w:val="0"/>
          <w:color w:val="auto"/>
          <w:kern w:val="0"/>
          <w:sz w:val="44"/>
          <w:szCs w:val="36"/>
          <w:highlight w:val="none"/>
        </w:rPr>
      </w:pPr>
      <w:r>
        <w:rPr>
          <w:rFonts w:ascii="宋体" w:hAnsi="宋体"/>
          <w:snapToGrid w:val="0"/>
          <w:color w:val="auto"/>
          <w:kern w:val="0"/>
          <w:highlight w:val="none"/>
          <w:u w:val="single"/>
        </w:rPr>
        <w:br w:type="page"/>
      </w:r>
    </w:p>
    <w:p w14:paraId="65BEA16C">
      <w:pPr>
        <w:adjustRightInd w:val="0"/>
        <w:snapToGrid w:val="0"/>
        <w:spacing w:line="360" w:lineRule="auto"/>
        <w:jc w:val="center"/>
        <w:outlineLvl w:val="1"/>
        <w:rPr>
          <w:rFonts w:ascii="宋体" w:hAnsi="宋体"/>
          <w:b/>
          <w:snapToGrid w:val="0"/>
          <w:color w:val="auto"/>
          <w:kern w:val="0"/>
          <w:sz w:val="32"/>
          <w:szCs w:val="32"/>
          <w:highlight w:val="none"/>
        </w:rPr>
      </w:pPr>
      <w:r>
        <w:rPr>
          <w:rFonts w:hint="eastAsia" w:ascii="宋体" w:hAnsi="宋体"/>
          <w:b/>
          <w:snapToGrid w:val="0"/>
          <w:color w:val="auto"/>
          <w:kern w:val="0"/>
          <w:sz w:val="32"/>
          <w:szCs w:val="32"/>
          <w:highlight w:val="none"/>
        </w:rPr>
        <w:t>承 诺 书</w:t>
      </w:r>
    </w:p>
    <w:p w14:paraId="62FB9640">
      <w:pPr>
        <w:autoSpaceDE w:val="0"/>
        <w:autoSpaceDN w:val="0"/>
        <w:adjustRightInd w:val="0"/>
        <w:snapToGrid w:val="0"/>
        <w:spacing w:line="360" w:lineRule="auto"/>
        <w:ind w:firstLine="480"/>
        <w:rPr>
          <w:rFonts w:ascii="宋体" w:hAnsi="宋体" w:cs="宋体"/>
          <w:snapToGrid w:val="0"/>
          <w:color w:val="auto"/>
          <w:kern w:val="0"/>
          <w:sz w:val="24"/>
          <w:szCs w:val="21"/>
          <w:highlight w:val="none"/>
          <w:lang w:val="zh-CN"/>
        </w:rPr>
      </w:pPr>
    </w:p>
    <w:p w14:paraId="3E9D3663">
      <w:pPr>
        <w:autoSpaceDE w:val="0"/>
        <w:autoSpaceDN w:val="0"/>
        <w:adjustRightInd w:val="0"/>
        <w:snapToGrid w:val="0"/>
        <w:spacing w:line="360" w:lineRule="auto"/>
        <w:rPr>
          <w:rFonts w:ascii="宋体" w:hAnsi="宋体" w:cs="宋体"/>
          <w:b/>
          <w:snapToGrid w:val="0"/>
          <w:color w:val="auto"/>
          <w:kern w:val="0"/>
          <w:sz w:val="24"/>
          <w:szCs w:val="21"/>
          <w:highlight w:val="none"/>
          <w:lang w:val="zh-CN"/>
        </w:rPr>
      </w:pPr>
      <w:r>
        <w:rPr>
          <w:rFonts w:hint="eastAsia" w:ascii="宋体" w:hAnsi="宋体" w:cs="宋体"/>
          <w:b/>
          <w:snapToGrid w:val="0"/>
          <w:color w:val="auto"/>
          <w:kern w:val="0"/>
          <w:sz w:val="24"/>
          <w:szCs w:val="21"/>
          <w:highlight w:val="none"/>
          <w:lang w:val="zh-CN"/>
        </w:rPr>
        <w:t xml:space="preserve">  ：</w:t>
      </w:r>
    </w:p>
    <w:p w14:paraId="42FECB7E">
      <w:pPr>
        <w:autoSpaceDE w:val="0"/>
        <w:autoSpaceDN w:val="0"/>
        <w:adjustRightInd w:val="0"/>
        <w:snapToGrid w:val="0"/>
        <w:spacing w:line="360" w:lineRule="auto"/>
        <w:ind w:firstLine="480"/>
        <w:rPr>
          <w:rFonts w:ascii="宋体" w:hAnsi="宋体" w:cs="宋体"/>
          <w:snapToGrid w:val="0"/>
          <w:color w:val="auto"/>
          <w:kern w:val="0"/>
          <w:sz w:val="24"/>
          <w:szCs w:val="21"/>
          <w:highlight w:val="none"/>
          <w:lang w:val="zh-CN"/>
        </w:rPr>
      </w:pPr>
      <w:r>
        <w:rPr>
          <w:rFonts w:hint="eastAsia" w:ascii="宋体" w:hAnsi="宋体" w:cs="宋体"/>
          <w:snapToGrid w:val="0"/>
          <w:color w:val="auto"/>
          <w:kern w:val="0"/>
          <w:sz w:val="24"/>
          <w:szCs w:val="21"/>
          <w:highlight w:val="none"/>
          <w:lang w:val="zh-CN"/>
        </w:rPr>
        <w:t xml:space="preserve">我司已于 </w:t>
      </w:r>
      <w:r>
        <w:rPr>
          <w:rFonts w:hint="eastAsia" w:ascii="宋体" w:hAnsi="宋体"/>
          <w:snapToGrid w:val="0"/>
          <w:color w:val="auto"/>
          <w:kern w:val="0"/>
          <w:sz w:val="24"/>
          <w:highlight w:val="none"/>
        </w:rPr>
        <w:t>年 月 日</w:t>
      </w:r>
      <w:r>
        <w:rPr>
          <w:rFonts w:hint="eastAsia" w:ascii="宋体" w:hAnsi="宋体" w:cs="宋体"/>
          <w:snapToGrid w:val="0"/>
          <w:color w:val="auto"/>
          <w:kern w:val="0"/>
          <w:sz w:val="24"/>
          <w:szCs w:val="21"/>
          <w:highlight w:val="none"/>
          <w:lang w:val="zh-CN"/>
        </w:rPr>
        <w:t>向贵中心提交了花果山产业小镇综合配套工程建设项目的履约银行保函，保证期间最迟不超过</w:t>
      </w:r>
      <w:r>
        <w:rPr>
          <w:rFonts w:hint="eastAsia" w:ascii="宋体" w:hAnsi="宋体"/>
          <w:snapToGrid w:val="0"/>
          <w:color w:val="auto"/>
          <w:kern w:val="0"/>
          <w:sz w:val="24"/>
          <w:highlight w:val="none"/>
          <w:u w:val="single"/>
        </w:rPr>
        <w:t xml:space="preserve">  20    </w:t>
      </w:r>
      <w:r>
        <w:rPr>
          <w:rFonts w:hint="eastAsia" w:ascii="宋体" w:hAnsi="宋体"/>
          <w:snapToGrid w:val="0"/>
          <w:color w:val="auto"/>
          <w:kern w:val="0"/>
          <w:sz w:val="24"/>
          <w:highlight w:val="none"/>
        </w:rPr>
        <w:t>年 月 日</w:t>
      </w:r>
      <w:r>
        <w:rPr>
          <w:rFonts w:hint="eastAsia" w:ascii="宋体" w:hAnsi="宋体" w:cs="宋体"/>
          <w:snapToGrid w:val="0"/>
          <w:color w:val="auto"/>
          <w:kern w:val="0"/>
          <w:sz w:val="24"/>
          <w:szCs w:val="21"/>
          <w:highlight w:val="none"/>
          <w:lang w:val="zh-CN"/>
        </w:rPr>
        <w:t>。</w:t>
      </w:r>
    </w:p>
    <w:p w14:paraId="687B8318">
      <w:pPr>
        <w:autoSpaceDE w:val="0"/>
        <w:autoSpaceDN w:val="0"/>
        <w:adjustRightInd w:val="0"/>
        <w:snapToGrid w:val="0"/>
        <w:spacing w:line="360" w:lineRule="auto"/>
        <w:ind w:firstLine="480"/>
        <w:rPr>
          <w:rFonts w:ascii="宋体" w:hAnsi="宋体" w:cs="宋体"/>
          <w:snapToGrid w:val="0"/>
          <w:color w:val="auto"/>
          <w:kern w:val="0"/>
          <w:sz w:val="24"/>
          <w:szCs w:val="21"/>
          <w:highlight w:val="none"/>
          <w:lang w:val="zh-CN"/>
        </w:rPr>
      </w:pPr>
      <w:r>
        <w:rPr>
          <w:rFonts w:hint="eastAsia" w:ascii="宋体" w:hAnsi="宋体" w:cs="宋体"/>
          <w:snapToGrid w:val="0"/>
          <w:color w:val="auto"/>
          <w:kern w:val="0"/>
          <w:sz w:val="24"/>
          <w:szCs w:val="21"/>
          <w:highlight w:val="none"/>
          <w:lang w:val="zh-CN"/>
        </w:rPr>
        <w:t>在保函保证期间届满时，若</w:t>
      </w:r>
      <w:r>
        <w:rPr>
          <w:rFonts w:hint="eastAsia" w:ascii="宋体" w:hAnsi="宋体" w:cs="宋体"/>
          <w:snapToGrid w:val="0"/>
          <w:color w:val="auto"/>
          <w:kern w:val="0"/>
          <w:sz w:val="24"/>
          <w:highlight w:val="none"/>
          <w:lang w:val="zh-CN"/>
        </w:rPr>
        <w:t>合同约定项目</w:t>
      </w:r>
      <w:r>
        <w:rPr>
          <w:rFonts w:hint="eastAsia" w:ascii="宋体" w:hAnsi="宋体"/>
          <w:snapToGrid w:val="0"/>
          <w:color w:val="auto"/>
          <w:kern w:val="0"/>
          <w:sz w:val="24"/>
          <w:highlight w:val="none"/>
        </w:rPr>
        <w:t>工程未完成竣工验收备案的</w:t>
      </w:r>
      <w:r>
        <w:rPr>
          <w:rFonts w:hint="eastAsia" w:ascii="宋体" w:hAnsi="宋体" w:cs="宋体"/>
          <w:snapToGrid w:val="0"/>
          <w:color w:val="auto"/>
          <w:kern w:val="0"/>
          <w:sz w:val="24"/>
          <w:szCs w:val="21"/>
          <w:highlight w:val="none"/>
          <w:lang w:val="zh-CN"/>
        </w:rPr>
        <w:t>，则贵中心有权要求我司另行提交新的保函。若我司不按贵中心要求提交新的保函，则贵中心有权暂停支付余下的合同价款，直至我司提交新的保函或</w:t>
      </w:r>
      <w:r>
        <w:rPr>
          <w:rFonts w:hint="eastAsia" w:ascii="宋体" w:hAnsi="宋体"/>
          <w:snapToGrid w:val="0"/>
          <w:color w:val="auto"/>
          <w:kern w:val="0"/>
          <w:sz w:val="24"/>
          <w:highlight w:val="none"/>
        </w:rPr>
        <w:t>完成竣工验收备案</w:t>
      </w:r>
      <w:r>
        <w:rPr>
          <w:rFonts w:hint="eastAsia" w:ascii="宋体" w:hAnsi="宋体" w:cs="宋体"/>
          <w:snapToGrid w:val="0"/>
          <w:color w:val="auto"/>
          <w:kern w:val="0"/>
          <w:sz w:val="24"/>
          <w:szCs w:val="21"/>
          <w:highlight w:val="none"/>
          <w:lang w:val="zh-CN"/>
        </w:rPr>
        <w:t>。</w:t>
      </w:r>
    </w:p>
    <w:p w14:paraId="078BD71F">
      <w:pPr>
        <w:autoSpaceDE w:val="0"/>
        <w:autoSpaceDN w:val="0"/>
        <w:adjustRightInd w:val="0"/>
        <w:snapToGrid w:val="0"/>
        <w:spacing w:line="360" w:lineRule="auto"/>
        <w:ind w:firstLine="480"/>
        <w:rPr>
          <w:rFonts w:ascii="宋体" w:hAnsi="宋体" w:cs="宋体"/>
          <w:snapToGrid w:val="0"/>
          <w:color w:val="auto"/>
          <w:kern w:val="0"/>
          <w:sz w:val="24"/>
          <w:szCs w:val="21"/>
          <w:highlight w:val="none"/>
          <w:lang w:val="zh-CN"/>
        </w:rPr>
      </w:pPr>
      <w:r>
        <w:rPr>
          <w:rFonts w:hint="eastAsia" w:ascii="宋体" w:hAnsi="宋体" w:cs="宋体"/>
          <w:snapToGrid w:val="0"/>
          <w:color w:val="auto"/>
          <w:kern w:val="0"/>
          <w:sz w:val="24"/>
          <w:szCs w:val="21"/>
          <w:highlight w:val="none"/>
          <w:lang w:val="zh-CN"/>
        </w:rPr>
        <w:t>特此承诺。</w:t>
      </w:r>
    </w:p>
    <w:p w14:paraId="4A536D0E">
      <w:pPr>
        <w:autoSpaceDE w:val="0"/>
        <w:autoSpaceDN w:val="0"/>
        <w:adjustRightInd w:val="0"/>
        <w:snapToGrid w:val="0"/>
        <w:spacing w:line="360" w:lineRule="auto"/>
        <w:rPr>
          <w:rFonts w:ascii="宋体" w:hAnsi="宋体" w:cs="宋体"/>
          <w:snapToGrid w:val="0"/>
          <w:color w:val="auto"/>
          <w:kern w:val="0"/>
          <w:sz w:val="24"/>
          <w:szCs w:val="21"/>
          <w:highlight w:val="none"/>
          <w:lang w:val="zh-CN"/>
        </w:rPr>
      </w:pPr>
    </w:p>
    <w:p w14:paraId="459C4FC3">
      <w:pPr>
        <w:autoSpaceDE w:val="0"/>
        <w:autoSpaceDN w:val="0"/>
        <w:adjustRightInd w:val="0"/>
        <w:snapToGrid w:val="0"/>
        <w:spacing w:line="360" w:lineRule="auto"/>
        <w:rPr>
          <w:rFonts w:ascii="宋体" w:hAnsi="宋体" w:cs="宋体"/>
          <w:snapToGrid w:val="0"/>
          <w:color w:val="auto"/>
          <w:kern w:val="0"/>
          <w:sz w:val="24"/>
          <w:szCs w:val="21"/>
          <w:highlight w:val="none"/>
          <w:lang w:val="zh-CN"/>
        </w:rPr>
      </w:pPr>
    </w:p>
    <w:p w14:paraId="2CED34CA">
      <w:pPr>
        <w:autoSpaceDE w:val="0"/>
        <w:autoSpaceDN w:val="0"/>
        <w:adjustRightInd w:val="0"/>
        <w:snapToGrid w:val="0"/>
        <w:spacing w:line="360" w:lineRule="auto"/>
        <w:rPr>
          <w:rFonts w:ascii="宋体" w:hAnsi="宋体" w:cs="宋体"/>
          <w:snapToGrid w:val="0"/>
          <w:color w:val="auto"/>
          <w:kern w:val="0"/>
          <w:sz w:val="24"/>
          <w:szCs w:val="21"/>
          <w:highlight w:val="none"/>
          <w:lang w:val="zh-CN"/>
        </w:rPr>
      </w:pPr>
    </w:p>
    <w:p w14:paraId="312F4FC2">
      <w:pPr>
        <w:autoSpaceDE w:val="0"/>
        <w:autoSpaceDN w:val="0"/>
        <w:adjustRightInd w:val="0"/>
        <w:snapToGrid w:val="0"/>
        <w:spacing w:line="360" w:lineRule="auto"/>
        <w:rPr>
          <w:rFonts w:ascii="宋体" w:hAnsi="宋体" w:cs="宋体"/>
          <w:snapToGrid w:val="0"/>
          <w:color w:val="auto"/>
          <w:kern w:val="0"/>
          <w:sz w:val="24"/>
          <w:szCs w:val="21"/>
          <w:highlight w:val="none"/>
          <w:lang w:val="zh-CN"/>
        </w:rPr>
      </w:pPr>
      <w:r>
        <w:rPr>
          <w:rFonts w:hint="eastAsia" w:ascii="宋体" w:hAnsi="宋体" w:cs="宋体"/>
          <w:snapToGrid w:val="0"/>
          <w:color w:val="auto"/>
          <w:kern w:val="0"/>
          <w:sz w:val="24"/>
          <w:szCs w:val="21"/>
          <w:highlight w:val="none"/>
          <w:lang w:val="zh-CN"/>
        </w:rPr>
        <w:t xml:space="preserve">                                   承诺人：</w:t>
      </w:r>
    </w:p>
    <w:p w14:paraId="3CBB9AF0">
      <w:pPr>
        <w:autoSpaceDE w:val="0"/>
        <w:autoSpaceDN w:val="0"/>
        <w:adjustRightInd w:val="0"/>
        <w:snapToGrid w:val="0"/>
        <w:spacing w:line="360" w:lineRule="auto"/>
        <w:rPr>
          <w:rFonts w:ascii="宋体" w:hAnsi="宋体" w:cs="宋体"/>
          <w:snapToGrid w:val="0"/>
          <w:color w:val="auto"/>
          <w:kern w:val="0"/>
          <w:sz w:val="24"/>
          <w:szCs w:val="21"/>
          <w:highlight w:val="none"/>
          <w:lang w:val="zh-CN"/>
        </w:rPr>
      </w:pPr>
    </w:p>
    <w:p w14:paraId="45A6B141">
      <w:pPr>
        <w:autoSpaceDE w:val="0"/>
        <w:autoSpaceDN w:val="0"/>
        <w:adjustRightInd w:val="0"/>
        <w:snapToGrid w:val="0"/>
        <w:spacing w:line="360" w:lineRule="auto"/>
        <w:rPr>
          <w:rFonts w:ascii="宋体" w:hAnsi="宋体" w:cs="宋体"/>
          <w:snapToGrid w:val="0"/>
          <w:color w:val="auto"/>
          <w:kern w:val="0"/>
          <w:sz w:val="24"/>
          <w:szCs w:val="21"/>
          <w:highlight w:val="none"/>
          <w:lang w:val="zh-CN"/>
        </w:rPr>
      </w:pPr>
      <w:r>
        <w:rPr>
          <w:rFonts w:hint="eastAsia" w:ascii="宋体" w:hAnsi="宋体" w:cs="宋体"/>
          <w:snapToGrid w:val="0"/>
          <w:color w:val="auto"/>
          <w:kern w:val="0"/>
          <w:sz w:val="24"/>
          <w:szCs w:val="21"/>
          <w:highlight w:val="none"/>
          <w:lang w:val="zh-CN"/>
        </w:rPr>
        <w:t xml:space="preserve">                                   法定代表人：</w:t>
      </w:r>
    </w:p>
    <w:p w14:paraId="5D412BBD">
      <w:pPr>
        <w:adjustRightInd w:val="0"/>
        <w:snapToGrid w:val="0"/>
        <w:spacing w:line="360" w:lineRule="auto"/>
        <w:rPr>
          <w:rFonts w:ascii="宋体" w:hAnsi="宋体"/>
          <w:snapToGrid w:val="0"/>
          <w:color w:val="auto"/>
          <w:kern w:val="0"/>
          <w:sz w:val="24"/>
          <w:highlight w:val="none"/>
          <w:u w:val="single"/>
        </w:rPr>
      </w:pPr>
    </w:p>
    <w:p w14:paraId="74493515">
      <w:pPr>
        <w:adjustRightInd w:val="0"/>
        <w:snapToGrid w:val="0"/>
        <w:spacing w:line="360" w:lineRule="auto"/>
        <w:ind w:firstLine="4200" w:firstLineChars="1750"/>
        <w:rPr>
          <w:rFonts w:ascii="宋体" w:hAnsi="宋体" w:cs="宋体"/>
          <w:snapToGrid w:val="0"/>
          <w:color w:val="auto"/>
          <w:kern w:val="0"/>
          <w:sz w:val="24"/>
          <w:szCs w:val="21"/>
          <w:highlight w:val="none"/>
        </w:rPr>
      </w:pPr>
      <w:r>
        <w:rPr>
          <w:rFonts w:hint="eastAsia" w:ascii="宋体" w:hAnsi="宋体"/>
          <w:snapToGrid w:val="0"/>
          <w:color w:val="auto"/>
          <w:kern w:val="0"/>
          <w:sz w:val="24"/>
          <w:highlight w:val="none"/>
        </w:rPr>
        <w:t xml:space="preserve">日期：     年   月   </w:t>
      </w:r>
      <w:r>
        <w:rPr>
          <w:rFonts w:hint="eastAsia" w:ascii="宋体" w:hAnsi="宋体" w:cs="宋体"/>
          <w:snapToGrid w:val="0"/>
          <w:color w:val="auto"/>
          <w:kern w:val="0"/>
          <w:sz w:val="24"/>
          <w:szCs w:val="21"/>
          <w:highlight w:val="none"/>
          <w:lang w:val="zh-CN"/>
        </w:rPr>
        <w:t>日</w:t>
      </w:r>
    </w:p>
    <w:p w14:paraId="02DFE34B">
      <w:pPr>
        <w:adjustRightInd w:val="0"/>
        <w:snapToGrid w:val="0"/>
        <w:spacing w:line="288" w:lineRule="auto"/>
        <w:rPr>
          <w:rFonts w:ascii="宋体" w:hAnsi="宋体"/>
          <w:snapToGrid w:val="0"/>
          <w:color w:val="auto"/>
          <w:kern w:val="0"/>
          <w:sz w:val="24"/>
          <w:highlight w:val="none"/>
        </w:rPr>
      </w:pPr>
    </w:p>
    <w:p w14:paraId="502CD6DB">
      <w:pPr>
        <w:adjustRightInd w:val="0"/>
        <w:snapToGrid w:val="0"/>
        <w:spacing w:line="288" w:lineRule="auto"/>
        <w:rPr>
          <w:rFonts w:ascii="宋体" w:hAnsi="宋体"/>
          <w:snapToGrid w:val="0"/>
          <w:color w:val="auto"/>
          <w:kern w:val="0"/>
          <w:sz w:val="24"/>
          <w:highlight w:val="none"/>
        </w:rPr>
      </w:pPr>
    </w:p>
    <w:p w14:paraId="39CD87EA">
      <w:pPr>
        <w:adjustRightInd w:val="0"/>
        <w:snapToGrid w:val="0"/>
        <w:spacing w:line="288" w:lineRule="auto"/>
        <w:rPr>
          <w:rFonts w:ascii="宋体" w:hAnsi="宋体"/>
          <w:snapToGrid w:val="0"/>
          <w:color w:val="auto"/>
          <w:kern w:val="0"/>
          <w:sz w:val="24"/>
          <w:highlight w:val="none"/>
        </w:rPr>
      </w:pPr>
    </w:p>
    <w:p w14:paraId="076DEFB3">
      <w:pPr>
        <w:adjustRightInd w:val="0"/>
        <w:snapToGrid w:val="0"/>
        <w:spacing w:line="288" w:lineRule="auto"/>
        <w:rPr>
          <w:rFonts w:ascii="宋体" w:hAnsi="宋体"/>
          <w:snapToGrid w:val="0"/>
          <w:color w:val="auto"/>
          <w:kern w:val="0"/>
          <w:sz w:val="24"/>
          <w:highlight w:val="none"/>
        </w:rPr>
      </w:pPr>
    </w:p>
    <w:p w14:paraId="29CB7F9B">
      <w:pPr>
        <w:adjustRightInd w:val="0"/>
        <w:snapToGrid w:val="0"/>
        <w:spacing w:line="288" w:lineRule="auto"/>
        <w:rPr>
          <w:rFonts w:ascii="宋体" w:hAnsi="宋体"/>
          <w:snapToGrid w:val="0"/>
          <w:color w:val="auto"/>
          <w:kern w:val="0"/>
          <w:sz w:val="24"/>
          <w:highlight w:val="none"/>
        </w:rPr>
      </w:pPr>
    </w:p>
    <w:p w14:paraId="11E6B1BD">
      <w:pPr>
        <w:adjustRightInd w:val="0"/>
        <w:snapToGrid w:val="0"/>
        <w:spacing w:line="288" w:lineRule="auto"/>
        <w:rPr>
          <w:rFonts w:ascii="宋体" w:hAnsi="宋体"/>
          <w:snapToGrid w:val="0"/>
          <w:color w:val="auto"/>
          <w:kern w:val="0"/>
          <w:sz w:val="24"/>
          <w:highlight w:val="none"/>
        </w:rPr>
      </w:pPr>
    </w:p>
    <w:p w14:paraId="356DD875">
      <w:pPr>
        <w:adjustRightInd w:val="0"/>
        <w:snapToGrid w:val="0"/>
        <w:spacing w:line="288" w:lineRule="auto"/>
        <w:rPr>
          <w:rFonts w:ascii="宋体" w:hAnsi="宋体"/>
          <w:snapToGrid w:val="0"/>
          <w:color w:val="auto"/>
          <w:kern w:val="0"/>
          <w:sz w:val="24"/>
          <w:highlight w:val="none"/>
        </w:rPr>
      </w:pPr>
    </w:p>
    <w:p w14:paraId="7E42B6E5">
      <w:pPr>
        <w:adjustRightInd w:val="0"/>
        <w:snapToGrid w:val="0"/>
        <w:spacing w:line="288" w:lineRule="auto"/>
        <w:rPr>
          <w:rFonts w:ascii="宋体" w:hAnsi="宋体"/>
          <w:snapToGrid w:val="0"/>
          <w:color w:val="auto"/>
          <w:kern w:val="0"/>
          <w:sz w:val="24"/>
          <w:highlight w:val="none"/>
        </w:rPr>
      </w:pPr>
    </w:p>
    <w:p w14:paraId="5C18FDC7">
      <w:pPr>
        <w:adjustRightInd w:val="0"/>
        <w:snapToGrid w:val="0"/>
        <w:spacing w:line="288" w:lineRule="auto"/>
        <w:rPr>
          <w:rFonts w:ascii="宋体" w:hAnsi="宋体"/>
          <w:snapToGrid w:val="0"/>
          <w:color w:val="auto"/>
          <w:kern w:val="0"/>
          <w:sz w:val="24"/>
          <w:highlight w:val="none"/>
        </w:rPr>
      </w:pPr>
    </w:p>
    <w:p w14:paraId="106D3B54">
      <w:pPr>
        <w:adjustRightInd w:val="0"/>
        <w:snapToGrid w:val="0"/>
        <w:spacing w:line="288" w:lineRule="auto"/>
        <w:rPr>
          <w:rFonts w:ascii="宋体" w:hAnsi="宋体"/>
          <w:snapToGrid w:val="0"/>
          <w:color w:val="auto"/>
          <w:kern w:val="0"/>
          <w:sz w:val="24"/>
          <w:highlight w:val="none"/>
        </w:rPr>
      </w:pPr>
    </w:p>
    <w:p w14:paraId="33442789">
      <w:pPr>
        <w:adjustRightInd w:val="0"/>
        <w:snapToGrid w:val="0"/>
        <w:spacing w:line="288" w:lineRule="auto"/>
        <w:rPr>
          <w:rFonts w:ascii="宋体" w:hAnsi="宋体"/>
          <w:snapToGrid w:val="0"/>
          <w:color w:val="auto"/>
          <w:kern w:val="0"/>
          <w:sz w:val="24"/>
          <w:highlight w:val="none"/>
        </w:rPr>
      </w:pPr>
    </w:p>
    <w:p w14:paraId="399F4BC9">
      <w:pPr>
        <w:adjustRightInd w:val="0"/>
        <w:snapToGrid w:val="0"/>
        <w:spacing w:line="288" w:lineRule="auto"/>
        <w:rPr>
          <w:rFonts w:ascii="宋体" w:hAnsi="宋体"/>
          <w:snapToGrid w:val="0"/>
          <w:color w:val="auto"/>
          <w:kern w:val="0"/>
          <w:sz w:val="24"/>
          <w:highlight w:val="none"/>
        </w:rPr>
      </w:pPr>
    </w:p>
    <w:p w14:paraId="22F2D9DA">
      <w:pPr>
        <w:adjustRightInd w:val="0"/>
        <w:snapToGrid w:val="0"/>
        <w:spacing w:line="288" w:lineRule="auto"/>
        <w:rPr>
          <w:rFonts w:ascii="宋体" w:hAnsi="宋体"/>
          <w:snapToGrid w:val="0"/>
          <w:color w:val="auto"/>
          <w:kern w:val="0"/>
          <w:sz w:val="24"/>
          <w:highlight w:val="none"/>
        </w:rPr>
      </w:pPr>
    </w:p>
    <w:p w14:paraId="0E62BB71">
      <w:pPr>
        <w:adjustRightInd w:val="0"/>
        <w:snapToGrid w:val="0"/>
        <w:spacing w:line="288" w:lineRule="auto"/>
        <w:rPr>
          <w:rFonts w:ascii="宋体" w:hAnsi="宋体"/>
          <w:snapToGrid w:val="0"/>
          <w:color w:val="auto"/>
          <w:kern w:val="0"/>
          <w:sz w:val="24"/>
          <w:highlight w:val="none"/>
        </w:rPr>
      </w:pPr>
    </w:p>
    <w:p w14:paraId="39A3AD2C">
      <w:pPr>
        <w:adjustRightInd w:val="0"/>
        <w:snapToGrid w:val="0"/>
        <w:spacing w:line="288" w:lineRule="auto"/>
        <w:rPr>
          <w:rFonts w:ascii="宋体" w:hAnsi="宋体"/>
          <w:snapToGrid w:val="0"/>
          <w:color w:val="auto"/>
          <w:kern w:val="0"/>
          <w:sz w:val="24"/>
          <w:highlight w:val="none"/>
        </w:rPr>
      </w:pPr>
      <w:r>
        <w:rPr>
          <w:rFonts w:ascii="宋体" w:hAnsi="宋体"/>
          <w:snapToGrid w:val="0"/>
          <w:color w:val="auto"/>
          <w:kern w:val="0"/>
          <w:sz w:val="24"/>
          <w:highlight w:val="none"/>
        </w:rPr>
        <w:br w:type="page"/>
      </w:r>
      <w:r>
        <w:rPr>
          <w:rFonts w:hint="eastAsia" w:ascii="宋体" w:hAnsi="宋体"/>
          <w:snapToGrid w:val="0"/>
          <w:color w:val="auto"/>
          <w:kern w:val="0"/>
          <w:sz w:val="24"/>
          <w:highlight w:val="none"/>
        </w:rPr>
        <w:t>附件8：</w:t>
      </w:r>
    </w:p>
    <w:p w14:paraId="13FABDCD">
      <w:pPr>
        <w:widowControl/>
        <w:jc w:val="center"/>
        <w:rPr>
          <w:rFonts w:ascii="宋体" w:hAnsi="宋体"/>
          <w:snapToGrid w:val="0"/>
          <w:color w:val="auto"/>
          <w:kern w:val="0"/>
          <w:sz w:val="48"/>
          <w:szCs w:val="48"/>
          <w:highlight w:val="none"/>
        </w:rPr>
      </w:pPr>
    </w:p>
    <w:p w14:paraId="0BBCF5B5">
      <w:pPr>
        <w:widowControl/>
        <w:jc w:val="center"/>
        <w:rPr>
          <w:rFonts w:ascii="宋体" w:hAnsi="宋体"/>
          <w:snapToGrid w:val="0"/>
          <w:color w:val="auto"/>
          <w:kern w:val="0"/>
          <w:sz w:val="48"/>
          <w:szCs w:val="48"/>
          <w:highlight w:val="none"/>
        </w:rPr>
      </w:pPr>
    </w:p>
    <w:p w14:paraId="499C1066">
      <w:pPr>
        <w:widowControl/>
        <w:spacing w:line="720" w:lineRule="auto"/>
        <w:jc w:val="center"/>
        <w:rPr>
          <w:rFonts w:ascii="宋体" w:hAnsi="宋体"/>
          <w:b/>
          <w:snapToGrid w:val="0"/>
          <w:color w:val="auto"/>
          <w:kern w:val="0"/>
          <w:sz w:val="48"/>
          <w:szCs w:val="48"/>
          <w:highlight w:val="none"/>
        </w:rPr>
      </w:pPr>
    </w:p>
    <w:p w14:paraId="4B67B1CC">
      <w:pPr>
        <w:widowControl/>
        <w:spacing w:line="720" w:lineRule="auto"/>
        <w:jc w:val="center"/>
        <w:outlineLvl w:val="1"/>
        <w:rPr>
          <w:rFonts w:eastAsia="华文新魏"/>
          <w:b/>
          <w:snapToGrid w:val="0"/>
          <w:color w:val="auto"/>
          <w:kern w:val="0"/>
          <w:sz w:val="52"/>
          <w:szCs w:val="52"/>
          <w:highlight w:val="none"/>
        </w:rPr>
      </w:pPr>
      <w:r>
        <w:rPr>
          <w:rFonts w:ascii="宋体" w:hAnsi="宋体"/>
          <w:b/>
          <w:snapToGrid w:val="0"/>
          <w:color w:val="auto"/>
          <w:kern w:val="0"/>
          <w:sz w:val="52"/>
          <w:szCs w:val="52"/>
          <w:highlight w:val="none"/>
        </w:rPr>
        <w:t>项目结算资金监督管理协议</w:t>
      </w:r>
      <w:r>
        <w:rPr>
          <w:rFonts w:hint="eastAsia" w:ascii="宋体" w:hAnsi="宋体"/>
          <w:b/>
          <w:snapToGrid w:val="0"/>
          <w:color w:val="auto"/>
          <w:kern w:val="0"/>
          <w:sz w:val="52"/>
          <w:szCs w:val="52"/>
          <w:highlight w:val="none"/>
        </w:rPr>
        <w:t>（格式）</w:t>
      </w:r>
    </w:p>
    <w:p w14:paraId="15AE2FD2">
      <w:pPr>
        <w:widowControl/>
        <w:jc w:val="center"/>
        <w:rPr>
          <w:rFonts w:eastAsia="华文新魏"/>
          <w:snapToGrid w:val="0"/>
          <w:color w:val="auto"/>
          <w:kern w:val="0"/>
          <w:sz w:val="44"/>
          <w:highlight w:val="none"/>
        </w:rPr>
      </w:pPr>
    </w:p>
    <w:p w14:paraId="27F0EAE0">
      <w:pPr>
        <w:widowControl/>
        <w:jc w:val="center"/>
        <w:rPr>
          <w:rFonts w:eastAsia="华文新魏"/>
          <w:snapToGrid w:val="0"/>
          <w:color w:val="auto"/>
          <w:kern w:val="0"/>
          <w:sz w:val="44"/>
          <w:highlight w:val="none"/>
        </w:rPr>
      </w:pPr>
    </w:p>
    <w:p w14:paraId="6A6ECB6D">
      <w:pPr>
        <w:widowControl/>
        <w:jc w:val="center"/>
        <w:rPr>
          <w:rFonts w:eastAsia="华文新魏"/>
          <w:snapToGrid w:val="0"/>
          <w:color w:val="auto"/>
          <w:kern w:val="0"/>
          <w:sz w:val="44"/>
          <w:highlight w:val="none"/>
        </w:rPr>
      </w:pPr>
    </w:p>
    <w:p w14:paraId="6B0DAC94">
      <w:pPr>
        <w:widowControl/>
        <w:jc w:val="center"/>
        <w:rPr>
          <w:rFonts w:eastAsia="华文新魏"/>
          <w:snapToGrid w:val="0"/>
          <w:color w:val="auto"/>
          <w:kern w:val="0"/>
          <w:sz w:val="44"/>
          <w:highlight w:val="none"/>
        </w:rPr>
      </w:pPr>
    </w:p>
    <w:p w14:paraId="4E1CA5ED">
      <w:pPr>
        <w:widowControl/>
        <w:jc w:val="center"/>
        <w:rPr>
          <w:rFonts w:eastAsia="华文新魏"/>
          <w:snapToGrid w:val="0"/>
          <w:color w:val="auto"/>
          <w:kern w:val="0"/>
          <w:sz w:val="44"/>
          <w:highlight w:val="none"/>
        </w:rPr>
      </w:pPr>
    </w:p>
    <w:p w14:paraId="2BDE2C71">
      <w:pPr>
        <w:widowControl/>
        <w:jc w:val="center"/>
        <w:rPr>
          <w:rFonts w:eastAsia="华文新魏"/>
          <w:snapToGrid w:val="0"/>
          <w:color w:val="auto"/>
          <w:kern w:val="0"/>
          <w:sz w:val="44"/>
          <w:highlight w:val="none"/>
        </w:rPr>
      </w:pPr>
    </w:p>
    <w:p w14:paraId="474E5B43">
      <w:pPr>
        <w:widowControl/>
        <w:jc w:val="center"/>
        <w:rPr>
          <w:rFonts w:eastAsia="华文新魏"/>
          <w:snapToGrid w:val="0"/>
          <w:color w:val="auto"/>
          <w:kern w:val="0"/>
          <w:sz w:val="44"/>
          <w:highlight w:val="none"/>
        </w:rPr>
      </w:pPr>
    </w:p>
    <w:p w14:paraId="642E3E2B">
      <w:pPr>
        <w:widowControl/>
        <w:jc w:val="center"/>
        <w:rPr>
          <w:rFonts w:eastAsia="华文新魏"/>
          <w:snapToGrid w:val="0"/>
          <w:color w:val="auto"/>
          <w:kern w:val="0"/>
          <w:sz w:val="44"/>
          <w:highlight w:val="none"/>
        </w:rPr>
      </w:pPr>
    </w:p>
    <w:p w14:paraId="03B31DA4">
      <w:pPr>
        <w:widowControl/>
        <w:jc w:val="center"/>
        <w:rPr>
          <w:rFonts w:eastAsia="华文新魏"/>
          <w:snapToGrid w:val="0"/>
          <w:color w:val="auto"/>
          <w:kern w:val="0"/>
          <w:sz w:val="44"/>
          <w:highlight w:val="none"/>
        </w:rPr>
      </w:pPr>
    </w:p>
    <w:p w14:paraId="7AA2D29D">
      <w:pPr>
        <w:widowControl/>
        <w:jc w:val="center"/>
        <w:rPr>
          <w:rFonts w:eastAsia="华文新魏"/>
          <w:snapToGrid w:val="0"/>
          <w:color w:val="auto"/>
          <w:kern w:val="0"/>
          <w:sz w:val="44"/>
          <w:highlight w:val="none"/>
        </w:rPr>
      </w:pPr>
    </w:p>
    <w:p w14:paraId="419D3496">
      <w:pPr>
        <w:widowControl/>
        <w:jc w:val="center"/>
        <w:rPr>
          <w:rFonts w:eastAsia="华文新魏"/>
          <w:snapToGrid w:val="0"/>
          <w:color w:val="auto"/>
          <w:kern w:val="0"/>
          <w:sz w:val="44"/>
          <w:highlight w:val="none"/>
        </w:rPr>
      </w:pPr>
    </w:p>
    <w:p w14:paraId="4070B7DE">
      <w:pPr>
        <w:widowControl/>
        <w:jc w:val="center"/>
        <w:rPr>
          <w:rFonts w:eastAsia="华文新魏"/>
          <w:snapToGrid w:val="0"/>
          <w:color w:val="auto"/>
          <w:kern w:val="0"/>
          <w:sz w:val="44"/>
          <w:highlight w:val="none"/>
        </w:rPr>
      </w:pPr>
    </w:p>
    <w:p w14:paraId="767CCAFF">
      <w:pPr>
        <w:widowControl/>
        <w:ind w:left="1399" w:leftChars="666"/>
        <w:jc w:val="left"/>
        <w:rPr>
          <w:rFonts w:ascii="宋体" w:hAnsi="宋体"/>
          <w:b/>
          <w:snapToGrid w:val="0"/>
          <w:color w:val="auto"/>
          <w:kern w:val="0"/>
          <w:sz w:val="32"/>
          <w:szCs w:val="32"/>
          <w:highlight w:val="none"/>
        </w:rPr>
      </w:pPr>
      <w:r>
        <w:rPr>
          <w:rFonts w:ascii="宋体" w:hAnsi="宋体"/>
          <w:b/>
          <w:snapToGrid w:val="0"/>
          <w:color w:val="auto"/>
          <w:kern w:val="0"/>
          <w:sz w:val="32"/>
          <w:szCs w:val="32"/>
          <w:highlight w:val="none"/>
        </w:rPr>
        <w:t>甲 方：</w:t>
      </w:r>
      <w:r>
        <w:rPr>
          <w:rFonts w:ascii="宋体" w:hAnsi="宋体"/>
          <w:b/>
          <w:snapToGrid w:val="0"/>
          <w:color w:val="auto"/>
          <w:kern w:val="0"/>
          <w:sz w:val="32"/>
          <w:szCs w:val="32"/>
          <w:highlight w:val="none"/>
        </w:rPr>
        <w:br w:type="textWrapping"/>
      </w:r>
      <w:r>
        <w:rPr>
          <w:rFonts w:ascii="宋体" w:hAnsi="宋体"/>
          <w:b/>
          <w:snapToGrid w:val="0"/>
          <w:color w:val="auto"/>
          <w:kern w:val="0"/>
          <w:sz w:val="32"/>
          <w:szCs w:val="32"/>
          <w:highlight w:val="none"/>
        </w:rPr>
        <w:t>乙 方：</w:t>
      </w:r>
    </w:p>
    <w:p w14:paraId="27B2F17F">
      <w:pPr>
        <w:widowControl/>
        <w:ind w:left="1399" w:leftChars="666"/>
        <w:jc w:val="left"/>
        <w:rPr>
          <w:rFonts w:ascii="宋体" w:hAnsi="宋体" w:eastAsia="华文新魏"/>
          <w:snapToGrid w:val="0"/>
          <w:color w:val="auto"/>
          <w:kern w:val="0"/>
          <w:sz w:val="44"/>
          <w:highlight w:val="none"/>
        </w:rPr>
      </w:pPr>
      <w:r>
        <w:rPr>
          <w:rFonts w:ascii="宋体" w:hAnsi="宋体"/>
          <w:b/>
          <w:snapToGrid w:val="0"/>
          <w:color w:val="auto"/>
          <w:kern w:val="0"/>
          <w:sz w:val="32"/>
          <w:szCs w:val="32"/>
          <w:highlight w:val="none"/>
        </w:rPr>
        <w:t>丙 方：</w:t>
      </w:r>
      <w:r>
        <w:rPr>
          <w:rFonts w:hint="eastAsia" w:ascii="宋体" w:hAnsi="宋体"/>
          <w:b/>
          <w:snapToGrid w:val="0"/>
          <w:color w:val="auto"/>
          <w:kern w:val="0"/>
          <w:sz w:val="32"/>
          <w:szCs w:val="32"/>
          <w:highlight w:val="none"/>
        </w:rPr>
        <w:t>监管银行</w:t>
      </w:r>
    </w:p>
    <w:p w14:paraId="7F4891CD">
      <w:pPr>
        <w:widowControl/>
        <w:ind w:firstLine="2200" w:firstLineChars="500"/>
        <w:rPr>
          <w:rFonts w:ascii="宋体" w:hAnsi="宋体" w:eastAsia="华文新魏"/>
          <w:snapToGrid w:val="0"/>
          <w:color w:val="auto"/>
          <w:kern w:val="0"/>
          <w:sz w:val="44"/>
          <w:highlight w:val="none"/>
        </w:rPr>
      </w:pPr>
    </w:p>
    <w:p w14:paraId="10B3911B">
      <w:pPr>
        <w:rPr>
          <w:snapToGrid w:val="0"/>
          <w:color w:val="auto"/>
          <w:kern w:val="0"/>
          <w:sz w:val="24"/>
          <w:szCs w:val="24"/>
          <w:highlight w:val="none"/>
        </w:rPr>
      </w:pPr>
      <w:r>
        <w:rPr>
          <w:snapToGrid w:val="0"/>
          <w:color w:val="auto"/>
          <w:kern w:val="0"/>
          <w:sz w:val="28"/>
          <w:highlight w:val="none"/>
        </w:rPr>
        <w:br w:type="page"/>
      </w:r>
      <w:r>
        <w:rPr>
          <w:rFonts w:hint="eastAsia"/>
          <w:snapToGrid w:val="0"/>
          <w:color w:val="auto"/>
          <w:kern w:val="0"/>
          <w:sz w:val="24"/>
          <w:szCs w:val="24"/>
          <w:highlight w:val="none"/>
        </w:rPr>
        <w:t>甲方：</w:t>
      </w:r>
    </w:p>
    <w:p w14:paraId="03EF5198">
      <w:pPr>
        <w:rPr>
          <w:snapToGrid w:val="0"/>
          <w:color w:val="auto"/>
          <w:kern w:val="0"/>
          <w:sz w:val="24"/>
          <w:szCs w:val="24"/>
          <w:highlight w:val="none"/>
        </w:rPr>
      </w:pPr>
      <w:r>
        <w:rPr>
          <w:rFonts w:hint="eastAsia"/>
          <w:snapToGrid w:val="0"/>
          <w:color w:val="auto"/>
          <w:kern w:val="0"/>
          <w:sz w:val="24"/>
          <w:szCs w:val="24"/>
          <w:highlight w:val="none"/>
        </w:rPr>
        <w:t>法定代表人：</w:t>
      </w:r>
    </w:p>
    <w:p w14:paraId="3C5AC9B3">
      <w:pPr>
        <w:rPr>
          <w:snapToGrid w:val="0"/>
          <w:color w:val="auto"/>
          <w:kern w:val="0"/>
          <w:sz w:val="24"/>
          <w:szCs w:val="24"/>
          <w:highlight w:val="none"/>
        </w:rPr>
      </w:pPr>
      <w:r>
        <w:rPr>
          <w:rFonts w:hint="eastAsia"/>
          <w:snapToGrid w:val="0"/>
          <w:color w:val="auto"/>
          <w:kern w:val="0"/>
          <w:sz w:val="24"/>
          <w:szCs w:val="24"/>
          <w:highlight w:val="none"/>
        </w:rPr>
        <w:t>经办人：</w:t>
      </w:r>
    </w:p>
    <w:p w14:paraId="0B3B0E14">
      <w:pPr>
        <w:rPr>
          <w:snapToGrid w:val="0"/>
          <w:color w:val="auto"/>
          <w:kern w:val="0"/>
          <w:sz w:val="24"/>
          <w:szCs w:val="24"/>
          <w:highlight w:val="none"/>
        </w:rPr>
      </w:pPr>
      <w:r>
        <w:rPr>
          <w:rFonts w:hint="eastAsia"/>
          <w:snapToGrid w:val="0"/>
          <w:color w:val="auto"/>
          <w:kern w:val="0"/>
          <w:sz w:val="24"/>
          <w:szCs w:val="24"/>
          <w:highlight w:val="none"/>
        </w:rPr>
        <w:t>地址：</w:t>
      </w:r>
    </w:p>
    <w:p w14:paraId="66886527">
      <w:pPr>
        <w:rPr>
          <w:snapToGrid w:val="0"/>
          <w:color w:val="auto"/>
          <w:kern w:val="0"/>
          <w:sz w:val="24"/>
          <w:szCs w:val="24"/>
          <w:highlight w:val="none"/>
        </w:rPr>
      </w:pPr>
      <w:r>
        <w:rPr>
          <w:rFonts w:hint="eastAsia"/>
          <w:snapToGrid w:val="0"/>
          <w:color w:val="auto"/>
          <w:kern w:val="0"/>
          <w:sz w:val="24"/>
          <w:szCs w:val="24"/>
          <w:highlight w:val="none"/>
        </w:rPr>
        <w:t>电话：</w:t>
      </w:r>
    </w:p>
    <w:p w14:paraId="5DD5EFC4">
      <w:pPr>
        <w:rPr>
          <w:snapToGrid w:val="0"/>
          <w:color w:val="auto"/>
          <w:kern w:val="0"/>
          <w:sz w:val="24"/>
          <w:szCs w:val="24"/>
          <w:highlight w:val="none"/>
        </w:rPr>
      </w:pPr>
    </w:p>
    <w:p w14:paraId="6ABFA14D">
      <w:pPr>
        <w:rPr>
          <w:snapToGrid w:val="0"/>
          <w:color w:val="auto"/>
          <w:kern w:val="0"/>
          <w:sz w:val="24"/>
          <w:szCs w:val="24"/>
          <w:highlight w:val="none"/>
        </w:rPr>
      </w:pPr>
      <w:r>
        <w:rPr>
          <w:rFonts w:hint="eastAsia"/>
          <w:snapToGrid w:val="0"/>
          <w:color w:val="auto"/>
          <w:kern w:val="0"/>
          <w:sz w:val="24"/>
          <w:szCs w:val="24"/>
          <w:highlight w:val="none"/>
        </w:rPr>
        <w:t>乙方：</w:t>
      </w:r>
    </w:p>
    <w:p w14:paraId="280930CF">
      <w:pPr>
        <w:rPr>
          <w:snapToGrid w:val="0"/>
          <w:color w:val="auto"/>
          <w:kern w:val="0"/>
          <w:sz w:val="24"/>
          <w:szCs w:val="24"/>
          <w:highlight w:val="none"/>
        </w:rPr>
      </w:pPr>
      <w:r>
        <w:rPr>
          <w:rFonts w:hint="eastAsia"/>
          <w:snapToGrid w:val="0"/>
          <w:color w:val="auto"/>
          <w:kern w:val="0"/>
          <w:sz w:val="24"/>
          <w:szCs w:val="24"/>
          <w:highlight w:val="none"/>
        </w:rPr>
        <w:t>法定代表人：</w:t>
      </w:r>
    </w:p>
    <w:p w14:paraId="5932ED5C">
      <w:pPr>
        <w:rPr>
          <w:snapToGrid w:val="0"/>
          <w:color w:val="auto"/>
          <w:kern w:val="0"/>
          <w:sz w:val="24"/>
          <w:szCs w:val="24"/>
          <w:highlight w:val="none"/>
        </w:rPr>
      </w:pPr>
      <w:r>
        <w:rPr>
          <w:rFonts w:hint="eastAsia"/>
          <w:snapToGrid w:val="0"/>
          <w:color w:val="auto"/>
          <w:kern w:val="0"/>
          <w:sz w:val="24"/>
          <w:szCs w:val="24"/>
          <w:highlight w:val="none"/>
        </w:rPr>
        <w:t>经办人：</w:t>
      </w:r>
    </w:p>
    <w:p w14:paraId="252E2A24">
      <w:pPr>
        <w:rPr>
          <w:snapToGrid w:val="0"/>
          <w:color w:val="auto"/>
          <w:kern w:val="0"/>
          <w:sz w:val="24"/>
          <w:szCs w:val="24"/>
          <w:highlight w:val="none"/>
        </w:rPr>
      </w:pPr>
      <w:r>
        <w:rPr>
          <w:rFonts w:hint="eastAsia"/>
          <w:snapToGrid w:val="0"/>
          <w:color w:val="auto"/>
          <w:kern w:val="0"/>
          <w:sz w:val="24"/>
          <w:szCs w:val="24"/>
          <w:highlight w:val="none"/>
        </w:rPr>
        <w:t>地址：</w:t>
      </w:r>
    </w:p>
    <w:p w14:paraId="30867852">
      <w:pPr>
        <w:rPr>
          <w:snapToGrid w:val="0"/>
          <w:color w:val="auto"/>
          <w:kern w:val="0"/>
          <w:sz w:val="24"/>
          <w:szCs w:val="24"/>
          <w:highlight w:val="none"/>
        </w:rPr>
      </w:pPr>
      <w:r>
        <w:rPr>
          <w:rFonts w:hint="eastAsia"/>
          <w:snapToGrid w:val="0"/>
          <w:color w:val="auto"/>
          <w:kern w:val="0"/>
          <w:sz w:val="24"/>
          <w:szCs w:val="24"/>
          <w:highlight w:val="none"/>
        </w:rPr>
        <w:t>电话：</w:t>
      </w:r>
    </w:p>
    <w:p w14:paraId="4861E788">
      <w:pPr>
        <w:rPr>
          <w:snapToGrid w:val="0"/>
          <w:color w:val="auto"/>
          <w:kern w:val="0"/>
          <w:sz w:val="24"/>
          <w:szCs w:val="24"/>
          <w:highlight w:val="none"/>
        </w:rPr>
      </w:pPr>
    </w:p>
    <w:p w14:paraId="75E96E79">
      <w:pPr>
        <w:rPr>
          <w:snapToGrid w:val="0"/>
          <w:color w:val="auto"/>
          <w:kern w:val="0"/>
          <w:sz w:val="24"/>
          <w:szCs w:val="24"/>
          <w:highlight w:val="none"/>
        </w:rPr>
      </w:pPr>
      <w:r>
        <w:rPr>
          <w:rFonts w:hint="eastAsia"/>
          <w:snapToGrid w:val="0"/>
          <w:color w:val="auto"/>
          <w:kern w:val="0"/>
          <w:sz w:val="24"/>
          <w:szCs w:val="24"/>
          <w:highlight w:val="none"/>
        </w:rPr>
        <w:t>丙方：监管银行</w:t>
      </w:r>
    </w:p>
    <w:p w14:paraId="5E006BAA">
      <w:pPr>
        <w:rPr>
          <w:snapToGrid w:val="0"/>
          <w:color w:val="auto"/>
          <w:kern w:val="0"/>
          <w:sz w:val="24"/>
          <w:szCs w:val="24"/>
          <w:highlight w:val="none"/>
        </w:rPr>
      </w:pPr>
      <w:r>
        <w:rPr>
          <w:rFonts w:hint="eastAsia"/>
          <w:snapToGrid w:val="0"/>
          <w:color w:val="auto"/>
          <w:kern w:val="0"/>
          <w:sz w:val="24"/>
          <w:szCs w:val="24"/>
          <w:highlight w:val="none"/>
        </w:rPr>
        <w:t>法定代表人：</w:t>
      </w:r>
    </w:p>
    <w:p w14:paraId="64C906CC">
      <w:pPr>
        <w:rPr>
          <w:snapToGrid w:val="0"/>
          <w:color w:val="auto"/>
          <w:kern w:val="0"/>
          <w:sz w:val="24"/>
          <w:szCs w:val="24"/>
          <w:highlight w:val="none"/>
        </w:rPr>
      </w:pPr>
      <w:r>
        <w:rPr>
          <w:rFonts w:hint="eastAsia"/>
          <w:snapToGrid w:val="0"/>
          <w:color w:val="auto"/>
          <w:kern w:val="0"/>
          <w:sz w:val="24"/>
          <w:szCs w:val="24"/>
          <w:highlight w:val="none"/>
        </w:rPr>
        <w:t>经办人：</w:t>
      </w:r>
    </w:p>
    <w:p w14:paraId="06E2490B">
      <w:pPr>
        <w:rPr>
          <w:snapToGrid w:val="0"/>
          <w:color w:val="auto"/>
          <w:kern w:val="0"/>
          <w:sz w:val="24"/>
          <w:szCs w:val="24"/>
          <w:highlight w:val="none"/>
        </w:rPr>
      </w:pPr>
      <w:r>
        <w:rPr>
          <w:rFonts w:hint="eastAsia"/>
          <w:snapToGrid w:val="0"/>
          <w:color w:val="auto"/>
          <w:kern w:val="0"/>
          <w:sz w:val="24"/>
          <w:szCs w:val="24"/>
          <w:highlight w:val="none"/>
        </w:rPr>
        <w:t>地址：</w:t>
      </w:r>
    </w:p>
    <w:p w14:paraId="1C4CA7EB">
      <w:pPr>
        <w:rPr>
          <w:snapToGrid w:val="0"/>
          <w:color w:val="auto"/>
          <w:kern w:val="0"/>
          <w:sz w:val="24"/>
          <w:szCs w:val="24"/>
          <w:highlight w:val="none"/>
        </w:rPr>
      </w:pPr>
      <w:r>
        <w:rPr>
          <w:rFonts w:hint="eastAsia"/>
          <w:snapToGrid w:val="0"/>
          <w:color w:val="auto"/>
          <w:kern w:val="0"/>
          <w:sz w:val="24"/>
          <w:szCs w:val="24"/>
          <w:highlight w:val="none"/>
        </w:rPr>
        <w:t>电话：</w:t>
      </w:r>
    </w:p>
    <w:p w14:paraId="5AB7F7A3">
      <w:pPr>
        <w:rPr>
          <w:snapToGrid w:val="0"/>
          <w:color w:val="auto"/>
          <w:kern w:val="0"/>
          <w:sz w:val="24"/>
          <w:szCs w:val="24"/>
          <w:highlight w:val="none"/>
        </w:rPr>
      </w:pPr>
    </w:p>
    <w:p w14:paraId="570BF1B1">
      <w:pPr>
        <w:adjustRightInd w:val="0"/>
        <w:snapToGrid w:val="0"/>
        <w:spacing w:line="360" w:lineRule="auto"/>
        <w:jc w:val="center"/>
        <w:rPr>
          <w:rFonts w:ascii="宋体" w:hAnsi="宋体"/>
          <w:b/>
          <w:bCs/>
          <w:snapToGrid w:val="0"/>
          <w:color w:val="auto"/>
          <w:kern w:val="0"/>
          <w:sz w:val="24"/>
          <w:szCs w:val="24"/>
          <w:highlight w:val="none"/>
        </w:rPr>
      </w:pPr>
      <w:r>
        <w:rPr>
          <w:rFonts w:hint="eastAsia" w:ascii="宋体" w:hAnsi="宋体"/>
          <w:b/>
          <w:bCs/>
          <w:snapToGrid w:val="0"/>
          <w:color w:val="auto"/>
          <w:kern w:val="0"/>
          <w:sz w:val="24"/>
          <w:szCs w:val="24"/>
          <w:highlight w:val="none"/>
        </w:rPr>
        <w:t>第一章  总    则</w:t>
      </w:r>
    </w:p>
    <w:p w14:paraId="72DA27D9">
      <w:pPr>
        <w:adjustRightInd w:val="0"/>
        <w:snapToGrid w:val="0"/>
        <w:spacing w:line="360" w:lineRule="auto"/>
        <w:ind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乙方因参与  的工程项目建设需要，与甲方签订了</w:t>
      </w:r>
      <w:r>
        <w:rPr>
          <w:rFonts w:hint="eastAsia" w:ascii="宋体" w:hAnsi="宋体"/>
          <w:snapToGrid w:val="0"/>
          <w:color w:val="auto"/>
          <w:kern w:val="0"/>
          <w:sz w:val="24"/>
          <w:szCs w:val="24"/>
          <w:highlight w:val="none"/>
          <w:u w:val="single"/>
        </w:rPr>
        <w:t>花果山产业小镇综合配套工程建设项目合同</w:t>
      </w:r>
      <w:r>
        <w:rPr>
          <w:rFonts w:hint="eastAsia" w:ascii="宋体" w:hAnsi="宋体"/>
          <w:snapToGrid w:val="0"/>
          <w:color w:val="auto"/>
          <w:kern w:val="0"/>
          <w:sz w:val="24"/>
          <w:szCs w:val="24"/>
          <w:highlight w:val="none"/>
        </w:rPr>
        <w:t>（以下简称合同），并在丙方开立银行结算账户。</w:t>
      </w:r>
    </w:p>
    <w:p w14:paraId="2598405C">
      <w:pPr>
        <w:adjustRightInd w:val="0"/>
        <w:snapToGrid w:val="0"/>
        <w:spacing w:line="360" w:lineRule="auto"/>
        <w:ind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本协议订立的宗旨为保障合同项目下工程建设资金安全、专款专用、高效的融通并保障施工人员工资及时支付，支持乙方单位财务结算工作，确保合同的顺利履行。为明确甲、乙、丙三方的权利、义务，根据中华人民共和国相关法律、法规和合同的规定，经甲、乙、丙三方在平等、自愿基础上协商一致，特定立本协议。</w:t>
      </w:r>
    </w:p>
    <w:p w14:paraId="50F24D20">
      <w:pPr>
        <w:adjustRightInd w:val="0"/>
        <w:snapToGrid w:val="0"/>
        <w:spacing w:line="360" w:lineRule="auto"/>
        <w:ind w:firstLine="570"/>
        <w:rPr>
          <w:rFonts w:ascii="宋体" w:hAnsi="宋体"/>
          <w:snapToGrid w:val="0"/>
          <w:color w:val="auto"/>
          <w:kern w:val="0"/>
          <w:sz w:val="24"/>
          <w:szCs w:val="24"/>
          <w:highlight w:val="none"/>
        </w:rPr>
      </w:pPr>
    </w:p>
    <w:p w14:paraId="7B778DEE">
      <w:pPr>
        <w:adjustRightInd w:val="0"/>
        <w:snapToGrid w:val="0"/>
        <w:spacing w:line="360" w:lineRule="auto"/>
        <w:jc w:val="center"/>
        <w:rPr>
          <w:rFonts w:ascii="宋体" w:hAnsi="宋体"/>
          <w:b/>
          <w:bCs/>
          <w:snapToGrid w:val="0"/>
          <w:color w:val="auto"/>
          <w:kern w:val="0"/>
          <w:sz w:val="24"/>
          <w:szCs w:val="24"/>
          <w:highlight w:val="none"/>
        </w:rPr>
      </w:pPr>
      <w:r>
        <w:rPr>
          <w:rFonts w:hint="eastAsia" w:ascii="宋体" w:hAnsi="宋体"/>
          <w:b/>
          <w:bCs/>
          <w:snapToGrid w:val="0"/>
          <w:color w:val="auto"/>
          <w:kern w:val="0"/>
          <w:sz w:val="24"/>
          <w:szCs w:val="24"/>
          <w:highlight w:val="none"/>
        </w:rPr>
        <w:t>第二章  权利与义务</w:t>
      </w:r>
    </w:p>
    <w:p w14:paraId="390668F8">
      <w:pPr>
        <w:numPr>
          <w:ilvl w:val="0"/>
          <w:numId w:val="9"/>
        </w:num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甲方的权利与义务</w:t>
      </w:r>
    </w:p>
    <w:p w14:paraId="7529CF38">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1.甲方对于合同项目下应拨付给乙方的资金，将划拨乙方在丙方所开立的账户内，账号为（以下简称指定账号）；</w:t>
      </w:r>
    </w:p>
    <w:p w14:paraId="6D6F3F73">
      <w:pPr>
        <w:adjustRightInd w:val="0"/>
        <w:snapToGrid w:val="0"/>
        <w:spacing w:line="360" w:lineRule="auto"/>
        <w:ind w:firstLine="487" w:firstLineChars="203"/>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2.甲方有权按本协议约定查阅该指定账号内合同项目下工程建设资金的每时段的收支情况；</w:t>
      </w:r>
    </w:p>
    <w:p w14:paraId="7E25B2AF">
      <w:pPr>
        <w:adjustRightInd w:val="0"/>
        <w:snapToGrid w:val="0"/>
        <w:spacing w:line="360" w:lineRule="auto"/>
        <w:ind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3.甲方有权依本协议要求丙方所提供的该指定账号内的数据等信息；</w:t>
      </w:r>
    </w:p>
    <w:p w14:paraId="2ECD112B">
      <w:pPr>
        <w:adjustRightInd w:val="0"/>
        <w:snapToGrid w:val="0"/>
        <w:spacing w:line="360" w:lineRule="auto"/>
        <w:ind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4.甲方对于乙、丙双方各自正常的业务操作不予干涉；并有义务对乙方指定账户信息和丙方业务操作内容保密。</w:t>
      </w:r>
    </w:p>
    <w:p w14:paraId="01C3A256">
      <w:pPr>
        <w:numPr>
          <w:ilvl w:val="0"/>
          <w:numId w:val="9"/>
        </w:num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乙方的权利与义务</w:t>
      </w:r>
    </w:p>
    <w:p w14:paraId="39124C64">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1.乙方在丙方开立银行结算账户，享受丙方所提供的优质银行服务；</w:t>
      </w:r>
    </w:p>
    <w:p w14:paraId="1FC4D371">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2.乙方有权要求甲、丙双方对其指定账户信息除监控需要外严格保密；</w:t>
      </w:r>
    </w:p>
    <w:p w14:paraId="0ABB70C5">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3.乙方授权丙方对指定账户代表甲方行使监控权，乙方应依据甲方每次核批工程、监理、设计及各类款项编制详细用款计划表报送甲方和丙方；</w:t>
      </w:r>
    </w:p>
    <w:p w14:paraId="5C9D659B">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4.乙方有义务对于甲方所划拨的合同项下资金严格按合同规定用途使用，并在指定账户进行支付结算，不得转入乙方其他银行账户。</w:t>
      </w:r>
    </w:p>
    <w:p w14:paraId="730A2B08">
      <w:pPr>
        <w:numPr>
          <w:ilvl w:val="0"/>
          <w:numId w:val="9"/>
        </w:num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丙方的权利与义务</w:t>
      </w:r>
    </w:p>
    <w:p w14:paraId="7B9755ED">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1.丙方有权依本协议规定对指定账户代表甲方实施监控；</w:t>
      </w:r>
    </w:p>
    <w:p w14:paraId="7D39733C">
      <w:pPr>
        <w:adjustRightInd w:val="0"/>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2.丙方有权针对具体业务根据丙方业务规定进行审核，并保持与甲、乙双方的密切沟通；</w:t>
      </w:r>
    </w:p>
    <w:p w14:paraId="71648961">
      <w:pPr>
        <w:adjustRightInd w:val="0"/>
        <w:snapToGrid w:val="0"/>
        <w:spacing w:line="360" w:lineRule="auto"/>
        <w:ind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丙方有义务为甲、乙双方提供高质量的银行服务，具体服务内容由甲丙、乙丙双方商定；丙方不能以各种理由压单，造成甲方和乙方不必要的损失。若发生此类现象，乙方即可向甲方投诉，经查实，立即取消结算经办行资格；</w:t>
      </w:r>
    </w:p>
    <w:p w14:paraId="37CED8D3">
      <w:pPr>
        <w:adjustRightInd w:val="0"/>
        <w:snapToGrid w:val="0"/>
        <w:spacing w:line="360" w:lineRule="auto"/>
        <w:ind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4.丙方有义务对指定账户信息除甲方监控需要外严格对外保密；</w:t>
      </w:r>
    </w:p>
    <w:p w14:paraId="7D087A4C">
      <w:pPr>
        <w:adjustRightInd w:val="0"/>
        <w:snapToGrid w:val="0"/>
        <w:spacing w:line="360" w:lineRule="auto"/>
        <w:ind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5.丙方应建立乙方序时资金支付备查台账，并由专人负责与经由甲方审核的用款计划核对；每月两期将相关收支情况明细表提交给甲方备查，提交时间为当月20日和次月的5日；对异常支付应即时通知甲方；</w:t>
      </w:r>
    </w:p>
    <w:p w14:paraId="75FD2219">
      <w:pPr>
        <w:adjustRightInd w:val="0"/>
        <w:snapToGrid w:val="0"/>
        <w:spacing w:line="360" w:lineRule="auto"/>
        <w:jc w:val="center"/>
        <w:rPr>
          <w:rFonts w:ascii="宋体" w:hAnsi="宋体"/>
          <w:b/>
          <w:bCs/>
          <w:snapToGrid w:val="0"/>
          <w:color w:val="auto"/>
          <w:kern w:val="0"/>
          <w:sz w:val="24"/>
          <w:szCs w:val="24"/>
          <w:highlight w:val="none"/>
        </w:rPr>
      </w:pPr>
      <w:r>
        <w:rPr>
          <w:rFonts w:hint="eastAsia" w:ascii="宋体" w:hAnsi="宋体"/>
          <w:b/>
          <w:bCs/>
          <w:snapToGrid w:val="0"/>
          <w:color w:val="auto"/>
          <w:kern w:val="0"/>
          <w:sz w:val="24"/>
          <w:szCs w:val="24"/>
          <w:highlight w:val="none"/>
        </w:rPr>
        <w:t>第三章  争议的解决</w:t>
      </w:r>
    </w:p>
    <w:p w14:paraId="0F7D3CB0">
      <w:pPr>
        <w:numPr>
          <w:ilvl w:val="0"/>
          <w:numId w:val="9"/>
        </w:num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甲、乙、丙三方在履行本协议过程中所发生的争议，三</w:t>
      </w:r>
    </w:p>
    <w:p w14:paraId="37F04D87">
      <w:p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方首先应友好协商解决；确因协商不成的，以法院诉讼方式解决。</w:t>
      </w:r>
    </w:p>
    <w:p w14:paraId="0C9139D0">
      <w:pPr>
        <w:adjustRightInd w:val="0"/>
        <w:snapToGrid w:val="0"/>
        <w:spacing w:line="360" w:lineRule="auto"/>
        <w:rPr>
          <w:rFonts w:ascii="宋体" w:hAnsi="宋体"/>
          <w:snapToGrid w:val="0"/>
          <w:color w:val="auto"/>
          <w:kern w:val="0"/>
          <w:sz w:val="24"/>
          <w:szCs w:val="24"/>
          <w:highlight w:val="none"/>
        </w:rPr>
      </w:pPr>
    </w:p>
    <w:p w14:paraId="77F30EA1">
      <w:pPr>
        <w:adjustRightInd w:val="0"/>
        <w:snapToGrid w:val="0"/>
        <w:spacing w:line="360" w:lineRule="auto"/>
        <w:ind w:left="1260"/>
        <w:jc w:val="center"/>
        <w:rPr>
          <w:rFonts w:ascii="宋体" w:hAnsi="宋体"/>
          <w:b/>
          <w:bCs/>
          <w:snapToGrid w:val="0"/>
          <w:color w:val="auto"/>
          <w:kern w:val="0"/>
          <w:sz w:val="24"/>
          <w:szCs w:val="24"/>
          <w:highlight w:val="none"/>
        </w:rPr>
      </w:pPr>
      <w:r>
        <w:rPr>
          <w:rFonts w:hint="eastAsia" w:ascii="宋体" w:hAnsi="宋体"/>
          <w:b/>
          <w:bCs/>
          <w:snapToGrid w:val="0"/>
          <w:color w:val="auto"/>
          <w:kern w:val="0"/>
          <w:sz w:val="24"/>
          <w:szCs w:val="24"/>
          <w:highlight w:val="none"/>
        </w:rPr>
        <w:t>第四章  协议的生效、变更和解除</w:t>
      </w:r>
    </w:p>
    <w:p w14:paraId="0DDAC29A">
      <w:pPr>
        <w:numPr>
          <w:ilvl w:val="0"/>
          <w:numId w:val="9"/>
        </w:numPr>
        <w:tabs>
          <w:tab w:val="clear" w:pos="1695"/>
        </w:tabs>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本协议在有效期内的履行应以不违反中华人民共和国法律和国家有关主管部门的政策、法规为基本前提；本协议与《</w:t>
      </w:r>
      <w:r>
        <w:rPr>
          <w:rFonts w:ascii="宋体" w:hAnsi="宋体"/>
          <w:snapToGrid w:val="0"/>
          <w:color w:val="auto"/>
          <w:kern w:val="0"/>
          <w:sz w:val="24"/>
          <w:szCs w:val="24"/>
          <w:highlight w:val="none"/>
        </w:rPr>
        <w:t xml:space="preserve">  xx工程建设资金拨付管理办法及实施细则》的规定不一致时，应以《  xx工程建设资金拨付管理办法及实施细则》中规定为准。</w:t>
      </w:r>
    </w:p>
    <w:p w14:paraId="43AA87CD">
      <w:pPr>
        <w:numPr>
          <w:ilvl w:val="0"/>
          <w:numId w:val="9"/>
        </w:num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本协议在履行过程中需对协议进行修订、或需解除本协</w:t>
      </w:r>
    </w:p>
    <w:p w14:paraId="71350F39">
      <w:p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议时，甲、乙、丙任何一方不得单方面执行，均须甲、乙、丙三方协商一致，并达成书面协议。书面协议达成之前，不影响本协议条款效力。</w:t>
      </w:r>
    </w:p>
    <w:p w14:paraId="7BC93958">
      <w:pPr>
        <w:numPr>
          <w:ilvl w:val="0"/>
          <w:numId w:val="9"/>
        </w:num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本协议自甲、乙、丙三方法定代表人签章并加盖公章后生效。</w:t>
      </w:r>
    </w:p>
    <w:p w14:paraId="7DA42C89">
      <w:pPr>
        <w:adjustRightInd w:val="0"/>
        <w:snapToGrid w:val="0"/>
        <w:spacing w:line="360" w:lineRule="auto"/>
        <w:ind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本协议正本一式叁份，三方各执壹份，遵照履行</w:t>
      </w:r>
    </w:p>
    <w:p w14:paraId="6F8F28F6">
      <w:pPr>
        <w:adjustRightInd w:val="0"/>
        <w:snapToGrid w:val="0"/>
        <w:spacing w:line="360" w:lineRule="auto"/>
        <w:ind w:firstLine="570"/>
        <w:rPr>
          <w:rFonts w:ascii="宋体" w:hAnsi="宋体"/>
          <w:snapToGrid w:val="0"/>
          <w:color w:val="auto"/>
          <w:kern w:val="0"/>
          <w:sz w:val="24"/>
          <w:szCs w:val="24"/>
          <w:highlight w:val="none"/>
        </w:rPr>
      </w:pPr>
    </w:p>
    <w:p w14:paraId="27892753">
      <w:pPr>
        <w:adjustRightInd w:val="0"/>
        <w:snapToGrid w:val="0"/>
        <w:spacing w:line="360" w:lineRule="auto"/>
        <w:rPr>
          <w:rFonts w:ascii="宋体" w:hAnsi="宋体"/>
          <w:snapToGrid w:val="0"/>
          <w:color w:val="auto"/>
          <w:kern w:val="0"/>
          <w:sz w:val="24"/>
          <w:szCs w:val="24"/>
          <w:highlight w:val="none"/>
        </w:rPr>
      </w:pPr>
      <w:r>
        <w:rPr>
          <w:rFonts w:ascii="宋体" w:hAnsi="宋体"/>
          <w:snapToGrid w:val="0"/>
          <w:color w:val="auto"/>
          <w:kern w:val="0"/>
          <w:sz w:val="24"/>
          <w:szCs w:val="24"/>
          <w:highlight w:val="none"/>
        </w:rPr>
        <w:t>甲方：（公章）</w:t>
      </w:r>
      <w:r>
        <w:rPr>
          <w:rFonts w:ascii="宋体" w:hAnsi="宋体"/>
          <w:snapToGrid w:val="0"/>
          <w:color w:val="auto"/>
          <w:kern w:val="0"/>
          <w:sz w:val="24"/>
          <w:szCs w:val="24"/>
          <w:highlight w:val="none"/>
        </w:rPr>
        <w:br w:type="textWrapping"/>
      </w:r>
      <w:r>
        <w:rPr>
          <w:rFonts w:hint="eastAsia" w:ascii="宋体" w:hAnsi="宋体"/>
          <w:snapToGrid w:val="0"/>
          <w:color w:val="auto"/>
          <w:kern w:val="0"/>
          <w:sz w:val="24"/>
          <w:szCs w:val="24"/>
          <w:highlight w:val="none"/>
        </w:rPr>
        <w:t>法定代表人：                 （</w:t>
      </w:r>
      <w:r>
        <w:rPr>
          <w:rFonts w:ascii="宋体" w:hAnsi="宋体"/>
          <w:snapToGrid w:val="0"/>
          <w:color w:val="auto"/>
          <w:kern w:val="0"/>
          <w:sz w:val="24"/>
          <w:szCs w:val="24"/>
          <w:highlight w:val="none"/>
        </w:rPr>
        <w:t>签字）</w:t>
      </w:r>
      <w:r>
        <w:rPr>
          <w:rFonts w:ascii="宋体" w:hAnsi="宋体"/>
          <w:snapToGrid w:val="0"/>
          <w:color w:val="auto"/>
          <w:kern w:val="0"/>
          <w:sz w:val="24"/>
          <w:szCs w:val="24"/>
          <w:highlight w:val="none"/>
        </w:rPr>
        <w:br w:type="textWrapping"/>
      </w:r>
      <w:r>
        <w:rPr>
          <w:rFonts w:ascii="宋体" w:hAnsi="宋体"/>
          <w:snapToGrid w:val="0"/>
          <w:color w:val="auto"/>
          <w:kern w:val="0"/>
          <w:sz w:val="24"/>
          <w:szCs w:val="24"/>
          <w:highlight w:val="none"/>
        </w:rPr>
        <w:br w:type="textWrapping"/>
      </w:r>
      <w:r>
        <w:rPr>
          <w:rFonts w:ascii="宋体" w:hAnsi="宋体"/>
          <w:snapToGrid w:val="0"/>
          <w:color w:val="auto"/>
          <w:kern w:val="0"/>
          <w:sz w:val="24"/>
          <w:szCs w:val="24"/>
          <w:highlight w:val="none"/>
        </w:rPr>
        <w:t>乙方：（公章）</w:t>
      </w:r>
      <w:r>
        <w:rPr>
          <w:rFonts w:ascii="宋体" w:hAnsi="宋体"/>
          <w:snapToGrid w:val="0"/>
          <w:color w:val="auto"/>
          <w:kern w:val="0"/>
          <w:sz w:val="24"/>
          <w:szCs w:val="24"/>
          <w:highlight w:val="none"/>
        </w:rPr>
        <w:br w:type="textWrapping"/>
      </w:r>
      <w:r>
        <w:rPr>
          <w:rFonts w:hint="eastAsia" w:ascii="宋体" w:hAnsi="宋体"/>
          <w:snapToGrid w:val="0"/>
          <w:color w:val="auto"/>
          <w:kern w:val="0"/>
          <w:sz w:val="24"/>
          <w:szCs w:val="24"/>
          <w:highlight w:val="none"/>
        </w:rPr>
        <w:t>法定代表人：                  （</w:t>
      </w:r>
      <w:r>
        <w:rPr>
          <w:rFonts w:ascii="宋体" w:hAnsi="宋体"/>
          <w:snapToGrid w:val="0"/>
          <w:color w:val="auto"/>
          <w:kern w:val="0"/>
          <w:sz w:val="24"/>
          <w:szCs w:val="24"/>
          <w:highlight w:val="none"/>
        </w:rPr>
        <w:t>签字）</w:t>
      </w:r>
      <w:r>
        <w:rPr>
          <w:rFonts w:ascii="宋体" w:hAnsi="宋体"/>
          <w:snapToGrid w:val="0"/>
          <w:color w:val="auto"/>
          <w:kern w:val="0"/>
          <w:sz w:val="24"/>
          <w:szCs w:val="24"/>
          <w:highlight w:val="none"/>
        </w:rPr>
        <w:br w:type="textWrapping"/>
      </w:r>
      <w:r>
        <w:rPr>
          <w:rFonts w:ascii="宋体" w:hAnsi="宋体"/>
          <w:snapToGrid w:val="0"/>
          <w:color w:val="auto"/>
          <w:kern w:val="0"/>
          <w:sz w:val="24"/>
          <w:szCs w:val="24"/>
          <w:highlight w:val="none"/>
        </w:rPr>
        <w:br w:type="textWrapping"/>
      </w:r>
      <w:r>
        <w:rPr>
          <w:rFonts w:ascii="宋体" w:hAnsi="宋体"/>
          <w:snapToGrid w:val="0"/>
          <w:color w:val="auto"/>
          <w:kern w:val="0"/>
          <w:sz w:val="24"/>
          <w:szCs w:val="24"/>
          <w:highlight w:val="none"/>
        </w:rPr>
        <w:t>丙方：</w:t>
      </w:r>
      <w:r>
        <w:rPr>
          <w:rFonts w:hint="eastAsia" w:ascii="宋体" w:hAnsi="宋体"/>
          <w:snapToGrid w:val="0"/>
          <w:color w:val="auto"/>
          <w:kern w:val="0"/>
          <w:sz w:val="24"/>
          <w:szCs w:val="24"/>
          <w:highlight w:val="none"/>
        </w:rPr>
        <w:t xml:space="preserve"> 监管银行</w:t>
      </w:r>
      <w:r>
        <w:rPr>
          <w:rFonts w:ascii="宋体" w:hAnsi="宋体"/>
          <w:snapToGrid w:val="0"/>
          <w:color w:val="auto"/>
          <w:kern w:val="0"/>
          <w:sz w:val="24"/>
          <w:szCs w:val="24"/>
          <w:highlight w:val="none"/>
        </w:rPr>
        <w:t>（公章）</w:t>
      </w:r>
      <w:r>
        <w:rPr>
          <w:rFonts w:ascii="宋体" w:hAnsi="宋体"/>
          <w:snapToGrid w:val="0"/>
          <w:color w:val="auto"/>
          <w:kern w:val="0"/>
          <w:sz w:val="24"/>
          <w:szCs w:val="24"/>
          <w:highlight w:val="none"/>
        </w:rPr>
        <w:br w:type="textWrapping"/>
      </w:r>
      <w:r>
        <w:rPr>
          <w:rFonts w:hint="eastAsia" w:ascii="宋体" w:hAnsi="宋体"/>
          <w:snapToGrid w:val="0"/>
          <w:color w:val="auto"/>
          <w:kern w:val="0"/>
          <w:sz w:val="24"/>
          <w:szCs w:val="24"/>
          <w:highlight w:val="none"/>
        </w:rPr>
        <w:t>法定代表人：                  （签字）</w:t>
      </w:r>
      <w:r>
        <w:rPr>
          <w:rFonts w:ascii="宋体" w:hAnsi="宋体"/>
          <w:snapToGrid w:val="0"/>
          <w:color w:val="auto"/>
          <w:kern w:val="0"/>
          <w:sz w:val="24"/>
          <w:szCs w:val="24"/>
          <w:highlight w:val="none"/>
        </w:rPr>
        <w:br w:type="textWrapping"/>
      </w:r>
    </w:p>
    <w:p w14:paraId="66531621">
      <w:pPr>
        <w:tabs>
          <w:tab w:val="left" w:pos="28"/>
          <w:tab w:val="left" w:pos="322"/>
          <w:tab w:val="left" w:pos="504"/>
          <w:tab w:val="left" w:pos="672"/>
          <w:tab w:val="left" w:pos="1442"/>
          <w:tab w:val="left" w:pos="2352"/>
        </w:tabs>
        <w:adjustRightInd w:val="0"/>
        <w:snapToGrid w:val="0"/>
        <w:spacing w:line="360" w:lineRule="auto"/>
        <w:rPr>
          <w:rFonts w:ascii="宋体" w:hAnsi="宋体"/>
          <w:snapToGrid w:val="0"/>
          <w:color w:val="auto"/>
          <w:kern w:val="0"/>
          <w:sz w:val="24"/>
          <w:szCs w:val="24"/>
          <w:highlight w:val="none"/>
        </w:rPr>
      </w:pPr>
      <w:r>
        <w:rPr>
          <w:rFonts w:ascii="宋体" w:hAnsi="宋体"/>
          <w:snapToGrid w:val="0"/>
          <w:color w:val="auto"/>
          <w:kern w:val="0"/>
          <w:sz w:val="24"/>
          <w:szCs w:val="24"/>
          <w:highlight w:val="none"/>
        </w:rPr>
        <w:t>签约</w:t>
      </w:r>
      <w:r>
        <w:rPr>
          <w:rFonts w:hint="eastAsia" w:ascii="宋体" w:hAnsi="宋体"/>
          <w:snapToGrid w:val="0"/>
          <w:color w:val="auto"/>
          <w:kern w:val="0"/>
          <w:sz w:val="24"/>
          <w:szCs w:val="24"/>
          <w:highlight w:val="none"/>
        </w:rPr>
        <w:t>时间和地点</w:t>
      </w:r>
      <w:r>
        <w:rPr>
          <w:rFonts w:ascii="宋体" w:hAnsi="宋体"/>
          <w:snapToGrid w:val="0"/>
          <w:color w:val="auto"/>
          <w:kern w:val="0"/>
          <w:sz w:val="24"/>
          <w:szCs w:val="24"/>
          <w:highlight w:val="none"/>
        </w:rPr>
        <w:t>：</w:t>
      </w:r>
      <w:r>
        <w:rPr>
          <w:rFonts w:hint="eastAsia" w:ascii="宋体" w:hAnsi="宋体"/>
          <w:snapToGrid w:val="0"/>
          <w:color w:val="auto"/>
          <w:kern w:val="0"/>
          <w:sz w:val="24"/>
          <w:szCs w:val="24"/>
          <w:highlight w:val="none"/>
        </w:rPr>
        <w:t xml:space="preserve">    年   月   日于广东省广州市</w:t>
      </w:r>
    </w:p>
    <w:p w14:paraId="402A3F87">
      <w:pPr>
        <w:jc w:val="center"/>
        <w:rPr>
          <w:b/>
          <w:snapToGrid w:val="0"/>
          <w:color w:val="auto"/>
          <w:kern w:val="0"/>
          <w:sz w:val="44"/>
          <w:szCs w:val="44"/>
          <w:highlight w:val="none"/>
        </w:rPr>
      </w:pPr>
      <w:r>
        <w:rPr>
          <w:b/>
          <w:snapToGrid w:val="0"/>
          <w:color w:val="auto"/>
          <w:kern w:val="0"/>
          <w:sz w:val="24"/>
          <w:highlight w:val="none"/>
        </w:rPr>
        <w:br w:type="page"/>
      </w:r>
    </w:p>
    <w:p w14:paraId="4DDCB8EB">
      <w:pPr>
        <w:jc w:val="center"/>
        <w:rPr>
          <w:b/>
          <w:snapToGrid w:val="0"/>
          <w:color w:val="auto"/>
          <w:kern w:val="0"/>
          <w:sz w:val="32"/>
          <w:szCs w:val="32"/>
          <w:highlight w:val="none"/>
        </w:rPr>
      </w:pPr>
      <w:r>
        <w:rPr>
          <w:rFonts w:hint="eastAsia"/>
          <w:b/>
          <w:snapToGrid w:val="0"/>
          <w:color w:val="auto"/>
          <w:kern w:val="0"/>
          <w:sz w:val="32"/>
          <w:szCs w:val="32"/>
          <w:highlight w:val="none"/>
        </w:rPr>
        <w:t>授权书</w:t>
      </w:r>
    </w:p>
    <w:p w14:paraId="4CE61532">
      <w:pPr>
        <w:jc w:val="center"/>
        <w:rPr>
          <w:snapToGrid w:val="0"/>
          <w:color w:val="auto"/>
          <w:kern w:val="0"/>
          <w:sz w:val="30"/>
          <w:highlight w:val="none"/>
        </w:rPr>
      </w:pPr>
    </w:p>
    <w:p w14:paraId="1CAD0689">
      <w:pPr>
        <w:ind w:firstLine="120" w:firstLineChars="50"/>
        <w:rPr>
          <w:b/>
          <w:bCs/>
          <w:snapToGrid w:val="0"/>
          <w:color w:val="auto"/>
          <w:kern w:val="0"/>
          <w:sz w:val="24"/>
          <w:szCs w:val="24"/>
          <w:highlight w:val="none"/>
        </w:rPr>
      </w:pPr>
      <w:r>
        <w:rPr>
          <w:rFonts w:hint="eastAsia"/>
          <w:b/>
          <w:bCs/>
          <w:snapToGrid w:val="0"/>
          <w:color w:val="auto"/>
          <w:kern w:val="0"/>
          <w:sz w:val="24"/>
          <w:szCs w:val="24"/>
          <w:highlight w:val="none"/>
        </w:rPr>
        <w:t>银行</w:t>
      </w:r>
    </w:p>
    <w:p w14:paraId="3A1E8FBC">
      <w:pPr>
        <w:rPr>
          <w:snapToGrid w:val="0"/>
          <w:color w:val="auto"/>
          <w:kern w:val="0"/>
          <w:sz w:val="24"/>
          <w:szCs w:val="24"/>
          <w:highlight w:val="none"/>
        </w:rPr>
      </w:pPr>
    </w:p>
    <w:p w14:paraId="70E70B26">
      <w:pPr>
        <w:spacing w:line="360" w:lineRule="auto"/>
        <w:ind w:left="141" w:leftChars="67" w:firstLine="480" w:firstLineChars="200"/>
        <w:rPr>
          <w:snapToGrid w:val="0"/>
          <w:color w:val="auto"/>
          <w:kern w:val="0"/>
          <w:sz w:val="24"/>
          <w:szCs w:val="24"/>
          <w:highlight w:val="none"/>
        </w:rPr>
      </w:pPr>
      <w:r>
        <w:rPr>
          <w:rFonts w:hint="eastAsia"/>
          <w:snapToGrid w:val="0"/>
          <w:color w:val="auto"/>
          <w:kern w:val="0"/>
          <w:sz w:val="24"/>
          <w:szCs w:val="24"/>
          <w:highlight w:val="none"/>
        </w:rPr>
        <w:t>我公司承造广州市越秀区代建项目管理中心的花果山产业小镇综合配套工程建设项目项目，根据广州市越秀区代建项目管理中心的有关项目建设资金的相关管理规定，需在贵行开立该项目的专用帐户。为更好地履行合同，推进该项目的工程进度能按期保质完成，实现建设资金专款专用的目的，现授权贵行可将我司账户往来结算记录及对账单等资料仅供广州市越秀区代建项目管理中心查阅。</w:t>
      </w:r>
    </w:p>
    <w:p w14:paraId="19032F68">
      <w:pPr>
        <w:spacing w:line="360" w:lineRule="auto"/>
        <w:rPr>
          <w:snapToGrid w:val="0"/>
          <w:color w:val="auto"/>
          <w:kern w:val="0"/>
          <w:sz w:val="24"/>
          <w:szCs w:val="24"/>
          <w:highlight w:val="none"/>
        </w:rPr>
      </w:pPr>
      <w:r>
        <w:rPr>
          <w:rFonts w:hint="eastAsia"/>
          <w:snapToGrid w:val="0"/>
          <w:color w:val="auto"/>
          <w:kern w:val="0"/>
          <w:sz w:val="24"/>
          <w:szCs w:val="24"/>
          <w:highlight w:val="none"/>
        </w:rPr>
        <w:t>特此授权。</w:t>
      </w:r>
    </w:p>
    <w:p w14:paraId="647BC07B">
      <w:pPr>
        <w:ind w:firstLine="435"/>
        <w:rPr>
          <w:snapToGrid w:val="0"/>
          <w:color w:val="auto"/>
          <w:kern w:val="0"/>
          <w:sz w:val="24"/>
          <w:szCs w:val="24"/>
          <w:highlight w:val="none"/>
        </w:rPr>
      </w:pPr>
    </w:p>
    <w:p w14:paraId="0CB5394F">
      <w:pPr>
        <w:ind w:firstLine="435"/>
        <w:rPr>
          <w:snapToGrid w:val="0"/>
          <w:color w:val="auto"/>
          <w:kern w:val="0"/>
          <w:sz w:val="24"/>
          <w:szCs w:val="24"/>
          <w:highlight w:val="none"/>
        </w:rPr>
      </w:pPr>
    </w:p>
    <w:p w14:paraId="23E4A153">
      <w:pPr>
        <w:ind w:firstLine="435"/>
        <w:rPr>
          <w:snapToGrid w:val="0"/>
          <w:color w:val="auto"/>
          <w:kern w:val="0"/>
          <w:sz w:val="24"/>
          <w:szCs w:val="24"/>
          <w:highlight w:val="none"/>
        </w:rPr>
      </w:pPr>
    </w:p>
    <w:p w14:paraId="7A6DDD6F">
      <w:pPr>
        <w:ind w:firstLine="3612" w:firstLineChars="1505"/>
        <w:rPr>
          <w:snapToGrid w:val="0"/>
          <w:color w:val="auto"/>
          <w:kern w:val="0"/>
          <w:sz w:val="24"/>
          <w:szCs w:val="24"/>
          <w:highlight w:val="none"/>
        </w:rPr>
      </w:pPr>
      <w:r>
        <w:rPr>
          <w:rFonts w:hint="eastAsia"/>
          <w:snapToGrid w:val="0"/>
          <w:color w:val="auto"/>
          <w:kern w:val="0"/>
          <w:sz w:val="24"/>
          <w:szCs w:val="24"/>
          <w:highlight w:val="none"/>
        </w:rPr>
        <w:t>法定代表人签名：</w:t>
      </w:r>
    </w:p>
    <w:p w14:paraId="2DD44FCC">
      <w:pPr>
        <w:ind w:firstLine="435"/>
        <w:rPr>
          <w:snapToGrid w:val="0"/>
          <w:color w:val="auto"/>
          <w:kern w:val="0"/>
          <w:sz w:val="24"/>
          <w:szCs w:val="24"/>
          <w:highlight w:val="none"/>
        </w:rPr>
      </w:pPr>
    </w:p>
    <w:p w14:paraId="08472BF0">
      <w:pPr>
        <w:ind w:firstLine="3600" w:firstLineChars="1500"/>
        <w:rPr>
          <w:snapToGrid w:val="0"/>
          <w:color w:val="auto"/>
          <w:kern w:val="0"/>
          <w:sz w:val="24"/>
          <w:szCs w:val="24"/>
          <w:highlight w:val="none"/>
        </w:rPr>
      </w:pPr>
      <w:r>
        <w:rPr>
          <w:rFonts w:hint="eastAsia"/>
          <w:snapToGrid w:val="0"/>
          <w:color w:val="auto"/>
          <w:kern w:val="0"/>
          <w:sz w:val="24"/>
          <w:szCs w:val="24"/>
          <w:highlight w:val="none"/>
        </w:rPr>
        <w:t>企业公章：</w:t>
      </w:r>
    </w:p>
    <w:p w14:paraId="7029DF18">
      <w:pPr>
        <w:ind w:firstLine="435"/>
        <w:rPr>
          <w:snapToGrid w:val="0"/>
          <w:color w:val="auto"/>
          <w:kern w:val="0"/>
          <w:sz w:val="24"/>
          <w:szCs w:val="24"/>
          <w:highlight w:val="none"/>
        </w:rPr>
      </w:pPr>
    </w:p>
    <w:p w14:paraId="4FD9A90E">
      <w:pPr>
        <w:ind w:firstLine="435"/>
        <w:rPr>
          <w:snapToGrid w:val="0"/>
          <w:color w:val="auto"/>
          <w:kern w:val="0"/>
          <w:sz w:val="24"/>
          <w:szCs w:val="24"/>
          <w:highlight w:val="none"/>
        </w:rPr>
      </w:pPr>
      <w:r>
        <w:rPr>
          <w:rFonts w:hint="eastAsia"/>
          <w:snapToGrid w:val="0"/>
          <w:color w:val="auto"/>
          <w:kern w:val="0"/>
          <w:sz w:val="24"/>
          <w:szCs w:val="24"/>
          <w:highlight w:val="none"/>
        </w:rPr>
        <w:t>日期：</w:t>
      </w:r>
    </w:p>
    <w:p w14:paraId="5586836B">
      <w:pPr>
        <w:adjustRightInd w:val="0"/>
        <w:snapToGrid w:val="0"/>
        <w:spacing w:line="360" w:lineRule="auto"/>
        <w:rPr>
          <w:rFonts w:ascii="宋体" w:hAnsi="宋体"/>
          <w:bCs/>
          <w:snapToGrid w:val="0"/>
          <w:color w:val="auto"/>
          <w:kern w:val="0"/>
          <w:sz w:val="24"/>
          <w:szCs w:val="24"/>
          <w:highlight w:val="none"/>
          <w:bdr w:val="single" w:color="auto" w:sz="4" w:space="0"/>
        </w:rPr>
      </w:pPr>
    </w:p>
    <w:p w14:paraId="0A524ADF">
      <w:pPr>
        <w:pStyle w:val="5"/>
        <w:adjustRightInd w:val="0"/>
        <w:snapToGrid w:val="0"/>
        <w:spacing w:after="0" w:line="360" w:lineRule="auto"/>
        <w:ind w:firstLine="0"/>
        <w:rPr>
          <w:rFonts w:ascii="宋体" w:hAnsi="宋体"/>
          <w:snapToGrid w:val="0"/>
          <w:color w:val="auto"/>
          <w:kern w:val="0"/>
          <w:sz w:val="24"/>
          <w:szCs w:val="24"/>
          <w:highlight w:val="none"/>
        </w:rPr>
      </w:pPr>
      <w:r>
        <w:rPr>
          <w:snapToGrid w:val="0"/>
          <w:color w:val="auto"/>
          <w:kern w:val="0"/>
          <w:highlight w:val="none"/>
          <w:u w:val="single"/>
        </w:rPr>
        <w:br w:type="page"/>
      </w:r>
      <w:r>
        <w:rPr>
          <w:rFonts w:hint="eastAsia" w:ascii="宋体" w:hAnsi="宋体"/>
          <w:snapToGrid w:val="0"/>
          <w:color w:val="auto"/>
          <w:kern w:val="0"/>
          <w:sz w:val="24"/>
          <w:szCs w:val="24"/>
          <w:highlight w:val="none"/>
        </w:rPr>
        <w:t>附件9：</w:t>
      </w:r>
    </w:p>
    <w:p w14:paraId="4938D19D">
      <w:pPr>
        <w:jc w:val="center"/>
        <w:rPr>
          <w:rFonts w:ascii="宋体" w:hAnsi="宋体"/>
          <w:color w:val="auto"/>
          <w:sz w:val="32"/>
          <w:szCs w:val="32"/>
          <w:highlight w:val="none"/>
        </w:rPr>
      </w:pPr>
      <w:r>
        <w:rPr>
          <w:rFonts w:hint="eastAsia" w:ascii="宋体" w:hAnsi="宋体"/>
          <w:b/>
          <w:color w:val="auto"/>
          <w:sz w:val="32"/>
          <w:szCs w:val="32"/>
          <w:highlight w:val="none"/>
        </w:rPr>
        <w:t>施工单位安全生产管理目标责任书</w:t>
      </w:r>
    </w:p>
    <w:p w14:paraId="77059EDE">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为保证广州市越秀区代建项目管理中心向广州市人民政府承诺的安全责任目标的实现，按照广州市越秀区代建项目管理中心与区政府签订的《广州市安全生产责任书》关于建立安全生产目标责任考核机制，必须与施工单位签订安全生产责任书的要求，特签订本责任书。</w:t>
      </w:r>
    </w:p>
    <w:p w14:paraId="2F765149">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本责任书由施工单位法定代表人向广州市越秀区代建项目管理中心主任签订。</w:t>
      </w:r>
    </w:p>
    <w:p w14:paraId="1401AFAC">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一、责任目标</w:t>
      </w:r>
    </w:p>
    <w:p w14:paraId="045767EC">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目标一：事故隐患排查治理覆盖率90%以上，一般事故隐患整改率95%以上，重大事故隐患挂牌督办率100%、整改率90%以上；安全生产非法违法行为举报投诉查办率达到100%。杜绝发生一般事故等级及以上的伤亡事故且工伤责任事故死亡人数为零。</w:t>
      </w:r>
    </w:p>
    <w:p w14:paraId="5FB3C56D">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目标二：确保</w:t>
      </w:r>
    </w:p>
    <w:p w14:paraId="57AF289B">
      <w:pPr>
        <w:spacing w:line="440" w:lineRule="exact"/>
        <w:ind w:firstLine="420" w:firstLineChars="200"/>
        <w:rPr>
          <w:rFonts w:ascii="宋体" w:hAnsi="宋体"/>
          <w:color w:val="auto"/>
          <w:szCs w:val="21"/>
          <w:highlight w:val="none"/>
        </w:rPr>
      </w:pPr>
      <w:r>
        <w:rPr>
          <w:rFonts w:hint="eastAsia" w:ascii="宋体" w:hAnsi="宋体"/>
          <w:bCs/>
          <w:snapToGrid w:val="0"/>
          <w:color w:val="auto"/>
          <w:kern w:val="0"/>
          <w:szCs w:val="21"/>
          <w:highlight w:val="none"/>
          <w:bdr w:val="single" w:color="auto" w:sz="4" w:space="0"/>
        </w:rPr>
        <w:t>√</w:t>
      </w:r>
      <w:r>
        <w:rPr>
          <w:rFonts w:hint="eastAsia" w:ascii="宋体" w:hAnsi="宋体"/>
          <w:color w:val="auto"/>
          <w:szCs w:val="21"/>
          <w:highlight w:val="none"/>
        </w:rPr>
        <w:t>按照广州市安全文明样板工地标准。</w:t>
      </w:r>
    </w:p>
    <w:p w14:paraId="2F5A5B95">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目标三：确保及时支付工人工资，不出现劳资纠纷或群体维稳事件。</w:t>
      </w:r>
    </w:p>
    <w:p w14:paraId="43CB3A73">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二、责任单位和责任人</w:t>
      </w:r>
    </w:p>
    <w:p w14:paraId="3BEC7ACD">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施工单位法定代表人依法对本单位安全生产工作全面负责，项目经理对工程项目的安全施工负责。</w:t>
      </w:r>
    </w:p>
    <w:p w14:paraId="571221AC">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三、责任事项</w:t>
      </w:r>
    </w:p>
    <w:p w14:paraId="75A9DA90">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（一）施工单位是安全生产的主体责任单位之一，要切实履行全国人大及其常委会、国务院、住建部、广东省、广州市等颁布的法律、法规、部门规章、地方性法规规定之安全生产义务。</w:t>
      </w:r>
    </w:p>
    <w:p w14:paraId="14E2B6DD">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（二）施工单位要认真履</w:t>
      </w:r>
      <w:r>
        <w:rPr>
          <w:rFonts w:hint="eastAsia" w:ascii="宋体" w:hAnsi="宋体"/>
          <w:bCs/>
          <w:snapToGrid w:val="0"/>
          <w:color w:val="auto"/>
          <w:szCs w:val="21"/>
          <w:highlight w:val="none"/>
        </w:rPr>
        <w:t>行《花果山产业小镇综合配套工程建设项目项目施工合同》，认真做到安全事故处理“四不放过”（</w:t>
      </w:r>
      <w:r>
        <w:rPr>
          <w:rFonts w:ascii="宋体" w:hAnsi="宋体"/>
          <w:bCs/>
          <w:snapToGrid w:val="0"/>
          <w:color w:val="auto"/>
          <w:szCs w:val="21"/>
          <w:highlight w:val="none"/>
        </w:rPr>
        <w:t>事故原因未查清不放过；事故责任人未受到处</w:t>
      </w:r>
      <w:r>
        <w:rPr>
          <w:rFonts w:ascii="宋体" w:hAnsi="宋体"/>
          <w:color w:val="auto"/>
          <w:szCs w:val="21"/>
          <w:highlight w:val="none"/>
        </w:rPr>
        <w:t>理不放过；事故责任人和广大群众没有受到教育不放过；事故没有制订切实可行的整改措施不放过</w:t>
      </w:r>
      <w:r>
        <w:rPr>
          <w:rFonts w:hint="eastAsia" w:ascii="宋体" w:hAnsi="宋体"/>
          <w:color w:val="auto"/>
          <w:szCs w:val="21"/>
          <w:highlight w:val="none"/>
        </w:rPr>
        <w:t>）；认真做到重大危险源、重大隐患要有预测、有预警、有预案；认真做到要生产就必须安全，不安全就不能生产。</w:t>
      </w:r>
    </w:p>
    <w:p w14:paraId="21D513A2">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四、落实责任的组织架构和措施</w:t>
      </w:r>
    </w:p>
    <w:p w14:paraId="0509D152">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（一）施工单位要设立在法定代表人指导下，以项目经理为主的安全生产管理组织架构，保证安全生产责任制度的落实。</w:t>
      </w:r>
    </w:p>
    <w:p w14:paraId="7D91595E">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（二）施工单位要按合同约定确保项目经理和专职安全管理人员到岗履职，并由单位法定代表人与其签署安全责任授权书。</w:t>
      </w:r>
    </w:p>
    <w:p w14:paraId="3FD80419">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（三）施工单位要确保项目经理按照《住房城乡建设部关于印发&lt;建筑施工项目经理质量安全责任十项规定（试行）&gt;的通知》（建质〔2014〕123号）的要求落实安全责任。</w:t>
      </w:r>
    </w:p>
    <w:p w14:paraId="7001A663">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四）施工单位要按《关于印发&lt;广东省建设厅建筑工程安全防护、文明施工措施费用管理办法&gt;的通知》（粤建管字〔2007〕39号）、《关于印发广州市建筑工程安全生产措施费管理办法的通知》（穗建筑［2003］106号）的要求切实将措施费足额用于安全防护和安全措施，不得挪作他用。</w:t>
      </w:r>
    </w:p>
    <w:p w14:paraId="2CF2D9F3">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五）施工单位必须按《广州市建设领域工人工资支付分账管理实施细则》（穗建规字[2017]10号）、《广州市住房和城乡建设局关于在我市房建市政工程贯彻执行省用工实名及工人工资支付专用账户管理办法有关要求的通知》（穗建筑【2019】352号）等相关规定执行，切实将工人工资支付专用账户的资金用于发放工人工资，不得挪作他用。</w:t>
      </w:r>
    </w:p>
    <w:p w14:paraId="56083612">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五、责任追究</w:t>
      </w:r>
    </w:p>
    <w:p w14:paraId="5C5095DC">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（一）如工程未能实现承诺的“责任目标”时，当属严重失责行为，按照以下违约处理：</w:t>
      </w:r>
    </w:p>
    <w:p w14:paraId="294B3937">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1．“目标一”未能实现时，除按国家、省、市有关规定处罚外，另根据每宗事故等级不同，按合同对单位处以相应违约金。</w:t>
      </w:r>
    </w:p>
    <w:p w14:paraId="7A04C188">
      <w:pPr>
        <w:spacing w:line="440" w:lineRule="exact"/>
        <w:ind w:firstLine="420" w:firstLineChars="200"/>
        <w:rPr>
          <w:rFonts w:ascii="宋体" w:hAnsi="宋体"/>
          <w:color w:val="auto"/>
          <w:szCs w:val="21"/>
          <w:highlight w:val="none"/>
        </w:rPr>
      </w:pPr>
      <w:r>
        <w:rPr>
          <w:rFonts w:hint="eastAsia" w:ascii="宋体" w:hAnsi="宋体"/>
          <w:bCs/>
          <w:snapToGrid w:val="0"/>
          <w:color w:val="auto"/>
          <w:kern w:val="0"/>
          <w:szCs w:val="21"/>
          <w:highlight w:val="none"/>
          <w:bdr w:val="single" w:color="auto" w:sz="4" w:space="0"/>
        </w:rPr>
        <w:t>√</w:t>
      </w:r>
      <w:r>
        <w:rPr>
          <w:rFonts w:hint="eastAsia" w:ascii="宋体" w:hAnsi="宋体"/>
          <w:color w:val="auto"/>
          <w:szCs w:val="21"/>
          <w:highlight w:val="none"/>
        </w:rPr>
        <w:t>2。“目标二”未能实现时，参照合同约定的“严重违约”条款对单位处以违约金。</w:t>
      </w:r>
    </w:p>
    <w:p w14:paraId="5E545432">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（二）在责任期内，广州市越秀区代建项目管理中心检查发现有违本书“三、责任事项”中约定的法律法规、合同、制度的规定时，属失责行为，按照相应条款进行处罚。</w:t>
      </w:r>
    </w:p>
    <w:p w14:paraId="30584407">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六、其他事项</w:t>
      </w:r>
    </w:p>
    <w:p w14:paraId="29EA2979">
      <w:pPr>
        <w:numPr>
          <w:ilvl w:val="0"/>
          <w:numId w:val="10"/>
        </w:numPr>
        <w:tabs>
          <w:tab w:val="left" w:pos="360"/>
          <w:tab w:val="clear" w:pos="855"/>
        </w:tabs>
        <w:spacing w:line="440" w:lineRule="exact"/>
        <w:ind w:left="0" w:firstLine="420" w:firstLineChars="200"/>
        <w:rPr>
          <w:rFonts w:ascii="宋体" w:hAnsi="宋体"/>
          <w:color w:val="auto"/>
          <w:szCs w:val="21"/>
          <w:highlight w:val="none"/>
        </w:rPr>
      </w:pPr>
      <w:r>
        <w:rPr>
          <w:rFonts w:hint="eastAsia" w:ascii="宋体" w:hAnsi="宋体"/>
          <w:color w:val="auto"/>
          <w:szCs w:val="21"/>
          <w:highlight w:val="none"/>
        </w:rPr>
        <w:t>广州市越秀区代建项目管理中心将全力支持与促成“责任目标”的实现，与此同时，将严格督促施工单位承担安全责任，发现失责时，按本责任书的条文予以处罚。</w:t>
      </w:r>
    </w:p>
    <w:p w14:paraId="1C68CF70">
      <w:pPr>
        <w:numPr>
          <w:ilvl w:val="0"/>
          <w:numId w:val="10"/>
        </w:numPr>
        <w:tabs>
          <w:tab w:val="left" w:pos="360"/>
          <w:tab w:val="clear" w:pos="855"/>
        </w:tabs>
        <w:spacing w:line="440" w:lineRule="exact"/>
        <w:ind w:left="0" w:firstLine="420" w:firstLineChars="200"/>
        <w:rPr>
          <w:rFonts w:ascii="宋体" w:hAnsi="宋体"/>
          <w:color w:val="auto"/>
          <w:szCs w:val="21"/>
          <w:highlight w:val="none"/>
        </w:rPr>
      </w:pPr>
      <w:r>
        <w:rPr>
          <w:rFonts w:hint="eastAsia" w:ascii="宋体" w:hAnsi="宋体"/>
          <w:color w:val="auto"/>
          <w:szCs w:val="21"/>
          <w:highlight w:val="none"/>
        </w:rPr>
        <w:t>本责任书之责任期限由签订之日起至该项目取得《建设工程施工安全评价书》日期为止。</w:t>
      </w:r>
    </w:p>
    <w:p w14:paraId="1BA74ADE">
      <w:pPr>
        <w:numPr>
          <w:ilvl w:val="0"/>
          <w:numId w:val="10"/>
        </w:numPr>
        <w:tabs>
          <w:tab w:val="left" w:pos="360"/>
          <w:tab w:val="clear" w:pos="855"/>
        </w:tabs>
        <w:spacing w:line="440" w:lineRule="exact"/>
        <w:ind w:left="0" w:firstLine="420" w:firstLineChars="200"/>
        <w:rPr>
          <w:rFonts w:ascii="宋体" w:hAnsi="宋体"/>
          <w:color w:val="auto"/>
          <w:szCs w:val="21"/>
          <w:highlight w:val="none"/>
        </w:rPr>
      </w:pPr>
      <w:r>
        <w:rPr>
          <w:rFonts w:hint="eastAsia" w:ascii="宋体" w:hAnsi="宋体"/>
          <w:color w:val="auto"/>
          <w:szCs w:val="21"/>
          <w:highlight w:val="none"/>
        </w:rPr>
        <w:t>本责任书作为合同附件一式两份，签订方各执一份。如签订人离任，安全责任则由继任人承担。</w:t>
      </w:r>
    </w:p>
    <w:p w14:paraId="002178E9">
      <w:pPr>
        <w:spacing w:line="440" w:lineRule="exact"/>
        <w:rPr>
          <w:rFonts w:ascii="宋体" w:hAnsi="宋体"/>
          <w:color w:val="auto"/>
          <w:szCs w:val="21"/>
          <w:highlight w:val="none"/>
        </w:rPr>
      </w:pPr>
    </w:p>
    <w:p w14:paraId="61608A4B">
      <w:pPr>
        <w:spacing w:line="440" w:lineRule="exact"/>
        <w:rPr>
          <w:rFonts w:ascii="宋体" w:hAnsi="宋体"/>
          <w:b/>
          <w:bCs/>
          <w:snapToGrid w:val="0"/>
          <w:color w:val="auto"/>
          <w:spacing w:val="-20"/>
          <w:kern w:val="0"/>
          <w:szCs w:val="21"/>
          <w:highlight w:val="none"/>
          <w:u w:val="single"/>
        </w:rPr>
      </w:pPr>
      <w:r>
        <w:rPr>
          <w:rFonts w:hint="eastAsia" w:ascii="宋体" w:hAnsi="宋体"/>
          <w:b/>
          <w:color w:val="auto"/>
          <w:spacing w:val="-20"/>
          <w:szCs w:val="21"/>
          <w:highlight w:val="none"/>
        </w:rPr>
        <w:t xml:space="preserve">  广州市越秀区代建项目管理中心（章）</w:t>
      </w:r>
      <w:r>
        <w:rPr>
          <w:rFonts w:hint="eastAsia" w:ascii="宋体" w:hAnsi="宋体"/>
          <w:b/>
          <w:bCs/>
          <w:snapToGrid w:val="0"/>
          <w:color w:val="auto"/>
          <w:spacing w:val="-20"/>
          <w:kern w:val="0"/>
          <w:szCs w:val="21"/>
          <w:highlight w:val="none"/>
        </w:rPr>
        <w:t xml:space="preserve">                          （章）</w:t>
      </w:r>
    </w:p>
    <w:p w14:paraId="289ECFEA">
      <w:pPr>
        <w:spacing w:line="440" w:lineRule="exact"/>
        <w:rPr>
          <w:rFonts w:ascii="宋体" w:hAnsi="宋体"/>
          <w:color w:val="auto"/>
          <w:szCs w:val="21"/>
          <w:highlight w:val="none"/>
        </w:rPr>
      </w:pPr>
    </w:p>
    <w:p w14:paraId="019678DB">
      <w:pPr>
        <w:spacing w:line="440" w:lineRule="exact"/>
        <w:rPr>
          <w:rFonts w:ascii="宋体" w:hAnsi="宋体"/>
          <w:color w:val="auto"/>
          <w:spacing w:val="-20"/>
          <w:szCs w:val="21"/>
          <w:highlight w:val="none"/>
        </w:rPr>
      </w:pPr>
      <w:r>
        <w:rPr>
          <w:rFonts w:hint="eastAsia" w:ascii="宋体" w:hAnsi="宋体"/>
          <w:color w:val="auto"/>
          <w:spacing w:val="-20"/>
          <w:szCs w:val="21"/>
          <w:highlight w:val="none"/>
        </w:rPr>
        <w:t>法定代表人（安全责任人）签名：                                 法定代表人（安全责任人）签名：</w:t>
      </w:r>
    </w:p>
    <w:p w14:paraId="75B9BB77">
      <w:pPr>
        <w:spacing w:line="440" w:lineRule="exact"/>
        <w:rPr>
          <w:rFonts w:ascii="宋体" w:hAnsi="宋体"/>
          <w:color w:val="auto"/>
          <w:szCs w:val="21"/>
          <w:highlight w:val="none"/>
        </w:rPr>
      </w:pPr>
    </w:p>
    <w:p w14:paraId="5802CB00">
      <w:pPr>
        <w:spacing w:line="520" w:lineRule="exact"/>
        <w:rPr>
          <w:color w:val="auto"/>
          <w:sz w:val="28"/>
          <w:szCs w:val="28"/>
          <w:highlight w:val="none"/>
        </w:rPr>
      </w:pPr>
      <w:r>
        <w:rPr>
          <w:rFonts w:hint="eastAsia" w:ascii="宋体" w:hAnsi="宋体"/>
          <w:color w:val="auto"/>
          <w:szCs w:val="21"/>
          <w:highlight w:val="none"/>
        </w:rPr>
        <w:t>日期：2024年  月  日                         日期：2024年  月  日</w:t>
      </w:r>
    </w:p>
    <w:p w14:paraId="5BD70CA5">
      <w:pPr>
        <w:spacing w:line="520" w:lineRule="exact"/>
        <w:rPr>
          <w:rFonts w:ascii="宋体" w:hAnsi="宋体"/>
          <w:snapToGrid w:val="0"/>
          <w:color w:val="auto"/>
          <w:kern w:val="0"/>
          <w:sz w:val="24"/>
          <w:szCs w:val="24"/>
          <w:highlight w:val="none"/>
        </w:rPr>
      </w:pPr>
      <w:r>
        <w:rPr>
          <w:color w:val="auto"/>
          <w:sz w:val="28"/>
          <w:szCs w:val="28"/>
          <w:highlight w:val="none"/>
        </w:rPr>
        <w:br w:type="page"/>
      </w:r>
      <w:r>
        <w:rPr>
          <w:rFonts w:hint="eastAsia" w:ascii="宋体" w:hAnsi="宋体"/>
          <w:bCs/>
          <w:snapToGrid w:val="0"/>
          <w:color w:val="auto"/>
          <w:kern w:val="0"/>
          <w:szCs w:val="21"/>
          <w:highlight w:val="none"/>
          <w:bdr w:val="single" w:color="auto" w:sz="4" w:space="0"/>
        </w:rPr>
        <w:t>√</w:t>
      </w:r>
      <w:r>
        <w:rPr>
          <w:rFonts w:hint="eastAsia" w:ascii="宋体" w:hAnsi="宋体"/>
          <w:snapToGrid w:val="0"/>
          <w:color w:val="auto"/>
          <w:kern w:val="0"/>
          <w:sz w:val="24"/>
          <w:szCs w:val="24"/>
          <w:highlight w:val="none"/>
        </w:rPr>
        <w:t>附件10：</w:t>
      </w:r>
    </w:p>
    <w:p w14:paraId="350505F9">
      <w:pPr>
        <w:adjustRightInd w:val="0"/>
        <w:snapToGrid w:val="0"/>
        <w:spacing w:line="360" w:lineRule="auto"/>
        <w:jc w:val="center"/>
        <w:rPr>
          <w:rFonts w:ascii="宋体" w:hAnsi="宋体"/>
          <w:b/>
          <w:snapToGrid w:val="0"/>
          <w:color w:val="auto"/>
          <w:spacing w:val="-20"/>
          <w:kern w:val="0"/>
          <w:sz w:val="32"/>
          <w:szCs w:val="32"/>
          <w:highlight w:val="none"/>
        </w:rPr>
      </w:pPr>
      <w:r>
        <w:rPr>
          <w:rFonts w:hint="eastAsia" w:ascii="宋体" w:hAnsi="宋体"/>
          <w:b/>
          <w:snapToGrid w:val="0"/>
          <w:color w:val="auto"/>
          <w:spacing w:val="-20"/>
          <w:kern w:val="0"/>
          <w:sz w:val="32"/>
          <w:szCs w:val="32"/>
          <w:highlight w:val="none"/>
        </w:rPr>
        <w:t>花果山产业小镇综合配套工程建设项目</w:t>
      </w:r>
    </w:p>
    <w:p w14:paraId="452EEE0A">
      <w:pPr>
        <w:adjustRightInd w:val="0"/>
        <w:snapToGrid w:val="0"/>
        <w:spacing w:line="360" w:lineRule="auto"/>
        <w:jc w:val="center"/>
        <w:rPr>
          <w:rFonts w:ascii="宋体" w:hAnsi="宋体"/>
          <w:b/>
          <w:snapToGrid w:val="0"/>
          <w:color w:val="auto"/>
          <w:spacing w:val="-20"/>
          <w:kern w:val="0"/>
          <w:sz w:val="32"/>
          <w:szCs w:val="32"/>
          <w:highlight w:val="none"/>
        </w:rPr>
      </w:pPr>
      <w:r>
        <w:rPr>
          <w:rFonts w:hint="eastAsia" w:ascii="宋体" w:hAnsi="宋体"/>
          <w:b/>
          <w:snapToGrid w:val="0"/>
          <w:color w:val="auto"/>
          <w:spacing w:val="-20"/>
          <w:kern w:val="0"/>
          <w:sz w:val="32"/>
          <w:szCs w:val="32"/>
          <w:highlight w:val="none"/>
        </w:rPr>
        <w:t>工人工资支付分账管理协议书</w:t>
      </w:r>
    </w:p>
    <w:p w14:paraId="5CB13111">
      <w:pPr>
        <w:adjustRightInd w:val="0"/>
        <w:snapToGrid w:val="0"/>
        <w:spacing w:line="360" w:lineRule="auto"/>
        <w:jc w:val="center"/>
        <w:rPr>
          <w:rFonts w:ascii="宋体" w:hAnsi="宋体"/>
          <w:b/>
          <w:snapToGrid w:val="0"/>
          <w:color w:val="auto"/>
          <w:spacing w:val="-20"/>
          <w:kern w:val="0"/>
          <w:sz w:val="32"/>
          <w:szCs w:val="32"/>
          <w:highlight w:val="none"/>
        </w:rPr>
      </w:pPr>
      <w:r>
        <w:rPr>
          <w:rFonts w:hint="eastAsia" w:ascii="宋体" w:hAnsi="宋体"/>
          <w:b/>
          <w:snapToGrid w:val="0"/>
          <w:color w:val="auto"/>
          <w:spacing w:val="-20"/>
          <w:kern w:val="0"/>
          <w:sz w:val="32"/>
          <w:szCs w:val="32"/>
          <w:highlight w:val="none"/>
        </w:rPr>
        <w:t>（格式）</w:t>
      </w:r>
    </w:p>
    <w:p w14:paraId="2B8121D3">
      <w:pPr>
        <w:adjustRightInd w:val="0"/>
        <w:snapToGrid w:val="0"/>
        <w:spacing w:line="360" w:lineRule="auto"/>
        <w:rPr>
          <w:rFonts w:ascii="宋体" w:hAnsi="宋体"/>
          <w:bCs/>
          <w:snapToGrid w:val="0"/>
          <w:color w:val="auto"/>
          <w:kern w:val="0"/>
          <w:sz w:val="24"/>
          <w:szCs w:val="24"/>
          <w:highlight w:val="none"/>
        </w:rPr>
      </w:pPr>
    </w:p>
    <w:p w14:paraId="7DE1730A">
      <w:pPr>
        <w:adjustRightInd w:val="0"/>
        <w:snapToGrid w:val="0"/>
        <w:spacing w:line="360" w:lineRule="auto"/>
        <w:rPr>
          <w:rFonts w:ascii="宋体" w:hAnsi="宋体"/>
          <w:b/>
          <w:bCs/>
          <w:snapToGrid w:val="0"/>
          <w:color w:val="auto"/>
          <w:kern w:val="0"/>
          <w:sz w:val="24"/>
          <w:szCs w:val="24"/>
          <w:highlight w:val="none"/>
        </w:rPr>
      </w:pPr>
      <w:r>
        <w:rPr>
          <w:rFonts w:hint="eastAsia" w:ascii="宋体" w:hAnsi="宋体"/>
          <w:b/>
          <w:bCs/>
          <w:snapToGrid w:val="0"/>
          <w:color w:val="auto"/>
          <w:kern w:val="0"/>
          <w:sz w:val="24"/>
          <w:szCs w:val="24"/>
          <w:highlight w:val="none"/>
        </w:rPr>
        <w:t>发包人（甲方）：广州市越秀区代建项目管理中心</w:t>
      </w:r>
    </w:p>
    <w:p w14:paraId="58E7C019">
      <w:pPr>
        <w:adjustRightInd w:val="0"/>
        <w:snapToGrid w:val="0"/>
        <w:spacing w:line="360" w:lineRule="auto"/>
        <w:rPr>
          <w:rFonts w:ascii="宋体" w:hAnsi="宋体"/>
          <w:b/>
          <w:snapToGrid w:val="0"/>
          <w:color w:val="auto"/>
          <w:spacing w:val="-20"/>
          <w:kern w:val="0"/>
          <w:sz w:val="24"/>
          <w:szCs w:val="24"/>
          <w:highlight w:val="none"/>
        </w:rPr>
      </w:pPr>
      <w:r>
        <w:rPr>
          <w:rFonts w:hint="eastAsia" w:ascii="宋体" w:hAnsi="宋体"/>
          <w:b/>
          <w:bCs/>
          <w:snapToGrid w:val="0"/>
          <w:color w:val="auto"/>
          <w:kern w:val="0"/>
          <w:sz w:val="24"/>
          <w:szCs w:val="24"/>
          <w:highlight w:val="none"/>
        </w:rPr>
        <w:t xml:space="preserve">承包人（乙方）：  </w:t>
      </w:r>
    </w:p>
    <w:p w14:paraId="7F934D61">
      <w:pPr>
        <w:adjustRightInd w:val="0"/>
        <w:snapToGrid w:val="0"/>
        <w:spacing w:line="360" w:lineRule="auto"/>
        <w:rPr>
          <w:rFonts w:ascii="宋体" w:hAnsi="宋体"/>
          <w:b/>
          <w:snapToGrid w:val="0"/>
          <w:color w:val="auto"/>
          <w:spacing w:val="-20"/>
          <w:kern w:val="0"/>
          <w:sz w:val="24"/>
          <w:szCs w:val="24"/>
          <w:highlight w:val="none"/>
        </w:rPr>
      </w:pPr>
    </w:p>
    <w:p w14:paraId="603B58D0">
      <w:pPr>
        <w:adjustRightInd w:val="0"/>
        <w:snapToGrid w:val="0"/>
        <w:spacing w:line="360" w:lineRule="auto"/>
        <w:ind w:firstLine="470" w:firstLineChars="196"/>
        <w:rPr>
          <w:rFonts w:ascii="宋体" w:hAnsi="宋体" w:cs="宋体"/>
          <w:snapToGrid w:val="0"/>
          <w:color w:val="auto"/>
          <w:kern w:val="0"/>
          <w:sz w:val="24"/>
          <w:szCs w:val="24"/>
          <w:highlight w:val="none"/>
        </w:rPr>
      </w:pPr>
      <w:r>
        <w:rPr>
          <w:rFonts w:hint="eastAsia" w:ascii="宋体" w:hAnsi="宋体"/>
          <w:color w:val="auto"/>
          <w:kern w:val="0"/>
          <w:sz w:val="24"/>
          <w:szCs w:val="24"/>
          <w:highlight w:val="none"/>
        </w:rPr>
        <w:t>鉴于</w:t>
      </w:r>
      <w:r>
        <w:rPr>
          <w:rFonts w:hint="eastAsia" w:ascii="宋体" w:hAnsi="宋体" w:cs="宋体"/>
          <w:snapToGrid w:val="0"/>
          <w:color w:val="auto"/>
          <w:kern w:val="0"/>
          <w:sz w:val="24"/>
          <w:szCs w:val="24"/>
          <w:highlight w:val="none"/>
        </w:rPr>
        <w:t>年月，发包人（以下称甲方）、承包人（以下称乙方）双方就</w:t>
      </w:r>
      <w:r>
        <w:rPr>
          <w:rFonts w:hint="eastAsia" w:ascii="宋体" w:hAnsi="宋体" w:cs="宋体"/>
          <w:snapToGrid w:val="0"/>
          <w:color w:val="auto"/>
          <w:kern w:val="0"/>
          <w:sz w:val="24"/>
          <w:szCs w:val="24"/>
          <w:highlight w:val="none"/>
          <w:u w:val="single"/>
        </w:rPr>
        <w:t>花果山产业小镇综合配套工程建设项目</w:t>
      </w:r>
      <w:r>
        <w:rPr>
          <w:rFonts w:hint="eastAsia" w:ascii="宋体" w:hAnsi="宋体" w:cs="宋体"/>
          <w:snapToGrid w:val="0"/>
          <w:color w:val="auto"/>
          <w:kern w:val="0"/>
          <w:sz w:val="24"/>
          <w:szCs w:val="24"/>
          <w:highlight w:val="none"/>
        </w:rPr>
        <w:t>（以下称本项目）签订《</w:t>
      </w:r>
      <w:r>
        <w:rPr>
          <w:rFonts w:hint="eastAsia" w:ascii="宋体" w:hAnsi="宋体" w:cs="宋体"/>
          <w:snapToGrid w:val="0"/>
          <w:color w:val="auto"/>
          <w:kern w:val="0"/>
          <w:sz w:val="24"/>
          <w:szCs w:val="24"/>
          <w:highlight w:val="none"/>
          <w:u w:val="single"/>
        </w:rPr>
        <w:t>花果山产业小镇综合配套工程建设项目</w:t>
      </w:r>
      <w:r>
        <w:rPr>
          <w:rFonts w:hint="eastAsia" w:ascii="宋体" w:hAnsi="宋体" w:cs="宋体"/>
          <w:snapToGrid w:val="0"/>
          <w:color w:val="auto"/>
          <w:kern w:val="0"/>
          <w:sz w:val="24"/>
          <w:szCs w:val="24"/>
          <w:highlight w:val="none"/>
        </w:rPr>
        <w:t>合同》（合同编号：，以下称原合同）。</w:t>
      </w:r>
    </w:p>
    <w:p w14:paraId="6088FB44">
      <w:pPr>
        <w:adjustRightInd w:val="0"/>
        <w:snapToGrid w:val="0"/>
        <w:spacing w:line="360" w:lineRule="auto"/>
        <w:ind w:firstLine="470" w:firstLineChars="196"/>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现根据《广东省建设领域工人工资支付分账管理暂行办法》(粤人社规〔2015〕3号)、《广州市建设领域工人工资支付分账管理实施细则》（穗建规字〔2017〕10号）等有关规定，双方就本项目</w:t>
      </w:r>
      <w:r>
        <w:rPr>
          <w:rFonts w:hint="eastAsia" w:ascii="宋体" w:hAnsi="宋体" w:cs="宋体"/>
          <w:snapToGrid w:val="0"/>
          <w:color w:val="auto"/>
          <w:kern w:val="0"/>
          <w:sz w:val="24"/>
          <w:szCs w:val="24"/>
          <w:highlight w:val="none"/>
        </w:rPr>
        <w:t>工人工资支付分账管理</w:t>
      </w:r>
      <w:r>
        <w:rPr>
          <w:rFonts w:hint="eastAsia" w:ascii="宋体" w:hAnsi="宋体"/>
          <w:snapToGrid w:val="0"/>
          <w:color w:val="auto"/>
          <w:kern w:val="0"/>
          <w:sz w:val="24"/>
          <w:szCs w:val="24"/>
          <w:highlight w:val="none"/>
        </w:rPr>
        <w:t>事宜协商一致，达成如下协议，以资共同遵守。</w:t>
      </w:r>
    </w:p>
    <w:p w14:paraId="26B2C264">
      <w:pPr>
        <w:adjustRightInd w:val="0"/>
        <w:snapToGrid w:val="0"/>
        <w:spacing w:line="360" w:lineRule="auto"/>
        <w:ind w:right="11" w:firstLine="472" w:firstLineChars="196"/>
        <w:rPr>
          <w:rFonts w:ascii="宋体" w:hAnsi="宋体"/>
          <w:snapToGrid w:val="0"/>
          <w:color w:val="auto"/>
          <w:kern w:val="0"/>
          <w:sz w:val="24"/>
          <w:szCs w:val="24"/>
          <w:highlight w:val="none"/>
        </w:rPr>
      </w:pPr>
      <w:r>
        <w:rPr>
          <w:rFonts w:hint="eastAsia" w:ascii="宋体" w:hAnsi="宋体"/>
          <w:b/>
          <w:snapToGrid w:val="0"/>
          <w:color w:val="auto"/>
          <w:kern w:val="0"/>
          <w:sz w:val="24"/>
          <w:szCs w:val="24"/>
          <w:highlight w:val="none"/>
        </w:rPr>
        <w:t xml:space="preserve">第一条 </w:t>
      </w:r>
      <w:r>
        <w:rPr>
          <w:rFonts w:hint="eastAsia" w:ascii="宋体" w:hAnsi="宋体"/>
          <w:snapToGrid w:val="0"/>
          <w:color w:val="auto"/>
          <w:kern w:val="0"/>
          <w:sz w:val="24"/>
          <w:szCs w:val="24"/>
          <w:highlight w:val="none"/>
        </w:rPr>
        <w:t>甲方负责监督乙方的工人工资支付情况，协调本项目的工人工资支付事宜。乙方服从甲方有关工人工资支付的监督管理，否则由此导致拖欠或克扣工人工资造成群体性事件或其他不良行为的，由乙方承担全部责任。</w:t>
      </w:r>
    </w:p>
    <w:p w14:paraId="6EF35A8C">
      <w:pPr>
        <w:adjustRightInd w:val="0"/>
        <w:snapToGrid w:val="0"/>
        <w:spacing w:line="360" w:lineRule="auto"/>
        <w:ind w:right="11" w:firstLine="472" w:firstLineChars="196"/>
        <w:rPr>
          <w:rFonts w:ascii="宋体" w:hAnsi="宋体"/>
          <w:snapToGrid w:val="0"/>
          <w:color w:val="auto"/>
          <w:kern w:val="0"/>
          <w:sz w:val="24"/>
          <w:szCs w:val="24"/>
          <w:highlight w:val="none"/>
        </w:rPr>
      </w:pPr>
      <w:r>
        <w:rPr>
          <w:rFonts w:hint="eastAsia" w:ascii="宋体" w:hAnsi="宋体"/>
          <w:b/>
          <w:snapToGrid w:val="0"/>
          <w:color w:val="auto"/>
          <w:kern w:val="0"/>
          <w:sz w:val="24"/>
          <w:szCs w:val="24"/>
          <w:highlight w:val="none"/>
        </w:rPr>
        <w:t xml:space="preserve">第二条 </w:t>
      </w:r>
      <w:r>
        <w:rPr>
          <w:rFonts w:hint="eastAsia" w:ascii="宋体" w:hAnsi="宋体"/>
          <w:snapToGrid w:val="0"/>
          <w:color w:val="auto"/>
          <w:kern w:val="0"/>
          <w:sz w:val="24"/>
          <w:szCs w:val="24"/>
          <w:highlight w:val="none"/>
        </w:rPr>
        <w:t>乙方须对本项目工程款中的工人工资开立工人工资支付专用账户，严禁挪作他用，确保专款专用，其提供的具体账户信息如下：</w:t>
      </w:r>
    </w:p>
    <w:p w14:paraId="2844DFF3">
      <w:pPr>
        <w:adjustRightInd w:val="0"/>
        <w:snapToGrid w:val="0"/>
        <w:spacing w:line="360" w:lineRule="auto"/>
        <w:ind w:right="11" w:firstLine="470" w:firstLineChars="196"/>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开户名称：；</w:t>
      </w:r>
    </w:p>
    <w:p w14:paraId="427181D2">
      <w:pPr>
        <w:adjustRightInd w:val="0"/>
        <w:snapToGrid w:val="0"/>
        <w:spacing w:line="360" w:lineRule="auto"/>
        <w:ind w:right="11" w:firstLine="470" w:firstLineChars="196"/>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开户银行：；</w:t>
      </w:r>
    </w:p>
    <w:p w14:paraId="5A18B8B4">
      <w:pPr>
        <w:adjustRightInd w:val="0"/>
        <w:snapToGrid w:val="0"/>
        <w:spacing w:line="360" w:lineRule="auto"/>
        <w:ind w:right="11" w:firstLine="470" w:firstLineChars="196"/>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开户账号：。</w:t>
      </w:r>
    </w:p>
    <w:p w14:paraId="60A601EE">
      <w:pPr>
        <w:adjustRightInd w:val="0"/>
        <w:snapToGrid w:val="0"/>
        <w:spacing w:line="360" w:lineRule="auto"/>
        <w:ind w:right="11" w:firstLine="470" w:firstLineChars="196"/>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乙方办理工人工资支付专用账户撤销手续的，应当取得甲方对本项目完工且乙方已结清工人工资的确认意见。</w:t>
      </w:r>
    </w:p>
    <w:p w14:paraId="25759EB0">
      <w:pPr>
        <w:adjustRightInd w:val="0"/>
        <w:snapToGrid w:val="0"/>
        <w:spacing w:line="360" w:lineRule="auto"/>
        <w:ind w:right="11" w:firstLine="472" w:firstLineChars="196"/>
        <w:rPr>
          <w:rFonts w:ascii="宋体" w:hAnsi="宋体"/>
          <w:snapToGrid w:val="0"/>
          <w:color w:val="auto"/>
          <w:kern w:val="0"/>
          <w:sz w:val="24"/>
          <w:szCs w:val="24"/>
          <w:highlight w:val="none"/>
        </w:rPr>
      </w:pPr>
      <w:r>
        <w:rPr>
          <w:rFonts w:hint="eastAsia" w:ascii="宋体" w:hAnsi="宋体"/>
          <w:b/>
          <w:snapToGrid w:val="0"/>
          <w:color w:val="auto"/>
          <w:kern w:val="0"/>
          <w:sz w:val="24"/>
          <w:szCs w:val="24"/>
          <w:highlight w:val="none"/>
        </w:rPr>
        <w:t xml:space="preserve">第三条 </w:t>
      </w:r>
      <w:r>
        <w:rPr>
          <w:rFonts w:hint="eastAsia" w:ascii="宋体" w:hAnsi="宋体"/>
          <w:snapToGrid w:val="0"/>
          <w:color w:val="auto"/>
          <w:kern w:val="0"/>
          <w:sz w:val="24"/>
          <w:szCs w:val="24"/>
          <w:highlight w:val="none"/>
        </w:rPr>
        <w:t>乙方按照原合同约定申请工程款时，每一期工程款都必须按照规定比例将工程款项中的工人工资单列，以便甲方进行分账支付。如因乙方错误提供工人工资单列金额而导致相关工人工资无法支付的，由乙方承担由此引起的一切法律责任。</w:t>
      </w:r>
    </w:p>
    <w:p w14:paraId="1051DB6C">
      <w:pPr>
        <w:adjustRightInd w:val="0"/>
        <w:snapToGrid w:val="0"/>
        <w:spacing w:line="360" w:lineRule="auto"/>
        <w:ind w:right="11" w:firstLine="470" w:firstLineChars="196"/>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工人工资款比例按照原合同所附《中标通知书》中单列的人工费金额除以中标金额计算，暂定为%，由甲方按照原合同约定每一期足额支付至第二条所述乙方工人工资专用账户，且工人工资款金额最终以有权结算终审部门审定为准。</w:t>
      </w:r>
    </w:p>
    <w:p w14:paraId="19555B07">
      <w:pPr>
        <w:adjustRightInd w:val="0"/>
        <w:snapToGrid w:val="0"/>
        <w:spacing w:line="360" w:lineRule="auto"/>
        <w:ind w:left="105" w:right="11" w:firstLine="390" w:firstLineChars="162"/>
        <w:rPr>
          <w:rFonts w:ascii="宋体" w:hAnsi="宋体"/>
          <w:snapToGrid w:val="0"/>
          <w:color w:val="auto"/>
          <w:kern w:val="0"/>
          <w:sz w:val="24"/>
          <w:szCs w:val="24"/>
          <w:highlight w:val="none"/>
        </w:rPr>
      </w:pPr>
      <w:r>
        <w:rPr>
          <w:rFonts w:hint="eastAsia" w:ascii="宋体" w:hAnsi="宋体"/>
          <w:b/>
          <w:snapToGrid w:val="0"/>
          <w:color w:val="auto"/>
          <w:kern w:val="0"/>
          <w:sz w:val="24"/>
          <w:szCs w:val="24"/>
          <w:highlight w:val="none"/>
        </w:rPr>
        <w:t xml:space="preserve">第四条 </w:t>
      </w:r>
      <w:r>
        <w:rPr>
          <w:rFonts w:hint="eastAsia" w:ascii="宋体" w:hAnsi="宋体"/>
          <w:snapToGrid w:val="0"/>
          <w:color w:val="auto"/>
          <w:kern w:val="0"/>
          <w:sz w:val="24"/>
          <w:szCs w:val="24"/>
          <w:highlight w:val="none"/>
        </w:rPr>
        <w:t>乙方须建立工人考勤、工资结算和支付等管理台账，并于每次申请工程款时向甲方报备。</w:t>
      </w:r>
    </w:p>
    <w:p w14:paraId="3ABD7EEB">
      <w:pPr>
        <w:adjustRightInd w:val="0"/>
        <w:snapToGrid w:val="0"/>
        <w:spacing w:line="360" w:lineRule="auto"/>
        <w:ind w:right="11" w:firstLine="472" w:firstLineChars="196"/>
        <w:rPr>
          <w:rFonts w:ascii="宋体" w:hAnsi="宋体"/>
          <w:snapToGrid w:val="0"/>
          <w:color w:val="auto"/>
          <w:kern w:val="0"/>
          <w:sz w:val="24"/>
          <w:szCs w:val="24"/>
          <w:highlight w:val="none"/>
        </w:rPr>
      </w:pPr>
      <w:r>
        <w:rPr>
          <w:rFonts w:hint="eastAsia" w:ascii="宋体" w:hAnsi="宋体"/>
          <w:b/>
          <w:snapToGrid w:val="0"/>
          <w:color w:val="auto"/>
          <w:kern w:val="0"/>
          <w:sz w:val="24"/>
          <w:szCs w:val="24"/>
          <w:highlight w:val="none"/>
        </w:rPr>
        <w:t>第五条</w:t>
      </w:r>
      <w:r>
        <w:rPr>
          <w:rFonts w:hint="eastAsia" w:ascii="宋体" w:hAnsi="宋体"/>
          <w:snapToGrid w:val="0"/>
          <w:color w:val="auto"/>
          <w:kern w:val="0"/>
          <w:sz w:val="24"/>
          <w:szCs w:val="24"/>
          <w:highlight w:val="none"/>
        </w:rPr>
        <w:t xml:space="preserve"> 本协议是原合同的补充完善，与原合同效力等同。本协议与原合同不一致的，以本协议约定为准；本协议未约定的，仍按原合同约定执行。</w:t>
      </w:r>
    </w:p>
    <w:p w14:paraId="0B797C5D">
      <w:pPr>
        <w:adjustRightInd w:val="0"/>
        <w:snapToGrid w:val="0"/>
        <w:spacing w:line="360" w:lineRule="auto"/>
        <w:ind w:right="11" w:firstLine="472" w:firstLineChars="196"/>
        <w:rPr>
          <w:rFonts w:ascii="宋体" w:hAnsi="宋体"/>
          <w:color w:val="auto"/>
          <w:kern w:val="0"/>
          <w:sz w:val="24"/>
          <w:szCs w:val="24"/>
          <w:highlight w:val="none"/>
        </w:rPr>
      </w:pPr>
      <w:r>
        <w:rPr>
          <w:rFonts w:hint="eastAsia" w:ascii="宋体" w:hAnsi="宋体"/>
          <w:b/>
          <w:color w:val="auto"/>
          <w:kern w:val="0"/>
          <w:sz w:val="24"/>
          <w:szCs w:val="24"/>
          <w:highlight w:val="none"/>
        </w:rPr>
        <w:t xml:space="preserve">第六条 </w:t>
      </w:r>
      <w:r>
        <w:rPr>
          <w:rFonts w:hint="eastAsia" w:ascii="宋体" w:hAnsi="宋体"/>
          <w:color w:val="auto"/>
          <w:kern w:val="0"/>
          <w:sz w:val="24"/>
          <w:szCs w:val="24"/>
          <w:highlight w:val="none"/>
        </w:rPr>
        <w:t>本协议自双方法定代表人签字并加盖公章之日起生效。</w:t>
      </w:r>
    </w:p>
    <w:p w14:paraId="0EBED84D">
      <w:pPr>
        <w:adjustRightInd w:val="0"/>
        <w:snapToGrid w:val="0"/>
        <w:spacing w:line="360" w:lineRule="auto"/>
        <w:ind w:right="11" w:firstLine="472" w:firstLineChars="196"/>
        <w:rPr>
          <w:rFonts w:ascii="宋体" w:hAnsi="宋体"/>
          <w:bCs/>
          <w:snapToGrid w:val="0"/>
          <w:color w:val="auto"/>
          <w:kern w:val="0"/>
          <w:sz w:val="24"/>
          <w:highlight w:val="none"/>
        </w:rPr>
      </w:pPr>
      <w:r>
        <w:rPr>
          <w:rFonts w:hint="eastAsia" w:ascii="宋体" w:hAnsi="宋体"/>
          <w:b/>
          <w:snapToGrid w:val="0"/>
          <w:color w:val="auto"/>
          <w:kern w:val="0"/>
          <w:sz w:val="24"/>
          <w:szCs w:val="24"/>
          <w:highlight w:val="none"/>
        </w:rPr>
        <w:t>第七条</w:t>
      </w:r>
      <w:r>
        <w:rPr>
          <w:rFonts w:hint="eastAsia" w:ascii="宋体" w:hAnsi="宋体"/>
          <w:color w:val="auto"/>
          <w:kern w:val="0"/>
          <w:sz w:val="24"/>
          <w:szCs w:val="24"/>
          <w:highlight w:val="none"/>
        </w:rPr>
        <w:t>本协议正本两份，双方各执一份；副本十份，其中甲方执九份，乙方执一份。</w:t>
      </w:r>
      <w:r>
        <w:rPr>
          <w:rFonts w:hint="eastAsia" w:ascii="宋体" w:hAnsi="宋体"/>
          <w:bCs/>
          <w:snapToGrid w:val="0"/>
          <w:color w:val="auto"/>
          <w:kern w:val="0"/>
          <w:sz w:val="24"/>
          <w:highlight w:val="none"/>
        </w:rPr>
        <w:t>协议正、副本具有同等效力，但当协议正本与副本的表述不一致时，以协议正本为准。</w:t>
      </w:r>
    </w:p>
    <w:p w14:paraId="488ADDED">
      <w:pPr>
        <w:adjustRightInd w:val="0"/>
        <w:snapToGrid w:val="0"/>
        <w:spacing w:line="360" w:lineRule="auto"/>
        <w:ind w:right="11" w:firstLine="470" w:firstLineChars="196"/>
        <w:rPr>
          <w:rFonts w:ascii="宋体" w:hAnsi="宋体"/>
          <w:bCs/>
          <w:snapToGrid w:val="0"/>
          <w:color w:val="auto"/>
          <w:kern w:val="0"/>
          <w:sz w:val="24"/>
          <w:highlight w:val="none"/>
        </w:rPr>
      </w:pPr>
    </w:p>
    <w:p w14:paraId="2988DB57">
      <w:pPr>
        <w:adjustRightInd w:val="0"/>
        <w:snapToGrid w:val="0"/>
        <w:spacing w:line="360" w:lineRule="auto"/>
        <w:ind w:right="11" w:firstLine="470" w:firstLineChars="196"/>
        <w:rPr>
          <w:rFonts w:ascii="宋体" w:hAnsi="宋体"/>
          <w:color w:val="auto"/>
          <w:kern w:val="0"/>
          <w:sz w:val="24"/>
          <w:szCs w:val="24"/>
          <w:highlight w:val="none"/>
        </w:rPr>
      </w:pPr>
    </w:p>
    <w:p w14:paraId="44B47412">
      <w:pPr>
        <w:adjustRightInd w:val="0"/>
        <w:snapToGrid w:val="0"/>
        <w:spacing w:line="360" w:lineRule="auto"/>
        <w:ind w:right="11"/>
        <w:rPr>
          <w:rFonts w:ascii="宋体" w:hAnsi="宋体"/>
          <w:b/>
          <w:snapToGrid w:val="0"/>
          <w:color w:val="auto"/>
          <w:spacing w:val="-20"/>
          <w:kern w:val="0"/>
          <w:sz w:val="24"/>
          <w:szCs w:val="24"/>
          <w:highlight w:val="none"/>
        </w:rPr>
      </w:pPr>
      <w:r>
        <w:rPr>
          <w:rFonts w:hint="eastAsia" w:ascii="宋体" w:hAnsi="宋体"/>
          <w:b/>
          <w:snapToGrid w:val="0"/>
          <w:color w:val="auto"/>
          <w:kern w:val="0"/>
          <w:sz w:val="24"/>
          <w:szCs w:val="24"/>
          <w:highlight w:val="none"/>
        </w:rPr>
        <w:t>甲方：广州市越秀区代建项目管理中心   乙方</w:t>
      </w:r>
      <w:r>
        <w:rPr>
          <w:rFonts w:hint="eastAsia" w:ascii="宋体" w:hAnsi="宋体"/>
          <w:snapToGrid w:val="0"/>
          <w:color w:val="auto"/>
          <w:kern w:val="0"/>
          <w:sz w:val="24"/>
          <w:szCs w:val="24"/>
          <w:highlight w:val="none"/>
        </w:rPr>
        <w:t xml:space="preserve">： </w:t>
      </w:r>
    </w:p>
    <w:p w14:paraId="120FE96B">
      <w:pPr>
        <w:adjustRightInd w:val="0"/>
        <w:snapToGrid w:val="0"/>
        <w:spacing w:line="360" w:lineRule="auto"/>
        <w:ind w:right="11" w:firstLine="1080" w:firstLineChars="45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（盖章）                             （盖章）</w:t>
      </w:r>
    </w:p>
    <w:p w14:paraId="724D23A1">
      <w:pPr>
        <w:adjustRightInd w:val="0"/>
        <w:snapToGrid w:val="0"/>
        <w:spacing w:line="360" w:lineRule="auto"/>
        <w:ind w:right="11"/>
        <w:rPr>
          <w:rFonts w:ascii="宋体" w:hAnsi="宋体"/>
          <w:snapToGrid w:val="0"/>
          <w:color w:val="auto"/>
          <w:kern w:val="0"/>
          <w:sz w:val="24"/>
          <w:szCs w:val="24"/>
          <w:highlight w:val="none"/>
        </w:rPr>
      </w:pPr>
    </w:p>
    <w:p w14:paraId="00049D93">
      <w:pPr>
        <w:adjustRightInd w:val="0"/>
        <w:snapToGrid w:val="0"/>
        <w:spacing w:line="360" w:lineRule="auto"/>
        <w:ind w:left="-2" w:leftChars="-1"/>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法定代表人：                         法定代表人：</w:t>
      </w:r>
    </w:p>
    <w:p w14:paraId="2FC77E09">
      <w:pPr>
        <w:adjustRightInd w:val="0"/>
        <w:snapToGrid w:val="0"/>
        <w:spacing w:line="360" w:lineRule="auto"/>
        <w:ind w:left="-2" w:leftChars="-1"/>
        <w:rPr>
          <w:rFonts w:ascii="宋体" w:hAnsi="宋体"/>
          <w:snapToGrid w:val="0"/>
          <w:color w:val="auto"/>
          <w:kern w:val="0"/>
          <w:sz w:val="24"/>
          <w:szCs w:val="24"/>
          <w:highlight w:val="none"/>
        </w:rPr>
      </w:pPr>
    </w:p>
    <w:p w14:paraId="6B92737A">
      <w:pPr>
        <w:adjustRightInd w:val="0"/>
        <w:snapToGrid w:val="0"/>
        <w:spacing w:line="360" w:lineRule="auto"/>
        <w:ind w:left="-2" w:leftChars="-1"/>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经办人：                             经办人：</w:t>
      </w:r>
    </w:p>
    <w:p w14:paraId="7A9D6C06">
      <w:pPr>
        <w:adjustRightInd w:val="0"/>
        <w:snapToGrid w:val="0"/>
        <w:spacing w:line="360" w:lineRule="auto"/>
        <w:ind w:left="-2" w:leftChars="-1"/>
        <w:rPr>
          <w:rFonts w:ascii="宋体" w:hAnsi="宋体"/>
          <w:snapToGrid w:val="0"/>
          <w:color w:val="auto"/>
          <w:kern w:val="0"/>
          <w:sz w:val="24"/>
          <w:szCs w:val="24"/>
          <w:highlight w:val="none"/>
        </w:rPr>
      </w:pPr>
    </w:p>
    <w:p w14:paraId="105E41B3">
      <w:pPr>
        <w:adjustRightInd w:val="0"/>
        <w:snapToGrid w:val="0"/>
        <w:spacing w:line="360" w:lineRule="auto"/>
        <w:ind w:left="-2" w:leftChars="-1"/>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住址：                               住址：</w:t>
      </w:r>
    </w:p>
    <w:p w14:paraId="717178BF">
      <w:pPr>
        <w:adjustRightInd w:val="0"/>
        <w:snapToGrid w:val="0"/>
        <w:spacing w:line="360" w:lineRule="auto"/>
        <w:ind w:left="-2" w:leftChars="-1"/>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邮编：                               邮编：</w:t>
      </w:r>
    </w:p>
    <w:p w14:paraId="1F22D20E">
      <w:pPr>
        <w:adjustRightInd w:val="0"/>
        <w:snapToGrid w:val="0"/>
        <w:spacing w:line="360" w:lineRule="auto"/>
        <w:ind w:left="-2" w:leftChars="-1"/>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电话：                               电话：</w:t>
      </w:r>
    </w:p>
    <w:p w14:paraId="6635AEAA">
      <w:p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传真：                               传真：</w:t>
      </w:r>
    </w:p>
    <w:p w14:paraId="3B0A61EC">
      <w:p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日期：     年  月  日                日期：     年  月  日</w:t>
      </w:r>
    </w:p>
    <w:p w14:paraId="6114F1B6">
      <w:pPr>
        <w:adjustRightInd w:val="0"/>
        <w:snapToGrid w:val="0"/>
        <w:spacing w:line="360" w:lineRule="auto"/>
        <w:ind w:firstLine="480" w:firstLineChars="200"/>
        <w:jc w:val="center"/>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本协议签订于广东省广州市越秀区。</w:t>
      </w:r>
    </w:p>
    <w:p w14:paraId="55716DE6">
      <w:pPr>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br w:type="page"/>
      </w:r>
    </w:p>
    <w:p w14:paraId="1B2ECC1E">
      <w:p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附件11：</w:t>
      </w:r>
    </w:p>
    <w:p w14:paraId="4C0B0E09">
      <w:pPr>
        <w:widowControl/>
        <w:shd w:val="clear" w:color="auto" w:fill="FFFFFF"/>
        <w:spacing w:before="100" w:beforeAutospacing="1" w:after="100" w:afterAutospacing="1" w:line="315" w:lineRule="atLeast"/>
        <w:jc w:val="center"/>
        <w:rPr>
          <w:rFonts w:ascii="Arial" w:hAnsi="Arial" w:cs="Arial"/>
          <w:color w:val="auto"/>
          <w:kern w:val="0"/>
          <w:szCs w:val="21"/>
          <w:highlight w:val="none"/>
        </w:rPr>
      </w:pPr>
      <w:r>
        <w:rPr>
          <w:rFonts w:hint="eastAsia" w:ascii="宋体" w:hAnsi="宋体" w:cs="Arial"/>
          <w:b/>
          <w:bCs/>
          <w:color w:val="auto"/>
          <w:kern w:val="0"/>
          <w:sz w:val="32"/>
          <w:szCs w:val="32"/>
          <w:highlight w:val="none"/>
        </w:rPr>
        <w:t>承包人法定代表人、本工程指挥长、项目经理</w:t>
      </w:r>
    </w:p>
    <w:p w14:paraId="2197C607">
      <w:pPr>
        <w:widowControl/>
        <w:shd w:val="clear" w:color="auto" w:fill="FFFFFF"/>
        <w:spacing w:line="315" w:lineRule="atLeast"/>
        <w:jc w:val="left"/>
        <w:rPr>
          <w:rFonts w:ascii="Arial" w:hAnsi="Arial" w:cs="Arial"/>
          <w:color w:val="auto"/>
          <w:kern w:val="0"/>
          <w:szCs w:val="21"/>
          <w:highlight w:val="none"/>
        </w:rPr>
      </w:pPr>
      <w:r>
        <w:rPr>
          <w:rFonts w:hint="eastAsia" w:ascii="宋体" w:hAnsi="宋体" w:cs="Arial"/>
          <w:b/>
          <w:bCs/>
          <w:color w:val="auto"/>
          <w:kern w:val="0"/>
          <w:sz w:val="32"/>
          <w:szCs w:val="32"/>
          <w:highlight w:val="none"/>
        </w:rPr>
        <w:t>（项目负责人）的通信联系方式及身份证扫描件</w:t>
      </w:r>
    </w:p>
    <w:p w14:paraId="3BE40AB4">
      <w:pPr>
        <w:widowControl/>
        <w:shd w:val="clear" w:color="auto" w:fill="FFFFFF"/>
        <w:spacing w:line="315" w:lineRule="atLeast"/>
        <w:jc w:val="center"/>
        <w:rPr>
          <w:rFonts w:ascii="宋体" w:hAnsi="宋体" w:cs="Arial"/>
          <w:b/>
          <w:bCs/>
          <w:color w:val="auto"/>
          <w:kern w:val="0"/>
          <w:sz w:val="32"/>
          <w:szCs w:val="32"/>
          <w:highlight w:val="none"/>
        </w:rPr>
      </w:pPr>
    </w:p>
    <w:p w14:paraId="7347BB72">
      <w:pPr>
        <w:widowControl/>
        <w:shd w:val="clear" w:color="auto" w:fill="FFFFFF"/>
        <w:spacing w:line="315" w:lineRule="atLeast"/>
        <w:jc w:val="center"/>
        <w:rPr>
          <w:rFonts w:ascii="宋体" w:hAnsi="宋体" w:cs="Arial"/>
          <w:b/>
          <w:bCs/>
          <w:color w:val="auto"/>
          <w:kern w:val="0"/>
          <w:sz w:val="32"/>
          <w:szCs w:val="32"/>
          <w:highlight w:val="none"/>
        </w:rPr>
      </w:pPr>
      <w:r>
        <w:rPr>
          <w:rFonts w:hint="eastAsia" w:ascii="宋体" w:hAnsi="宋体" w:cs="Arial"/>
          <w:b/>
          <w:bCs/>
          <w:color w:val="auto"/>
          <w:kern w:val="0"/>
          <w:sz w:val="32"/>
          <w:szCs w:val="32"/>
          <w:highlight w:val="none"/>
        </w:rPr>
        <w:t>法定代表人</w:t>
      </w:r>
    </w:p>
    <w:p w14:paraId="753003C2">
      <w:pPr>
        <w:widowControl/>
        <w:shd w:val="clear" w:color="auto" w:fill="FFFFFF"/>
        <w:spacing w:line="315" w:lineRule="atLeast"/>
        <w:jc w:val="center"/>
        <w:rPr>
          <w:rFonts w:ascii="宋体" w:hAnsi="宋体" w:cs="Arial"/>
          <w:b/>
          <w:bCs/>
          <w:color w:val="auto"/>
          <w:kern w:val="0"/>
          <w:sz w:val="32"/>
          <w:szCs w:val="32"/>
          <w:highlight w:val="none"/>
        </w:rPr>
      </w:pPr>
    </w:p>
    <w:p w14:paraId="7D4A971E">
      <w:pPr>
        <w:widowControl/>
        <w:shd w:val="clear" w:color="auto" w:fill="FFFFFF"/>
        <w:spacing w:line="315" w:lineRule="atLeast"/>
        <w:jc w:val="center"/>
        <w:rPr>
          <w:rFonts w:ascii="宋体" w:hAnsi="宋体" w:cs="Arial"/>
          <w:b/>
          <w:bCs/>
          <w:color w:val="auto"/>
          <w:kern w:val="0"/>
          <w:sz w:val="32"/>
          <w:szCs w:val="32"/>
          <w:highlight w:val="none"/>
        </w:rPr>
      </w:pPr>
    </w:p>
    <w:p w14:paraId="0B81DE6B">
      <w:pPr>
        <w:widowControl/>
        <w:shd w:val="clear" w:color="auto" w:fill="FFFFFF"/>
        <w:spacing w:line="315" w:lineRule="atLeast"/>
        <w:jc w:val="center"/>
        <w:rPr>
          <w:rFonts w:ascii="宋体" w:hAnsi="宋体" w:cs="Arial"/>
          <w:b/>
          <w:bCs/>
          <w:color w:val="auto"/>
          <w:kern w:val="0"/>
          <w:sz w:val="32"/>
          <w:szCs w:val="32"/>
          <w:highlight w:val="none"/>
        </w:rPr>
      </w:pPr>
    </w:p>
    <w:p w14:paraId="7C8170A7">
      <w:pPr>
        <w:widowControl/>
        <w:shd w:val="clear" w:color="auto" w:fill="FFFFFF"/>
        <w:spacing w:line="315" w:lineRule="atLeast"/>
        <w:jc w:val="center"/>
        <w:rPr>
          <w:rFonts w:ascii="宋体" w:hAnsi="宋体" w:cs="Arial"/>
          <w:b/>
          <w:bCs/>
          <w:color w:val="auto"/>
          <w:kern w:val="0"/>
          <w:sz w:val="32"/>
          <w:szCs w:val="32"/>
          <w:highlight w:val="none"/>
        </w:rPr>
      </w:pPr>
    </w:p>
    <w:p w14:paraId="7523BCE9">
      <w:pPr>
        <w:pStyle w:val="62"/>
        <w:ind w:firstLine="0" w:firstLineChars="0"/>
        <w:rPr>
          <w:color w:val="auto"/>
          <w:szCs w:val="28"/>
          <w:highlight w:val="none"/>
        </w:rPr>
      </w:pPr>
    </w:p>
    <w:p w14:paraId="1B2BA1D9">
      <w:pPr>
        <w:widowControl/>
        <w:jc w:val="center"/>
        <w:rPr>
          <w:rFonts w:ascii="宋体" w:hAnsi="宋体" w:cs="Arial"/>
          <w:b/>
          <w:bCs/>
          <w:color w:val="auto"/>
          <w:kern w:val="0"/>
          <w:sz w:val="32"/>
          <w:szCs w:val="32"/>
          <w:highlight w:val="none"/>
        </w:rPr>
      </w:pPr>
    </w:p>
    <w:p w14:paraId="01615AC5">
      <w:pPr>
        <w:widowControl/>
        <w:jc w:val="left"/>
        <w:rPr>
          <w:rFonts w:ascii="宋体" w:hAnsi="宋体" w:cs="Arial"/>
          <w:b/>
          <w:bCs/>
          <w:color w:val="auto"/>
          <w:kern w:val="0"/>
          <w:sz w:val="32"/>
          <w:szCs w:val="32"/>
          <w:highlight w:val="none"/>
        </w:rPr>
      </w:pPr>
      <w:r>
        <w:rPr>
          <w:rFonts w:hint="eastAsia" w:ascii="宋体" w:hAnsi="宋体" w:cs="Arial"/>
          <w:b/>
          <w:bCs/>
          <w:color w:val="auto"/>
          <w:kern w:val="0"/>
          <w:sz w:val="32"/>
          <w:szCs w:val="32"/>
          <w:highlight w:val="none"/>
        </w:rPr>
        <w:br w:type="page"/>
      </w:r>
    </w:p>
    <w:p w14:paraId="2988D269">
      <w:pPr>
        <w:widowControl/>
        <w:jc w:val="center"/>
        <w:rPr>
          <w:rFonts w:ascii="宋体" w:hAnsi="宋体" w:cs="Arial"/>
          <w:b/>
          <w:bCs/>
          <w:color w:val="auto"/>
          <w:kern w:val="0"/>
          <w:sz w:val="32"/>
          <w:szCs w:val="32"/>
          <w:highlight w:val="none"/>
        </w:rPr>
      </w:pPr>
      <w:r>
        <w:rPr>
          <w:rFonts w:hint="eastAsia" w:ascii="宋体" w:hAnsi="宋体" w:cs="Arial"/>
          <w:b/>
          <w:bCs/>
          <w:color w:val="auto"/>
          <w:kern w:val="0"/>
          <w:sz w:val="32"/>
          <w:szCs w:val="32"/>
          <w:highlight w:val="none"/>
        </w:rPr>
        <w:t>指挥长</w:t>
      </w:r>
    </w:p>
    <w:p w14:paraId="1F8882A9">
      <w:pPr>
        <w:rPr>
          <w:color w:val="auto"/>
          <w:highlight w:val="none"/>
        </w:rPr>
      </w:pPr>
    </w:p>
    <w:p w14:paraId="3CBDCAC5">
      <w:pPr>
        <w:rPr>
          <w:color w:val="auto"/>
          <w:highlight w:val="none"/>
        </w:rPr>
      </w:pPr>
      <w:r>
        <w:rPr>
          <w:rFonts w:hint="eastAsia"/>
          <w:color w:val="auto"/>
          <w:highlight w:val="none"/>
        </w:rPr>
        <w:t xml:space="preserve">指挥长： </w:t>
      </w:r>
      <w:r>
        <w:rPr>
          <w:rFonts w:hint="eastAsia"/>
          <w:color w:val="auto"/>
          <w:highlight w:val="none"/>
        </w:rPr>
        <w:tab/>
      </w:r>
      <w:r>
        <w:rPr>
          <w:rFonts w:hint="eastAsia"/>
          <w:color w:val="auto"/>
          <w:highlight w:val="none"/>
        </w:rPr>
        <w:tab/>
      </w:r>
      <w:r>
        <w:rPr>
          <w:rFonts w:hint="eastAsia"/>
          <w:color w:val="auto"/>
          <w:highlight w:val="none"/>
        </w:rPr>
        <w:t xml:space="preserve">电话： </w:t>
      </w:r>
    </w:p>
    <w:p w14:paraId="5363362A">
      <w:pPr>
        <w:rPr>
          <w:color w:val="auto"/>
          <w:highlight w:val="none"/>
        </w:rPr>
      </w:pPr>
    </w:p>
    <w:p w14:paraId="7BFD2DE0">
      <w:pPr>
        <w:rPr>
          <w:color w:val="auto"/>
          <w:highlight w:val="none"/>
        </w:rPr>
      </w:pPr>
    </w:p>
    <w:p w14:paraId="58D2C324">
      <w:pPr>
        <w:widowControl/>
        <w:jc w:val="center"/>
        <w:rPr>
          <w:rFonts w:ascii="宋体" w:hAnsi="宋体" w:cs="Arial"/>
          <w:b/>
          <w:bCs/>
          <w:color w:val="auto"/>
          <w:kern w:val="0"/>
          <w:sz w:val="32"/>
          <w:szCs w:val="32"/>
          <w:highlight w:val="none"/>
        </w:rPr>
      </w:pPr>
    </w:p>
    <w:p w14:paraId="02C9BCD0">
      <w:pPr>
        <w:widowControl/>
        <w:jc w:val="center"/>
        <w:rPr>
          <w:rFonts w:ascii="宋体" w:hAnsi="宋体" w:cs="Arial"/>
          <w:b/>
          <w:bCs/>
          <w:color w:val="auto"/>
          <w:kern w:val="0"/>
          <w:sz w:val="32"/>
          <w:szCs w:val="32"/>
          <w:highlight w:val="none"/>
        </w:rPr>
      </w:pPr>
    </w:p>
    <w:p w14:paraId="50BC0F0E">
      <w:pPr>
        <w:widowControl/>
        <w:jc w:val="center"/>
        <w:rPr>
          <w:rFonts w:ascii="宋体" w:hAnsi="宋体" w:cs="Arial"/>
          <w:b/>
          <w:bCs/>
          <w:color w:val="auto"/>
          <w:kern w:val="0"/>
          <w:sz w:val="32"/>
          <w:szCs w:val="32"/>
          <w:highlight w:val="none"/>
        </w:rPr>
      </w:pPr>
    </w:p>
    <w:p w14:paraId="522719B8">
      <w:pPr>
        <w:widowControl/>
        <w:jc w:val="center"/>
        <w:rPr>
          <w:rFonts w:ascii="宋体" w:hAnsi="宋体" w:cs="Arial"/>
          <w:b/>
          <w:bCs/>
          <w:color w:val="auto"/>
          <w:kern w:val="0"/>
          <w:sz w:val="32"/>
          <w:szCs w:val="32"/>
          <w:highlight w:val="none"/>
        </w:rPr>
      </w:pPr>
    </w:p>
    <w:p w14:paraId="0284FF5A">
      <w:pPr>
        <w:widowControl/>
        <w:jc w:val="center"/>
        <w:rPr>
          <w:rFonts w:ascii="宋体" w:hAnsi="宋体" w:cs="Arial"/>
          <w:b/>
          <w:bCs/>
          <w:color w:val="auto"/>
          <w:kern w:val="0"/>
          <w:sz w:val="32"/>
          <w:szCs w:val="32"/>
          <w:highlight w:val="none"/>
        </w:rPr>
      </w:pPr>
    </w:p>
    <w:p w14:paraId="21BDA473">
      <w:pPr>
        <w:widowControl/>
        <w:jc w:val="center"/>
        <w:rPr>
          <w:rFonts w:ascii="宋体" w:hAnsi="宋体" w:cs="Arial"/>
          <w:b/>
          <w:bCs/>
          <w:color w:val="auto"/>
          <w:kern w:val="0"/>
          <w:sz w:val="32"/>
          <w:szCs w:val="32"/>
          <w:highlight w:val="none"/>
        </w:rPr>
      </w:pPr>
    </w:p>
    <w:p w14:paraId="0EED5F4C">
      <w:pPr>
        <w:widowControl/>
        <w:jc w:val="center"/>
        <w:rPr>
          <w:rFonts w:ascii="宋体" w:hAnsi="宋体" w:cs="Arial"/>
          <w:b/>
          <w:bCs/>
          <w:color w:val="auto"/>
          <w:kern w:val="0"/>
          <w:sz w:val="32"/>
          <w:szCs w:val="32"/>
          <w:highlight w:val="none"/>
        </w:rPr>
      </w:pPr>
    </w:p>
    <w:p w14:paraId="5705C845">
      <w:pPr>
        <w:widowControl/>
        <w:jc w:val="left"/>
        <w:rPr>
          <w:rFonts w:ascii="宋体" w:hAnsi="宋体" w:cs="Arial"/>
          <w:b/>
          <w:bCs/>
          <w:color w:val="auto"/>
          <w:kern w:val="0"/>
          <w:sz w:val="32"/>
          <w:szCs w:val="32"/>
          <w:highlight w:val="none"/>
        </w:rPr>
      </w:pPr>
      <w:r>
        <w:rPr>
          <w:rFonts w:hint="eastAsia" w:ascii="宋体" w:hAnsi="宋体" w:cs="Arial"/>
          <w:b/>
          <w:bCs/>
          <w:color w:val="auto"/>
          <w:kern w:val="0"/>
          <w:sz w:val="32"/>
          <w:szCs w:val="32"/>
          <w:highlight w:val="none"/>
        </w:rPr>
        <w:br w:type="page"/>
      </w:r>
    </w:p>
    <w:p w14:paraId="606E9BB7">
      <w:pPr>
        <w:widowControl/>
        <w:jc w:val="center"/>
        <w:rPr>
          <w:rFonts w:ascii="宋体" w:hAnsi="宋体" w:cs="Arial"/>
          <w:b/>
          <w:bCs/>
          <w:color w:val="auto"/>
          <w:kern w:val="0"/>
          <w:sz w:val="32"/>
          <w:szCs w:val="32"/>
          <w:highlight w:val="none"/>
        </w:rPr>
      </w:pPr>
      <w:r>
        <w:rPr>
          <w:rFonts w:hint="eastAsia" w:ascii="宋体" w:hAnsi="宋体" w:cs="Arial"/>
          <w:b/>
          <w:bCs/>
          <w:color w:val="auto"/>
          <w:kern w:val="0"/>
          <w:sz w:val="32"/>
          <w:szCs w:val="32"/>
          <w:highlight w:val="none"/>
        </w:rPr>
        <w:t>项目经理</w:t>
      </w:r>
    </w:p>
    <w:p w14:paraId="67AD4440">
      <w:pPr>
        <w:widowControl/>
        <w:jc w:val="center"/>
        <w:rPr>
          <w:rFonts w:ascii="Arial" w:hAnsi="Arial" w:cs="Arial"/>
          <w:color w:val="auto"/>
          <w:kern w:val="0"/>
          <w:szCs w:val="21"/>
          <w:highlight w:val="none"/>
        </w:rPr>
      </w:pPr>
    </w:p>
    <w:p w14:paraId="6857D76A">
      <w:pPr>
        <w:rPr>
          <w:color w:val="auto"/>
          <w:highlight w:val="none"/>
        </w:rPr>
      </w:pPr>
      <w:r>
        <w:rPr>
          <w:rFonts w:hint="eastAsia"/>
          <w:color w:val="auto"/>
          <w:highlight w:val="none"/>
        </w:rPr>
        <w:t xml:space="preserve">项目经理： </w:t>
      </w:r>
      <w:r>
        <w:rPr>
          <w:rFonts w:hint="eastAsia"/>
          <w:color w:val="auto"/>
          <w:highlight w:val="none"/>
        </w:rPr>
        <w:tab/>
      </w:r>
      <w:r>
        <w:rPr>
          <w:rFonts w:hint="eastAsia"/>
          <w:color w:val="auto"/>
          <w:highlight w:val="none"/>
        </w:rPr>
        <w:tab/>
      </w:r>
      <w:r>
        <w:rPr>
          <w:rFonts w:hint="eastAsia"/>
          <w:color w:val="auto"/>
          <w:highlight w:val="none"/>
        </w:rPr>
        <w:t xml:space="preserve">电话： </w:t>
      </w:r>
    </w:p>
    <w:p w14:paraId="62FDB341">
      <w:pPr>
        <w:adjustRightInd w:val="0"/>
        <w:snapToGrid w:val="0"/>
        <w:spacing w:line="360" w:lineRule="auto"/>
        <w:rPr>
          <w:rFonts w:ascii="Arial" w:hAnsi="Arial" w:cs="Arial"/>
          <w:color w:val="auto"/>
          <w:kern w:val="0"/>
          <w:szCs w:val="21"/>
          <w:highlight w:val="none"/>
        </w:rPr>
      </w:pPr>
    </w:p>
    <w:p w14:paraId="3D0400A1">
      <w:pPr>
        <w:adjustRightInd w:val="0"/>
        <w:snapToGrid w:val="0"/>
        <w:spacing w:line="360" w:lineRule="auto"/>
        <w:rPr>
          <w:rFonts w:ascii="宋体" w:hAnsi="宋体"/>
          <w:b/>
          <w:snapToGrid w:val="0"/>
          <w:color w:val="auto"/>
          <w:kern w:val="0"/>
          <w:sz w:val="32"/>
          <w:szCs w:val="32"/>
          <w:highlight w:val="none"/>
        </w:rPr>
      </w:pPr>
      <w:r>
        <w:rPr>
          <w:snapToGrid w:val="0"/>
          <w:color w:val="auto"/>
          <w:kern w:val="0"/>
          <w:highlight w:val="none"/>
        </w:rPr>
        <w:br w:type="page"/>
      </w:r>
      <w:r>
        <w:rPr>
          <w:rFonts w:hint="eastAsia" w:ascii="宋体" w:hAnsi="宋体"/>
          <w:snapToGrid w:val="0"/>
          <w:color w:val="auto"/>
          <w:kern w:val="0"/>
          <w:sz w:val="24"/>
          <w:szCs w:val="24"/>
          <w:highlight w:val="none"/>
        </w:rPr>
        <w:t xml:space="preserve"> </w:t>
      </w:r>
    </w:p>
    <w:p w14:paraId="13F7AA48">
      <w:pPr>
        <w:adjustRightInd w:val="0"/>
        <w:snapToGrid w:val="0"/>
        <w:spacing w:line="360" w:lineRule="auto"/>
        <w:jc w:val="center"/>
        <w:rPr>
          <w:rFonts w:ascii="宋体" w:hAnsi="宋体"/>
          <w:b/>
          <w:color w:val="auto"/>
          <w:szCs w:val="21"/>
          <w:highlight w:val="none"/>
        </w:rPr>
      </w:pPr>
      <w:r>
        <w:rPr>
          <w:rFonts w:hint="eastAsia" w:ascii="宋体" w:hAnsi="宋体"/>
          <w:b/>
          <w:color w:val="auto"/>
          <w:sz w:val="32"/>
          <w:szCs w:val="32"/>
          <w:highlight w:val="none"/>
        </w:rPr>
        <w:t>法定代表人授权书</w:t>
      </w:r>
    </w:p>
    <w:p w14:paraId="3AF2F264">
      <w:pPr>
        <w:spacing w:line="400" w:lineRule="exact"/>
        <w:jc w:val="center"/>
        <w:rPr>
          <w:rFonts w:ascii="宋体" w:hAnsi="宋体"/>
          <w:b/>
          <w:color w:val="auto"/>
          <w:szCs w:val="21"/>
          <w:highlight w:val="none"/>
        </w:rPr>
      </w:pPr>
    </w:p>
    <w:p w14:paraId="16A89A7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兹授权我单位</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（姓名）担任</w:t>
      </w:r>
      <w:r>
        <w:rPr>
          <w:rFonts w:hint="eastAsia" w:ascii="宋体" w:hAnsi="宋体" w:cs="宋体"/>
          <w:snapToGrid w:val="0"/>
          <w:color w:val="auto"/>
          <w:kern w:val="0"/>
          <w:sz w:val="24"/>
          <w:szCs w:val="24"/>
          <w:highlight w:val="none"/>
          <w:u w:val="single"/>
        </w:rPr>
        <w:t>花果山产业小镇综合配套工程建设项目</w:t>
      </w:r>
      <w:r>
        <w:rPr>
          <w:rFonts w:hint="eastAsia" w:ascii="宋体" w:hAnsi="宋体"/>
          <w:color w:val="auto"/>
          <w:sz w:val="24"/>
          <w:highlight w:val="none"/>
        </w:rPr>
        <w:t>项目的施工项目负责人，对该工程项目的施工工作实施组织管理，依据国家有关法律法规及标准规范履行职责，并依法对设计使用年限内的工程质量承担相应终身责任。</w:t>
      </w:r>
    </w:p>
    <w:p w14:paraId="1F04814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本授权书自授权之日起生效。</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664"/>
        <w:gridCol w:w="2100"/>
        <w:gridCol w:w="2719"/>
      </w:tblGrid>
      <w:tr w14:paraId="43C6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4"/>
          </w:tcPr>
          <w:p w14:paraId="216457A2">
            <w:pPr>
              <w:spacing w:line="360" w:lineRule="auto"/>
              <w:jc w:val="center"/>
              <w:rPr>
                <w:rFonts w:ascii="宋体" w:hAnsi="宋体"/>
                <w:color w:val="auto"/>
                <w:sz w:val="24"/>
                <w:highlight w:val="none"/>
              </w:rPr>
            </w:pPr>
            <w:r>
              <w:rPr>
                <w:rFonts w:hint="eastAsia" w:ascii="宋体" w:hAnsi="宋体"/>
                <w:b/>
                <w:bCs/>
                <w:color w:val="auto"/>
                <w:sz w:val="24"/>
                <w:highlight w:val="none"/>
              </w:rPr>
              <w:t>被授权人基本情况</w:t>
            </w:r>
          </w:p>
        </w:tc>
      </w:tr>
      <w:tr w14:paraId="7FD7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6292179">
            <w:pPr>
              <w:spacing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664" w:type="dxa"/>
          </w:tcPr>
          <w:p w14:paraId="30E8FBFE">
            <w:pPr>
              <w:spacing w:line="360" w:lineRule="auto"/>
              <w:jc w:val="center"/>
              <w:rPr>
                <w:rFonts w:ascii="宋体" w:hAnsi="宋体"/>
                <w:color w:val="auto"/>
                <w:sz w:val="24"/>
                <w:highlight w:val="none"/>
              </w:rPr>
            </w:pPr>
            <w:r>
              <w:rPr>
                <w:rFonts w:hint="eastAsia" w:ascii="宋体" w:hAnsi="宋体"/>
                <w:color w:val="auto"/>
                <w:sz w:val="24"/>
                <w:highlight w:val="none"/>
              </w:rPr>
              <w:t>执业资格</w:t>
            </w:r>
          </w:p>
        </w:tc>
        <w:tc>
          <w:tcPr>
            <w:tcW w:w="2100" w:type="dxa"/>
          </w:tcPr>
          <w:p w14:paraId="1765FA8A">
            <w:pPr>
              <w:spacing w:line="360" w:lineRule="auto"/>
              <w:jc w:val="center"/>
              <w:rPr>
                <w:rFonts w:ascii="宋体" w:hAnsi="宋体"/>
                <w:color w:val="auto"/>
                <w:sz w:val="24"/>
                <w:highlight w:val="none"/>
              </w:rPr>
            </w:pPr>
            <w:r>
              <w:rPr>
                <w:rFonts w:hint="eastAsia" w:ascii="宋体" w:hAnsi="宋体"/>
                <w:color w:val="auto"/>
                <w:sz w:val="24"/>
                <w:highlight w:val="none"/>
              </w:rPr>
              <w:t>注册等级</w:t>
            </w:r>
          </w:p>
        </w:tc>
        <w:tc>
          <w:tcPr>
            <w:tcW w:w="2719" w:type="dxa"/>
          </w:tcPr>
          <w:p w14:paraId="281AE727">
            <w:pPr>
              <w:spacing w:line="360" w:lineRule="auto"/>
              <w:rPr>
                <w:rFonts w:ascii="宋体" w:hAnsi="宋体"/>
                <w:color w:val="auto"/>
                <w:sz w:val="24"/>
                <w:highlight w:val="none"/>
              </w:rPr>
            </w:pPr>
            <w:r>
              <w:rPr>
                <w:rFonts w:hint="eastAsia" w:ascii="宋体" w:hAnsi="宋体"/>
                <w:color w:val="auto"/>
                <w:sz w:val="24"/>
                <w:highlight w:val="none"/>
              </w:rPr>
              <w:t>注册证书号</w:t>
            </w:r>
          </w:p>
        </w:tc>
      </w:tr>
      <w:tr w14:paraId="41FD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A02E927">
            <w:pPr>
              <w:spacing w:line="360" w:lineRule="auto"/>
              <w:jc w:val="center"/>
              <w:rPr>
                <w:rFonts w:ascii="宋体" w:hAnsi="宋体"/>
                <w:color w:val="auto"/>
                <w:sz w:val="24"/>
                <w:highlight w:val="none"/>
              </w:rPr>
            </w:pPr>
            <w:r>
              <w:rPr>
                <w:rFonts w:hint="eastAsia" w:ascii="宋体" w:hAnsi="宋体"/>
                <w:color w:val="auto"/>
                <w:sz w:val="24"/>
                <w:highlight w:val="none"/>
              </w:rPr>
              <w:t xml:space="preserve"> </w:t>
            </w:r>
          </w:p>
        </w:tc>
        <w:tc>
          <w:tcPr>
            <w:tcW w:w="1664" w:type="dxa"/>
          </w:tcPr>
          <w:p w14:paraId="1AD7F781">
            <w:pPr>
              <w:spacing w:line="360" w:lineRule="auto"/>
              <w:jc w:val="center"/>
              <w:rPr>
                <w:rFonts w:ascii="宋体" w:hAnsi="宋体"/>
                <w:color w:val="auto"/>
                <w:sz w:val="24"/>
                <w:highlight w:val="none"/>
              </w:rPr>
            </w:pPr>
            <w:r>
              <w:rPr>
                <w:rFonts w:hint="eastAsia" w:ascii="宋体" w:hAnsi="宋体"/>
                <w:color w:val="auto"/>
                <w:sz w:val="24"/>
                <w:highlight w:val="none"/>
              </w:rPr>
              <w:t>注册建造师</w:t>
            </w:r>
          </w:p>
        </w:tc>
        <w:tc>
          <w:tcPr>
            <w:tcW w:w="2100" w:type="dxa"/>
          </w:tcPr>
          <w:p w14:paraId="70FB3513">
            <w:pPr>
              <w:spacing w:line="360" w:lineRule="auto"/>
              <w:jc w:val="center"/>
              <w:rPr>
                <w:rFonts w:ascii="宋体" w:hAnsi="宋体"/>
                <w:color w:val="auto"/>
                <w:sz w:val="24"/>
                <w:highlight w:val="none"/>
              </w:rPr>
            </w:pPr>
            <w:r>
              <w:rPr>
                <w:rFonts w:hint="eastAsia" w:ascii="宋体" w:hAnsi="宋体"/>
                <w:color w:val="auto"/>
                <w:sz w:val="24"/>
                <w:highlight w:val="none"/>
              </w:rPr>
              <w:t xml:space="preserve"> </w:t>
            </w:r>
          </w:p>
        </w:tc>
        <w:tc>
          <w:tcPr>
            <w:tcW w:w="2719" w:type="dxa"/>
          </w:tcPr>
          <w:p w14:paraId="31B8422E">
            <w:pPr>
              <w:spacing w:line="360" w:lineRule="auto"/>
              <w:rPr>
                <w:rFonts w:ascii="宋体" w:hAnsi="宋体"/>
                <w:color w:val="auto"/>
                <w:sz w:val="24"/>
                <w:highlight w:val="none"/>
              </w:rPr>
            </w:pPr>
            <w:r>
              <w:rPr>
                <w:rFonts w:hint="eastAsia" w:ascii="宋体" w:hAnsi="宋体"/>
                <w:color w:val="auto"/>
                <w:sz w:val="24"/>
                <w:highlight w:val="none"/>
              </w:rPr>
              <w:t xml:space="preserve"> </w:t>
            </w:r>
          </w:p>
        </w:tc>
      </w:tr>
      <w:tr w14:paraId="45CE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4"/>
          </w:tcPr>
          <w:p w14:paraId="24C56CC5">
            <w:pPr>
              <w:spacing w:line="360" w:lineRule="auto"/>
              <w:rPr>
                <w:rFonts w:ascii="宋体" w:hAnsi="宋体"/>
                <w:color w:val="auto"/>
                <w:sz w:val="24"/>
                <w:highlight w:val="none"/>
              </w:rPr>
            </w:pPr>
            <w:r>
              <w:rPr>
                <w:rFonts w:hint="eastAsia" w:ascii="宋体" w:hAnsi="宋体"/>
                <w:color w:val="auto"/>
                <w:sz w:val="24"/>
                <w:highlight w:val="none"/>
              </w:rPr>
              <w:t xml:space="preserve">                              被授权人签字：</w:t>
            </w:r>
          </w:p>
        </w:tc>
      </w:tr>
    </w:tbl>
    <w:p w14:paraId="6545BE29">
      <w:pPr>
        <w:spacing w:line="360" w:lineRule="auto"/>
        <w:ind w:firstLine="560" w:firstLineChars="200"/>
        <w:rPr>
          <w:rFonts w:ascii="宋体" w:hAnsi="宋体"/>
          <w:color w:val="auto"/>
          <w:sz w:val="28"/>
          <w:szCs w:val="28"/>
          <w:highlight w:val="none"/>
        </w:rPr>
      </w:pPr>
    </w:p>
    <w:p w14:paraId="79D7967C">
      <w:pPr>
        <w:spacing w:line="360" w:lineRule="auto"/>
        <w:ind w:firstLine="560" w:firstLineChars="200"/>
        <w:rPr>
          <w:rFonts w:ascii="宋体" w:hAnsi="宋体"/>
          <w:color w:val="auto"/>
          <w:sz w:val="28"/>
          <w:szCs w:val="28"/>
          <w:highlight w:val="none"/>
        </w:rPr>
      </w:pPr>
    </w:p>
    <w:p w14:paraId="0CED3542">
      <w:pPr>
        <w:spacing w:line="360" w:lineRule="auto"/>
        <w:ind w:firstLine="3948" w:firstLineChars="1400"/>
        <w:rPr>
          <w:rFonts w:ascii="宋体" w:hAnsi="宋体"/>
          <w:color w:val="auto"/>
          <w:sz w:val="24"/>
          <w:highlight w:val="none"/>
          <w:u w:val="single"/>
        </w:rPr>
      </w:pPr>
      <w:r>
        <w:rPr>
          <w:rFonts w:hint="eastAsia" w:ascii="宋体" w:hAnsi="宋体"/>
          <w:color w:val="auto"/>
          <w:spacing w:val="21"/>
          <w:sz w:val="24"/>
          <w:highlight w:val="none"/>
        </w:rPr>
        <w:t>授权单位（盖章）</w:t>
      </w:r>
      <w:r>
        <w:rPr>
          <w:rFonts w:hint="eastAsia" w:ascii="宋体" w:hAnsi="宋体"/>
          <w:color w:val="auto"/>
          <w:sz w:val="24"/>
          <w:highlight w:val="none"/>
        </w:rPr>
        <w:t>：</w:t>
      </w:r>
    </w:p>
    <w:p w14:paraId="79BA8B4A">
      <w:pPr>
        <w:spacing w:line="360" w:lineRule="auto"/>
        <w:ind w:firstLine="3840" w:firstLineChars="1600"/>
        <w:rPr>
          <w:rFonts w:ascii="宋体" w:hAnsi="宋体"/>
          <w:color w:val="auto"/>
          <w:sz w:val="24"/>
          <w:highlight w:val="none"/>
          <w:u w:val="single"/>
        </w:rPr>
      </w:pPr>
      <w:r>
        <w:rPr>
          <w:rFonts w:hint="eastAsia" w:ascii="宋体" w:hAnsi="宋体"/>
          <w:color w:val="auto"/>
          <w:sz w:val="24"/>
          <w:highlight w:val="none"/>
        </w:rPr>
        <w:t xml:space="preserve"> 法定代表人（签字）：</w:t>
      </w:r>
    </w:p>
    <w:p w14:paraId="46986E35">
      <w:pPr>
        <w:spacing w:line="360" w:lineRule="auto"/>
        <w:ind w:firstLine="3948" w:firstLineChars="1400"/>
        <w:rPr>
          <w:rFonts w:ascii="宋体" w:hAnsi="宋体" w:cs="Calibri"/>
          <w:color w:val="auto"/>
          <w:sz w:val="24"/>
          <w:highlight w:val="none"/>
        </w:rPr>
      </w:pPr>
      <w:r>
        <w:rPr>
          <w:rFonts w:hint="eastAsia" w:ascii="宋体" w:hAnsi="宋体"/>
          <w:color w:val="auto"/>
          <w:spacing w:val="21"/>
          <w:sz w:val="24"/>
          <w:highlight w:val="none"/>
        </w:rPr>
        <w:t>授权日期：2024</w:t>
      </w:r>
      <w:r>
        <w:rPr>
          <w:rFonts w:hint="eastAsia" w:ascii="宋体" w:hAnsi="宋体"/>
          <w:color w:val="auto"/>
          <w:sz w:val="24"/>
          <w:highlight w:val="none"/>
        </w:rPr>
        <w:t>年   月   日</w:t>
      </w:r>
    </w:p>
    <w:p w14:paraId="7D07EB81">
      <w:pPr>
        <w:spacing w:line="360" w:lineRule="auto"/>
        <w:rPr>
          <w:rFonts w:ascii="宋体" w:hAnsi="宋体" w:cs="Calibri"/>
          <w:color w:val="auto"/>
          <w:sz w:val="24"/>
          <w:highlight w:val="none"/>
        </w:rPr>
      </w:pPr>
    </w:p>
    <w:p w14:paraId="6C838EFA">
      <w:pPr>
        <w:spacing w:line="360" w:lineRule="auto"/>
        <w:rPr>
          <w:rFonts w:ascii="宋体" w:hAnsi="宋体" w:cs="Calibri"/>
          <w:color w:val="auto"/>
          <w:sz w:val="24"/>
          <w:highlight w:val="none"/>
        </w:rPr>
      </w:pPr>
      <w:r>
        <w:rPr>
          <w:rFonts w:ascii="宋体" w:hAnsi="宋体" w:cs="Calibri"/>
          <w:color w:val="auto"/>
          <w:sz w:val="24"/>
          <w:highlight w:val="none"/>
        </w:rPr>
        <w:br w:type="page"/>
      </w:r>
    </w:p>
    <w:p w14:paraId="1D986EDB">
      <w:pPr>
        <w:spacing w:before="312" w:beforeLines="100" w:after="312" w:afterLines="100" w:line="400" w:lineRule="exact"/>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附件12：</w:t>
      </w:r>
    </w:p>
    <w:p w14:paraId="2B7CADCC">
      <w:pPr>
        <w:spacing w:before="312" w:beforeLines="100" w:after="312" w:afterLines="100"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中标通知书</w:t>
      </w:r>
    </w:p>
    <w:p w14:paraId="47A29238">
      <w:pPr>
        <w:spacing w:before="312" w:beforeLines="100" w:after="312" w:afterLines="100" w:line="400" w:lineRule="exact"/>
        <w:jc w:val="center"/>
        <w:rPr>
          <w:rFonts w:ascii="宋体" w:hAnsi="宋体"/>
          <w:b/>
          <w:color w:val="auto"/>
          <w:sz w:val="32"/>
          <w:szCs w:val="32"/>
          <w:highlight w:val="none"/>
        </w:rPr>
      </w:pPr>
    </w:p>
    <w:p w14:paraId="0E031650">
      <w:pPr>
        <w:spacing w:before="312" w:beforeLines="100" w:after="312" w:afterLines="100" w:line="400" w:lineRule="exact"/>
        <w:jc w:val="center"/>
        <w:rPr>
          <w:rFonts w:ascii="宋体" w:hAnsi="宋体"/>
          <w:b/>
          <w:color w:val="auto"/>
          <w:sz w:val="32"/>
          <w:szCs w:val="32"/>
          <w:highlight w:val="none"/>
        </w:rPr>
      </w:pPr>
    </w:p>
    <w:p w14:paraId="279CB85D">
      <w:pPr>
        <w:spacing w:before="312" w:beforeLines="100" w:after="312" w:afterLines="100" w:line="400" w:lineRule="exact"/>
        <w:jc w:val="center"/>
        <w:rPr>
          <w:rFonts w:ascii="宋体" w:hAnsi="宋体"/>
          <w:b/>
          <w:color w:val="auto"/>
          <w:sz w:val="32"/>
          <w:szCs w:val="32"/>
          <w:highlight w:val="none"/>
        </w:rPr>
      </w:pPr>
    </w:p>
    <w:p w14:paraId="5CF22136">
      <w:pPr>
        <w:spacing w:before="312" w:beforeLines="100" w:after="312" w:afterLines="100" w:line="400" w:lineRule="exact"/>
        <w:jc w:val="center"/>
        <w:rPr>
          <w:rFonts w:ascii="宋体" w:hAnsi="宋体"/>
          <w:b/>
          <w:color w:val="auto"/>
          <w:sz w:val="32"/>
          <w:szCs w:val="32"/>
          <w:highlight w:val="none"/>
        </w:rPr>
      </w:pPr>
    </w:p>
    <w:p w14:paraId="3501C7BB">
      <w:pPr>
        <w:spacing w:before="312" w:beforeLines="100" w:after="312" w:afterLines="100" w:line="400" w:lineRule="exact"/>
        <w:jc w:val="center"/>
        <w:rPr>
          <w:rFonts w:ascii="宋体" w:hAnsi="宋体"/>
          <w:b/>
          <w:color w:val="auto"/>
          <w:sz w:val="32"/>
          <w:szCs w:val="32"/>
          <w:highlight w:val="none"/>
        </w:rPr>
      </w:pPr>
    </w:p>
    <w:p w14:paraId="3A4623DC">
      <w:pPr>
        <w:spacing w:before="312" w:beforeLines="100" w:after="312" w:afterLines="100" w:line="400" w:lineRule="exact"/>
        <w:jc w:val="center"/>
        <w:rPr>
          <w:rFonts w:ascii="宋体" w:hAnsi="宋体"/>
          <w:b/>
          <w:color w:val="auto"/>
          <w:sz w:val="32"/>
          <w:szCs w:val="32"/>
          <w:highlight w:val="none"/>
        </w:rPr>
      </w:pPr>
    </w:p>
    <w:p w14:paraId="4589A8CE">
      <w:pPr>
        <w:spacing w:before="312" w:beforeLines="100" w:after="312" w:afterLines="100" w:line="400" w:lineRule="exact"/>
        <w:jc w:val="center"/>
        <w:rPr>
          <w:rFonts w:ascii="宋体" w:hAnsi="宋体"/>
          <w:b/>
          <w:color w:val="auto"/>
          <w:sz w:val="32"/>
          <w:szCs w:val="32"/>
          <w:highlight w:val="none"/>
        </w:rPr>
      </w:pPr>
    </w:p>
    <w:p w14:paraId="6B304961">
      <w:pPr>
        <w:spacing w:before="312" w:beforeLines="100" w:after="312" w:afterLines="100" w:line="400" w:lineRule="exact"/>
        <w:jc w:val="center"/>
        <w:rPr>
          <w:rFonts w:ascii="宋体" w:hAnsi="宋体"/>
          <w:b/>
          <w:color w:val="auto"/>
          <w:sz w:val="32"/>
          <w:szCs w:val="32"/>
          <w:highlight w:val="none"/>
        </w:rPr>
      </w:pPr>
    </w:p>
    <w:p w14:paraId="30BCABD5">
      <w:pPr>
        <w:spacing w:before="312" w:beforeLines="100" w:after="312" w:afterLines="100" w:line="400" w:lineRule="exact"/>
        <w:jc w:val="center"/>
        <w:rPr>
          <w:rFonts w:ascii="宋体" w:hAnsi="宋体"/>
          <w:b/>
          <w:color w:val="auto"/>
          <w:sz w:val="32"/>
          <w:szCs w:val="32"/>
          <w:highlight w:val="none"/>
        </w:rPr>
      </w:pPr>
    </w:p>
    <w:p w14:paraId="7F564F83">
      <w:pPr>
        <w:spacing w:before="312" w:beforeLines="100" w:after="312" w:afterLines="100" w:line="400" w:lineRule="exact"/>
        <w:jc w:val="center"/>
        <w:rPr>
          <w:rFonts w:ascii="宋体" w:hAnsi="宋体"/>
          <w:b/>
          <w:color w:val="auto"/>
          <w:sz w:val="32"/>
          <w:szCs w:val="32"/>
          <w:highlight w:val="none"/>
        </w:rPr>
      </w:pPr>
    </w:p>
    <w:p w14:paraId="4F85967E">
      <w:pPr>
        <w:spacing w:before="312" w:beforeLines="100" w:after="312" w:afterLines="100" w:line="400" w:lineRule="exact"/>
        <w:jc w:val="center"/>
        <w:rPr>
          <w:rFonts w:ascii="宋体" w:hAnsi="宋体"/>
          <w:b/>
          <w:color w:val="auto"/>
          <w:sz w:val="32"/>
          <w:szCs w:val="32"/>
          <w:highlight w:val="none"/>
        </w:rPr>
      </w:pPr>
    </w:p>
    <w:p w14:paraId="4B88FF87">
      <w:pPr>
        <w:spacing w:before="312" w:beforeLines="100" w:after="312" w:afterLines="100" w:line="400" w:lineRule="exact"/>
        <w:jc w:val="center"/>
        <w:rPr>
          <w:rFonts w:ascii="宋体" w:hAnsi="宋体"/>
          <w:b/>
          <w:color w:val="auto"/>
          <w:sz w:val="32"/>
          <w:szCs w:val="32"/>
          <w:highlight w:val="none"/>
        </w:rPr>
      </w:pPr>
    </w:p>
    <w:p w14:paraId="0F70B52C">
      <w:pPr>
        <w:spacing w:before="312" w:beforeLines="100" w:after="312" w:afterLines="100" w:line="400" w:lineRule="exact"/>
        <w:jc w:val="center"/>
        <w:rPr>
          <w:rFonts w:ascii="宋体" w:hAnsi="宋体"/>
          <w:b/>
          <w:color w:val="auto"/>
          <w:sz w:val="32"/>
          <w:szCs w:val="32"/>
          <w:highlight w:val="none"/>
        </w:rPr>
      </w:pPr>
    </w:p>
    <w:p w14:paraId="41A781EB">
      <w:pPr>
        <w:spacing w:before="312" w:beforeLines="100" w:after="312" w:afterLines="100" w:line="400" w:lineRule="exact"/>
        <w:jc w:val="center"/>
        <w:rPr>
          <w:rFonts w:ascii="宋体" w:hAnsi="宋体"/>
          <w:b/>
          <w:color w:val="auto"/>
          <w:sz w:val="32"/>
          <w:szCs w:val="32"/>
          <w:highlight w:val="none"/>
        </w:rPr>
      </w:pPr>
    </w:p>
    <w:p w14:paraId="5A2645BE">
      <w:pPr>
        <w:spacing w:before="312" w:beforeLines="100" w:after="312" w:afterLines="100" w:line="400" w:lineRule="exact"/>
        <w:jc w:val="center"/>
        <w:rPr>
          <w:rFonts w:ascii="宋体" w:hAnsi="宋体"/>
          <w:b/>
          <w:color w:val="auto"/>
          <w:sz w:val="32"/>
          <w:szCs w:val="32"/>
          <w:highlight w:val="none"/>
        </w:rPr>
      </w:pPr>
    </w:p>
    <w:p w14:paraId="5A779CBE">
      <w:pPr>
        <w:spacing w:before="312" w:beforeLines="100" w:after="312" w:afterLines="100" w:line="400" w:lineRule="exact"/>
        <w:jc w:val="center"/>
        <w:rPr>
          <w:rFonts w:ascii="宋体" w:hAnsi="宋体"/>
          <w:b/>
          <w:color w:val="auto"/>
          <w:sz w:val="32"/>
          <w:szCs w:val="32"/>
          <w:highlight w:val="none"/>
        </w:rPr>
      </w:pPr>
    </w:p>
    <w:p w14:paraId="171D3097">
      <w:pPr>
        <w:spacing w:before="312" w:beforeLines="100" w:after="312" w:afterLines="100" w:line="400" w:lineRule="exact"/>
        <w:jc w:val="center"/>
        <w:rPr>
          <w:rFonts w:ascii="宋体" w:hAnsi="宋体"/>
          <w:b/>
          <w:color w:val="auto"/>
          <w:sz w:val="32"/>
          <w:szCs w:val="32"/>
          <w:highlight w:val="none"/>
        </w:rPr>
      </w:pPr>
    </w:p>
    <w:p w14:paraId="389B28B0">
      <w:pPr>
        <w:spacing w:before="312" w:beforeLines="100" w:after="312" w:afterLines="100" w:line="400" w:lineRule="exact"/>
        <w:jc w:val="center"/>
        <w:rPr>
          <w:rFonts w:ascii="宋体" w:hAnsi="宋体"/>
          <w:b/>
          <w:color w:val="auto"/>
          <w:sz w:val="32"/>
          <w:szCs w:val="32"/>
          <w:highlight w:val="none"/>
        </w:rPr>
      </w:pPr>
    </w:p>
    <w:p w14:paraId="732ED992">
      <w:pPr>
        <w:spacing w:before="312" w:beforeLines="100" w:after="312" w:afterLines="100" w:line="400" w:lineRule="exact"/>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附件13：</w:t>
      </w:r>
    </w:p>
    <w:p w14:paraId="69E8853C">
      <w:pPr>
        <w:spacing w:before="312" w:beforeLines="100" w:after="312" w:afterLines="100" w:line="400" w:lineRule="exact"/>
        <w:jc w:val="center"/>
        <w:rPr>
          <w:rFonts w:ascii="宋体" w:hAnsi="宋体"/>
          <w:b/>
          <w:color w:val="auto"/>
          <w:sz w:val="32"/>
          <w:szCs w:val="32"/>
          <w:highlight w:val="none"/>
        </w:rPr>
      </w:pPr>
    </w:p>
    <w:p w14:paraId="4BE1F367">
      <w:pPr>
        <w:spacing w:before="312" w:beforeLines="100" w:after="312" w:afterLines="100" w:line="400" w:lineRule="exact"/>
        <w:jc w:val="center"/>
        <w:rPr>
          <w:rFonts w:ascii="宋体" w:hAnsi="宋体"/>
          <w:b/>
          <w:color w:val="auto"/>
          <w:sz w:val="32"/>
          <w:szCs w:val="32"/>
          <w:highlight w:val="none"/>
        </w:rPr>
      </w:pPr>
      <w:r>
        <w:rPr>
          <w:rFonts w:hint="eastAsia" w:ascii="宋体" w:hAnsi="宋体"/>
          <w:b/>
          <w:color w:val="auto"/>
          <w:sz w:val="32"/>
          <w:szCs w:val="32"/>
          <w:highlight w:val="none"/>
        </w:rPr>
        <w:t>工程质量终身责任承诺书</w:t>
      </w:r>
    </w:p>
    <w:p w14:paraId="6436F4FC">
      <w:pPr>
        <w:spacing w:before="312" w:beforeLines="100" w:after="312" w:afterLines="100" w:line="360" w:lineRule="auto"/>
        <w:ind w:firstLine="480" w:firstLineChars="200"/>
        <w:rPr>
          <w:rFonts w:ascii="宋体" w:hAnsi="宋体"/>
          <w:color w:val="auto"/>
          <w:sz w:val="24"/>
          <w:highlight w:val="none"/>
        </w:rPr>
      </w:pPr>
      <w:r>
        <w:rPr>
          <w:rFonts w:hint="eastAsia" w:ascii="宋体" w:hAnsi="宋体"/>
          <w:color w:val="auto"/>
          <w:sz w:val="24"/>
          <w:highlight w:val="none"/>
        </w:rPr>
        <w:t>本人受   （法定代表人）授权，担任花果山产业小镇综合配套工程建设项目项目的施工项目负责人，对该工程项目的施工工作实施组织管理。本人承诺严格依据国家有关法律法规及标准规范履行职责，并对设计使用年限内的工程质量承担相应终身责任。</w:t>
      </w:r>
    </w:p>
    <w:p w14:paraId="75A4A875">
      <w:pPr>
        <w:spacing w:line="360" w:lineRule="auto"/>
        <w:ind w:firstLine="480" w:firstLineChars="200"/>
        <w:rPr>
          <w:rFonts w:ascii="宋体" w:hAnsi="宋体"/>
          <w:color w:val="auto"/>
          <w:sz w:val="24"/>
          <w:highlight w:val="none"/>
        </w:rPr>
      </w:pPr>
    </w:p>
    <w:p w14:paraId="33232EDC">
      <w:pPr>
        <w:spacing w:line="360" w:lineRule="auto"/>
        <w:ind w:firstLine="480" w:firstLineChars="200"/>
        <w:rPr>
          <w:rFonts w:ascii="宋体" w:hAnsi="宋体"/>
          <w:color w:val="auto"/>
          <w:sz w:val="24"/>
          <w:highlight w:val="none"/>
        </w:rPr>
      </w:pPr>
    </w:p>
    <w:p w14:paraId="5492C668">
      <w:pPr>
        <w:spacing w:line="360" w:lineRule="auto"/>
        <w:ind w:firstLine="600" w:firstLineChars="200"/>
        <w:rPr>
          <w:rFonts w:ascii="宋体" w:hAnsi="宋体"/>
          <w:color w:val="auto"/>
          <w:sz w:val="24"/>
          <w:highlight w:val="none"/>
          <w:u w:val="single"/>
        </w:rPr>
      </w:pPr>
      <w:r>
        <w:rPr>
          <w:rFonts w:hint="eastAsia" w:ascii="宋体" w:hAnsi="宋体"/>
          <w:color w:val="auto"/>
          <w:spacing w:val="30"/>
          <w:sz w:val="24"/>
          <w:highlight w:val="none"/>
        </w:rPr>
        <w:t>承诺人签字</w:t>
      </w:r>
      <w:r>
        <w:rPr>
          <w:rFonts w:hint="eastAsia" w:ascii="宋体" w:hAnsi="宋体"/>
          <w:color w:val="auto"/>
          <w:sz w:val="24"/>
          <w:highlight w:val="none"/>
        </w:rPr>
        <w:t>：</w:t>
      </w:r>
    </w:p>
    <w:p w14:paraId="196D9038">
      <w:pPr>
        <w:widowControl/>
        <w:shd w:val="clear" w:color="auto" w:fill="FFFFFF"/>
        <w:spacing w:before="100" w:beforeAutospacing="1" w:after="100" w:afterAutospacing="1" w:line="315" w:lineRule="atLeast"/>
        <w:ind w:firstLine="592" w:firstLineChars="200"/>
        <w:jc w:val="left"/>
        <w:rPr>
          <w:rFonts w:ascii="Arial" w:hAnsi="Arial" w:cs="Arial"/>
          <w:color w:val="auto"/>
          <w:kern w:val="0"/>
          <w:szCs w:val="21"/>
          <w:highlight w:val="none"/>
        </w:rPr>
      </w:pPr>
      <w:r>
        <w:rPr>
          <w:rFonts w:hint="eastAsia" w:ascii="宋体" w:hAnsi="宋体"/>
          <w:color w:val="auto"/>
          <w:spacing w:val="28"/>
          <w:sz w:val="24"/>
          <w:highlight w:val="none"/>
        </w:rPr>
        <w:t>身份证号</w:t>
      </w:r>
      <w:r>
        <w:rPr>
          <w:rFonts w:hint="eastAsia" w:ascii="宋体" w:hAnsi="宋体"/>
          <w:color w:val="auto"/>
          <w:sz w:val="24"/>
          <w:highlight w:val="none"/>
        </w:rPr>
        <w:t>：</w:t>
      </w:r>
      <w:r>
        <w:rPr>
          <w:rFonts w:hint="eastAsia" w:ascii="宋体" w:hAnsi="宋体" w:cs="Arial"/>
          <w:color w:val="auto"/>
          <w:kern w:val="0"/>
          <w:sz w:val="24"/>
          <w:szCs w:val="24"/>
          <w:highlight w:val="none"/>
          <w:u w:val="single"/>
        </w:rPr>
        <w:t xml:space="preserve"> </w:t>
      </w:r>
    </w:p>
    <w:p w14:paraId="62CD235E">
      <w:pPr>
        <w:widowControl/>
        <w:shd w:val="clear" w:color="auto" w:fill="FFFFFF"/>
        <w:spacing w:before="100" w:beforeAutospacing="1" w:after="100" w:afterAutospacing="1" w:line="315" w:lineRule="atLeast"/>
        <w:ind w:firstLine="3720" w:firstLineChars="1550"/>
        <w:jc w:val="left"/>
        <w:rPr>
          <w:rFonts w:ascii="Arial" w:hAnsi="Arial" w:cs="Arial"/>
          <w:color w:val="auto"/>
          <w:kern w:val="0"/>
          <w:szCs w:val="21"/>
          <w:highlight w:val="none"/>
        </w:rPr>
      </w:pPr>
      <w:r>
        <w:rPr>
          <w:rFonts w:hint="eastAsia" w:ascii="宋体" w:hAnsi="宋体" w:cs="Arial"/>
          <w:color w:val="auto"/>
          <w:kern w:val="0"/>
          <w:sz w:val="24"/>
          <w:szCs w:val="24"/>
          <w:highlight w:val="none"/>
        </w:rPr>
        <w:t>注册执业资格：</w:t>
      </w:r>
      <w:r>
        <w:rPr>
          <w:rFonts w:hint="eastAsia" w:ascii="宋体" w:hAnsi="宋体" w:cs="Arial"/>
          <w:color w:val="auto"/>
          <w:kern w:val="0"/>
          <w:sz w:val="24"/>
          <w:szCs w:val="24"/>
          <w:highlight w:val="none"/>
          <w:u w:val="single"/>
        </w:rPr>
        <w:t xml:space="preserve">     </w:t>
      </w:r>
    </w:p>
    <w:p w14:paraId="5FD15515">
      <w:pPr>
        <w:spacing w:line="360" w:lineRule="auto"/>
        <w:ind w:firstLine="3720" w:firstLineChars="1550"/>
        <w:rPr>
          <w:rFonts w:ascii="宋体" w:hAnsi="宋体"/>
          <w:color w:val="auto"/>
          <w:sz w:val="24"/>
          <w:highlight w:val="none"/>
        </w:rPr>
      </w:pPr>
      <w:r>
        <w:rPr>
          <w:rFonts w:hint="eastAsia" w:ascii="宋体" w:hAnsi="宋体" w:cs="Arial"/>
          <w:color w:val="auto"/>
          <w:kern w:val="0"/>
          <w:sz w:val="24"/>
          <w:szCs w:val="24"/>
          <w:highlight w:val="none"/>
        </w:rPr>
        <w:t>注册执业证号：</w:t>
      </w:r>
      <w:r>
        <w:rPr>
          <w:rFonts w:hint="eastAsia" w:ascii="宋体" w:hAnsi="宋体" w:cs="Arial"/>
          <w:color w:val="auto"/>
          <w:kern w:val="0"/>
          <w:sz w:val="24"/>
          <w:szCs w:val="24"/>
          <w:highlight w:val="none"/>
          <w:u w:val="single"/>
        </w:rPr>
        <w:t xml:space="preserve"> </w:t>
      </w:r>
    </w:p>
    <w:p w14:paraId="2957CBCF">
      <w:pPr>
        <w:spacing w:line="360" w:lineRule="auto"/>
        <w:ind w:firstLine="592" w:firstLineChars="200"/>
        <w:rPr>
          <w:rFonts w:ascii="宋体" w:hAnsi="宋体"/>
          <w:snapToGrid w:val="0"/>
          <w:color w:val="auto"/>
          <w:kern w:val="0"/>
          <w:sz w:val="24"/>
          <w:szCs w:val="24"/>
          <w:highlight w:val="none"/>
        </w:rPr>
      </w:pPr>
      <w:r>
        <w:rPr>
          <w:rFonts w:hint="eastAsia" w:ascii="宋体" w:hAnsi="宋体"/>
          <w:color w:val="auto"/>
          <w:spacing w:val="28"/>
          <w:sz w:val="24"/>
          <w:highlight w:val="none"/>
        </w:rPr>
        <w:t>签字日期</w:t>
      </w:r>
      <w:r>
        <w:rPr>
          <w:rFonts w:hint="eastAsia" w:ascii="宋体" w:hAnsi="宋体"/>
          <w:color w:val="auto"/>
          <w:sz w:val="24"/>
          <w:highlight w:val="none"/>
        </w:rPr>
        <w:t>： 2024年  月  日</w:t>
      </w:r>
    </w:p>
    <w:p w14:paraId="087400DA">
      <w:pPr>
        <w:adjustRightInd w:val="0"/>
        <w:snapToGrid w:val="0"/>
        <w:spacing w:line="360" w:lineRule="auto"/>
        <w:rPr>
          <w:rFonts w:ascii="宋体" w:hAnsi="宋体"/>
          <w:snapToGrid w:val="0"/>
          <w:color w:val="auto"/>
          <w:kern w:val="0"/>
          <w:sz w:val="24"/>
          <w:szCs w:val="24"/>
          <w:highlight w:val="none"/>
        </w:rPr>
      </w:pPr>
    </w:p>
    <w:p w14:paraId="724933EE">
      <w:pPr>
        <w:adjustRightInd w:val="0"/>
        <w:snapToGrid w:val="0"/>
        <w:spacing w:line="360" w:lineRule="auto"/>
        <w:rPr>
          <w:rFonts w:ascii="宋体" w:hAnsi="宋体"/>
          <w:snapToGrid w:val="0"/>
          <w:color w:val="auto"/>
          <w:kern w:val="0"/>
          <w:sz w:val="24"/>
          <w:szCs w:val="24"/>
          <w:highlight w:val="none"/>
        </w:rPr>
      </w:pPr>
      <w:r>
        <w:rPr>
          <w:rFonts w:ascii="宋体" w:hAnsi="宋体"/>
          <w:snapToGrid w:val="0"/>
          <w:color w:val="auto"/>
          <w:kern w:val="0"/>
          <w:sz w:val="24"/>
          <w:szCs w:val="24"/>
          <w:highlight w:val="none"/>
        </w:rPr>
        <w:br w:type="page"/>
      </w:r>
      <w:r>
        <w:rPr>
          <w:rFonts w:hint="eastAsia" w:ascii="宋体" w:hAnsi="宋体"/>
          <w:snapToGrid w:val="0"/>
          <w:color w:val="auto"/>
          <w:kern w:val="0"/>
          <w:sz w:val="24"/>
          <w:szCs w:val="24"/>
          <w:highlight w:val="none"/>
        </w:rPr>
        <w:t>附件14：</w:t>
      </w:r>
    </w:p>
    <w:p w14:paraId="075F26A8">
      <w:pPr>
        <w:jc w:val="center"/>
        <w:rPr>
          <w:rFonts w:ascii="宋体" w:hAnsi="宋体"/>
          <w:b/>
          <w:color w:val="auto"/>
          <w:sz w:val="32"/>
          <w:szCs w:val="32"/>
          <w:highlight w:val="none"/>
        </w:rPr>
      </w:pPr>
      <w:r>
        <w:rPr>
          <w:rFonts w:hint="eastAsia" w:ascii="宋体" w:hAnsi="宋体"/>
          <w:b/>
          <w:color w:val="auto"/>
          <w:sz w:val="32"/>
          <w:szCs w:val="32"/>
          <w:highlight w:val="none"/>
        </w:rPr>
        <w:t>花果山产业小镇综合配套工程建设项目</w:t>
      </w:r>
    </w:p>
    <w:p w14:paraId="0ABD71A2">
      <w:pPr>
        <w:jc w:val="center"/>
        <w:rPr>
          <w:rFonts w:ascii="宋体" w:hAnsi="宋体"/>
          <w:b/>
          <w:color w:val="auto"/>
          <w:sz w:val="32"/>
          <w:szCs w:val="32"/>
          <w:highlight w:val="none"/>
        </w:rPr>
      </w:pPr>
      <w:r>
        <w:rPr>
          <w:rFonts w:hint="eastAsia" w:ascii="宋体" w:hAnsi="宋体"/>
          <w:b/>
          <w:color w:val="auto"/>
          <w:sz w:val="32"/>
          <w:szCs w:val="32"/>
          <w:highlight w:val="none"/>
        </w:rPr>
        <w:t>工程突发事件应急协议</w:t>
      </w:r>
    </w:p>
    <w:p w14:paraId="11482D82">
      <w:pPr>
        <w:spacing w:line="360" w:lineRule="auto"/>
        <w:rPr>
          <w:rFonts w:ascii="宋体" w:hAnsi="宋体"/>
          <w:color w:val="auto"/>
          <w:sz w:val="24"/>
          <w:szCs w:val="24"/>
          <w:highlight w:val="none"/>
        </w:rPr>
      </w:pPr>
    </w:p>
    <w:p w14:paraId="413AB249">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甲方: </w:t>
      </w:r>
      <w:r>
        <w:rPr>
          <w:rFonts w:hint="eastAsia" w:ascii="宋体" w:hAnsi="宋体" w:cs="宋体"/>
          <w:color w:val="auto"/>
          <w:sz w:val="24"/>
          <w:szCs w:val="24"/>
          <w:highlight w:val="none"/>
          <w:u w:val="single"/>
        </w:rPr>
        <w:t>广州市越秀区代建项目管理中心</w:t>
      </w:r>
    </w:p>
    <w:p w14:paraId="18903280">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乙方:  </w:t>
      </w:r>
    </w:p>
    <w:p w14:paraId="17F23605">
      <w:pPr>
        <w:spacing w:line="360" w:lineRule="auto"/>
        <w:ind w:firstLine="484" w:firstLineChars="202"/>
        <w:rPr>
          <w:rFonts w:ascii="宋体" w:hAnsi="宋体"/>
          <w:color w:val="auto"/>
          <w:sz w:val="24"/>
          <w:szCs w:val="24"/>
          <w:highlight w:val="none"/>
        </w:rPr>
      </w:pPr>
    </w:p>
    <w:p w14:paraId="1124677F">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为了贯彻“安全第一、预防为主、综合治理”的安全方针，提高建设项目应对突发事件的能力，最大限度预防突发事件，减少损害，有计划、有准备、高效率地开展防御、抢险、救灾工作，加强突发事件抢险过程中的资源的保障能力，保障人身及财产安全，根据《中华人民共和国突发事件应对法》及相关法律法规，就乙方加入甲方组建的应急管理组织体系，成为应急管理组织体系成员单位一事，甲乙双方经协商一致，特签订此协议。</w:t>
      </w:r>
      <w:r>
        <w:rPr>
          <w:rFonts w:hint="eastAsia" w:ascii="宋体" w:hAnsi="宋体"/>
          <w:color w:val="auto"/>
          <w:sz w:val="24"/>
          <w:szCs w:val="24"/>
          <w:highlight w:val="none"/>
        </w:rPr>
        <w:br w:type="textWrapping"/>
      </w:r>
      <w:r>
        <w:rPr>
          <w:rFonts w:hint="eastAsia" w:ascii="宋体" w:hAnsi="宋体"/>
          <w:color w:val="auto"/>
          <w:sz w:val="24"/>
          <w:szCs w:val="24"/>
          <w:highlight w:val="none"/>
        </w:rPr>
        <w:t xml:space="preserve">    第一条 甲乙双方责任 </w:t>
      </w:r>
    </w:p>
    <w:p w14:paraId="6E0B9392">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一）严格遵守《中华人民共和国建筑法》、《中华人民共和国安全生产法》、《建设工程安全生产管理条例》、《国家安全生产事故灾难应急预案》、《建设工程重大质量安全事故应急预案》、《广东省生产安全事故应急预案》、《广州市突发事件总体应急预案》、《广州市生产安全事故报告和调查处理规定》、《广州市应急抢险救灾工程管理办法》、《广州市建设工程突发事件应急预案》等法律法规和有关规定。</w:t>
      </w:r>
    </w:p>
    <w:p w14:paraId="080C1653">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（二）加强应急救援的宣传与培训工作，广泛宣传应急法律法规和预防、避险、自救、互救和减灾等常识，增强员工的自救、互救能力。</w:t>
      </w:r>
    </w:p>
    <w:p w14:paraId="6E2485EC">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（三）按《应急预案》配相应人员，确保24小时通讯畅通。</w:t>
      </w:r>
    </w:p>
    <w:p w14:paraId="62B8EC8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第二条 甲方责任</w:t>
      </w:r>
    </w:p>
    <w:p w14:paraId="373A8E03">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（一）依据国家有关法律法规成立  应急指挥中心，负责组织协调乙方及其它成员单位参加应急救援工作。</w:t>
      </w:r>
    </w:p>
    <w:p w14:paraId="6C013ED8">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（二）制定综合类应急预案《突发事件应急预案》。</w:t>
      </w:r>
    </w:p>
    <w:p w14:paraId="52859544">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（三）对突发事件处理提供技术支持，调度成员单位（含乙方）人员、设备和物资等资源，有效遏制和减轻突发事件的扩大。</w:t>
      </w:r>
    </w:p>
    <w:p w14:paraId="472B1A54">
      <w:pPr>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（四）按照“就近”与“专业”的原则指派成员单位参加救援工作。“就近”是指距离突发事件现场较近的成员单位；“专业”是指平时具有与突发事件相应的专项应急预案的成员单位。</w:t>
      </w:r>
    </w:p>
    <w:p w14:paraId="28660726">
      <w:pPr>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（五）在应急救援结束后，积极协调救援费用的补偿事宜。救援费用由突发事件的单位承担，甲方负责督促发生突发事件的单位在救援结束后30天内向参与救援的其它成员单位支付补偿款。·</w:t>
      </w:r>
    </w:p>
    <w:p w14:paraId="3614629C">
      <w:pPr>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（六）对参加应急救援的有功人员给予表彰。</w:t>
      </w:r>
    </w:p>
    <w:p w14:paraId="73322330">
      <w:pPr>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（七）甲方配置的应急指挥中心成员及联系方式如下：</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9"/>
        <w:gridCol w:w="2880"/>
        <w:gridCol w:w="2879"/>
      </w:tblGrid>
      <w:tr w14:paraId="1067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2F09A59D">
            <w:pPr>
              <w:widowControl/>
              <w:spacing w:before="100" w:beforeAutospacing="1" w:after="100" w:afterAutospacing="1" w:line="440" w:lineRule="atLeast"/>
              <w:jc w:val="center"/>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职务</w:t>
            </w:r>
          </w:p>
        </w:tc>
        <w:tc>
          <w:tcPr>
            <w:tcW w:w="2880" w:type="dxa"/>
          </w:tcPr>
          <w:p w14:paraId="3F9B4156">
            <w:pPr>
              <w:widowControl/>
              <w:spacing w:before="100" w:beforeAutospacing="1" w:after="100" w:afterAutospacing="1" w:line="440" w:lineRule="atLeast"/>
              <w:jc w:val="center"/>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姓名</w:t>
            </w:r>
          </w:p>
        </w:tc>
        <w:tc>
          <w:tcPr>
            <w:tcW w:w="2879" w:type="dxa"/>
          </w:tcPr>
          <w:p w14:paraId="4AA468BC">
            <w:pPr>
              <w:widowControl/>
              <w:spacing w:before="100" w:beforeAutospacing="1" w:after="100" w:afterAutospacing="1" w:line="440" w:lineRule="atLeast"/>
              <w:jc w:val="center"/>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电话</w:t>
            </w:r>
          </w:p>
        </w:tc>
      </w:tr>
      <w:tr w14:paraId="15E1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0570F8C3">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梁伟良</w:t>
            </w:r>
          </w:p>
        </w:tc>
        <w:tc>
          <w:tcPr>
            <w:tcW w:w="2880" w:type="dxa"/>
          </w:tcPr>
          <w:p w14:paraId="3587BC78">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项目负责人</w:t>
            </w:r>
          </w:p>
        </w:tc>
        <w:tc>
          <w:tcPr>
            <w:tcW w:w="2879" w:type="dxa"/>
          </w:tcPr>
          <w:p w14:paraId="45141B5F">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83520519</w:t>
            </w:r>
          </w:p>
        </w:tc>
      </w:tr>
      <w:tr w14:paraId="02C9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7ECCBE70">
            <w:pPr>
              <w:spacing w:line="360" w:lineRule="auto"/>
              <w:rPr>
                <w:rFonts w:ascii="宋体" w:hAnsi="宋体"/>
                <w:color w:val="auto"/>
                <w:sz w:val="24"/>
                <w:szCs w:val="24"/>
                <w:highlight w:val="none"/>
              </w:rPr>
            </w:pPr>
          </w:p>
        </w:tc>
        <w:tc>
          <w:tcPr>
            <w:tcW w:w="2880" w:type="dxa"/>
          </w:tcPr>
          <w:p w14:paraId="3D0F0F23">
            <w:pPr>
              <w:spacing w:line="360" w:lineRule="auto"/>
              <w:rPr>
                <w:rFonts w:ascii="宋体" w:hAnsi="宋体"/>
                <w:color w:val="auto"/>
                <w:sz w:val="24"/>
                <w:szCs w:val="24"/>
                <w:highlight w:val="none"/>
              </w:rPr>
            </w:pPr>
          </w:p>
        </w:tc>
        <w:tc>
          <w:tcPr>
            <w:tcW w:w="2879" w:type="dxa"/>
          </w:tcPr>
          <w:p w14:paraId="617AC0F8">
            <w:pPr>
              <w:spacing w:line="360" w:lineRule="auto"/>
              <w:rPr>
                <w:rFonts w:ascii="宋体" w:hAnsi="宋体"/>
                <w:color w:val="auto"/>
                <w:sz w:val="24"/>
                <w:szCs w:val="24"/>
                <w:highlight w:val="none"/>
              </w:rPr>
            </w:pPr>
          </w:p>
        </w:tc>
      </w:tr>
      <w:tr w14:paraId="5C71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tcPr>
          <w:p w14:paraId="6DC0E05A">
            <w:pPr>
              <w:spacing w:line="360" w:lineRule="auto"/>
              <w:rPr>
                <w:rFonts w:ascii="宋体" w:hAnsi="宋体"/>
                <w:color w:val="auto"/>
                <w:sz w:val="24"/>
                <w:szCs w:val="24"/>
                <w:highlight w:val="none"/>
              </w:rPr>
            </w:pPr>
          </w:p>
        </w:tc>
        <w:tc>
          <w:tcPr>
            <w:tcW w:w="2880" w:type="dxa"/>
          </w:tcPr>
          <w:p w14:paraId="0ACFF76C">
            <w:pPr>
              <w:spacing w:line="360" w:lineRule="auto"/>
              <w:rPr>
                <w:rFonts w:ascii="宋体" w:hAnsi="宋体"/>
                <w:color w:val="auto"/>
                <w:sz w:val="24"/>
                <w:szCs w:val="24"/>
                <w:highlight w:val="none"/>
              </w:rPr>
            </w:pPr>
          </w:p>
        </w:tc>
        <w:tc>
          <w:tcPr>
            <w:tcW w:w="2879" w:type="dxa"/>
          </w:tcPr>
          <w:p w14:paraId="53830E6C">
            <w:pPr>
              <w:spacing w:line="360" w:lineRule="auto"/>
              <w:rPr>
                <w:rFonts w:ascii="宋体" w:hAnsi="宋体"/>
                <w:color w:val="auto"/>
                <w:sz w:val="24"/>
                <w:szCs w:val="24"/>
                <w:highlight w:val="none"/>
              </w:rPr>
            </w:pPr>
          </w:p>
        </w:tc>
      </w:tr>
    </w:tbl>
    <w:p w14:paraId="46F8173C">
      <w:pPr>
        <w:spacing w:line="360" w:lineRule="auto"/>
        <w:ind w:firstLine="482" w:firstLineChars="200"/>
        <w:rPr>
          <w:rFonts w:ascii="宋体" w:hAnsi="宋体"/>
          <w:b/>
          <w:color w:val="auto"/>
          <w:sz w:val="24"/>
          <w:szCs w:val="24"/>
          <w:highlight w:val="none"/>
        </w:rPr>
      </w:pPr>
    </w:p>
    <w:p w14:paraId="0D94F24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第三条 乙方责任</w:t>
      </w:r>
    </w:p>
    <w:p w14:paraId="494D7771">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（一）成立项目应急指挥部，《突发事件应急预案》要求组建项目应急救援组织与队伍，服从甲方应急指挥中心的指挥。</w:t>
      </w:r>
    </w:p>
    <w:p w14:paraId="6A5A265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（二）根据《突发事件应急预案》的要求，制定专项应急预案与现场应急处置方案。</w:t>
      </w:r>
    </w:p>
    <w:p w14:paraId="6F01C9C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（三）储备应急机械设备与物资器材，确保工程抢险应急的机械设备正常运作状态，物资器材充足。</w:t>
      </w:r>
    </w:p>
    <w:p w14:paraId="3542CCA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（四）在应急救援时，调集不少于专项应急预案所要求的人员、机械设备、物资器材等资源参与救援。</w:t>
      </w:r>
    </w:p>
    <w:p w14:paraId="58D9A77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（五）每半年向甲方报告应急演练、应急培训、联系方式、专项应急预案、应急队伍、应急设备、应急物资等信息。</w:t>
      </w:r>
    </w:p>
    <w:p w14:paraId="70D2833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（六）每年组织综合类应急预案与专项应急预案进行应急救援演练不少于一次，组织现场应急处置方案进行应急演练不少于两次。</w:t>
      </w:r>
    </w:p>
    <w:p w14:paraId="75522A0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发生突发事件后应立即启动项目专项应急预案，并立即向甲方报告事故信息。必要时，乙方可以请求甲方启动综合应急预案，如果事故现场救援工作有失控的趋势，甲方可以直接启动综合应急预案，指令成员单位派出应急救援人员、机械设备、物资器材等参加应急救援。</w:t>
      </w:r>
    </w:p>
    <w:p w14:paraId="044ACB0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（八）根据《突发事件应急预案》的要求，随时接受甲方调遣，参与突发事件的救援工作，快速调集本单位救援人员、机械设备、物资器材进行应急响应，积极承担应急抢险救援任务。</w:t>
      </w:r>
    </w:p>
    <w:p w14:paraId="25C0767E">
      <w:pPr>
        <w:widowControl/>
        <w:shd w:val="clear" w:color="auto" w:fill="FFFFFF"/>
        <w:spacing w:before="100" w:beforeAutospacing="1" w:after="100" w:afterAutospacing="1" w:line="440" w:lineRule="atLeast"/>
        <w:ind w:firstLine="480"/>
        <w:jc w:val="left"/>
        <w:rPr>
          <w:rFonts w:ascii="Arial" w:hAnsi="Arial" w:cs="Arial"/>
          <w:color w:val="auto"/>
          <w:kern w:val="0"/>
          <w:szCs w:val="21"/>
          <w:highlight w:val="none"/>
        </w:rPr>
      </w:pPr>
      <w:r>
        <w:rPr>
          <w:rFonts w:hint="eastAsia" w:ascii="宋体" w:hAnsi="宋体"/>
          <w:color w:val="auto"/>
          <w:sz w:val="24"/>
          <w:szCs w:val="24"/>
          <w:highlight w:val="none"/>
        </w:rPr>
        <w:t>（九）应急救援工作所发生的费用按照“谁受益谁承担”的原则承担：其它成员单位参与乙方突发事件救援所发生的费用由乙方承担；乙方应在突发事件发生后30天内向其它成员单位支付补偿金；乙方参与其它成员单位突发事件救援所发生的费用由发生突发事件的单位承担。</w:t>
      </w:r>
      <w:r>
        <w:rPr>
          <w:rFonts w:hint="eastAsia" w:ascii="宋体" w:hAnsi="宋体"/>
          <w:color w:val="auto"/>
          <w:sz w:val="24"/>
          <w:szCs w:val="24"/>
          <w:highlight w:val="none"/>
        </w:rPr>
        <w:br w:type="textWrapping"/>
      </w:r>
      <w:r>
        <w:rPr>
          <w:rFonts w:hint="eastAsia" w:ascii="宋体" w:hAnsi="宋体" w:cs="Arial"/>
          <w:color w:val="auto"/>
          <w:kern w:val="0"/>
          <w:sz w:val="24"/>
          <w:szCs w:val="24"/>
          <w:highlight w:val="none"/>
        </w:rPr>
        <w:t>（十）乙方项目应急指挥部的成员及联系方式如下：</w:t>
      </w:r>
    </w:p>
    <w:tbl>
      <w:tblPr>
        <w:tblStyle w:val="47"/>
        <w:tblW w:w="0" w:type="auto"/>
        <w:jc w:val="center"/>
        <w:tblLayout w:type="fixed"/>
        <w:tblCellMar>
          <w:top w:w="0" w:type="dxa"/>
          <w:left w:w="0" w:type="dxa"/>
          <w:bottom w:w="0" w:type="dxa"/>
          <w:right w:w="0" w:type="dxa"/>
        </w:tblCellMar>
      </w:tblPr>
      <w:tblGrid>
        <w:gridCol w:w="2296"/>
        <w:gridCol w:w="3186"/>
        <w:gridCol w:w="2742"/>
      </w:tblGrid>
      <w:tr w14:paraId="321AC4FF">
        <w:tblPrEx>
          <w:tblCellMar>
            <w:top w:w="0" w:type="dxa"/>
            <w:left w:w="0" w:type="dxa"/>
            <w:bottom w:w="0" w:type="dxa"/>
            <w:right w:w="0" w:type="dxa"/>
          </w:tblCellMar>
        </w:tblPrEx>
        <w:trPr>
          <w:trHeight w:val="459" w:hRule="atLeast"/>
          <w:jc w:val="center"/>
        </w:trPr>
        <w:tc>
          <w:tcPr>
            <w:tcW w:w="22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13B1EB00">
            <w:pPr>
              <w:widowControl/>
              <w:spacing w:before="100" w:beforeAutospacing="1" w:after="100" w:afterAutospacing="1" w:line="440" w:lineRule="atLeast"/>
              <w:jc w:val="center"/>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职务</w:t>
            </w:r>
          </w:p>
        </w:tc>
        <w:tc>
          <w:tcPr>
            <w:tcW w:w="3186"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443A8778">
            <w:pPr>
              <w:widowControl/>
              <w:spacing w:before="100" w:beforeAutospacing="1" w:after="100" w:afterAutospacing="1" w:line="440" w:lineRule="atLeast"/>
              <w:jc w:val="center"/>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姓名</w:t>
            </w:r>
          </w:p>
        </w:tc>
        <w:tc>
          <w:tcPr>
            <w:tcW w:w="2742"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2ACF86EB">
            <w:pPr>
              <w:widowControl/>
              <w:spacing w:before="100" w:beforeAutospacing="1" w:after="100" w:afterAutospacing="1" w:line="440" w:lineRule="atLeast"/>
              <w:jc w:val="center"/>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电话</w:t>
            </w:r>
          </w:p>
        </w:tc>
      </w:tr>
      <w:tr w14:paraId="77A988BD">
        <w:tblPrEx>
          <w:tblCellMar>
            <w:top w:w="0" w:type="dxa"/>
            <w:left w:w="0" w:type="dxa"/>
            <w:bottom w:w="0" w:type="dxa"/>
            <w:right w:w="0" w:type="dxa"/>
          </w:tblCellMar>
        </w:tblPrEx>
        <w:trPr>
          <w:trHeight w:val="459" w:hRule="atLeast"/>
          <w:jc w:val="center"/>
        </w:trPr>
        <w:tc>
          <w:tcPr>
            <w:tcW w:w="2296"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C674941">
            <w:pPr>
              <w:widowControl/>
              <w:spacing w:before="100" w:beforeAutospacing="1" w:after="100" w:afterAutospacing="1" w:line="4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tc>
        <w:tc>
          <w:tcPr>
            <w:tcW w:w="3186" w:type="dxa"/>
            <w:tcBorders>
              <w:top w:val="nil"/>
              <w:left w:val="nil"/>
              <w:bottom w:val="single" w:color="auto" w:sz="8" w:space="0"/>
              <w:right w:val="single" w:color="auto" w:sz="8" w:space="0"/>
            </w:tcBorders>
            <w:tcMar>
              <w:top w:w="0" w:type="dxa"/>
              <w:left w:w="108" w:type="dxa"/>
              <w:bottom w:w="0" w:type="dxa"/>
              <w:right w:w="108" w:type="dxa"/>
            </w:tcMar>
          </w:tcPr>
          <w:p w14:paraId="567B8DA2">
            <w:pPr>
              <w:widowControl/>
              <w:spacing w:before="100" w:beforeAutospacing="1" w:after="100" w:afterAutospacing="1" w:line="4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tc>
        <w:tc>
          <w:tcPr>
            <w:tcW w:w="2742" w:type="dxa"/>
            <w:tcBorders>
              <w:top w:val="nil"/>
              <w:left w:val="nil"/>
              <w:bottom w:val="single" w:color="auto" w:sz="8" w:space="0"/>
              <w:right w:val="single" w:color="auto" w:sz="8" w:space="0"/>
            </w:tcBorders>
            <w:tcMar>
              <w:top w:w="0" w:type="dxa"/>
              <w:left w:w="108" w:type="dxa"/>
              <w:bottom w:w="0" w:type="dxa"/>
              <w:right w:w="108" w:type="dxa"/>
            </w:tcMar>
          </w:tcPr>
          <w:p w14:paraId="05A77CC7">
            <w:pPr>
              <w:widowControl/>
              <w:spacing w:before="100" w:beforeAutospacing="1" w:after="100" w:afterAutospacing="1" w:line="4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tc>
      </w:tr>
      <w:tr w14:paraId="22A0AF36">
        <w:tblPrEx>
          <w:tblCellMar>
            <w:top w:w="0" w:type="dxa"/>
            <w:left w:w="0" w:type="dxa"/>
            <w:bottom w:w="0" w:type="dxa"/>
            <w:right w:w="0" w:type="dxa"/>
          </w:tblCellMar>
        </w:tblPrEx>
        <w:trPr>
          <w:trHeight w:val="459" w:hRule="atLeast"/>
          <w:jc w:val="center"/>
        </w:trPr>
        <w:tc>
          <w:tcPr>
            <w:tcW w:w="2296"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03EBA4E">
            <w:pPr>
              <w:widowControl/>
              <w:spacing w:before="100" w:beforeAutospacing="1" w:after="100" w:afterAutospacing="1" w:line="440" w:lineRule="atLeast"/>
              <w:jc w:val="center"/>
              <w:rPr>
                <w:rFonts w:ascii="宋体" w:hAnsi="宋体" w:cs="宋体"/>
                <w:color w:val="auto"/>
                <w:kern w:val="0"/>
                <w:sz w:val="24"/>
                <w:szCs w:val="24"/>
                <w:highlight w:val="none"/>
              </w:rPr>
            </w:pPr>
          </w:p>
        </w:tc>
        <w:tc>
          <w:tcPr>
            <w:tcW w:w="3186" w:type="dxa"/>
            <w:tcBorders>
              <w:top w:val="nil"/>
              <w:left w:val="nil"/>
              <w:bottom w:val="single" w:color="auto" w:sz="8" w:space="0"/>
              <w:right w:val="single" w:color="auto" w:sz="8" w:space="0"/>
            </w:tcBorders>
            <w:tcMar>
              <w:top w:w="0" w:type="dxa"/>
              <w:left w:w="108" w:type="dxa"/>
              <w:bottom w:w="0" w:type="dxa"/>
              <w:right w:w="108" w:type="dxa"/>
            </w:tcMar>
          </w:tcPr>
          <w:p w14:paraId="6F31E095">
            <w:pPr>
              <w:widowControl/>
              <w:spacing w:before="100" w:beforeAutospacing="1" w:after="100" w:afterAutospacing="1" w:line="440" w:lineRule="atLeast"/>
              <w:jc w:val="left"/>
              <w:rPr>
                <w:rFonts w:ascii="宋体" w:hAnsi="宋体" w:cs="宋体"/>
                <w:color w:val="auto"/>
                <w:kern w:val="0"/>
                <w:sz w:val="24"/>
                <w:szCs w:val="24"/>
                <w:highlight w:val="none"/>
              </w:rPr>
            </w:pPr>
          </w:p>
        </w:tc>
        <w:tc>
          <w:tcPr>
            <w:tcW w:w="2742" w:type="dxa"/>
            <w:tcBorders>
              <w:top w:val="nil"/>
              <w:left w:val="nil"/>
              <w:bottom w:val="single" w:color="auto" w:sz="8" w:space="0"/>
              <w:right w:val="single" w:color="auto" w:sz="8" w:space="0"/>
            </w:tcBorders>
            <w:tcMar>
              <w:top w:w="0" w:type="dxa"/>
              <w:left w:w="108" w:type="dxa"/>
              <w:bottom w:w="0" w:type="dxa"/>
              <w:right w:w="108" w:type="dxa"/>
            </w:tcMar>
          </w:tcPr>
          <w:p w14:paraId="3683B642">
            <w:pPr>
              <w:widowControl/>
              <w:spacing w:before="100" w:beforeAutospacing="1" w:after="100" w:afterAutospacing="1" w:line="440" w:lineRule="atLeast"/>
              <w:jc w:val="left"/>
              <w:rPr>
                <w:rFonts w:ascii="宋体" w:hAnsi="宋体" w:cs="宋体"/>
                <w:color w:val="auto"/>
                <w:kern w:val="0"/>
                <w:sz w:val="24"/>
                <w:szCs w:val="24"/>
                <w:highlight w:val="none"/>
              </w:rPr>
            </w:pPr>
          </w:p>
        </w:tc>
      </w:tr>
      <w:tr w14:paraId="6B4551CF">
        <w:tblPrEx>
          <w:tblCellMar>
            <w:top w:w="0" w:type="dxa"/>
            <w:left w:w="0" w:type="dxa"/>
            <w:bottom w:w="0" w:type="dxa"/>
            <w:right w:w="0" w:type="dxa"/>
          </w:tblCellMar>
        </w:tblPrEx>
        <w:trPr>
          <w:trHeight w:val="444" w:hRule="atLeast"/>
          <w:jc w:val="center"/>
        </w:trPr>
        <w:tc>
          <w:tcPr>
            <w:tcW w:w="2296"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D32B54D">
            <w:pPr>
              <w:widowControl/>
              <w:spacing w:before="100" w:beforeAutospacing="1" w:after="100" w:afterAutospacing="1" w:line="440" w:lineRule="atLeast"/>
              <w:jc w:val="center"/>
              <w:rPr>
                <w:rFonts w:ascii="宋体" w:hAnsi="宋体" w:cs="宋体"/>
                <w:color w:val="auto"/>
                <w:kern w:val="0"/>
                <w:sz w:val="24"/>
                <w:szCs w:val="24"/>
                <w:highlight w:val="none"/>
              </w:rPr>
            </w:pPr>
          </w:p>
        </w:tc>
        <w:tc>
          <w:tcPr>
            <w:tcW w:w="3186" w:type="dxa"/>
            <w:tcBorders>
              <w:top w:val="nil"/>
              <w:left w:val="nil"/>
              <w:bottom w:val="single" w:color="auto" w:sz="8" w:space="0"/>
              <w:right w:val="single" w:color="auto" w:sz="8" w:space="0"/>
            </w:tcBorders>
            <w:tcMar>
              <w:top w:w="0" w:type="dxa"/>
              <w:left w:w="108" w:type="dxa"/>
              <w:bottom w:w="0" w:type="dxa"/>
              <w:right w:w="108" w:type="dxa"/>
            </w:tcMar>
          </w:tcPr>
          <w:p w14:paraId="76890741">
            <w:pPr>
              <w:widowControl/>
              <w:spacing w:before="100" w:beforeAutospacing="1" w:after="100" w:afterAutospacing="1" w:line="440" w:lineRule="atLeast"/>
              <w:jc w:val="left"/>
              <w:rPr>
                <w:rFonts w:ascii="宋体" w:hAnsi="宋体" w:cs="宋体"/>
                <w:color w:val="auto"/>
                <w:kern w:val="0"/>
                <w:sz w:val="24"/>
                <w:szCs w:val="24"/>
                <w:highlight w:val="none"/>
              </w:rPr>
            </w:pPr>
          </w:p>
        </w:tc>
        <w:tc>
          <w:tcPr>
            <w:tcW w:w="2742" w:type="dxa"/>
            <w:tcBorders>
              <w:top w:val="nil"/>
              <w:left w:val="nil"/>
              <w:bottom w:val="single" w:color="auto" w:sz="8" w:space="0"/>
              <w:right w:val="single" w:color="auto" w:sz="8" w:space="0"/>
            </w:tcBorders>
            <w:tcMar>
              <w:top w:w="0" w:type="dxa"/>
              <w:left w:w="108" w:type="dxa"/>
              <w:bottom w:w="0" w:type="dxa"/>
              <w:right w:w="108" w:type="dxa"/>
            </w:tcMar>
          </w:tcPr>
          <w:p w14:paraId="14D399AF">
            <w:pPr>
              <w:widowControl/>
              <w:spacing w:before="100" w:beforeAutospacing="1" w:after="100" w:afterAutospacing="1" w:line="440" w:lineRule="atLeast"/>
              <w:jc w:val="left"/>
              <w:rPr>
                <w:rFonts w:ascii="宋体" w:hAnsi="宋体" w:cs="宋体"/>
                <w:color w:val="auto"/>
                <w:kern w:val="0"/>
                <w:sz w:val="24"/>
                <w:szCs w:val="24"/>
                <w:highlight w:val="none"/>
              </w:rPr>
            </w:pPr>
          </w:p>
        </w:tc>
      </w:tr>
      <w:tr w14:paraId="3B55918A">
        <w:tblPrEx>
          <w:tblCellMar>
            <w:top w:w="0" w:type="dxa"/>
            <w:left w:w="0" w:type="dxa"/>
            <w:bottom w:w="0" w:type="dxa"/>
            <w:right w:w="0" w:type="dxa"/>
          </w:tblCellMar>
        </w:tblPrEx>
        <w:trPr>
          <w:trHeight w:val="474" w:hRule="atLeast"/>
          <w:jc w:val="center"/>
        </w:trPr>
        <w:tc>
          <w:tcPr>
            <w:tcW w:w="2296"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08FE6A9">
            <w:pPr>
              <w:widowControl/>
              <w:spacing w:before="100" w:beforeAutospacing="1" w:after="100" w:afterAutospacing="1" w:line="440" w:lineRule="atLeast"/>
              <w:jc w:val="center"/>
              <w:rPr>
                <w:rFonts w:ascii="宋体" w:hAnsi="宋体" w:cs="宋体"/>
                <w:color w:val="auto"/>
                <w:kern w:val="0"/>
                <w:sz w:val="24"/>
                <w:szCs w:val="24"/>
                <w:highlight w:val="none"/>
              </w:rPr>
            </w:pPr>
          </w:p>
        </w:tc>
        <w:tc>
          <w:tcPr>
            <w:tcW w:w="3186" w:type="dxa"/>
            <w:tcBorders>
              <w:top w:val="nil"/>
              <w:left w:val="nil"/>
              <w:bottom w:val="single" w:color="auto" w:sz="8" w:space="0"/>
              <w:right w:val="single" w:color="auto" w:sz="8" w:space="0"/>
            </w:tcBorders>
            <w:tcMar>
              <w:top w:w="0" w:type="dxa"/>
              <w:left w:w="108" w:type="dxa"/>
              <w:bottom w:w="0" w:type="dxa"/>
              <w:right w:w="108" w:type="dxa"/>
            </w:tcMar>
          </w:tcPr>
          <w:p w14:paraId="2C595E5E">
            <w:pPr>
              <w:widowControl/>
              <w:spacing w:before="100" w:beforeAutospacing="1" w:after="100" w:afterAutospacing="1" w:line="440" w:lineRule="atLeast"/>
              <w:jc w:val="left"/>
              <w:rPr>
                <w:rFonts w:ascii="宋体" w:hAnsi="宋体" w:cs="宋体"/>
                <w:color w:val="auto"/>
                <w:kern w:val="0"/>
                <w:sz w:val="24"/>
                <w:szCs w:val="24"/>
                <w:highlight w:val="none"/>
              </w:rPr>
            </w:pPr>
          </w:p>
        </w:tc>
        <w:tc>
          <w:tcPr>
            <w:tcW w:w="2742" w:type="dxa"/>
            <w:tcBorders>
              <w:top w:val="nil"/>
              <w:left w:val="nil"/>
              <w:bottom w:val="single" w:color="auto" w:sz="8" w:space="0"/>
              <w:right w:val="single" w:color="auto" w:sz="8" w:space="0"/>
            </w:tcBorders>
            <w:tcMar>
              <w:top w:w="0" w:type="dxa"/>
              <w:left w:w="108" w:type="dxa"/>
              <w:bottom w:w="0" w:type="dxa"/>
              <w:right w:w="108" w:type="dxa"/>
            </w:tcMar>
          </w:tcPr>
          <w:p w14:paraId="4D7B6DFC">
            <w:pPr>
              <w:widowControl/>
              <w:spacing w:before="100" w:beforeAutospacing="1" w:after="100" w:afterAutospacing="1" w:line="440" w:lineRule="atLeast"/>
              <w:jc w:val="left"/>
              <w:rPr>
                <w:rFonts w:ascii="宋体" w:hAnsi="宋体" w:cs="宋体"/>
                <w:color w:val="auto"/>
                <w:kern w:val="0"/>
                <w:sz w:val="24"/>
                <w:szCs w:val="24"/>
                <w:highlight w:val="none"/>
              </w:rPr>
            </w:pPr>
          </w:p>
        </w:tc>
      </w:tr>
    </w:tbl>
    <w:p w14:paraId="758950D1">
      <w:pPr>
        <w:widowControl/>
        <w:jc w:val="left"/>
        <w:rPr>
          <w:rFonts w:ascii="宋体" w:hAnsi="宋体" w:cs="Arial"/>
          <w:color w:val="auto"/>
          <w:kern w:val="0"/>
          <w:sz w:val="24"/>
          <w:szCs w:val="24"/>
          <w:highlight w:val="none"/>
        </w:rPr>
      </w:pPr>
    </w:p>
    <w:p w14:paraId="219EECF3">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第四条 违约责任</w:t>
      </w:r>
    </w:p>
    <w:p w14:paraId="428C9CA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（一）乙方拖延或未按甲方指令参加救援工作应按《</w:t>
      </w:r>
      <w:r>
        <w:rPr>
          <w:rFonts w:hint="eastAsia" w:ascii="宋体" w:hAnsi="宋体"/>
          <w:color w:val="auto"/>
          <w:sz w:val="24"/>
          <w:szCs w:val="24"/>
          <w:highlight w:val="none"/>
          <w:u w:val="single"/>
        </w:rPr>
        <w:t>花果山产业小镇综合配套工程建设项目合同</w:t>
      </w:r>
      <w:r>
        <w:rPr>
          <w:rFonts w:hint="eastAsia" w:ascii="宋体" w:hAnsi="宋体"/>
          <w:color w:val="auto"/>
          <w:sz w:val="24"/>
          <w:szCs w:val="24"/>
          <w:highlight w:val="none"/>
        </w:rPr>
        <w:t>》的约定承担一次严重违约责任。</w:t>
      </w:r>
    </w:p>
    <w:p w14:paraId="59C1862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（二）乙方投入应急救援人员、机械设备、物资器材等资源不足，应按《</w:t>
      </w:r>
      <w:r>
        <w:rPr>
          <w:rFonts w:hint="eastAsia" w:ascii="宋体" w:hAnsi="宋体"/>
          <w:color w:val="auto"/>
          <w:sz w:val="24"/>
          <w:szCs w:val="24"/>
          <w:highlight w:val="none"/>
          <w:u w:val="single"/>
        </w:rPr>
        <w:t>花果山产业小镇综合配套工程建设项目合同</w:t>
      </w:r>
      <w:r>
        <w:rPr>
          <w:rFonts w:hint="eastAsia" w:ascii="宋体" w:hAnsi="宋体"/>
          <w:color w:val="auto"/>
          <w:sz w:val="24"/>
          <w:szCs w:val="24"/>
          <w:highlight w:val="none"/>
        </w:rPr>
        <w:t>》的约定承担一次一般违约责任。</w:t>
      </w:r>
    </w:p>
    <w:p w14:paraId="630861F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（三）乙方未向参与对其所负责项目救援的其它成员单位支付补偿金，甲方有权从应支付给乙方的工程款扣除相关的费用，直接支付给参与救援的其它成员单位。乙方仍须按《</w:t>
      </w:r>
      <w:r>
        <w:rPr>
          <w:rFonts w:hint="eastAsia" w:ascii="宋体" w:hAnsi="宋体"/>
          <w:color w:val="auto"/>
          <w:sz w:val="24"/>
          <w:szCs w:val="24"/>
          <w:highlight w:val="none"/>
          <w:u w:val="single"/>
        </w:rPr>
        <w:t>花果山产业小镇综合配套工程建设项目合同</w:t>
      </w:r>
      <w:r>
        <w:rPr>
          <w:rFonts w:hint="eastAsia" w:ascii="宋体" w:hAnsi="宋体"/>
          <w:color w:val="auto"/>
          <w:sz w:val="24"/>
          <w:szCs w:val="24"/>
          <w:highlight w:val="none"/>
        </w:rPr>
        <w:t>》的约定承担一次一般违约责任。</w:t>
      </w:r>
    </w:p>
    <w:p w14:paraId="068D79BF">
      <w:pPr>
        <w:spacing w:line="360" w:lineRule="auto"/>
        <w:ind w:firstLine="480" w:firstLineChars="200"/>
        <w:rPr>
          <w:rFonts w:ascii="宋体" w:hAnsi="宋体"/>
          <w:color w:val="auto"/>
          <w:sz w:val="24"/>
          <w:szCs w:val="24"/>
          <w:highlight w:val="none"/>
        </w:rPr>
      </w:pPr>
    </w:p>
    <w:p w14:paraId="2504F08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第五条 其它约定</w:t>
      </w:r>
    </w:p>
    <w:p w14:paraId="6A5D739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（一）本协议未尽事宜，可由双方另行协商确定。</w:t>
      </w:r>
    </w:p>
    <w:p w14:paraId="29CCD27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（二）本协议有效期从签字并加盖公章之日起生效，有效期至本工程竣工时终止。</w:t>
      </w:r>
    </w:p>
    <w:p w14:paraId="2C8559E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（三）本协议一式份，甲乙双方各持份，经双方签字盖章后生效。</w:t>
      </w:r>
      <w:r>
        <w:rPr>
          <w:rFonts w:hint="eastAsia" w:ascii="宋体" w:hAnsi="宋体"/>
          <w:color w:val="auto"/>
          <w:sz w:val="24"/>
          <w:szCs w:val="24"/>
          <w:highlight w:val="none"/>
        </w:rPr>
        <w:br w:type="textWrapping"/>
      </w:r>
    </w:p>
    <w:p w14:paraId="7E856796">
      <w:pPr>
        <w:spacing w:line="360" w:lineRule="auto"/>
        <w:ind w:firstLine="480" w:firstLineChars="200"/>
        <w:rPr>
          <w:rFonts w:ascii="宋体" w:hAnsi="宋体"/>
          <w:color w:val="auto"/>
          <w:sz w:val="24"/>
          <w:szCs w:val="24"/>
          <w:highlight w:val="none"/>
        </w:rPr>
      </w:pPr>
    </w:p>
    <w:p w14:paraId="09528DEE">
      <w:pPr>
        <w:adjustRightInd w:val="0"/>
        <w:snapToGrid w:val="0"/>
        <w:spacing w:line="360" w:lineRule="auto"/>
        <w:ind w:right="11"/>
        <w:rPr>
          <w:rFonts w:ascii="宋体" w:hAnsi="宋体"/>
          <w:b/>
          <w:snapToGrid w:val="0"/>
          <w:color w:val="auto"/>
          <w:spacing w:val="-20"/>
          <w:kern w:val="0"/>
          <w:sz w:val="24"/>
          <w:szCs w:val="24"/>
          <w:highlight w:val="none"/>
        </w:rPr>
      </w:pPr>
      <w:r>
        <w:rPr>
          <w:rFonts w:hint="eastAsia" w:ascii="宋体" w:hAnsi="宋体"/>
          <w:snapToGrid w:val="0"/>
          <w:color w:val="auto"/>
          <w:spacing w:val="-20"/>
          <w:kern w:val="0"/>
          <w:sz w:val="24"/>
          <w:szCs w:val="24"/>
          <w:highlight w:val="none"/>
        </w:rPr>
        <w:t xml:space="preserve">甲方：广州市越秀区代建项目管理中心               乙方： </w:t>
      </w:r>
    </w:p>
    <w:p w14:paraId="7F86561F">
      <w:pPr>
        <w:adjustRightInd w:val="0"/>
        <w:snapToGrid w:val="0"/>
        <w:spacing w:line="360" w:lineRule="auto"/>
        <w:ind w:right="11" w:firstLine="1440" w:firstLineChars="6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（盖章）                     （盖章）</w:t>
      </w:r>
    </w:p>
    <w:p w14:paraId="243F5AC3">
      <w:pPr>
        <w:adjustRightInd w:val="0"/>
        <w:snapToGrid w:val="0"/>
        <w:spacing w:line="360" w:lineRule="auto"/>
        <w:ind w:right="11" w:firstLine="1440" w:firstLineChars="600"/>
        <w:rPr>
          <w:rFonts w:ascii="宋体" w:hAnsi="宋体"/>
          <w:snapToGrid w:val="0"/>
          <w:color w:val="auto"/>
          <w:kern w:val="0"/>
          <w:sz w:val="24"/>
          <w:szCs w:val="24"/>
          <w:highlight w:val="none"/>
        </w:rPr>
      </w:pPr>
    </w:p>
    <w:p w14:paraId="0BE60A60">
      <w:pPr>
        <w:adjustRightInd w:val="0"/>
        <w:snapToGrid w:val="0"/>
        <w:spacing w:line="360" w:lineRule="auto"/>
        <w:ind w:right="11"/>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法定代表人：                           法定代表人：</w:t>
      </w:r>
    </w:p>
    <w:p w14:paraId="051B3A19">
      <w:pPr>
        <w:tabs>
          <w:tab w:val="left" w:pos="5460"/>
        </w:tabs>
        <w:adjustRightInd w:val="0"/>
        <w:snapToGrid w:val="0"/>
        <w:spacing w:line="360" w:lineRule="auto"/>
        <w:ind w:right="11"/>
        <w:rPr>
          <w:rFonts w:ascii="宋体" w:hAnsi="宋体"/>
          <w:snapToGrid w:val="0"/>
          <w:color w:val="auto"/>
          <w:kern w:val="0"/>
          <w:sz w:val="24"/>
          <w:szCs w:val="24"/>
          <w:highlight w:val="none"/>
        </w:rPr>
      </w:pPr>
    </w:p>
    <w:p w14:paraId="6F384001">
      <w:pPr>
        <w:tabs>
          <w:tab w:val="left" w:pos="5460"/>
        </w:tabs>
        <w:adjustRightInd w:val="0"/>
        <w:snapToGrid w:val="0"/>
        <w:spacing w:line="360" w:lineRule="auto"/>
        <w:ind w:left="-2" w:leftChars="-1" w:right="11"/>
        <w:rPr>
          <w:rFonts w:ascii="宋体" w:hAnsi="宋体"/>
          <w:color w:val="auto"/>
          <w:sz w:val="24"/>
          <w:szCs w:val="24"/>
          <w:highlight w:val="none"/>
        </w:rPr>
      </w:pPr>
      <w:r>
        <w:rPr>
          <w:rFonts w:hint="eastAsia" w:ascii="宋体" w:hAnsi="宋体"/>
          <w:color w:val="auto"/>
          <w:sz w:val="24"/>
          <w:szCs w:val="24"/>
          <w:highlight w:val="none"/>
        </w:rPr>
        <w:t>时间：                                 时间：</w:t>
      </w:r>
    </w:p>
    <w:p w14:paraId="6C4B69EC">
      <w:pPr>
        <w:spacing w:before="156" w:beforeLines="50" w:after="156" w:afterLines="50"/>
        <w:outlineLvl w:val="1"/>
        <w:rPr>
          <w:rFonts w:ascii="宋体" w:hAnsi="宋体"/>
          <w:color w:val="auto"/>
          <w:sz w:val="24"/>
          <w:szCs w:val="30"/>
          <w:highlight w:val="none"/>
        </w:rPr>
      </w:pPr>
      <w:r>
        <w:rPr>
          <w:rFonts w:ascii="宋体" w:hAnsi="宋体"/>
          <w:color w:val="auto"/>
          <w:sz w:val="24"/>
          <w:highlight w:val="none"/>
        </w:rPr>
        <w:br w:type="page"/>
      </w:r>
      <w:r>
        <w:rPr>
          <w:rFonts w:hint="eastAsia" w:ascii="宋体" w:hAnsi="宋体"/>
          <w:color w:val="auto"/>
          <w:sz w:val="24"/>
          <w:szCs w:val="30"/>
          <w:highlight w:val="none"/>
        </w:rPr>
        <w:t>附件15：</w:t>
      </w:r>
    </w:p>
    <w:p w14:paraId="3C1CC26C">
      <w:pPr>
        <w:spacing w:before="156" w:beforeLines="50" w:after="156" w:afterLines="50"/>
        <w:outlineLvl w:val="1"/>
        <w:rPr>
          <w:rFonts w:ascii="宋体" w:hAnsi="宋体"/>
          <w:color w:val="auto"/>
          <w:sz w:val="24"/>
          <w:szCs w:val="30"/>
          <w:highlight w:val="none"/>
        </w:rPr>
      </w:pPr>
    </w:p>
    <w:p w14:paraId="4EA7E55A">
      <w:pPr>
        <w:adjustRightInd w:val="0"/>
        <w:snapToGrid w:val="0"/>
        <w:spacing w:line="360" w:lineRule="auto"/>
        <w:jc w:val="center"/>
        <w:rPr>
          <w:rFonts w:ascii="宋体" w:hAnsi="宋体"/>
          <w:b/>
          <w:snapToGrid w:val="0"/>
          <w:color w:val="auto"/>
          <w:spacing w:val="-20"/>
          <w:kern w:val="0"/>
          <w:sz w:val="32"/>
          <w:szCs w:val="32"/>
          <w:highlight w:val="none"/>
        </w:rPr>
      </w:pPr>
      <w:r>
        <w:rPr>
          <w:rFonts w:hint="eastAsia" w:ascii="宋体" w:hAnsi="宋体"/>
          <w:b/>
          <w:snapToGrid w:val="0"/>
          <w:color w:val="auto"/>
          <w:spacing w:val="-20"/>
          <w:kern w:val="0"/>
          <w:sz w:val="32"/>
          <w:szCs w:val="32"/>
          <w:highlight w:val="none"/>
        </w:rPr>
        <w:t>花果山产业小镇综合配套工程建设项目管理协议书</w:t>
      </w:r>
    </w:p>
    <w:p w14:paraId="25931836">
      <w:pPr>
        <w:adjustRightInd w:val="0"/>
        <w:snapToGrid w:val="0"/>
        <w:spacing w:line="360" w:lineRule="auto"/>
        <w:jc w:val="center"/>
        <w:rPr>
          <w:rFonts w:ascii="宋体" w:hAnsi="宋体"/>
          <w:b/>
          <w:snapToGrid w:val="0"/>
          <w:color w:val="auto"/>
          <w:spacing w:val="-20"/>
          <w:kern w:val="0"/>
          <w:sz w:val="32"/>
          <w:szCs w:val="32"/>
          <w:highlight w:val="none"/>
        </w:rPr>
      </w:pPr>
      <w:r>
        <w:rPr>
          <w:rFonts w:hint="eastAsia" w:ascii="宋体" w:hAnsi="宋体"/>
          <w:b/>
          <w:snapToGrid w:val="0"/>
          <w:color w:val="auto"/>
          <w:spacing w:val="-20"/>
          <w:kern w:val="0"/>
          <w:sz w:val="32"/>
          <w:szCs w:val="32"/>
          <w:highlight w:val="none"/>
        </w:rPr>
        <w:t>（格式）</w:t>
      </w:r>
    </w:p>
    <w:p w14:paraId="5D9AF658">
      <w:pPr>
        <w:adjustRightInd w:val="0"/>
        <w:snapToGrid w:val="0"/>
        <w:spacing w:line="360" w:lineRule="auto"/>
        <w:rPr>
          <w:rFonts w:ascii="宋体" w:hAnsi="宋体"/>
          <w:bCs/>
          <w:snapToGrid w:val="0"/>
          <w:color w:val="auto"/>
          <w:kern w:val="0"/>
          <w:sz w:val="24"/>
          <w:szCs w:val="24"/>
          <w:highlight w:val="none"/>
        </w:rPr>
      </w:pPr>
    </w:p>
    <w:p w14:paraId="598048AF">
      <w:pPr>
        <w:adjustRightInd w:val="0"/>
        <w:snapToGrid w:val="0"/>
        <w:spacing w:line="360" w:lineRule="auto"/>
        <w:rPr>
          <w:rFonts w:ascii="宋体" w:hAnsi="宋体"/>
          <w:b/>
          <w:snapToGrid w:val="0"/>
          <w:color w:val="auto"/>
          <w:spacing w:val="-20"/>
          <w:kern w:val="0"/>
          <w:sz w:val="24"/>
          <w:szCs w:val="24"/>
          <w:highlight w:val="none"/>
          <w:u w:val="single"/>
        </w:rPr>
      </w:pPr>
      <w:r>
        <w:rPr>
          <w:rFonts w:hint="eastAsia" w:ascii="宋体" w:hAnsi="宋体"/>
          <w:b/>
          <w:bCs/>
          <w:snapToGrid w:val="0"/>
          <w:color w:val="auto"/>
          <w:kern w:val="0"/>
          <w:sz w:val="24"/>
          <w:szCs w:val="24"/>
          <w:highlight w:val="none"/>
        </w:rPr>
        <w:t>总 承 包人（甲方）：</w:t>
      </w:r>
    </w:p>
    <w:p w14:paraId="13B0B44D">
      <w:pPr>
        <w:adjustRightInd w:val="0"/>
        <w:snapToGrid w:val="0"/>
        <w:spacing w:line="360" w:lineRule="auto"/>
        <w:rPr>
          <w:rFonts w:ascii="宋体" w:hAnsi="宋体"/>
          <w:b/>
          <w:snapToGrid w:val="0"/>
          <w:color w:val="auto"/>
          <w:spacing w:val="-20"/>
          <w:kern w:val="0"/>
          <w:sz w:val="24"/>
          <w:szCs w:val="24"/>
          <w:highlight w:val="none"/>
        </w:rPr>
      </w:pPr>
      <w:r>
        <w:rPr>
          <w:rFonts w:hint="eastAsia" w:ascii="宋体" w:hAnsi="宋体"/>
          <w:b/>
          <w:bCs/>
          <w:snapToGrid w:val="0"/>
          <w:color w:val="auto"/>
          <w:kern w:val="0"/>
          <w:sz w:val="24"/>
          <w:szCs w:val="24"/>
          <w:highlight w:val="none"/>
        </w:rPr>
        <w:t>专业承包人（乙方）：</w:t>
      </w:r>
    </w:p>
    <w:p w14:paraId="262DDF0F">
      <w:pPr>
        <w:adjustRightInd w:val="0"/>
        <w:snapToGrid w:val="0"/>
        <w:spacing w:line="360" w:lineRule="auto"/>
        <w:rPr>
          <w:rFonts w:ascii="宋体" w:hAnsi="宋体"/>
          <w:b/>
          <w:snapToGrid w:val="0"/>
          <w:color w:val="auto"/>
          <w:spacing w:val="-20"/>
          <w:kern w:val="0"/>
          <w:sz w:val="24"/>
          <w:szCs w:val="24"/>
          <w:highlight w:val="none"/>
        </w:rPr>
      </w:pPr>
      <w:r>
        <w:rPr>
          <w:rFonts w:hint="eastAsia" w:ascii="宋体" w:hAnsi="宋体"/>
          <w:b/>
          <w:bCs/>
          <w:snapToGrid w:val="0"/>
          <w:color w:val="auto"/>
          <w:kern w:val="0"/>
          <w:sz w:val="24"/>
          <w:szCs w:val="24"/>
          <w:highlight w:val="none"/>
        </w:rPr>
        <w:t>发  包  人（丙方）：</w:t>
      </w:r>
    </w:p>
    <w:p w14:paraId="1405DD2C">
      <w:pPr>
        <w:adjustRightInd w:val="0"/>
        <w:snapToGrid w:val="0"/>
        <w:spacing w:line="360" w:lineRule="auto"/>
        <w:rPr>
          <w:rFonts w:ascii="宋体" w:hAnsi="宋体"/>
          <w:b/>
          <w:snapToGrid w:val="0"/>
          <w:color w:val="auto"/>
          <w:spacing w:val="-20"/>
          <w:kern w:val="0"/>
          <w:sz w:val="24"/>
          <w:szCs w:val="24"/>
          <w:highlight w:val="none"/>
        </w:rPr>
      </w:pPr>
    </w:p>
    <w:p w14:paraId="0B43FAD0">
      <w:pPr>
        <w:adjustRightInd w:val="0"/>
        <w:snapToGrid w:val="0"/>
        <w:spacing w:line="360" w:lineRule="auto"/>
        <w:rPr>
          <w:rFonts w:ascii="宋体" w:hAnsi="宋体"/>
          <w:snapToGrid w:val="0"/>
          <w:color w:val="auto"/>
          <w:spacing w:val="-20"/>
          <w:kern w:val="0"/>
          <w:sz w:val="24"/>
          <w:szCs w:val="24"/>
          <w:highlight w:val="none"/>
        </w:rPr>
      </w:pPr>
      <w:r>
        <w:rPr>
          <w:rFonts w:hint="eastAsia" w:ascii="宋体" w:hAnsi="宋体"/>
          <w:b/>
          <w:color w:val="auto"/>
          <w:kern w:val="0"/>
          <w:sz w:val="24"/>
          <w:szCs w:val="24"/>
          <w:highlight w:val="none"/>
        </w:rPr>
        <w:t>鉴于：</w:t>
      </w:r>
    </w:p>
    <w:p w14:paraId="4698AB1C">
      <w:pPr>
        <w:adjustRightInd w:val="0"/>
        <w:snapToGrid w:val="0"/>
        <w:spacing w:line="360" w:lineRule="auto"/>
        <w:ind w:left="120" w:leftChars="57" w:right="11" w:firstLine="348" w:firstLineChars="14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1、年月，发包人（以下称丙方）与总承包人（以下称甲方）就</w:t>
      </w:r>
      <w:r>
        <w:rPr>
          <w:rFonts w:hint="eastAsia" w:ascii="宋体" w:hAnsi="宋体" w:cs="宋体"/>
          <w:snapToGrid w:val="0"/>
          <w:color w:val="auto"/>
          <w:kern w:val="0"/>
          <w:sz w:val="24"/>
          <w:szCs w:val="24"/>
          <w:highlight w:val="none"/>
          <w:u w:val="single"/>
        </w:rPr>
        <w:t>花果山产业小镇综合配套工程建设项目</w:t>
      </w:r>
      <w:r>
        <w:rPr>
          <w:rFonts w:hint="eastAsia" w:ascii="宋体" w:hAnsi="宋体" w:cs="宋体"/>
          <w:snapToGrid w:val="0"/>
          <w:color w:val="auto"/>
          <w:kern w:val="0"/>
          <w:sz w:val="24"/>
          <w:szCs w:val="24"/>
          <w:highlight w:val="none"/>
        </w:rPr>
        <w:t>（以下称本项目）施工总承包签订《</w:t>
      </w:r>
      <w:r>
        <w:rPr>
          <w:rFonts w:hint="eastAsia" w:ascii="宋体" w:hAnsi="宋体" w:cs="宋体"/>
          <w:snapToGrid w:val="0"/>
          <w:color w:val="auto"/>
          <w:kern w:val="0"/>
          <w:sz w:val="24"/>
          <w:szCs w:val="24"/>
          <w:highlight w:val="none"/>
          <w:u w:val="single"/>
        </w:rPr>
        <w:t>花果山产业小镇综合配套工程建设项目合同</w:t>
      </w:r>
      <w:r>
        <w:rPr>
          <w:rFonts w:hint="eastAsia" w:ascii="宋体" w:hAnsi="宋体" w:cs="宋体"/>
          <w:snapToGrid w:val="0"/>
          <w:color w:val="auto"/>
          <w:kern w:val="0"/>
          <w:sz w:val="24"/>
          <w:szCs w:val="24"/>
          <w:highlight w:val="none"/>
        </w:rPr>
        <w:t>》（合同编号：，以下称《总承包合同》）。《总承包合同》约定由甲方负责本项目施工总承包及</w:t>
      </w:r>
      <w:r>
        <w:rPr>
          <w:rFonts w:hint="eastAsia" w:ascii="宋体" w:hAnsi="宋体"/>
          <w:bCs/>
          <w:snapToGrid w:val="0"/>
          <w:color w:val="auto"/>
          <w:kern w:val="0"/>
          <w:sz w:val="24"/>
          <w:szCs w:val="24"/>
          <w:highlight w:val="none"/>
        </w:rPr>
        <w:t>施工总承包管理与配合服务</w:t>
      </w:r>
      <w:r>
        <w:rPr>
          <w:rFonts w:hint="eastAsia" w:ascii="宋体" w:hAnsi="宋体" w:cs="宋体"/>
          <w:snapToGrid w:val="0"/>
          <w:color w:val="auto"/>
          <w:kern w:val="0"/>
          <w:sz w:val="24"/>
          <w:szCs w:val="24"/>
          <w:highlight w:val="none"/>
        </w:rPr>
        <w:t>。</w:t>
      </w:r>
    </w:p>
    <w:p w14:paraId="499E1B74">
      <w:pPr>
        <w:adjustRightInd w:val="0"/>
        <w:snapToGrid w:val="0"/>
        <w:spacing w:line="360" w:lineRule="auto"/>
        <w:ind w:left="120" w:leftChars="57" w:right="11" w:firstLine="348" w:firstLineChars="145"/>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2、丙方依法确定（以下称乙方）为本项目XX工程的专业承包单位。年月，丙方与乙方签订《》（合同编号：，以下称《XX承包合同》）。《XX承包合同》约定由乙方负责本项目XX工程施工。</w:t>
      </w:r>
    </w:p>
    <w:p w14:paraId="3E686E35">
      <w:pPr>
        <w:adjustRightInd w:val="0"/>
        <w:snapToGrid w:val="0"/>
        <w:spacing w:line="360" w:lineRule="auto"/>
        <w:ind w:right="11" w:firstLine="470" w:firstLineChars="196"/>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现根据《广州市城乡建设委员会关于规范建筑工程施工承包管理的通知》（穗建筑〔2013〕580号）等相关规定，甲、乙、丙三方经协商一致，就</w:t>
      </w:r>
      <w:r>
        <w:rPr>
          <w:rFonts w:hint="eastAsia" w:ascii="宋体" w:hAnsi="宋体" w:cs="宋体"/>
          <w:snapToGrid w:val="0"/>
          <w:color w:val="auto"/>
          <w:kern w:val="0"/>
          <w:sz w:val="24"/>
          <w:szCs w:val="24"/>
          <w:highlight w:val="none"/>
        </w:rPr>
        <w:t>本项目XX工程</w:t>
      </w:r>
      <w:r>
        <w:rPr>
          <w:rFonts w:hint="eastAsia" w:ascii="宋体" w:hAnsi="宋体"/>
          <w:bCs/>
          <w:snapToGrid w:val="0"/>
          <w:color w:val="auto"/>
          <w:kern w:val="0"/>
          <w:sz w:val="24"/>
          <w:szCs w:val="24"/>
          <w:highlight w:val="none"/>
        </w:rPr>
        <w:t>施工总承包管理</w:t>
      </w:r>
      <w:r>
        <w:rPr>
          <w:rFonts w:hint="eastAsia" w:ascii="宋体" w:hAnsi="宋体"/>
          <w:snapToGrid w:val="0"/>
          <w:color w:val="auto"/>
          <w:kern w:val="0"/>
          <w:sz w:val="24"/>
          <w:szCs w:val="24"/>
          <w:highlight w:val="none"/>
        </w:rPr>
        <w:t>事宜达成以下约定，以资共同遵守。</w:t>
      </w:r>
    </w:p>
    <w:p w14:paraId="093247B4">
      <w:pPr>
        <w:adjustRightInd w:val="0"/>
        <w:snapToGrid w:val="0"/>
        <w:spacing w:line="360" w:lineRule="auto"/>
        <w:ind w:right="11" w:firstLine="472" w:firstLineChars="196"/>
        <w:rPr>
          <w:rFonts w:ascii="宋体" w:hAnsi="宋体"/>
          <w:snapToGrid w:val="0"/>
          <w:color w:val="auto"/>
          <w:kern w:val="0"/>
          <w:sz w:val="24"/>
          <w:szCs w:val="24"/>
          <w:highlight w:val="none"/>
        </w:rPr>
      </w:pPr>
      <w:r>
        <w:rPr>
          <w:rFonts w:hint="eastAsia" w:ascii="宋体" w:hAnsi="宋体"/>
          <w:b/>
          <w:snapToGrid w:val="0"/>
          <w:color w:val="auto"/>
          <w:kern w:val="0"/>
          <w:sz w:val="24"/>
          <w:szCs w:val="24"/>
          <w:highlight w:val="none"/>
        </w:rPr>
        <w:t xml:space="preserve">第一条 </w:t>
      </w:r>
      <w:r>
        <w:rPr>
          <w:rFonts w:hint="eastAsia" w:ascii="宋体" w:hAnsi="宋体"/>
          <w:snapToGrid w:val="0"/>
          <w:color w:val="auto"/>
          <w:kern w:val="0"/>
          <w:sz w:val="24"/>
          <w:szCs w:val="24"/>
          <w:highlight w:val="none"/>
        </w:rPr>
        <w:t>甲方同意按照</w:t>
      </w:r>
      <w:r>
        <w:rPr>
          <w:rFonts w:hint="eastAsia" w:ascii="宋体" w:hAnsi="宋体" w:cs="宋体"/>
          <w:snapToGrid w:val="0"/>
          <w:color w:val="auto"/>
          <w:kern w:val="0"/>
          <w:sz w:val="24"/>
          <w:szCs w:val="24"/>
          <w:highlight w:val="none"/>
        </w:rPr>
        <w:t>《总承包合同》的</w:t>
      </w:r>
      <w:r>
        <w:rPr>
          <w:rFonts w:hint="eastAsia" w:ascii="宋体" w:hAnsi="宋体"/>
          <w:snapToGrid w:val="0"/>
          <w:color w:val="auto"/>
          <w:kern w:val="0"/>
          <w:sz w:val="24"/>
          <w:szCs w:val="24"/>
          <w:highlight w:val="none"/>
        </w:rPr>
        <w:t>约定对乙方负责施工的XX工程</w:t>
      </w:r>
      <w:r>
        <w:rPr>
          <w:rFonts w:hint="eastAsia" w:ascii="宋体" w:hAnsi="宋体" w:cs="宋体"/>
          <w:snapToGrid w:val="0"/>
          <w:color w:val="auto"/>
          <w:kern w:val="0"/>
          <w:sz w:val="24"/>
          <w:szCs w:val="24"/>
          <w:highlight w:val="none"/>
        </w:rPr>
        <w:t>实施</w:t>
      </w:r>
      <w:r>
        <w:rPr>
          <w:rFonts w:hint="eastAsia" w:ascii="宋体" w:hAnsi="宋体"/>
          <w:snapToGrid w:val="0"/>
          <w:color w:val="auto"/>
          <w:kern w:val="0"/>
          <w:sz w:val="24"/>
          <w:szCs w:val="24"/>
          <w:highlight w:val="none"/>
        </w:rPr>
        <w:t>施工总承包管理，并为乙方提供专业工程配合服务；同时，乙方同意其所承包的XX工程内容纳入甲方的管理和协调范围，并服从甲方的施工总承包管理，否则由此导致生产质量、安全事故或其他不良行为的，由乙方承担主要责任。</w:t>
      </w:r>
    </w:p>
    <w:p w14:paraId="06B6B732">
      <w:pPr>
        <w:adjustRightInd w:val="0"/>
        <w:snapToGrid w:val="0"/>
        <w:spacing w:line="360" w:lineRule="auto"/>
        <w:ind w:right="11" w:firstLine="472" w:firstLineChars="196"/>
        <w:rPr>
          <w:rFonts w:ascii="宋体" w:hAnsi="宋体"/>
          <w:snapToGrid w:val="0"/>
          <w:color w:val="auto"/>
          <w:kern w:val="0"/>
          <w:sz w:val="24"/>
          <w:szCs w:val="24"/>
          <w:highlight w:val="none"/>
        </w:rPr>
      </w:pPr>
      <w:r>
        <w:rPr>
          <w:rFonts w:hint="eastAsia" w:ascii="宋体" w:hAnsi="宋体"/>
          <w:b/>
          <w:snapToGrid w:val="0"/>
          <w:color w:val="auto"/>
          <w:kern w:val="0"/>
          <w:sz w:val="24"/>
          <w:szCs w:val="24"/>
          <w:highlight w:val="none"/>
        </w:rPr>
        <w:t>第二条</w:t>
      </w:r>
      <w:r>
        <w:rPr>
          <w:rFonts w:hint="eastAsia" w:ascii="宋体" w:hAnsi="宋体"/>
          <w:snapToGrid w:val="0"/>
          <w:color w:val="auto"/>
          <w:kern w:val="0"/>
          <w:sz w:val="24"/>
          <w:szCs w:val="24"/>
          <w:highlight w:val="none"/>
        </w:rPr>
        <w:t xml:space="preserve"> 三方一致同意，乙方保证按照</w:t>
      </w:r>
      <w:r>
        <w:rPr>
          <w:rFonts w:hint="eastAsia" w:ascii="宋体" w:hAnsi="宋体" w:cs="宋体"/>
          <w:snapToGrid w:val="0"/>
          <w:color w:val="auto"/>
          <w:kern w:val="0"/>
          <w:sz w:val="24"/>
          <w:szCs w:val="24"/>
          <w:highlight w:val="none"/>
        </w:rPr>
        <w:t>《XX承包合同》</w:t>
      </w:r>
      <w:r>
        <w:rPr>
          <w:rFonts w:hint="eastAsia" w:ascii="宋体" w:hAnsi="宋体"/>
          <w:snapToGrid w:val="0"/>
          <w:color w:val="auto"/>
          <w:kern w:val="0"/>
          <w:sz w:val="24"/>
          <w:szCs w:val="24"/>
          <w:highlight w:val="none"/>
        </w:rPr>
        <w:t>进行施工，按该合同约定承担相应责任，并向甲方承担XX工程的质量、安全、工期、文明施工等责任，甲方对此向丙方承担责任。</w:t>
      </w:r>
    </w:p>
    <w:p w14:paraId="6B3BC3AA">
      <w:pPr>
        <w:adjustRightInd w:val="0"/>
        <w:snapToGrid w:val="0"/>
        <w:spacing w:line="360" w:lineRule="auto"/>
        <w:ind w:left="105" w:right="11" w:firstLine="390" w:firstLineChars="162"/>
        <w:rPr>
          <w:rFonts w:ascii="宋体" w:hAnsi="宋体"/>
          <w:snapToGrid w:val="0"/>
          <w:color w:val="auto"/>
          <w:kern w:val="0"/>
          <w:sz w:val="24"/>
          <w:szCs w:val="24"/>
          <w:highlight w:val="none"/>
        </w:rPr>
      </w:pPr>
      <w:r>
        <w:rPr>
          <w:rFonts w:hint="eastAsia" w:ascii="宋体" w:hAnsi="宋体"/>
          <w:b/>
          <w:snapToGrid w:val="0"/>
          <w:color w:val="auto"/>
          <w:kern w:val="0"/>
          <w:sz w:val="24"/>
          <w:szCs w:val="24"/>
          <w:highlight w:val="none"/>
        </w:rPr>
        <w:t xml:space="preserve">第三条 </w:t>
      </w:r>
      <w:r>
        <w:rPr>
          <w:rFonts w:hint="eastAsia" w:ascii="宋体" w:hAnsi="宋体"/>
          <w:snapToGrid w:val="0"/>
          <w:color w:val="auto"/>
          <w:kern w:val="0"/>
          <w:sz w:val="24"/>
          <w:szCs w:val="24"/>
          <w:highlight w:val="none"/>
        </w:rPr>
        <w:t>乙方同意承担XX工程的验收资料编制责任，按现行规范、规定的要求完成，确保提交给甲方的资料符合要求；甲方同意负责相关资料报送工作,如乙方资料被所属建筑工程质量监督站或所属城市建设档案馆提出整改要求,乙方有责任整改至符合要求,若因乙方工程资料未能达标或未能按时提交，所产生一切损失由乙方负责。</w:t>
      </w:r>
    </w:p>
    <w:p w14:paraId="4775763D">
      <w:pPr>
        <w:adjustRightInd w:val="0"/>
        <w:snapToGrid w:val="0"/>
        <w:spacing w:line="360" w:lineRule="auto"/>
        <w:ind w:left="105" w:right="11" w:firstLine="390" w:firstLineChars="162"/>
        <w:rPr>
          <w:rFonts w:ascii="宋体" w:hAnsi="宋体"/>
          <w:snapToGrid w:val="0"/>
          <w:color w:val="auto"/>
          <w:kern w:val="0"/>
          <w:sz w:val="24"/>
          <w:szCs w:val="24"/>
          <w:highlight w:val="none"/>
        </w:rPr>
      </w:pPr>
      <w:r>
        <w:rPr>
          <w:rFonts w:hint="eastAsia" w:ascii="宋体" w:hAnsi="宋体"/>
          <w:b/>
          <w:snapToGrid w:val="0"/>
          <w:color w:val="auto"/>
          <w:kern w:val="0"/>
          <w:sz w:val="24"/>
          <w:szCs w:val="24"/>
          <w:highlight w:val="none"/>
        </w:rPr>
        <w:t xml:space="preserve">第四条 </w:t>
      </w:r>
      <w:r>
        <w:rPr>
          <w:rFonts w:hint="eastAsia" w:ascii="宋体" w:hAnsi="宋体"/>
          <w:snapToGrid w:val="0"/>
          <w:color w:val="auto"/>
          <w:kern w:val="0"/>
          <w:sz w:val="24"/>
          <w:szCs w:val="24"/>
          <w:highlight w:val="none"/>
        </w:rPr>
        <w:t>乙方同意承担XX工程的质量保修责任。XX工程的质量保修按照</w:t>
      </w:r>
      <w:r>
        <w:rPr>
          <w:rFonts w:hint="eastAsia" w:ascii="宋体" w:hAnsi="宋体" w:cs="宋体"/>
          <w:snapToGrid w:val="0"/>
          <w:color w:val="auto"/>
          <w:kern w:val="0"/>
          <w:sz w:val="24"/>
          <w:szCs w:val="24"/>
          <w:highlight w:val="none"/>
        </w:rPr>
        <w:t>《XX承包合同》</w:t>
      </w:r>
      <w:r>
        <w:rPr>
          <w:rFonts w:hint="eastAsia" w:ascii="宋体" w:hAnsi="宋体"/>
          <w:snapToGrid w:val="0"/>
          <w:color w:val="auto"/>
          <w:kern w:val="0"/>
          <w:sz w:val="24"/>
          <w:szCs w:val="24"/>
          <w:highlight w:val="none"/>
        </w:rPr>
        <w:t>的约定执行。</w:t>
      </w:r>
    </w:p>
    <w:p w14:paraId="74B7B7EA">
      <w:pPr>
        <w:adjustRightInd w:val="0"/>
        <w:snapToGrid w:val="0"/>
        <w:spacing w:line="360" w:lineRule="auto"/>
        <w:ind w:right="11" w:firstLine="472" w:firstLineChars="196"/>
        <w:rPr>
          <w:rFonts w:ascii="宋体" w:hAnsi="宋体"/>
          <w:snapToGrid w:val="0"/>
          <w:color w:val="auto"/>
          <w:kern w:val="0"/>
          <w:sz w:val="24"/>
          <w:szCs w:val="24"/>
          <w:highlight w:val="none"/>
        </w:rPr>
      </w:pPr>
      <w:r>
        <w:rPr>
          <w:rFonts w:hint="eastAsia" w:ascii="宋体" w:hAnsi="宋体"/>
          <w:b/>
          <w:snapToGrid w:val="0"/>
          <w:color w:val="auto"/>
          <w:kern w:val="0"/>
          <w:sz w:val="24"/>
          <w:szCs w:val="24"/>
          <w:highlight w:val="none"/>
        </w:rPr>
        <w:t xml:space="preserve">第五条 </w:t>
      </w:r>
      <w:r>
        <w:rPr>
          <w:rFonts w:hint="eastAsia" w:ascii="宋体" w:hAnsi="宋体"/>
          <w:snapToGrid w:val="0"/>
          <w:color w:val="auto"/>
          <w:kern w:val="0"/>
          <w:sz w:val="24"/>
          <w:szCs w:val="24"/>
          <w:highlight w:val="none"/>
        </w:rPr>
        <w:t>三方一致同意，施工总承包管理费和专业工程配合服务费的支付和结算按《*****专业承包合同》的相关约定执行。</w:t>
      </w:r>
    </w:p>
    <w:p w14:paraId="203542C8">
      <w:pPr>
        <w:adjustRightInd w:val="0"/>
        <w:snapToGrid w:val="0"/>
        <w:spacing w:line="360" w:lineRule="auto"/>
        <w:ind w:right="11" w:firstLine="472" w:firstLineChars="196"/>
        <w:rPr>
          <w:rFonts w:ascii="宋体" w:hAnsi="宋体"/>
          <w:color w:val="auto"/>
          <w:kern w:val="0"/>
          <w:sz w:val="24"/>
          <w:szCs w:val="24"/>
          <w:highlight w:val="none"/>
        </w:rPr>
      </w:pPr>
      <w:r>
        <w:rPr>
          <w:rFonts w:hint="eastAsia" w:ascii="宋体" w:hAnsi="宋体"/>
          <w:b/>
          <w:color w:val="auto"/>
          <w:kern w:val="0"/>
          <w:sz w:val="24"/>
          <w:szCs w:val="24"/>
          <w:highlight w:val="none"/>
        </w:rPr>
        <w:t xml:space="preserve">第六条 </w:t>
      </w:r>
      <w:r>
        <w:rPr>
          <w:rFonts w:hint="eastAsia" w:ascii="宋体" w:hAnsi="宋体"/>
          <w:color w:val="auto"/>
          <w:kern w:val="0"/>
          <w:sz w:val="24"/>
          <w:szCs w:val="24"/>
          <w:highlight w:val="none"/>
        </w:rPr>
        <w:t>若有其他未尽事宜，由三方另行商议达成补充协议。</w:t>
      </w:r>
    </w:p>
    <w:p w14:paraId="5C396661">
      <w:pPr>
        <w:adjustRightInd w:val="0"/>
        <w:snapToGrid w:val="0"/>
        <w:spacing w:line="360" w:lineRule="auto"/>
        <w:ind w:right="11" w:firstLine="472" w:firstLineChars="196"/>
        <w:rPr>
          <w:rFonts w:ascii="宋体" w:hAnsi="宋体"/>
          <w:color w:val="auto"/>
          <w:kern w:val="0"/>
          <w:sz w:val="24"/>
          <w:szCs w:val="24"/>
          <w:highlight w:val="none"/>
        </w:rPr>
      </w:pPr>
      <w:r>
        <w:rPr>
          <w:rFonts w:hint="eastAsia" w:ascii="宋体" w:hAnsi="宋体"/>
          <w:b/>
          <w:color w:val="auto"/>
          <w:kern w:val="0"/>
          <w:sz w:val="24"/>
          <w:szCs w:val="24"/>
          <w:highlight w:val="none"/>
        </w:rPr>
        <w:t xml:space="preserve">第七条 </w:t>
      </w:r>
      <w:r>
        <w:rPr>
          <w:rFonts w:hint="eastAsia" w:ascii="宋体" w:hAnsi="宋体"/>
          <w:color w:val="auto"/>
          <w:kern w:val="0"/>
          <w:sz w:val="24"/>
          <w:szCs w:val="24"/>
          <w:highlight w:val="none"/>
        </w:rPr>
        <w:t>三方因本协议或者履行本协议所产生的争议</w:t>
      </w:r>
      <w:r>
        <w:rPr>
          <w:rFonts w:ascii="宋体" w:hAnsi="宋体"/>
          <w:color w:val="auto"/>
          <w:kern w:val="0"/>
          <w:sz w:val="24"/>
          <w:szCs w:val="24"/>
          <w:highlight w:val="none"/>
        </w:rPr>
        <w:t>，</w:t>
      </w:r>
      <w:r>
        <w:rPr>
          <w:rFonts w:hint="eastAsia" w:ascii="宋体" w:hAnsi="宋体"/>
          <w:color w:val="auto"/>
          <w:kern w:val="0"/>
          <w:sz w:val="24"/>
          <w:szCs w:val="24"/>
          <w:highlight w:val="none"/>
        </w:rPr>
        <w:t>可先行协商解决，经协商达成一致意见的，应签订补充协议；若协商不成的，提请中国广州仲裁委员会仲裁解决。</w:t>
      </w:r>
    </w:p>
    <w:p w14:paraId="24D40C62">
      <w:pPr>
        <w:adjustRightInd w:val="0"/>
        <w:snapToGrid w:val="0"/>
        <w:spacing w:line="360" w:lineRule="auto"/>
        <w:ind w:right="11" w:firstLine="472" w:firstLineChars="196"/>
        <w:rPr>
          <w:rFonts w:ascii="宋体" w:hAnsi="宋体"/>
          <w:color w:val="auto"/>
          <w:kern w:val="0"/>
          <w:sz w:val="24"/>
          <w:szCs w:val="24"/>
          <w:highlight w:val="none"/>
        </w:rPr>
      </w:pPr>
      <w:r>
        <w:rPr>
          <w:rFonts w:hint="eastAsia" w:ascii="宋体" w:hAnsi="宋体"/>
          <w:b/>
          <w:color w:val="auto"/>
          <w:kern w:val="0"/>
          <w:sz w:val="24"/>
          <w:szCs w:val="24"/>
          <w:highlight w:val="none"/>
        </w:rPr>
        <w:t xml:space="preserve">第八条 </w:t>
      </w:r>
      <w:r>
        <w:rPr>
          <w:rFonts w:hint="eastAsia" w:ascii="宋体" w:hAnsi="宋体"/>
          <w:color w:val="auto"/>
          <w:kern w:val="0"/>
          <w:sz w:val="24"/>
          <w:szCs w:val="24"/>
          <w:highlight w:val="none"/>
        </w:rPr>
        <w:t>本协议自三方法定代表人签字并加盖公章之日起生效。</w:t>
      </w:r>
    </w:p>
    <w:p w14:paraId="7A0C0EF6">
      <w:pPr>
        <w:adjustRightInd w:val="0"/>
        <w:snapToGrid w:val="0"/>
        <w:spacing w:line="360" w:lineRule="auto"/>
        <w:ind w:right="11" w:firstLine="472" w:firstLineChars="196"/>
        <w:rPr>
          <w:rFonts w:ascii="宋体" w:hAnsi="宋体"/>
          <w:snapToGrid w:val="0"/>
          <w:color w:val="auto"/>
          <w:kern w:val="0"/>
          <w:sz w:val="24"/>
          <w:szCs w:val="24"/>
          <w:highlight w:val="none"/>
        </w:rPr>
      </w:pPr>
      <w:r>
        <w:rPr>
          <w:rFonts w:hint="eastAsia" w:ascii="宋体" w:hAnsi="宋体"/>
          <w:b/>
          <w:snapToGrid w:val="0"/>
          <w:color w:val="auto"/>
          <w:kern w:val="0"/>
          <w:sz w:val="24"/>
          <w:szCs w:val="24"/>
          <w:highlight w:val="none"/>
        </w:rPr>
        <w:t xml:space="preserve">第九条 </w:t>
      </w:r>
      <w:r>
        <w:rPr>
          <w:rFonts w:hint="eastAsia" w:ascii="宋体" w:hAnsi="宋体"/>
          <w:color w:val="auto"/>
          <w:kern w:val="0"/>
          <w:sz w:val="24"/>
          <w:szCs w:val="24"/>
          <w:highlight w:val="none"/>
        </w:rPr>
        <w:t>本协议正本三份，三各执一份；副本十一份，甲乙双方各执一份，丙方执九份。</w:t>
      </w:r>
      <w:r>
        <w:rPr>
          <w:rFonts w:hint="eastAsia" w:ascii="宋体" w:hAnsi="宋体"/>
          <w:bCs/>
          <w:snapToGrid w:val="0"/>
          <w:color w:val="auto"/>
          <w:kern w:val="0"/>
          <w:sz w:val="24"/>
          <w:highlight w:val="none"/>
        </w:rPr>
        <w:t>协议正、副本具有同等效力，但当正本与副本的表述不一致时，以正本为准。</w:t>
      </w:r>
    </w:p>
    <w:p w14:paraId="1F854FA8">
      <w:pPr>
        <w:adjustRightInd w:val="0"/>
        <w:snapToGrid w:val="0"/>
        <w:spacing w:line="360" w:lineRule="auto"/>
        <w:ind w:right="11"/>
        <w:rPr>
          <w:rFonts w:ascii="宋体" w:hAnsi="宋体"/>
          <w:color w:val="auto"/>
          <w:kern w:val="0"/>
          <w:sz w:val="24"/>
          <w:szCs w:val="24"/>
          <w:highlight w:val="none"/>
        </w:rPr>
      </w:pPr>
    </w:p>
    <w:p w14:paraId="5AEF09E1">
      <w:pPr>
        <w:adjustRightInd w:val="0"/>
        <w:snapToGrid w:val="0"/>
        <w:spacing w:line="360" w:lineRule="auto"/>
        <w:ind w:right="11"/>
        <w:rPr>
          <w:rFonts w:ascii="宋体" w:hAnsi="宋体"/>
          <w:color w:val="auto"/>
          <w:kern w:val="0"/>
          <w:sz w:val="24"/>
          <w:szCs w:val="24"/>
          <w:highlight w:val="none"/>
        </w:rPr>
      </w:pPr>
      <w:r>
        <w:rPr>
          <w:rFonts w:hint="eastAsia" w:ascii="宋体" w:hAnsi="宋体"/>
          <w:color w:val="auto"/>
          <w:kern w:val="0"/>
          <w:sz w:val="24"/>
          <w:szCs w:val="24"/>
          <w:highlight w:val="none"/>
        </w:rPr>
        <w:t>（本页以下无正文）</w:t>
      </w:r>
    </w:p>
    <w:p w14:paraId="7FE6A7B9">
      <w:pPr>
        <w:adjustRightInd w:val="0"/>
        <w:snapToGrid w:val="0"/>
        <w:spacing w:line="360" w:lineRule="auto"/>
        <w:ind w:right="11" w:firstLine="470" w:firstLineChars="196"/>
        <w:rPr>
          <w:rFonts w:ascii="宋体" w:hAnsi="宋体"/>
          <w:color w:val="auto"/>
          <w:kern w:val="0"/>
          <w:sz w:val="24"/>
          <w:szCs w:val="24"/>
          <w:highlight w:val="none"/>
        </w:rPr>
      </w:pPr>
    </w:p>
    <w:p w14:paraId="4DFC5A88">
      <w:pPr>
        <w:adjustRightInd w:val="0"/>
        <w:snapToGrid w:val="0"/>
        <w:spacing w:line="360" w:lineRule="auto"/>
        <w:ind w:right="11" w:firstLine="470" w:firstLineChars="196"/>
        <w:rPr>
          <w:rFonts w:ascii="宋体" w:hAnsi="宋体"/>
          <w:color w:val="auto"/>
          <w:kern w:val="0"/>
          <w:sz w:val="24"/>
          <w:szCs w:val="24"/>
          <w:highlight w:val="none"/>
        </w:rPr>
      </w:pPr>
    </w:p>
    <w:p w14:paraId="482010A7">
      <w:pPr>
        <w:adjustRightInd w:val="0"/>
        <w:snapToGrid w:val="0"/>
        <w:spacing w:line="360" w:lineRule="auto"/>
        <w:ind w:right="11" w:firstLine="470" w:firstLineChars="196"/>
        <w:rPr>
          <w:rFonts w:ascii="宋体" w:hAnsi="宋体"/>
          <w:color w:val="auto"/>
          <w:kern w:val="0"/>
          <w:sz w:val="24"/>
          <w:szCs w:val="24"/>
          <w:highlight w:val="none"/>
        </w:rPr>
      </w:pPr>
    </w:p>
    <w:p w14:paraId="7AB98C3D">
      <w:pPr>
        <w:adjustRightInd w:val="0"/>
        <w:snapToGrid w:val="0"/>
        <w:spacing w:line="360" w:lineRule="auto"/>
        <w:ind w:right="11"/>
        <w:rPr>
          <w:rFonts w:ascii="宋体" w:hAnsi="宋体"/>
          <w:b/>
          <w:snapToGrid w:val="0"/>
          <w:color w:val="auto"/>
          <w:spacing w:val="-20"/>
          <w:kern w:val="0"/>
          <w:sz w:val="24"/>
          <w:szCs w:val="24"/>
          <w:highlight w:val="none"/>
        </w:rPr>
      </w:pPr>
      <w:r>
        <w:rPr>
          <w:rFonts w:ascii="宋体" w:hAnsi="宋体"/>
          <w:color w:val="auto"/>
          <w:kern w:val="0"/>
          <w:sz w:val="24"/>
          <w:szCs w:val="24"/>
          <w:highlight w:val="none"/>
        </w:rPr>
        <w:br w:type="page"/>
      </w:r>
      <w:r>
        <w:rPr>
          <w:rFonts w:hint="eastAsia" w:ascii="宋体" w:hAnsi="宋体"/>
          <w:b/>
          <w:snapToGrid w:val="0"/>
          <w:color w:val="auto"/>
          <w:kern w:val="0"/>
          <w:sz w:val="24"/>
          <w:szCs w:val="24"/>
          <w:highlight w:val="none"/>
        </w:rPr>
        <w:t>甲方：                                      乙方</w:t>
      </w:r>
      <w:r>
        <w:rPr>
          <w:rFonts w:hint="eastAsia" w:ascii="宋体" w:hAnsi="宋体"/>
          <w:snapToGrid w:val="0"/>
          <w:color w:val="auto"/>
          <w:kern w:val="0"/>
          <w:sz w:val="24"/>
          <w:szCs w:val="24"/>
          <w:highlight w:val="none"/>
        </w:rPr>
        <w:t>：</w:t>
      </w:r>
    </w:p>
    <w:p w14:paraId="42F0EC5B">
      <w:pPr>
        <w:adjustRightInd w:val="0"/>
        <w:snapToGrid w:val="0"/>
        <w:spacing w:line="360" w:lineRule="auto"/>
        <w:ind w:right="11" w:firstLine="1080" w:firstLineChars="45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（盖章）                             （盖章）</w:t>
      </w:r>
    </w:p>
    <w:p w14:paraId="5EECBDD5">
      <w:pPr>
        <w:adjustRightInd w:val="0"/>
        <w:snapToGrid w:val="0"/>
        <w:spacing w:line="360" w:lineRule="auto"/>
        <w:ind w:right="11"/>
        <w:rPr>
          <w:rFonts w:ascii="宋体" w:hAnsi="宋体"/>
          <w:snapToGrid w:val="0"/>
          <w:color w:val="auto"/>
          <w:kern w:val="0"/>
          <w:sz w:val="24"/>
          <w:szCs w:val="24"/>
          <w:highlight w:val="none"/>
        </w:rPr>
      </w:pPr>
    </w:p>
    <w:p w14:paraId="71DBBDF3">
      <w:pPr>
        <w:adjustRightInd w:val="0"/>
        <w:snapToGrid w:val="0"/>
        <w:spacing w:line="360" w:lineRule="auto"/>
        <w:ind w:left="-2" w:leftChars="-1"/>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法定代表人：                        法定代表人：</w:t>
      </w:r>
    </w:p>
    <w:p w14:paraId="5969F251">
      <w:pPr>
        <w:adjustRightInd w:val="0"/>
        <w:snapToGrid w:val="0"/>
        <w:spacing w:line="360" w:lineRule="auto"/>
        <w:ind w:left="-2" w:leftChars="-1"/>
        <w:rPr>
          <w:rFonts w:ascii="宋体" w:hAnsi="宋体"/>
          <w:snapToGrid w:val="0"/>
          <w:color w:val="auto"/>
          <w:kern w:val="0"/>
          <w:sz w:val="24"/>
          <w:szCs w:val="24"/>
          <w:highlight w:val="none"/>
        </w:rPr>
      </w:pPr>
    </w:p>
    <w:p w14:paraId="2A744E9F">
      <w:pPr>
        <w:adjustRightInd w:val="0"/>
        <w:snapToGrid w:val="0"/>
        <w:spacing w:line="360" w:lineRule="auto"/>
        <w:ind w:left="-2" w:leftChars="-1"/>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经办人：                             经办人：</w:t>
      </w:r>
    </w:p>
    <w:p w14:paraId="7B533A0D">
      <w:pPr>
        <w:adjustRightInd w:val="0"/>
        <w:snapToGrid w:val="0"/>
        <w:spacing w:line="360" w:lineRule="auto"/>
        <w:ind w:left="-2" w:leftChars="-1"/>
        <w:rPr>
          <w:rFonts w:ascii="宋体" w:hAnsi="宋体"/>
          <w:snapToGrid w:val="0"/>
          <w:color w:val="auto"/>
          <w:kern w:val="0"/>
          <w:sz w:val="24"/>
          <w:szCs w:val="24"/>
          <w:highlight w:val="none"/>
        </w:rPr>
      </w:pPr>
    </w:p>
    <w:p w14:paraId="639E12DB">
      <w:pPr>
        <w:adjustRightInd w:val="0"/>
        <w:snapToGrid w:val="0"/>
        <w:spacing w:line="360" w:lineRule="auto"/>
        <w:ind w:left="-2" w:leftChars="-1"/>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住址：住址：</w:t>
      </w:r>
    </w:p>
    <w:p w14:paraId="2D58F5CB">
      <w:pPr>
        <w:adjustRightInd w:val="0"/>
        <w:snapToGrid w:val="0"/>
        <w:spacing w:line="360" w:lineRule="auto"/>
        <w:ind w:left="-2" w:leftChars="-1"/>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邮编：                               邮编：</w:t>
      </w:r>
    </w:p>
    <w:p w14:paraId="47B8DE5E">
      <w:pPr>
        <w:adjustRightInd w:val="0"/>
        <w:snapToGrid w:val="0"/>
        <w:spacing w:line="360" w:lineRule="auto"/>
        <w:ind w:left="-2" w:leftChars="-1"/>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电话：                               电话：</w:t>
      </w:r>
    </w:p>
    <w:p w14:paraId="354E3E1E">
      <w:p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传真：                               传真：</w:t>
      </w:r>
    </w:p>
    <w:p w14:paraId="6602A5FA">
      <w:p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日期：     年  月  日                日期：     年  月  日</w:t>
      </w:r>
    </w:p>
    <w:p w14:paraId="7109F91F">
      <w:pPr>
        <w:adjustRightInd w:val="0"/>
        <w:snapToGrid w:val="0"/>
        <w:spacing w:line="360" w:lineRule="auto"/>
        <w:rPr>
          <w:rFonts w:ascii="宋体" w:hAnsi="宋体"/>
          <w:snapToGrid w:val="0"/>
          <w:color w:val="auto"/>
          <w:kern w:val="0"/>
          <w:sz w:val="24"/>
          <w:szCs w:val="24"/>
          <w:highlight w:val="none"/>
        </w:rPr>
      </w:pPr>
    </w:p>
    <w:p w14:paraId="0DB841F3">
      <w:pPr>
        <w:adjustRightInd w:val="0"/>
        <w:snapToGrid w:val="0"/>
        <w:spacing w:line="360" w:lineRule="auto"/>
        <w:rPr>
          <w:rFonts w:ascii="宋体" w:hAnsi="宋体"/>
          <w:snapToGrid w:val="0"/>
          <w:color w:val="auto"/>
          <w:kern w:val="0"/>
          <w:sz w:val="24"/>
          <w:szCs w:val="24"/>
          <w:highlight w:val="none"/>
        </w:rPr>
      </w:pPr>
    </w:p>
    <w:p w14:paraId="141BA5ED">
      <w:pPr>
        <w:adjustRightInd w:val="0"/>
        <w:snapToGrid w:val="0"/>
        <w:spacing w:line="360" w:lineRule="auto"/>
        <w:rPr>
          <w:rFonts w:ascii="宋体" w:hAnsi="宋体"/>
          <w:b/>
          <w:bCs/>
          <w:snapToGrid w:val="0"/>
          <w:color w:val="auto"/>
          <w:kern w:val="0"/>
          <w:sz w:val="24"/>
          <w:szCs w:val="24"/>
          <w:highlight w:val="none"/>
        </w:rPr>
      </w:pPr>
      <w:r>
        <w:rPr>
          <w:rFonts w:hint="eastAsia" w:ascii="宋体" w:hAnsi="宋体"/>
          <w:b/>
          <w:snapToGrid w:val="0"/>
          <w:color w:val="auto"/>
          <w:kern w:val="0"/>
          <w:sz w:val="24"/>
          <w:szCs w:val="24"/>
          <w:highlight w:val="none"/>
        </w:rPr>
        <w:t>丙方</w:t>
      </w:r>
      <w:r>
        <w:rPr>
          <w:rFonts w:hint="eastAsia" w:ascii="宋体" w:hAnsi="宋体"/>
          <w:snapToGrid w:val="0"/>
          <w:color w:val="auto"/>
          <w:kern w:val="0"/>
          <w:sz w:val="24"/>
          <w:szCs w:val="24"/>
          <w:highlight w:val="none"/>
        </w:rPr>
        <w:t>：</w:t>
      </w:r>
    </w:p>
    <w:p w14:paraId="096584BA">
      <w:pPr>
        <w:adjustRightInd w:val="0"/>
        <w:snapToGrid w:val="0"/>
        <w:spacing w:line="360" w:lineRule="auto"/>
        <w:ind w:right="11" w:firstLine="1080" w:firstLineChars="45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（盖章）</w:t>
      </w:r>
    </w:p>
    <w:p w14:paraId="534FACCF">
      <w:pPr>
        <w:adjustRightInd w:val="0"/>
        <w:snapToGrid w:val="0"/>
        <w:spacing w:line="360" w:lineRule="auto"/>
        <w:ind w:right="11" w:firstLine="840" w:firstLineChars="350"/>
        <w:rPr>
          <w:rFonts w:ascii="宋体" w:hAnsi="宋体"/>
          <w:snapToGrid w:val="0"/>
          <w:color w:val="auto"/>
          <w:kern w:val="0"/>
          <w:sz w:val="24"/>
          <w:szCs w:val="24"/>
          <w:highlight w:val="none"/>
        </w:rPr>
      </w:pPr>
    </w:p>
    <w:p w14:paraId="4AF309EA">
      <w:pPr>
        <w:adjustRightInd w:val="0"/>
        <w:snapToGrid w:val="0"/>
        <w:spacing w:line="360" w:lineRule="auto"/>
        <w:ind w:left="-2" w:leftChars="-1"/>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 xml:space="preserve">法定代表人： </w:t>
      </w:r>
    </w:p>
    <w:p w14:paraId="427D8408">
      <w:pPr>
        <w:adjustRightInd w:val="0"/>
        <w:snapToGrid w:val="0"/>
        <w:spacing w:line="360" w:lineRule="auto"/>
        <w:ind w:left="-2" w:leftChars="-1"/>
        <w:rPr>
          <w:rFonts w:ascii="宋体" w:hAnsi="宋体"/>
          <w:snapToGrid w:val="0"/>
          <w:color w:val="auto"/>
          <w:kern w:val="0"/>
          <w:sz w:val="24"/>
          <w:szCs w:val="24"/>
          <w:highlight w:val="none"/>
        </w:rPr>
      </w:pPr>
    </w:p>
    <w:p w14:paraId="01486A77">
      <w:pPr>
        <w:adjustRightInd w:val="0"/>
        <w:snapToGrid w:val="0"/>
        <w:spacing w:line="360" w:lineRule="auto"/>
        <w:ind w:left="-2" w:leftChars="-1"/>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经办人：</w:t>
      </w:r>
    </w:p>
    <w:p w14:paraId="55ED25A6">
      <w:pPr>
        <w:adjustRightInd w:val="0"/>
        <w:snapToGrid w:val="0"/>
        <w:spacing w:line="360" w:lineRule="auto"/>
        <w:ind w:left="-2" w:leftChars="-1"/>
        <w:rPr>
          <w:rFonts w:ascii="宋体" w:hAnsi="宋体"/>
          <w:snapToGrid w:val="0"/>
          <w:color w:val="auto"/>
          <w:kern w:val="0"/>
          <w:sz w:val="24"/>
          <w:szCs w:val="24"/>
          <w:highlight w:val="none"/>
        </w:rPr>
      </w:pPr>
    </w:p>
    <w:p w14:paraId="65CBDABE">
      <w:p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住址：</w:t>
      </w:r>
    </w:p>
    <w:p w14:paraId="44B84E8A">
      <w:pPr>
        <w:adjustRightInd w:val="0"/>
        <w:snapToGrid w:val="0"/>
        <w:spacing w:line="360" w:lineRule="auto"/>
        <w:ind w:left="-2" w:leftChars="-1"/>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 xml:space="preserve">邮编： </w:t>
      </w:r>
    </w:p>
    <w:p w14:paraId="208DA830">
      <w:pPr>
        <w:adjustRightInd w:val="0"/>
        <w:snapToGrid w:val="0"/>
        <w:spacing w:line="360" w:lineRule="auto"/>
        <w:ind w:left="-2" w:leftChars="-1"/>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电话：</w:t>
      </w:r>
    </w:p>
    <w:p w14:paraId="06D6789C">
      <w:p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传真：</w:t>
      </w:r>
    </w:p>
    <w:p w14:paraId="59B03A52">
      <w:p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 xml:space="preserve">日期：     年  月  日 </w:t>
      </w:r>
    </w:p>
    <w:p w14:paraId="7003AAC2">
      <w:pPr>
        <w:adjustRightInd w:val="0"/>
        <w:snapToGrid w:val="0"/>
        <w:spacing w:line="360" w:lineRule="auto"/>
        <w:rPr>
          <w:rFonts w:ascii="宋体" w:hAnsi="宋体"/>
          <w:snapToGrid w:val="0"/>
          <w:color w:val="auto"/>
          <w:kern w:val="0"/>
          <w:sz w:val="24"/>
          <w:szCs w:val="24"/>
          <w:highlight w:val="none"/>
        </w:rPr>
      </w:pPr>
    </w:p>
    <w:p w14:paraId="095D2A5F">
      <w:pPr>
        <w:adjustRightInd w:val="0"/>
        <w:snapToGrid w:val="0"/>
        <w:spacing w:line="360" w:lineRule="auto"/>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本合同签订于   。</w:t>
      </w:r>
    </w:p>
    <w:p w14:paraId="66CC450B">
      <w:pPr>
        <w:rPr>
          <w:color w:val="auto"/>
          <w:highlight w:val="none"/>
        </w:rPr>
      </w:pPr>
    </w:p>
    <w:p w14:paraId="09CCE0FC">
      <w:pPr>
        <w:rPr>
          <w:color w:val="auto"/>
          <w:highlight w:val="none"/>
        </w:rPr>
        <w:sectPr>
          <w:footerReference r:id="rId6" w:type="first"/>
          <w:headerReference r:id="rId3" w:type="default"/>
          <w:footerReference r:id="rId4" w:type="default"/>
          <w:footerReference r:id="rId5" w:type="even"/>
          <w:pgSz w:w="11906" w:h="16838"/>
          <w:pgMar w:top="1440" w:right="1797" w:bottom="1440" w:left="1797" w:header="851" w:footer="992" w:gutter="0"/>
          <w:pgBorders>
            <w:top w:val="none" w:sz="0" w:space="0"/>
            <w:left w:val="none" w:sz="0" w:space="0"/>
            <w:bottom w:val="none" w:sz="0" w:space="0"/>
            <w:right w:val="none" w:sz="0" w:space="0"/>
          </w:pgBorders>
          <w:pgNumType w:start="0"/>
          <w:cols w:space="425" w:num="1"/>
          <w:titlePg/>
          <w:docGrid w:type="lines" w:linePitch="312" w:charSpace="0"/>
        </w:sectPr>
      </w:pPr>
    </w:p>
    <w:p w14:paraId="61B980F3">
      <w:pPr>
        <w:adjustRightInd w:val="0"/>
        <w:snapToGrid w:val="0"/>
        <w:spacing w:line="360" w:lineRule="auto"/>
        <w:ind w:firstLine="420" w:firstLineChars="200"/>
        <w:rPr>
          <w:b/>
          <w:color w:val="auto"/>
          <w:highlight w:val="none"/>
        </w:rPr>
      </w:pPr>
      <w:r>
        <w:rPr>
          <w:rFonts w:hint="eastAsia"/>
          <w:color w:val="auto"/>
          <w:highlight w:val="none"/>
        </w:rPr>
        <w:t>附件16</w:t>
      </w:r>
      <w:r>
        <w:rPr>
          <w:rFonts w:hint="eastAsia"/>
          <w:b/>
          <w:color w:val="auto"/>
          <w:highlight w:val="none"/>
        </w:rPr>
        <w:t>：</w:t>
      </w:r>
    </w:p>
    <w:p w14:paraId="6F91A625">
      <w:pPr>
        <w:adjustRightInd w:val="0"/>
        <w:snapToGrid w:val="0"/>
        <w:spacing w:line="360" w:lineRule="auto"/>
        <w:ind w:firstLine="643" w:firstLineChars="200"/>
        <w:jc w:val="center"/>
        <w:rPr>
          <w:rFonts w:ascii="宋体" w:hAnsi="宋体"/>
          <w:b/>
          <w:bCs/>
          <w:snapToGrid w:val="0"/>
          <w:color w:val="auto"/>
          <w:kern w:val="0"/>
          <w:sz w:val="32"/>
          <w:szCs w:val="32"/>
          <w:highlight w:val="none"/>
          <w:u w:val="single"/>
        </w:rPr>
      </w:pPr>
      <w:r>
        <w:rPr>
          <w:rFonts w:hint="eastAsia"/>
          <w:b/>
          <w:color w:val="auto"/>
          <w:sz w:val="32"/>
          <w:szCs w:val="32"/>
          <w:highlight w:val="none"/>
        </w:rPr>
        <w:t>施工组织机构构成和机构框架图及投入主要人员汇总表</w:t>
      </w:r>
    </w:p>
    <w:p w14:paraId="583750F7">
      <w:pPr>
        <w:widowControl/>
        <w:jc w:val="left"/>
        <w:rPr>
          <w:b/>
          <w:color w:val="auto"/>
          <w:highlight w:val="none"/>
        </w:rPr>
      </w:pPr>
    </w:p>
    <w:p w14:paraId="64B33B2D">
      <w:pPr>
        <w:widowControl/>
        <w:jc w:val="center"/>
        <w:rPr>
          <w:color w:val="auto"/>
          <w:highlight w:val="none"/>
        </w:rPr>
      </w:pPr>
    </w:p>
    <w:p w14:paraId="2AD2020D">
      <w:pPr>
        <w:pStyle w:val="62"/>
        <w:ind w:firstLine="496"/>
        <w:rPr>
          <w:color w:val="auto"/>
          <w:highlight w:val="none"/>
        </w:rPr>
      </w:pPr>
      <w:r>
        <w:rPr>
          <w:rFonts w:hint="eastAsia"/>
          <w:color w:val="auto"/>
          <w:highlight w:val="none"/>
        </w:rPr>
        <w:t>注：</w:t>
      </w:r>
    </w:p>
    <w:p w14:paraId="22F48917">
      <w:pPr>
        <w:pStyle w:val="62"/>
        <w:ind w:firstLine="496"/>
        <w:rPr>
          <w:color w:val="auto"/>
          <w:highlight w:val="none"/>
        </w:rPr>
      </w:pPr>
      <w:r>
        <w:rPr>
          <w:color w:val="auto"/>
          <w:highlight w:val="none"/>
        </w:rPr>
        <w:t>1</w:t>
      </w:r>
      <w:r>
        <w:rPr>
          <w:rFonts w:hint="eastAsia"/>
          <w:color w:val="auto"/>
          <w:highlight w:val="none"/>
        </w:rPr>
        <w:t xml:space="preserve">．投标人应结合本工程的类型和特点，科学、合理地设置本项目的施工组织架构； </w:t>
      </w:r>
    </w:p>
    <w:p w14:paraId="7E83C618">
      <w:pPr>
        <w:pStyle w:val="62"/>
        <w:ind w:firstLine="496"/>
        <w:rPr>
          <w:color w:val="auto"/>
          <w:highlight w:val="none"/>
        </w:rPr>
      </w:pPr>
      <w:r>
        <w:rPr>
          <w:color w:val="auto"/>
          <w:highlight w:val="none"/>
        </w:rPr>
        <w:t>2</w:t>
      </w:r>
      <w:r>
        <w:rPr>
          <w:rFonts w:hint="eastAsia"/>
          <w:color w:val="auto"/>
          <w:highlight w:val="none"/>
        </w:rPr>
        <w:t xml:space="preserve">．施工组织架构图由投标人结合招标人对本工程的具体要求自行设定； </w:t>
      </w:r>
    </w:p>
    <w:p w14:paraId="25E521EE">
      <w:pPr>
        <w:pStyle w:val="62"/>
        <w:ind w:firstLine="496"/>
        <w:rPr>
          <w:color w:val="auto"/>
          <w:highlight w:val="none"/>
        </w:rPr>
      </w:pPr>
      <w:r>
        <w:rPr>
          <w:color w:val="auto"/>
          <w:highlight w:val="none"/>
        </w:rPr>
        <w:t>3</w:t>
      </w:r>
      <w:r>
        <w:rPr>
          <w:rFonts w:hint="eastAsia"/>
          <w:color w:val="auto"/>
          <w:highlight w:val="none"/>
        </w:rPr>
        <w:t>．可结合自身情况附相关辅助说明资料。</w:t>
      </w:r>
    </w:p>
    <w:p w14:paraId="14D2850A">
      <w:pPr>
        <w:widowControl/>
        <w:jc w:val="left"/>
        <w:rPr>
          <w:color w:val="auto"/>
          <w:highlight w:val="none"/>
        </w:rPr>
      </w:pPr>
    </w:p>
    <w:p w14:paraId="38E1D3CD">
      <w:pPr>
        <w:widowControl/>
        <w:jc w:val="left"/>
        <w:rPr>
          <w:color w:val="auto"/>
          <w:highlight w:val="none"/>
        </w:rPr>
      </w:pPr>
    </w:p>
    <w:p w14:paraId="02513738">
      <w:pPr>
        <w:widowControl/>
        <w:jc w:val="left"/>
        <w:rPr>
          <w:color w:val="auto"/>
          <w:highlight w:val="none"/>
        </w:rPr>
      </w:pPr>
    </w:p>
    <w:p w14:paraId="5CB44B8E">
      <w:pPr>
        <w:pStyle w:val="62"/>
        <w:ind w:firstLine="496"/>
        <w:jc w:val="right"/>
        <w:rPr>
          <w:color w:val="auto"/>
          <w:highlight w:val="none"/>
        </w:rPr>
      </w:pPr>
      <w:r>
        <w:rPr>
          <w:rFonts w:hint="eastAsia"/>
          <w:color w:val="auto"/>
          <w:highlight w:val="none"/>
        </w:rPr>
        <w:t>投标人：（盖章）</w:t>
      </w:r>
    </w:p>
    <w:p w14:paraId="1766106A">
      <w:pPr>
        <w:pStyle w:val="62"/>
        <w:wordWrap w:val="0"/>
        <w:ind w:firstLine="496"/>
        <w:jc w:val="right"/>
        <w:rPr>
          <w:color w:val="auto"/>
          <w:highlight w:val="none"/>
        </w:rPr>
      </w:pPr>
      <w:r>
        <w:rPr>
          <w:rFonts w:hint="eastAsia"/>
          <w:color w:val="auto"/>
          <w:highlight w:val="none"/>
        </w:rPr>
        <w:t>法定代表人</w:t>
      </w:r>
      <w:r>
        <w:rPr>
          <w:color w:val="auto"/>
          <w:highlight w:val="none"/>
        </w:rPr>
        <w:t>(</w:t>
      </w:r>
      <w:r>
        <w:rPr>
          <w:rFonts w:hint="eastAsia"/>
          <w:color w:val="auto"/>
          <w:highlight w:val="none"/>
        </w:rPr>
        <w:t>签字或盖章</w:t>
      </w:r>
      <w:r>
        <w:rPr>
          <w:color w:val="auto"/>
          <w:highlight w:val="none"/>
        </w:rPr>
        <w:t>)</w:t>
      </w:r>
      <w:r>
        <w:rPr>
          <w:rFonts w:hint="eastAsia"/>
          <w:color w:val="auto"/>
          <w:highlight w:val="none"/>
        </w:rPr>
        <w:t>：</w:t>
      </w:r>
    </w:p>
    <w:p w14:paraId="5A7441AB">
      <w:pPr>
        <w:widowControl/>
        <w:jc w:val="right"/>
        <w:rPr>
          <w:color w:val="auto"/>
          <w:highlight w:val="none"/>
        </w:rPr>
      </w:pPr>
      <w:r>
        <w:rPr>
          <w:rFonts w:hint="eastAsia"/>
          <w:color w:val="auto"/>
          <w:highlight w:val="none"/>
        </w:rPr>
        <w:t>日期：年月日</w:t>
      </w:r>
    </w:p>
    <w:p w14:paraId="668163E3">
      <w:pPr>
        <w:rPr>
          <w:color w:val="auto"/>
          <w:highlight w:val="none"/>
        </w:rPr>
      </w:pPr>
    </w:p>
    <w:p w14:paraId="61632370">
      <w:pPr>
        <w:rPr>
          <w:color w:val="auto"/>
          <w:highlight w:val="none"/>
        </w:rPr>
        <w:sectPr>
          <w:pgSz w:w="11906" w:h="16838"/>
          <w:pgMar w:top="1080" w:right="1440" w:bottom="1080" w:left="1440" w:header="851" w:footer="992" w:gutter="0"/>
          <w:pgBorders>
            <w:top w:val="none" w:sz="0" w:space="0"/>
            <w:left w:val="none" w:sz="0" w:space="0"/>
            <w:bottom w:val="none" w:sz="0" w:space="0"/>
            <w:right w:val="none" w:sz="0" w:space="0"/>
          </w:pgBorders>
          <w:cols w:space="425" w:num="1"/>
          <w:docGrid w:type="lines" w:linePitch="312" w:charSpace="0"/>
        </w:sectPr>
      </w:pPr>
    </w:p>
    <w:p w14:paraId="0A51AFE5">
      <w:pPr>
        <w:pStyle w:val="8"/>
        <w:spacing w:before="156" w:after="156"/>
        <w:rPr>
          <w:color w:val="auto"/>
          <w:highlight w:val="none"/>
        </w:rPr>
      </w:pPr>
      <w:r>
        <w:rPr>
          <w:rFonts w:hint="eastAsia"/>
          <w:color w:val="auto"/>
          <w:highlight w:val="none"/>
        </w:rPr>
        <w:t>投入主要人员汇总表及主要人员资料</w:t>
      </w:r>
    </w:p>
    <w:p w14:paraId="46630F8C">
      <w:pPr>
        <w:widowControl/>
        <w:shd w:val="clear" w:color="auto" w:fill="FFFFFF"/>
        <w:adjustRightInd w:val="0"/>
        <w:ind w:firstLine="480" w:firstLineChars="200"/>
        <w:jc w:val="left"/>
        <w:rPr>
          <w:rFonts w:ascii="宋体" w:hAnsi="宋体" w:cs="宋体"/>
          <w:b/>
          <w:color w:val="auto"/>
          <w:kern w:val="0"/>
          <w:sz w:val="24"/>
          <w:szCs w:val="24"/>
          <w:highlight w:val="none"/>
        </w:rPr>
      </w:pPr>
    </w:p>
    <w:p w14:paraId="645AACF9">
      <w:pPr>
        <w:widowControl/>
        <w:shd w:val="clear" w:color="auto" w:fill="FFFFFF"/>
        <w:adjustRightInd w:val="0"/>
        <w:ind w:firstLine="480" w:firstLineChars="200"/>
        <w:jc w:val="left"/>
        <w:rPr>
          <w:rFonts w:ascii="宋体" w:hAnsi="宋体" w:cs="宋体"/>
          <w:b/>
          <w:color w:val="auto"/>
          <w:kern w:val="0"/>
          <w:sz w:val="24"/>
          <w:szCs w:val="24"/>
          <w:highlight w:val="none"/>
        </w:rPr>
      </w:pPr>
    </w:p>
    <w:p w14:paraId="07C5A0FD">
      <w:pPr>
        <w:widowControl/>
        <w:shd w:val="clear" w:color="auto" w:fill="FFFFFF"/>
        <w:adjustRightInd w:val="0"/>
        <w:ind w:firstLine="480" w:firstLineChars="200"/>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备注</w:t>
      </w:r>
      <w:r>
        <w:rPr>
          <w:rFonts w:hint="eastAsia" w:ascii="宋体" w:hAnsi="宋体" w:cs="宋体"/>
          <w:color w:val="auto"/>
          <w:kern w:val="0"/>
          <w:sz w:val="24"/>
          <w:szCs w:val="24"/>
          <w:highlight w:val="none"/>
        </w:rPr>
        <w:t>：</w:t>
      </w:r>
    </w:p>
    <w:p w14:paraId="22F9EFDB">
      <w:pPr>
        <w:widowControl/>
        <w:shd w:val="clear" w:color="auto" w:fill="FFFFFF"/>
        <w:adjustRightInd w:val="0"/>
        <w:ind w:firstLine="480" w:firstLineChars="200"/>
        <w:jc w:val="left"/>
        <w:rPr>
          <w:color w:val="auto"/>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、本表为项目经理部主要人员的基本要求，投标单位可根据自身情况增加专业技术管理人员，</w:t>
      </w:r>
      <w:r>
        <w:rPr>
          <w:rFonts w:hint="eastAsia"/>
          <w:color w:val="auto"/>
          <w:sz w:val="24"/>
          <w:szCs w:val="24"/>
          <w:highlight w:val="none"/>
        </w:rPr>
        <w:t>各岗位人员不得相互兼职。</w:t>
      </w:r>
    </w:p>
    <w:p w14:paraId="60ED9E3B">
      <w:pPr>
        <w:widowControl/>
        <w:shd w:val="clear" w:color="auto" w:fill="FFFFFF"/>
        <w:adjustRightInd w:val="0"/>
        <w:ind w:firstLine="480" w:firstLineChars="200"/>
        <w:jc w:val="left"/>
        <w:rPr>
          <w:rFonts w:asci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、本表项目经理部主要人员需提供202 年   月连续社保证明文件复印件，项目经理部主要人员需提供的其他证明文件复印件详见上表备注要求。</w:t>
      </w:r>
    </w:p>
    <w:p w14:paraId="2BFB18A8">
      <w:pPr>
        <w:widowControl/>
        <w:shd w:val="clear" w:color="auto" w:fill="FFFFFF"/>
        <w:adjustRightInd w:val="0"/>
        <w:ind w:firstLine="480" w:firstLineChars="200"/>
        <w:jc w:val="left"/>
        <w:rPr>
          <w:rFonts w:asci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、人员仅指投标人自身人员，如投标申请人为集团公司，则不含集团下属分公司，专指集团本部人员，同样下属公司也不得使用集团公司的人员。</w:t>
      </w:r>
    </w:p>
    <w:p w14:paraId="1620590B">
      <w:pPr>
        <w:widowControl/>
        <w:shd w:val="clear" w:color="auto" w:fill="FFFFFF"/>
        <w:adjustRightInd w:val="0"/>
        <w:ind w:firstLine="480" w:firstLineChars="200"/>
        <w:jc w:val="left"/>
        <w:rPr>
          <w:rFonts w:ascii="宋体" w:cs="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、拟投入的项目部人员，未经招标人同意，中标后不得更换，否则按合同约定承担违约责任。</w:t>
      </w:r>
    </w:p>
    <w:p w14:paraId="32F2095C">
      <w:pPr>
        <w:pStyle w:val="62"/>
        <w:ind w:firstLine="496"/>
        <w:rPr>
          <w:color w:val="auto"/>
          <w:highlight w:val="none"/>
        </w:rPr>
      </w:pPr>
      <w:r>
        <w:rPr>
          <w:color w:val="auto"/>
          <w:highlight w:val="none"/>
        </w:rPr>
        <w:t>5</w:t>
      </w:r>
      <w:r>
        <w:rPr>
          <w:rFonts w:hint="eastAsia"/>
          <w:color w:val="auto"/>
          <w:highlight w:val="none"/>
        </w:rPr>
        <w:t>、项目经理部人员工作经验年限评审以投标人提供的人员简历表中“工作年限”所填报的为依据。</w:t>
      </w:r>
    </w:p>
    <w:p w14:paraId="5A0BD352">
      <w:pPr>
        <w:pStyle w:val="62"/>
        <w:ind w:firstLine="496"/>
        <w:jc w:val="right"/>
        <w:rPr>
          <w:color w:val="auto"/>
          <w:highlight w:val="none"/>
        </w:rPr>
      </w:pPr>
      <w:r>
        <w:rPr>
          <w:rFonts w:hint="eastAsia"/>
          <w:color w:val="auto"/>
          <w:highlight w:val="none"/>
        </w:rPr>
        <w:t>投标人：（盖章）</w:t>
      </w:r>
    </w:p>
    <w:p w14:paraId="22C9313B">
      <w:pPr>
        <w:pStyle w:val="62"/>
        <w:wordWrap w:val="0"/>
        <w:ind w:firstLine="496"/>
        <w:jc w:val="right"/>
        <w:rPr>
          <w:color w:val="auto"/>
          <w:highlight w:val="none"/>
        </w:rPr>
      </w:pPr>
      <w:r>
        <w:rPr>
          <w:rFonts w:hint="eastAsia"/>
          <w:color w:val="auto"/>
          <w:highlight w:val="none"/>
        </w:rPr>
        <w:t>法定代表人</w:t>
      </w:r>
      <w:r>
        <w:rPr>
          <w:color w:val="auto"/>
          <w:highlight w:val="none"/>
        </w:rPr>
        <w:t>(</w:t>
      </w:r>
      <w:r>
        <w:rPr>
          <w:rFonts w:hint="eastAsia"/>
          <w:color w:val="auto"/>
          <w:highlight w:val="none"/>
        </w:rPr>
        <w:t>签字或盖章</w:t>
      </w:r>
      <w:r>
        <w:rPr>
          <w:color w:val="auto"/>
          <w:highlight w:val="none"/>
        </w:rPr>
        <w:t>)</w:t>
      </w:r>
      <w:r>
        <w:rPr>
          <w:rFonts w:hint="eastAsia"/>
          <w:color w:val="auto"/>
          <w:highlight w:val="none"/>
        </w:rPr>
        <w:t>：</w:t>
      </w:r>
    </w:p>
    <w:p w14:paraId="2FA55C82">
      <w:pPr>
        <w:pStyle w:val="62"/>
        <w:wordWrap w:val="0"/>
        <w:ind w:firstLine="496"/>
        <w:jc w:val="right"/>
        <w:rPr>
          <w:color w:val="auto"/>
          <w:highlight w:val="none"/>
        </w:rPr>
      </w:pPr>
      <w:r>
        <w:rPr>
          <w:rFonts w:hint="eastAsia"/>
          <w:color w:val="auto"/>
          <w:highlight w:val="none"/>
        </w:rPr>
        <w:t>日期：年月日</w:t>
      </w:r>
    </w:p>
    <w:p w14:paraId="7642BE38">
      <w:pPr>
        <w:pStyle w:val="62"/>
        <w:ind w:firstLine="496"/>
        <w:jc w:val="right"/>
        <w:rPr>
          <w:color w:val="auto"/>
          <w:highlight w:val="none"/>
        </w:rPr>
      </w:pPr>
    </w:p>
    <w:p w14:paraId="70136715">
      <w:pPr>
        <w:pStyle w:val="62"/>
        <w:ind w:firstLine="496"/>
        <w:jc w:val="right"/>
        <w:rPr>
          <w:color w:val="auto"/>
          <w:highlight w:val="none"/>
        </w:rPr>
      </w:pPr>
    </w:p>
    <w:p w14:paraId="7307C25E">
      <w:pPr>
        <w:pStyle w:val="62"/>
        <w:ind w:firstLine="496"/>
        <w:jc w:val="right"/>
        <w:rPr>
          <w:color w:val="auto"/>
          <w:highlight w:val="none"/>
        </w:rPr>
      </w:pPr>
    </w:p>
    <w:p w14:paraId="3BC63EB0">
      <w:pPr>
        <w:pStyle w:val="62"/>
        <w:ind w:firstLine="496"/>
        <w:jc w:val="right"/>
        <w:rPr>
          <w:color w:val="auto"/>
          <w:highlight w:val="none"/>
        </w:rPr>
      </w:pPr>
    </w:p>
    <w:p w14:paraId="552ACAC2">
      <w:pPr>
        <w:pStyle w:val="62"/>
        <w:ind w:firstLine="496"/>
        <w:jc w:val="right"/>
        <w:rPr>
          <w:color w:val="auto"/>
          <w:highlight w:val="none"/>
        </w:rPr>
      </w:pPr>
    </w:p>
    <w:p w14:paraId="5787DE37">
      <w:pPr>
        <w:pStyle w:val="62"/>
        <w:ind w:firstLine="496"/>
        <w:jc w:val="right"/>
        <w:rPr>
          <w:color w:val="auto"/>
          <w:highlight w:val="none"/>
        </w:rPr>
      </w:pPr>
    </w:p>
    <w:p w14:paraId="71281DE1">
      <w:pPr>
        <w:pStyle w:val="62"/>
        <w:ind w:firstLine="496"/>
        <w:jc w:val="right"/>
        <w:rPr>
          <w:color w:val="auto"/>
          <w:highlight w:val="none"/>
        </w:rPr>
      </w:pPr>
    </w:p>
    <w:p w14:paraId="3A751B81">
      <w:pPr>
        <w:pStyle w:val="62"/>
        <w:ind w:firstLine="496"/>
        <w:jc w:val="right"/>
        <w:rPr>
          <w:color w:val="auto"/>
          <w:highlight w:val="none"/>
        </w:rPr>
      </w:pPr>
    </w:p>
    <w:p w14:paraId="4B9CBDF5">
      <w:pPr>
        <w:pStyle w:val="62"/>
        <w:ind w:firstLine="496"/>
        <w:jc w:val="right"/>
        <w:rPr>
          <w:color w:val="auto"/>
          <w:highlight w:val="none"/>
        </w:rPr>
      </w:pPr>
    </w:p>
    <w:p w14:paraId="2DD7E74D">
      <w:pPr>
        <w:pStyle w:val="62"/>
        <w:ind w:firstLine="496"/>
        <w:jc w:val="right"/>
        <w:rPr>
          <w:color w:val="auto"/>
          <w:highlight w:val="none"/>
        </w:rPr>
      </w:pPr>
    </w:p>
    <w:p w14:paraId="2E711BEE">
      <w:pPr>
        <w:rPr>
          <w:color w:val="auto"/>
          <w:highlight w:val="none"/>
        </w:rPr>
      </w:pPr>
    </w:p>
    <w:p w14:paraId="786D696F">
      <w:pPr>
        <w:rPr>
          <w:color w:val="auto"/>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titlePg/>
          <w:docGrid w:type="linesAndChars" w:linePitch="312" w:charSpace="0"/>
        </w:sectPr>
      </w:pPr>
    </w:p>
    <w:p w14:paraId="61FC9B50">
      <w:pPr>
        <w:adjustRightInd w:val="0"/>
        <w:snapToGrid w:val="0"/>
        <w:spacing w:line="360" w:lineRule="auto"/>
        <w:rPr>
          <w:rFonts w:ascii="宋体" w:cs="宋体"/>
          <w:b/>
          <w:snapToGrid w:val="0"/>
          <w:color w:val="auto"/>
          <w:spacing w:val="4"/>
          <w:kern w:val="0"/>
          <w:sz w:val="24"/>
          <w:szCs w:val="24"/>
          <w:highlight w:val="none"/>
          <w:lang w:val="zh-CN"/>
        </w:rPr>
      </w:pPr>
      <w:r>
        <w:rPr>
          <w:rFonts w:hint="eastAsia" w:ascii="宋体" w:cs="宋体"/>
          <w:b/>
          <w:snapToGrid w:val="0"/>
          <w:color w:val="auto"/>
          <w:spacing w:val="4"/>
          <w:kern w:val="0"/>
          <w:sz w:val="24"/>
          <w:szCs w:val="24"/>
          <w:highlight w:val="none"/>
          <w:lang w:val="zh-CN"/>
        </w:rPr>
        <w:t>附件17：</w:t>
      </w:r>
    </w:p>
    <w:p w14:paraId="57FB3553">
      <w:pPr>
        <w:adjustRightInd w:val="0"/>
        <w:snapToGrid w:val="0"/>
        <w:spacing w:line="360" w:lineRule="auto"/>
        <w:jc w:val="center"/>
        <w:rPr>
          <w:rFonts w:ascii="宋体" w:hAnsi="Calibri" w:cs="宋体"/>
          <w:b/>
          <w:snapToGrid w:val="0"/>
          <w:color w:val="auto"/>
          <w:spacing w:val="4"/>
          <w:kern w:val="0"/>
          <w:sz w:val="24"/>
          <w:szCs w:val="24"/>
          <w:highlight w:val="none"/>
          <w:lang w:val="zh-CN"/>
        </w:rPr>
      </w:pPr>
      <w:r>
        <w:rPr>
          <w:rFonts w:hint="eastAsia" w:ascii="宋体" w:hAnsi="Calibri" w:cs="宋体"/>
          <w:b/>
          <w:snapToGrid w:val="0"/>
          <w:color w:val="auto"/>
          <w:spacing w:val="4"/>
          <w:kern w:val="0"/>
          <w:sz w:val="24"/>
          <w:szCs w:val="24"/>
          <w:highlight w:val="none"/>
          <w:lang w:val="zh-CN"/>
        </w:rPr>
        <w:t>花果山产业小镇综合配套工程建设项目施工合同履约行为管理约定</w:t>
      </w:r>
    </w:p>
    <w:tbl>
      <w:tblPr>
        <w:tblStyle w:val="47"/>
        <w:tblW w:w="0" w:type="auto"/>
        <w:tblInd w:w="-10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0"/>
        <w:gridCol w:w="7114"/>
        <w:gridCol w:w="1605"/>
        <w:gridCol w:w="615"/>
      </w:tblGrid>
      <w:tr w14:paraId="7DBD0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520" w:type="dxa"/>
            <w:shd w:val="clear" w:color="000000" w:fill="FFFFFF" w:themeFill="background1"/>
            <w:noWrap/>
            <w:vAlign w:val="center"/>
          </w:tcPr>
          <w:p w14:paraId="7686FE2C">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7114" w:type="dxa"/>
            <w:shd w:val="clear" w:color="000000" w:fill="FFFFFF" w:themeFill="background1"/>
            <w:noWrap/>
            <w:vAlign w:val="center"/>
          </w:tcPr>
          <w:p w14:paraId="549BAE08">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管理内容</w:t>
            </w:r>
          </w:p>
        </w:tc>
        <w:tc>
          <w:tcPr>
            <w:tcW w:w="1605" w:type="dxa"/>
            <w:shd w:val="clear" w:color="000000" w:fill="FFFFFF" w:themeFill="background1"/>
            <w:noWrap/>
            <w:vAlign w:val="center"/>
          </w:tcPr>
          <w:p w14:paraId="4D40E993">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违约处理</w:t>
            </w:r>
          </w:p>
        </w:tc>
        <w:tc>
          <w:tcPr>
            <w:tcW w:w="615" w:type="dxa"/>
            <w:shd w:val="clear" w:color="000000" w:fill="FFFFFF" w:themeFill="background1"/>
            <w:noWrap/>
            <w:vAlign w:val="center"/>
          </w:tcPr>
          <w:p w14:paraId="79F89AC2">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5C4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634" w:type="dxa"/>
            <w:gridSpan w:val="2"/>
            <w:noWrap/>
            <w:vAlign w:val="center"/>
          </w:tcPr>
          <w:p w14:paraId="5F828B35">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工程质量管理</w:t>
            </w:r>
            <w:bookmarkStart w:id="12" w:name="_GoBack"/>
            <w:bookmarkEnd w:id="12"/>
          </w:p>
        </w:tc>
        <w:tc>
          <w:tcPr>
            <w:tcW w:w="1605" w:type="dxa"/>
            <w:noWrap/>
            <w:vAlign w:val="center"/>
          </w:tcPr>
          <w:p w14:paraId="316AFA4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15" w:type="dxa"/>
            <w:noWrap/>
            <w:vAlign w:val="center"/>
          </w:tcPr>
          <w:p w14:paraId="4D5C6CC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71D2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2111A20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一</w:t>
            </w:r>
          </w:p>
        </w:tc>
        <w:tc>
          <w:tcPr>
            <w:tcW w:w="8719" w:type="dxa"/>
            <w:gridSpan w:val="2"/>
            <w:vAlign w:val="center"/>
          </w:tcPr>
          <w:p w14:paraId="3FF010C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质量管理体系</w:t>
            </w:r>
          </w:p>
        </w:tc>
        <w:tc>
          <w:tcPr>
            <w:tcW w:w="615" w:type="dxa"/>
            <w:vAlign w:val="center"/>
          </w:tcPr>
          <w:p w14:paraId="6A753879">
            <w:pPr>
              <w:widowControl/>
              <w:jc w:val="left"/>
              <w:rPr>
                <w:rFonts w:cs="宋体"/>
                <w:color w:val="auto"/>
                <w:kern w:val="0"/>
                <w:sz w:val="24"/>
                <w:highlight w:val="none"/>
              </w:rPr>
            </w:pPr>
            <w:r>
              <w:rPr>
                <w:rFonts w:cs="宋体"/>
                <w:color w:val="auto"/>
                <w:kern w:val="0"/>
                <w:sz w:val="24"/>
                <w:highlight w:val="none"/>
              </w:rPr>
              <w:t>　</w:t>
            </w:r>
          </w:p>
        </w:tc>
      </w:tr>
      <w:tr w14:paraId="3BDB8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003D149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vAlign w:val="center"/>
          </w:tcPr>
          <w:p w14:paraId="3266CFD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没有建立健全持续改进的质量管理体系，有关文件记录不齐全</w:t>
            </w:r>
          </w:p>
        </w:tc>
        <w:tc>
          <w:tcPr>
            <w:tcW w:w="1605" w:type="dxa"/>
            <w:noWrap/>
            <w:vAlign w:val="center"/>
          </w:tcPr>
          <w:p w14:paraId="45A6674F">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44A0F6F9">
            <w:pPr>
              <w:widowControl/>
              <w:jc w:val="left"/>
              <w:rPr>
                <w:rFonts w:cs="宋体"/>
                <w:color w:val="auto"/>
                <w:kern w:val="0"/>
                <w:sz w:val="24"/>
                <w:highlight w:val="none"/>
              </w:rPr>
            </w:pPr>
            <w:r>
              <w:rPr>
                <w:rFonts w:cs="宋体"/>
                <w:color w:val="auto"/>
                <w:kern w:val="0"/>
                <w:sz w:val="24"/>
                <w:highlight w:val="none"/>
              </w:rPr>
              <w:t>　</w:t>
            </w:r>
          </w:p>
        </w:tc>
      </w:tr>
      <w:tr w14:paraId="1CE37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0B82E39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vAlign w:val="center"/>
          </w:tcPr>
          <w:p w14:paraId="7A19759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没有按策划、实施、检查、处置的循环方式进行系统运作</w:t>
            </w:r>
          </w:p>
        </w:tc>
        <w:tc>
          <w:tcPr>
            <w:tcW w:w="1605" w:type="dxa"/>
            <w:noWrap/>
            <w:vAlign w:val="center"/>
          </w:tcPr>
          <w:p w14:paraId="6E955FA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76BA1A3D">
            <w:pPr>
              <w:widowControl/>
              <w:jc w:val="left"/>
              <w:rPr>
                <w:rFonts w:cs="宋体"/>
                <w:color w:val="auto"/>
                <w:kern w:val="0"/>
                <w:sz w:val="24"/>
                <w:highlight w:val="none"/>
              </w:rPr>
            </w:pPr>
            <w:r>
              <w:rPr>
                <w:rFonts w:cs="宋体"/>
                <w:color w:val="auto"/>
                <w:kern w:val="0"/>
                <w:sz w:val="24"/>
                <w:highlight w:val="none"/>
              </w:rPr>
              <w:t>　</w:t>
            </w:r>
          </w:p>
        </w:tc>
      </w:tr>
      <w:tr w14:paraId="44DA1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19391FC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14" w:type="dxa"/>
            <w:vAlign w:val="center"/>
          </w:tcPr>
          <w:p w14:paraId="71A89E7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没有满足区代建中心及其他相关方的质量要求，没有满足建设工程技术标准和产品的质量要求</w:t>
            </w:r>
          </w:p>
        </w:tc>
        <w:tc>
          <w:tcPr>
            <w:tcW w:w="1605" w:type="dxa"/>
            <w:noWrap/>
            <w:vAlign w:val="center"/>
          </w:tcPr>
          <w:p w14:paraId="1FA05C4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7557AD44">
            <w:pPr>
              <w:widowControl/>
              <w:jc w:val="left"/>
              <w:rPr>
                <w:rFonts w:cs="宋体"/>
                <w:color w:val="auto"/>
                <w:kern w:val="0"/>
                <w:sz w:val="24"/>
                <w:highlight w:val="none"/>
              </w:rPr>
            </w:pPr>
            <w:r>
              <w:rPr>
                <w:rFonts w:cs="宋体"/>
                <w:color w:val="auto"/>
                <w:kern w:val="0"/>
                <w:sz w:val="24"/>
                <w:highlight w:val="none"/>
              </w:rPr>
              <w:t>　</w:t>
            </w:r>
          </w:p>
        </w:tc>
      </w:tr>
      <w:tr w14:paraId="2E197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20" w:type="dxa"/>
            <w:vAlign w:val="center"/>
          </w:tcPr>
          <w:p w14:paraId="5C486F6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7114" w:type="dxa"/>
            <w:vAlign w:val="center"/>
          </w:tcPr>
          <w:p w14:paraId="12125DD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没有通过对人、机、物、料等要素的过程管理，实施过程控制，实现过程、产品和服务的质量目标</w:t>
            </w:r>
          </w:p>
        </w:tc>
        <w:tc>
          <w:tcPr>
            <w:tcW w:w="1605" w:type="dxa"/>
            <w:noWrap/>
            <w:vAlign w:val="center"/>
          </w:tcPr>
          <w:p w14:paraId="03507E7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46E6CC33">
            <w:pPr>
              <w:widowControl/>
              <w:jc w:val="left"/>
              <w:rPr>
                <w:rFonts w:cs="宋体"/>
                <w:color w:val="auto"/>
                <w:kern w:val="0"/>
                <w:sz w:val="24"/>
                <w:highlight w:val="none"/>
              </w:rPr>
            </w:pPr>
            <w:r>
              <w:rPr>
                <w:rFonts w:cs="宋体"/>
                <w:color w:val="auto"/>
                <w:kern w:val="0"/>
                <w:sz w:val="24"/>
                <w:highlight w:val="none"/>
              </w:rPr>
              <w:t>　</w:t>
            </w:r>
          </w:p>
        </w:tc>
      </w:tr>
      <w:tr w14:paraId="16A0D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398368E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二</w:t>
            </w:r>
          </w:p>
        </w:tc>
        <w:tc>
          <w:tcPr>
            <w:tcW w:w="8719" w:type="dxa"/>
            <w:gridSpan w:val="2"/>
            <w:vAlign w:val="center"/>
          </w:tcPr>
          <w:p w14:paraId="41BE2C49">
            <w:pPr>
              <w:widowControl/>
              <w:rPr>
                <w:rFonts w:ascii="宋体" w:hAnsi="宋体" w:cs="宋体"/>
                <w:color w:val="auto"/>
                <w:kern w:val="0"/>
                <w:sz w:val="24"/>
                <w:highlight w:val="none"/>
              </w:rPr>
            </w:pPr>
            <w:r>
              <w:rPr>
                <w:rFonts w:hint="eastAsia" w:ascii="宋体" w:hAnsi="宋体" w:cs="宋体"/>
                <w:color w:val="auto"/>
                <w:kern w:val="0"/>
                <w:sz w:val="24"/>
                <w:highlight w:val="none"/>
              </w:rPr>
              <w:t>质量策划</w:t>
            </w:r>
          </w:p>
        </w:tc>
        <w:tc>
          <w:tcPr>
            <w:tcW w:w="615" w:type="dxa"/>
            <w:vAlign w:val="center"/>
          </w:tcPr>
          <w:p w14:paraId="15054FF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C19A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20" w:type="dxa"/>
            <w:vAlign w:val="center"/>
          </w:tcPr>
          <w:p w14:paraId="207B90E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vAlign w:val="center"/>
          </w:tcPr>
          <w:p w14:paraId="07E1520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没有对项目质量进行策划，制定了质量目标，规定实施项目质量管理体系的过程和资源，编制针对项目质量管理的文件</w:t>
            </w:r>
          </w:p>
        </w:tc>
        <w:tc>
          <w:tcPr>
            <w:tcW w:w="1605" w:type="dxa"/>
            <w:noWrap/>
            <w:vAlign w:val="center"/>
          </w:tcPr>
          <w:p w14:paraId="71A328A6">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8840BC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2B3B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atLeast"/>
        </w:trPr>
        <w:tc>
          <w:tcPr>
            <w:tcW w:w="520" w:type="dxa"/>
            <w:vAlign w:val="center"/>
          </w:tcPr>
          <w:p w14:paraId="7B2F228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vAlign w:val="center"/>
          </w:tcPr>
          <w:p w14:paraId="37761E2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策划的结果（质量计划或施工组织设计）不符合ISO标准的规定；部门、人员的权限、职责及相互关系不明确；职责范围没有覆盖项目管理的所有过程；没有确定项目管理各个过程有效运行和控制所需的准则和方法</w:t>
            </w:r>
          </w:p>
        </w:tc>
        <w:tc>
          <w:tcPr>
            <w:tcW w:w="1605" w:type="dxa"/>
            <w:noWrap/>
            <w:vAlign w:val="center"/>
          </w:tcPr>
          <w:p w14:paraId="73684AA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434B58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A286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520" w:type="dxa"/>
            <w:vAlign w:val="center"/>
          </w:tcPr>
          <w:p w14:paraId="10F40A1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14" w:type="dxa"/>
            <w:vAlign w:val="center"/>
          </w:tcPr>
          <w:p w14:paraId="34D8BC9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没有及时、切合实际的已确定并提供了所需要的资源（人、设备、物资、资金、信息等）</w:t>
            </w:r>
          </w:p>
        </w:tc>
        <w:tc>
          <w:tcPr>
            <w:tcW w:w="1605" w:type="dxa"/>
            <w:noWrap/>
            <w:vAlign w:val="center"/>
          </w:tcPr>
          <w:p w14:paraId="19CB752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33BA028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1935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7622E9D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三</w:t>
            </w:r>
          </w:p>
        </w:tc>
        <w:tc>
          <w:tcPr>
            <w:tcW w:w="8719" w:type="dxa"/>
            <w:gridSpan w:val="2"/>
            <w:vAlign w:val="center"/>
          </w:tcPr>
          <w:p w14:paraId="2C1D491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质量控制与处置</w:t>
            </w:r>
          </w:p>
        </w:tc>
        <w:tc>
          <w:tcPr>
            <w:tcW w:w="615" w:type="dxa"/>
            <w:vAlign w:val="center"/>
          </w:tcPr>
          <w:p w14:paraId="5842A76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E624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520" w:type="dxa"/>
            <w:vAlign w:val="center"/>
          </w:tcPr>
          <w:p w14:paraId="64552B0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vAlign w:val="center"/>
          </w:tcPr>
          <w:p w14:paraId="176D31C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施工组织设计、图纸会审、分项分部施工方案、技术交底、作业指导书不完整；工地现场观察没有按规定进行施工</w:t>
            </w:r>
          </w:p>
        </w:tc>
        <w:tc>
          <w:tcPr>
            <w:tcW w:w="1605" w:type="dxa"/>
            <w:noWrap/>
            <w:vAlign w:val="center"/>
          </w:tcPr>
          <w:p w14:paraId="2FBB4A6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3CCDBB3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C408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6F781FD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vAlign w:val="center"/>
          </w:tcPr>
          <w:p w14:paraId="31CFC60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没有工程创优计划、创优方案和措施</w:t>
            </w:r>
          </w:p>
        </w:tc>
        <w:tc>
          <w:tcPr>
            <w:tcW w:w="1605" w:type="dxa"/>
            <w:noWrap/>
            <w:vAlign w:val="center"/>
          </w:tcPr>
          <w:p w14:paraId="6C3EA8DE">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3DFDBD6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B183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19D00D0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14" w:type="dxa"/>
            <w:vAlign w:val="center"/>
          </w:tcPr>
          <w:p w14:paraId="43086DB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没有及时执行看样定板制度</w:t>
            </w:r>
          </w:p>
        </w:tc>
        <w:tc>
          <w:tcPr>
            <w:tcW w:w="1605" w:type="dxa"/>
            <w:noWrap/>
            <w:vAlign w:val="center"/>
          </w:tcPr>
          <w:p w14:paraId="1C95FD9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2FC8A01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A3BD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520" w:type="dxa"/>
            <w:vAlign w:val="center"/>
          </w:tcPr>
          <w:p w14:paraId="656E213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7114" w:type="dxa"/>
            <w:vAlign w:val="center"/>
          </w:tcPr>
          <w:p w14:paraId="79FDC16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没有执行样板引路方案和计划，并进行了布置、落实，没有设置了样板间、样板工序，不符合标准，没有经过验收</w:t>
            </w:r>
          </w:p>
        </w:tc>
        <w:tc>
          <w:tcPr>
            <w:tcW w:w="1605" w:type="dxa"/>
            <w:noWrap/>
            <w:vAlign w:val="center"/>
          </w:tcPr>
          <w:p w14:paraId="04CDB13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28C4EF8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3860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07D9C4E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7114" w:type="dxa"/>
            <w:vAlign w:val="center"/>
          </w:tcPr>
          <w:p w14:paraId="689336D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有偷工减料行为的，有货不对板行为</w:t>
            </w:r>
          </w:p>
        </w:tc>
        <w:tc>
          <w:tcPr>
            <w:tcW w:w="1605" w:type="dxa"/>
            <w:noWrap/>
            <w:vAlign w:val="center"/>
          </w:tcPr>
          <w:p w14:paraId="4016C3E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7D6DAE3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0FDF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5" w:hRule="atLeast"/>
        </w:trPr>
        <w:tc>
          <w:tcPr>
            <w:tcW w:w="520" w:type="dxa"/>
            <w:vAlign w:val="center"/>
          </w:tcPr>
          <w:p w14:paraId="5EB5DCC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7114" w:type="dxa"/>
            <w:vAlign w:val="center"/>
          </w:tcPr>
          <w:p w14:paraId="330C3CB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执行材料、构配件、设备质量控制（承包单位必须按照工程设计要求、施工技术标准和合同约定，对建筑材料、建筑构配件、设备和商品混凝土进行检验，对涉及结构安全的试块、试件以及有关材料，应当在建设单位或者工程监理单位监督下现场取样，并送具有相应资质等级的质量检测单位进行检测）</w:t>
            </w:r>
          </w:p>
        </w:tc>
        <w:tc>
          <w:tcPr>
            <w:tcW w:w="1605" w:type="dxa"/>
            <w:noWrap/>
            <w:vAlign w:val="center"/>
          </w:tcPr>
          <w:p w14:paraId="5E0131C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34B4C7D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466A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trPr>
        <w:tc>
          <w:tcPr>
            <w:tcW w:w="520" w:type="dxa"/>
            <w:vAlign w:val="center"/>
          </w:tcPr>
          <w:p w14:paraId="1853605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7114" w:type="dxa"/>
            <w:vAlign w:val="center"/>
          </w:tcPr>
          <w:p w14:paraId="5D60948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执行质量检查、检验（承包单位必须建立、健全施工质量的检验制度，严格工序管理，作好隐蔽工程的质量检查和记录。隐蔽工程在隐蔽前，承包单位应当通知建设单位和建设工程质量监督机构，检查分项分部工程、隐蔽工程、关键过程、特殊过程验收评定表以及三检记录，检查中间工程和工序之间的质量三检记录）</w:t>
            </w:r>
          </w:p>
        </w:tc>
        <w:tc>
          <w:tcPr>
            <w:tcW w:w="1605" w:type="dxa"/>
            <w:noWrap/>
            <w:vAlign w:val="center"/>
          </w:tcPr>
          <w:p w14:paraId="3459758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28A356B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B4EA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520" w:type="dxa"/>
            <w:vAlign w:val="center"/>
          </w:tcPr>
          <w:p w14:paraId="75A48EE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7114" w:type="dxa"/>
            <w:vAlign w:val="center"/>
          </w:tcPr>
          <w:p w14:paraId="194C6FC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没有设备质量控制（生产和测量、检验的设施、设备进行了维护和保养以及检验，设备、设施保养和检验计划，抽查数台设备、设施（检查其维护保养检验情况）</w:t>
            </w:r>
          </w:p>
        </w:tc>
        <w:tc>
          <w:tcPr>
            <w:tcW w:w="1605" w:type="dxa"/>
            <w:noWrap/>
            <w:vAlign w:val="center"/>
          </w:tcPr>
          <w:p w14:paraId="685A1409">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6325E41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9499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16DA05E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7114" w:type="dxa"/>
            <w:vAlign w:val="center"/>
          </w:tcPr>
          <w:p w14:paraId="0B6A9D0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没有质量通病防治计划、布置、实施情况</w:t>
            </w:r>
          </w:p>
        </w:tc>
        <w:tc>
          <w:tcPr>
            <w:tcW w:w="1605" w:type="dxa"/>
            <w:noWrap/>
            <w:vAlign w:val="center"/>
          </w:tcPr>
          <w:p w14:paraId="558E4D5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3AAD96C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4CFB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520" w:type="dxa"/>
            <w:vAlign w:val="center"/>
          </w:tcPr>
          <w:p w14:paraId="2748118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7114" w:type="dxa"/>
            <w:vAlign w:val="center"/>
          </w:tcPr>
          <w:p w14:paraId="3F0BDF4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没有明确了对不合格工程质量的评审方式、评审结果实施，不合格工程没有得到纠正</w:t>
            </w:r>
          </w:p>
        </w:tc>
        <w:tc>
          <w:tcPr>
            <w:tcW w:w="1605" w:type="dxa"/>
            <w:noWrap/>
            <w:vAlign w:val="center"/>
          </w:tcPr>
          <w:p w14:paraId="3561FDA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670C15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AD53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3AE9E4C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7114" w:type="dxa"/>
            <w:vAlign w:val="center"/>
          </w:tcPr>
          <w:p w14:paraId="7CEA0A8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没有及时整改执行情况（质监站、业主巡检发现质量问题的整改通知单的整改执行情况）</w:t>
            </w:r>
          </w:p>
        </w:tc>
        <w:tc>
          <w:tcPr>
            <w:tcW w:w="1605" w:type="dxa"/>
            <w:noWrap/>
            <w:vAlign w:val="center"/>
          </w:tcPr>
          <w:p w14:paraId="22D64D0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6748FA9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52AE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1F71207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四</w:t>
            </w:r>
          </w:p>
        </w:tc>
        <w:tc>
          <w:tcPr>
            <w:tcW w:w="7114" w:type="dxa"/>
            <w:vAlign w:val="center"/>
          </w:tcPr>
          <w:p w14:paraId="48FA1A3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质量改进</w:t>
            </w:r>
          </w:p>
        </w:tc>
        <w:tc>
          <w:tcPr>
            <w:tcW w:w="1605" w:type="dxa"/>
            <w:vAlign w:val="center"/>
          </w:tcPr>
          <w:p w14:paraId="4B8981A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15" w:type="dxa"/>
            <w:vAlign w:val="center"/>
          </w:tcPr>
          <w:p w14:paraId="6CBFF45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641F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520" w:type="dxa"/>
            <w:vAlign w:val="center"/>
          </w:tcPr>
          <w:p w14:paraId="5C62076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vAlign w:val="center"/>
          </w:tcPr>
          <w:p w14:paraId="5A9774A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项目部没有定期对项目管理质量进行检查、分析，提出质量报告，提出目前质量状况、业主及其他相关方满意程度、产品要求的符合性以及项目经理部的改进措施</w:t>
            </w:r>
          </w:p>
        </w:tc>
        <w:tc>
          <w:tcPr>
            <w:tcW w:w="1605" w:type="dxa"/>
            <w:noWrap/>
            <w:vAlign w:val="center"/>
          </w:tcPr>
          <w:p w14:paraId="1CFAB9A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0FB083C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CB1F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1344D90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vAlign w:val="center"/>
          </w:tcPr>
          <w:p w14:paraId="44BF1F5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承包单位没有对项目部进行了检查、考核，定期进行内部审核，促进项目经理部的质量改进</w:t>
            </w:r>
          </w:p>
        </w:tc>
        <w:tc>
          <w:tcPr>
            <w:tcW w:w="1605" w:type="dxa"/>
            <w:noWrap/>
            <w:vAlign w:val="center"/>
          </w:tcPr>
          <w:p w14:paraId="10B584D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0C7BE61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AFC8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520" w:type="dxa"/>
            <w:vAlign w:val="center"/>
          </w:tcPr>
          <w:p w14:paraId="61A276F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14" w:type="dxa"/>
            <w:vAlign w:val="center"/>
          </w:tcPr>
          <w:p w14:paraId="14D807E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没有了解业主及其他相关方对质量的意见，对质量管理体系进行审核，确定改进目标，提出相应措施及检查落实</w:t>
            </w:r>
          </w:p>
        </w:tc>
        <w:tc>
          <w:tcPr>
            <w:tcW w:w="1605" w:type="dxa"/>
            <w:noWrap/>
            <w:vAlign w:val="center"/>
          </w:tcPr>
          <w:p w14:paraId="520B513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2F89748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F0E3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634" w:type="dxa"/>
            <w:gridSpan w:val="2"/>
            <w:vAlign w:val="center"/>
          </w:tcPr>
          <w:p w14:paraId="046CD598">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工程进度管理</w:t>
            </w:r>
          </w:p>
        </w:tc>
        <w:tc>
          <w:tcPr>
            <w:tcW w:w="1605" w:type="dxa"/>
            <w:vAlign w:val="center"/>
          </w:tcPr>
          <w:p w14:paraId="0EECACA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15" w:type="dxa"/>
            <w:vAlign w:val="center"/>
          </w:tcPr>
          <w:p w14:paraId="16A7844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1F6A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14466E9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一</w:t>
            </w:r>
          </w:p>
        </w:tc>
        <w:tc>
          <w:tcPr>
            <w:tcW w:w="7114" w:type="dxa"/>
            <w:vAlign w:val="center"/>
          </w:tcPr>
          <w:p w14:paraId="4FB23BB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没有计划管理制度的建立与实施</w:t>
            </w:r>
          </w:p>
        </w:tc>
        <w:tc>
          <w:tcPr>
            <w:tcW w:w="1605" w:type="dxa"/>
            <w:vAlign w:val="center"/>
          </w:tcPr>
          <w:p w14:paraId="2D8A201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15" w:type="dxa"/>
            <w:vAlign w:val="center"/>
          </w:tcPr>
          <w:p w14:paraId="0B5DEDF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6BFA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0195460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vAlign w:val="center"/>
          </w:tcPr>
          <w:p w14:paraId="66B329A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没有建立健全项目进度管理制度，没有制订合理、有效、科学、完整、及时的进度管理目标，并认真实施</w:t>
            </w:r>
          </w:p>
        </w:tc>
        <w:tc>
          <w:tcPr>
            <w:tcW w:w="1605" w:type="dxa"/>
            <w:noWrap/>
            <w:vAlign w:val="center"/>
          </w:tcPr>
          <w:p w14:paraId="517716E6">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18A5A62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1E60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520" w:type="dxa"/>
            <w:vAlign w:val="center"/>
          </w:tcPr>
          <w:p w14:paraId="3461699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vAlign w:val="center"/>
          </w:tcPr>
          <w:p w14:paraId="5CA0CC7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没有项目进度管理目标按项目实施过程、专业、阶段或实施周期进行分解，以总体目标为依据，在确保质量，合理使用现有资源的前提下，保证总体目标在规定时间内完成</w:t>
            </w:r>
          </w:p>
        </w:tc>
        <w:tc>
          <w:tcPr>
            <w:tcW w:w="1605" w:type="dxa"/>
            <w:noWrap/>
            <w:vAlign w:val="center"/>
          </w:tcPr>
          <w:p w14:paraId="308725F6">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2FF810E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0DC7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6AC0450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二</w:t>
            </w:r>
          </w:p>
        </w:tc>
        <w:tc>
          <w:tcPr>
            <w:tcW w:w="7114" w:type="dxa"/>
            <w:vAlign w:val="center"/>
          </w:tcPr>
          <w:p w14:paraId="496FC6E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没有及时有效的计划编制</w:t>
            </w:r>
          </w:p>
        </w:tc>
        <w:tc>
          <w:tcPr>
            <w:tcW w:w="1605" w:type="dxa"/>
            <w:vAlign w:val="center"/>
          </w:tcPr>
          <w:p w14:paraId="4B1CB8F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15" w:type="dxa"/>
            <w:vAlign w:val="center"/>
          </w:tcPr>
          <w:p w14:paraId="533AF7C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5EB0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520" w:type="dxa"/>
            <w:vAlign w:val="center"/>
          </w:tcPr>
          <w:p w14:paraId="73B4E21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vAlign w:val="center"/>
          </w:tcPr>
          <w:p w14:paraId="2262EA0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依据合同文件、项目管理规划、策划和总体计划、资源条件、内外部约束条件编制项目进度计划，计划应包括总进度计划、分阶段进度计划、子项目进度计划和单体进度计划、年（季、月、旬）计划，并报监理、业主批准</w:t>
            </w:r>
          </w:p>
        </w:tc>
        <w:tc>
          <w:tcPr>
            <w:tcW w:w="1605" w:type="dxa"/>
            <w:noWrap/>
            <w:vAlign w:val="center"/>
          </w:tcPr>
          <w:p w14:paraId="1EAA21B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A4F022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7554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atLeast"/>
        </w:trPr>
        <w:tc>
          <w:tcPr>
            <w:tcW w:w="520" w:type="dxa"/>
            <w:vAlign w:val="center"/>
          </w:tcPr>
          <w:p w14:paraId="4F8D7B9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vAlign w:val="center"/>
          </w:tcPr>
          <w:p w14:paraId="1DAD908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进度计划不符合进度计划的目标、性质和任务，没有进行工作分解；计划要没有编制说明、进度计划表、资源需要量及供应平衡表、工作的起止时间和里程碑</w:t>
            </w:r>
          </w:p>
        </w:tc>
        <w:tc>
          <w:tcPr>
            <w:tcW w:w="1605" w:type="dxa"/>
            <w:noWrap/>
            <w:vAlign w:val="center"/>
          </w:tcPr>
          <w:p w14:paraId="45EB3E1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6F0A8E9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4A08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42B9464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14" w:type="dxa"/>
            <w:vAlign w:val="center"/>
          </w:tcPr>
          <w:p w14:paraId="2CEC2C7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进度计划不合理、有效、科学、完整、及时</w:t>
            </w:r>
          </w:p>
        </w:tc>
        <w:tc>
          <w:tcPr>
            <w:tcW w:w="1605" w:type="dxa"/>
            <w:noWrap/>
            <w:vAlign w:val="center"/>
          </w:tcPr>
          <w:p w14:paraId="7A45EE1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23339D2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A656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6EB69C2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三</w:t>
            </w:r>
          </w:p>
        </w:tc>
        <w:tc>
          <w:tcPr>
            <w:tcW w:w="7114" w:type="dxa"/>
            <w:vAlign w:val="center"/>
          </w:tcPr>
          <w:p w14:paraId="05CD0C8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计划执行</w:t>
            </w:r>
          </w:p>
        </w:tc>
        <w:tc>
          <w:tcPr>
            <w:tcW w:w="1605" w:type="dxa"/>
            <w:noWrap/>
            <w:vAlign w:val="center"/>
          </w:tcPr>
          <w:p w14:paraId="5233450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15" w:type="dxa"/>
            <w:vAlign w:val="center"/>
          </w:tcPr>
          <w:p w14:paraId="0B6BD74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8C55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00DD554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tcPr>
          <w:p w14:paraId="7BB3728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没有按业主计划要求全部完成总体计划</w:t>
            </w:r>
          </w:p>
        </w:tc>
        <w:tc>
          <w:tcPr>
            <w:tcW w:w="1605" w:type="dxa"/>
            <w:noWrap/>
            <w:vAlign w:val="center"/>
          </w:tcPr>
          <w:p w14:paraId="7FAE4496">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1E6512D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5BE5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66E904D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tcPr>
          <w:p w14:paraId="3CACFDD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没有按业主计划要求全部完成节点工期，关键事项</w:t>
            </w:r>
          </w:p>
        </w:tc>
        <w:tc>
          <w:tcPr>
            <w:tcW w:w="1605" w:type="dxa"/>
            <w:noWrap/>
            <w:vAlign w:val="center"/>
          </w:tcPr>
          <w:p w14:paraId="510A25E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0B23143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E8B0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7FE28FB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14" w:type="dxa"/>
          </w:tcPr>
          <w:p w14:paraId="2BE06ED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没有完成施工季、月度计划，没有完成区代建中心下达的月度生产任务 </w:t>
            </w:r>
          </w:p>
        </w:tc>
        <w:tc>
          <w:tcPr>
            <w:tcW w:w="1605" w:type="dxa"/>
            <w:noWrap/>
            <w:vAlign w:val="center"/>
          </w:tcPr>
          <w:p w14:paraId="46E6DDCF">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16D3674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9D16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252DF2E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四</w:t>
            </w:r>
          </w:p>
        </w:tc>
        <w:tc>
          <w:tcPr>
            <w:tcW w:w="7114" w:type="dxa"/>
          </w:tcPr>
          <w:p w14:paraId="6BC318C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计划的控制</w:t>
            </w:r>
          </w:p>
        </w:tc>
        <w:tc>
          <w:tcPr>
            <w:tcW w:w="1605" w:type="dxa"/>
            <w:noWrap/>
            <w:vAlign w:val="center"/>
          </w:tcPr>
          <w:p w14:paraId="1A5DA90E">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15" w:type="dxa"/>
            <w:vAlign w:val="center"/>
          </w:tcPr>
          <w:p w14:paraId="06D692E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8D1E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520" w:type="dxa"/>
            <w:vAlign w:val="center"/>
          </w:tcPr>
          <w:p w14:paraId="5FF4B19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vAlign w:val="center"/>
          </w:tcPr>
          <w:p w14:paraId="501F2D4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没有对计划进行有效的动态管理</w:t>
            </w:r>
          </w:p>
        </w:tc>
        <w:tc>
          <w:tcPr>
            <w:tcW w:w="1605" w:type="dxa"/>
            <w:noWrap/>
            <w:vAlign w:val="center"/>
          </w:tcPr>
          <w:p w14:paraId="7E76ACD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6E9D18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5404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520" w:type="dxa"/>
            <w:vAlign w:val="center"/>
          </w:tcPr>
          <w:p w14:paraId="5BD995D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tcPr>
          <w:p w14:paraId="3377762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没有进行跟踪检查，收集实际进度数据（包括不限于工程量完成情况、工作时间执行情况、资源使用及与进度的匹配情况、上次检查提出问题的整改）</w:t>
            </w:r>
          </w:p>
        </w:tc>
        <w:tc>
          <w:tcPr>
            <w:tcW w:w="1605" w:type="dxa"/>
            <w:noWrap/>
            <w:vAlign w:val="center"/>
          </w:tcPr>
          <w:p w14:paraId="04B7D3E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182AB59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93BB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520" w:type="dxa"/>
            <w:vAlign w:val="center"/>
          </w:tcPr>
          <w:p w14:paraId="1E2C6D3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14" w:type="dxa"/>
          </w:tcPr>
          <w:p w14:paraId="65C91A0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没有进行进度报告（进度执行情况的综合描述、实际进度与计划进度的对比、进度计划的实施问题及原因分析、进度执行情况对质量、安全和成本等的影响情况、采取的措施和对未来计划的预测）</w:t>
            </w:r>
          </w:p>
        </w:tc>
        <w:tc>
          <w:tcPr>
            <w:tcW w:w="1605" w:type="dxa"/>
            <w:noWrap/>
            <w:vAlign w:val="center"/>
          </w:tcPr>
          <w:p w14:paraId="31C7673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71E98DC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DAB1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438F247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五</w:t>
            </w:r>
          </w:p>
        </w:tc>
        <w:tc>
          <w:tcPr>
            <w:tcW w:w="7114" w:type="dxa"/>
            <w:vAlign w:val="center"/>
          </w:tcPr>
          <w:p w14:paraId="43AB301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计划的调整与改进</w:t>
            </w:r>
          </w:p>
        </w:tc>
        <w:tc>
          <w:tcPr>
            <w:tcW w:w="1605" w:type="dxa"/>
            <w:noWrap/>
            <w:vAlign w:val="center"/>
          </w:tcPr>
          <w:p w14:paraId="2418838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15" w:type="dxa"/>
            <w:vAlign w:val="center"/>
          </w:tcPr>
          <w:p w14:paraId="0BA6614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3F42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20" w:type="dxa"/>
            <w:vAlign w:val="center"/>
          </w:tcPr>
          <w:p w14:paraId="5F6C970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vAlign w:val="center"/>
          </w:tcPr>
          <w:p w14:paraId="41C229B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对产生的进度变化，没有采取措施予以纠正或调整计划。计划的调整应包括：工作量、起止时间、工作关系、资源提供、必要的目标调整</w:t>
            </w:r>
          </w:p>
        </w:tc>
        <w:tc>
          <w:tcPr>
            <w:tcW w:w="1605" w:type="dxa"/>
            <w:noWrap/>
            <w:vAlign w:val="center"/>
          </w:tcPr>
          <w:p w14:paraId="024A8CF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382C983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0509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73AC2DD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vAlign w:val="center"/>
          </w:tcPr>
          <w:p w14:paraId="681475F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没有进度计划调整后编制新的有效的进度计划，并及时报监理、业主批准</w:t>
            </w:r>
          </w:p>
        </w:tc>
        <w:tc>
          <w:tcPr>
            <w:tcW w:w="1605" w:type="dxa"/>
            <w:noWrap/>
            <w:vAlign w:val="center"/>
          </w:tcPr>
          <w:p w14:paraId="4FCAD2CF">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A44250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403B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634" w:type="dxa"/>
            <w:gridSpan w:val="2"/>
            <w:vAlign w:val="center"/>
          </w:tcPr>
          <w:p w14:paraId="7ED69D52">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资源投入管理</w:t>
            </w:r>
          </w:p>
        </w:tc>
        <w:tc>
          <w:tcPr>
            <w:tcW w:w="1605" w:type="dxa"/>
            <w:noWrap/>
            <w:vAlign w:val="center"/>
          </w:tcPr>
          <w:p w14:paraId="505C3CAF">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15" w:type="dxa"/>
            <w:vAlign w:val="center"/>
          </w:tcPr>
          <w:p w14:paraId="6EFFAFE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BBB5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trPr>
        <w:tc>
          <w:tcPr>
            <w:tcW w:w="520" w:type="dxa"/>
            <w:vAlign w:val="center"/>
          </w:tcPr>
          <w:p w14:paraId="2CDB335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vAlign w:val="center"/>
          </w:tcPr>
          <w:p w14:paraId="7FA153F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没有按合同要求进行项目管理机构配置和管理人员配备，人员到位情况不齐</w:t>
            </w:r>
          </w:p>
        </w:tc>
        <w:tc>
          <w:tcPr>
            <w:tcW w:w="1605" w:type="dxa"/>
            <w:noWrap/>
            <w:vAlign w:val="center"/>
          </w:tcPr>
          <w:p w14:paraId="05DF5DB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693EA44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5607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0B15CFB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vAlign w:val="center"/>
          </w:tcPr>
          <w:p w14:paraId="7A79821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没有按合同承诺投如，数量和专业工种没有满足阶段工序施工需要，不能保证各节点工期的完成</w:t>
            </w:r>
          </w:p>
        </w:tc>
        <w:tc>
          <w:tcPr>
            <w:tcW w:w="1605" w:type="dxa"/>
            <w:noWrap/>
            <w:vAlign w:val="center"/>
          </w:tcPr>
          <w:p w14:paraId="4320DFED">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2BE850B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4D8E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20" w:type="dxa"/>
            <w:vAlign w:val="center"/>
          </w:tcPr>
          <w:p w14:paraId="764C659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14" w:type="dxa"/>
            <w:vAlign w:val="center"/>
          </w:tcPr>
          <w:p w14:paraId="5F00D82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没有按要求进行材料、机械设备、周转材料投入，与合同承诺一致材料、设备和周转材料数量不符合、完好率和使用率满足施工需要不能保证各节点工期的完成</w:t>
            </w:r>
          </w:p>
        </w:tc>
        <w:tc>
          <w:tcPr>
            <w:tcW w:w="1605" w:type="dxa"/>
            <w:noWrap/>
            <w:vAlign w:val="center"/>
          </w:tcPr>
          <w:p w14:paraId="52E0D9D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1188E1C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0A5D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520" w:type="dxa"/>
            <w:vAlign w:val="center"/>
          </w:tcPr>
          <w:p w14:paraId="72470CD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7114" w:type="dxa"/>
            <w:vAlign w:val="center"/>
          </w:tcPr>
          <w:p w14:paraId="194798F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承包单位没有按照《关于广州市建筑工地安装视频监控装置的通知》（穗建筑【2006】551号）文件以及区代建中心的要求，在建筑工地安装视频监控装置以满足隐蔽工程、关键工序的质量监控、质量验收以及安全文明监控的需要</w:t>
            </w:r>
          </w:p>
        </w:tc>
        <w:tc>
          <w:tcPr>
            <w:tcW w:w="1605" w:type="dxa"/>
            <w:noWrap/>
            <w:vAlign w:val="center"/>
          </w:tcPr>
          <w:p w14:paraId="13E3C36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7C8BF6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F5C3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520" w:type="dxa"/>
            <w:vAlign w:val="center"/>
          </w:tcPr>
          <w:p w14:paraId="0C56F06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7114" w:type="dxa"/>
            <w:vAlign w:val="center"/>
          </w:tcPr>
          <w:p w14:paraId="7E341E5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承包单位没有制定完善的交通疏导方案，没有对施工区域实行全封闭作业、没有实行施工区与交通车道分开。</w:t>
            </w:r>
          </w:p>
        </w:tc>
        <w:tc>
          <w:tcPr>
            <w:tcW w:w="1605" w:type="dxa"/>
            <w:noWrap/>
            <w:vAlign w:val="center"/>
          </w:tcPr>
          <w:p w14:paraId="647F594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09C5290F">
            <w:pPr>
              <w:widowControl/>
              <w:jc w:val="left"/>
              <w:rPr>
                <w:rFonts w:ascii="宋体" w:hAnsi="宋体" w:cs="宋体"/>
                <w:color w:val="auto"/>
                <w:kern w:val="0"/>
                <w:sz w:val="24"/>
                <w:highlight w:val="none"/>
              </w:rPr>
            </w:pPr>
          </w:p>
        </w:tc>
      </w:tr>
      <w:tr w14:paraId="525E6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634" w:type="dxa"/>
            <w:gridSpan w:val="2"/>
            <w:vAlign w:val="center"/>
          </w:tcPr>
          <w:p w14:paraId="1A6CCE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计量支付管理</w:t>
            </w:r>
          </w:p>
        </w:tc>
        <w:tc>
          <w:tcPr>
            <w:tcW w:w="1605" w:type="dxa"/>
            <w:vAlign w:val="center"/>
          </w:tcPr>
          <w:p w14:paraId="2AF8833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15" w:type="dxa"/>
            <w:vAlign w:val="center"/>
          </w:tcPr>
          <w:p w14:paraId="2874A8E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BFD7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520" w:type="dxa"/>
            <w:vAlign w:val="center"/>
          </w:tcPr>
          <w:p w14:paraId="4791142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tcPr>
          <w:p w14:paraId="46B7DE9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承包单位没有计量支付专业管理构架和人员配置</w:t>
            </w:r>
          </w:p>
        </w:tc>
        <w:tc>
          <w:tcPr>
            <w:tcW w:w="1605" w:type="dxa"/>
            <w:noWrap/>
            <w:vAlign w:val="center"/>
          </w:tcPr>
          <w:p w14:paraId="4CE49CF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3166D04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0950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7464060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tcPr>
          <w:p w14:paraId="609267C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承包单位计量支付准确、规范、申报及时,申报进度款与实际完成工程量误差大，申报项目没有清楚、完整和报送准时</w:t>
            </w:r>
          </w:p>
        </w:tc>
        <w:tc>
          <w:tcPr>
            <w:tcW w:w="1605" w:type="dxa"/>
            <w:noWrap/>
            <w:vAlign w:val="center"/>
          </w:tcPr>
          <w:p w14:paraId="38F1663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61A8ABE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3D19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520" w:type="dxa"/>
            <w:vAlign w:val="center"/>
          </w:tcPr>
          <w:p w14:paraId="7B2E367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14" w:type="dxa"/>
          </w:tcPr>
          <w:p w14:paraId="286A95E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承包单位各类变更、签证、新增单价申报不合理、手续不齐全。申报依据没有充分、合理、表述全面、清晰，完整、准确、资料齐备、符合合同规定</w:t>
            </w:r>
          </w:p>
        </w:tc>
        <w:tc>
          <w:tcPr>
            <w:tcW w:w="1605" w:type="dxa"/>
            <w:noWrap/>
            <w:vAlign w:val="center"/>
          </w:tcPr>
          <w:p w14:paraId="3C0BBB8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32F44EC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43E3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2B5FFE3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7114" w:type="dxa"/>
          </w:tcPr>
          <w:p w14:paraId="3F43F94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承包单位各类计量支付台帐不完备、齐全，各类台帐不清晰、完整、准确</w:t>
            </w:r>
          </w:p>
        </w:tc>
        <w:tc>
          <w:tcPr>
            <w:tcW w:w="1605" w:type="dxa"/>
            <w:noWrap/>
            <w:vAlign w:val="center"/>
          </w:tcPr>
          <w:p w14:paraId="44B455C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A8448A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267D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520" w:type="dxa"/>
            <w:vAlign w:val="center"/>
          </w:tcPr>
          <w:p w14:paraId="42F4CE7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7114" w:type="dxa"/>
          </w:tcPr>
          <w:p w14:paraId="301757B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承包单位看样定板定价不符合程序、计量计价自审资料不规范、合理、及时。自审资料与投标承诺不一致，有货不对板情况</w:t>
            </w:r>
          </w:p>
        </w:tc>
        <w:tc>
          <w:tcPr>
            <w:tcW w:w="1605" w:type="dxa"/>
            <w:noWrap/>
            <w:vAlign w:val="center"/>
          </w:tcPr>
          <w:p w14:paraId="459ACD1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F358E0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88FA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520" w:type="dxa"/>
            <w:vAlign w:val="center"/>
          </w:tcPr>
          <w:p w14:paraId="4269366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7114" w:type="dxa"/>
          </w:tcPr>
          <w:p w14:paraId="3DDE0D5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没有按代建中心规定在要求时限内完成工程总量和总造价的核算以及工程变更引起的量价增减的核算工作</w:t>
            </w:r>
          </w:p>
        </w:tc>
        <w:tc>
          <w:tcPr>
            <w:tcW w:w="1605" w:type="dxa"/>
            <w:noWrap/>
            <w:vAlign w:val="center"/>
          </w:tcPr>
          <w:p w14:paraId="43EA8D1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13896E3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9616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634" w:type="dxa"/>
            <w:gridSpan w:val="2"/>
            <w:vAlign w:val="center"/>
          </w:tcPr>
          <w:p w14:paraId="11DE149B">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合同履约管理</w:t>
            </w:r>
          </w:p>
        </w:tc>
        <w:tc>
          <w:tcPr>
            <w:tcW w:w="1605" w:type="dxa"/>
            <w:vAlign w:val="center"/>
          </w:tcPr>
          <w:p w14:paraId="3C1EAD8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15" w:type="dxa"/>
            <w:vAlign w:val="center"/>
          </w:tcPr>
          <w:p w14:paraId="5B2E6DE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1949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48BD84A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一</w:t>
            </w:r>
          </w:p>
        </w:tc>
        <w:tc>
          <w:tcPr>
            <w:tcW w:w="7114" w:type="dxa"/>
            <w:vAlign w:val="center"/>
          </w:tcPr>
          <w:p w14:paraId="7E0D359B">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合同管理</w:t>
            </w:r>
          </w:p>
        </w:tc>
        <w:tc>
          <w:tcPr>
            <w:tcW w:w="1605" w:type="dxa"/>
            <w:vAlign w:val="center"/>
          </w:tcPr>
          <w:p w14:paraId="15C0353F">
            <w:pPr>
              <w:widowControl/>
              <w:jc w:val="left"/>
              <w:rPr>
                <w:rFonts w:cs="宋体"/>
                <w:color w:val="auto"/>
                <w:kern w:val="0"/>
                <w:sz w:val="24"/>
                <w:highlight w:val="none"/>
              </w:rPr>
            </w:pPr>
            <w:r>
              <w:rPr>
                <w:rFonts w:cs="宋体"/>
                <w:color w:val="auto"/>
                <w:kern w:val="0"/>
                <w:sz w:val="24"/>
                <w:highlight w:val="none"/>
              </w:rPr>
              <w:t>　</w:t>
            </w:r>
          </w:p>
        </w:tc>
        <w:tc>
          <w:tcPr>
            <w:tcW w:w="615" w:type="dxa"/>
            <w:vAlign w:val="center"/>
          </w:tcPr>
          <w:p w14:paraId="7E4A1D0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E71D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0E9C59F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vAlign w:val="center"/>
          </w:tcPr>
          <w:p w14:paraId="6B7734A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承包单位没有制订合同实施计划，就合同履约作出具体安排，实施落实</w:t>
            </w:r>
          </w:p>
        </w:tc>
        <w:tc>
          <w:tcPr>
            <w:tcW w:w="1605" w:type="dxa"/>
            <w:noWrap/>
            <w:vAlign w:val="center"/>
          </w:tcPr>
          <w:p w14:paraId="4CE1FB39">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F71384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E3C8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77F316B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vAlign w:val="center"/>
          </w:tcPr>
          <w:p w14:paraId="489AFEF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承包单位没有定期实施合同的学习与交底，做到“按图施工”和“按合同施工”</w:t>
            </w:r>
          </w:p>
        </w:tc>
        <w:tc>
          <w:tcPr>
            <w:tcW w:w="1605" w:type="dxa"/>
            <w:noWrap/>
            <w:vAlign w:val="center"/>
          </w:tcPr>
          <w:p w14:paraId="34463B9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0F5B57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D502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520" w:type="dxa"/>
            <w:vAlign w:val="center"/>
          </w:tcPr>
          <w:p w14:paraId="0F6E547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14" w:type="dxa"/>
            <w:vAlign w:val="center"/>
          </w:tcPr>
          <w:p w14:paraId="7E7DA1A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承包单位没有建立控制工程分包的管理措施，审查分包单位资质、履约能力及人员上岗证记录，没有按有关规定执行，做好乙供材料的进度计划管理</w:t>
            </w:r>
          </w:p>
        </w:tc>
        <w:tc>
          <w:tcPr>
            <w:tcW w:w="1605" w:type="dxa"/>
            <w:noWrap/>
            <w:vAlign w:val="center"/>
          </w:tcPr>
          <w:p w14:paraId="34A451FE">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481E613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C606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520" w:type="dxa"/>
            <w:vAlign w:val="center"/>
          </w:tcPr>
          <w:p w14:paraId="174390C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7114" w:type="dxa"/>
            <w:vAlign w:val="center"/>
          </w:tcPr>
          <w:p w14:paraId="3CDDEC3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承包单位没有建立各类合同的合同体系台帐（包括施工、材料和设备订货等合同）以及跟踪管理，对合同各方执行合同的情况检查；没有进行合同风险分析，采取防范措施</w:t>
            </w:r>
          </w:p>
        </w:tc>
        <w:tc>
          <w:tcPr>
            <w:tcW w:w="1605" w:type="dxa"/>
            <w:noWrap/>
            <w:vAlign w:val="center"/>
          </w:tcPr>
          <w:p w14:paraId="444B784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2553BB3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951E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168D675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7114" w:type="dxa"/>
            <w:vAlign w:val="center"/>
          </w:tcPr>
          <w:p w14:paraId="27240EF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没有合同变更管理（包括设计变更），变更的合理性、合法性的控制，以及变更成立后的认真执行与按要求提供实施凭证等资料</w:t>
            </w:r>
          </w:p>
        </w:tc>
        <w:tc>
          <w:tcPr>
            <w:tcW w:w="1605" w:type="dxa"/>
            <w:noWrap/>
            <w:vAlign w:val="center"/>
          </w:tcPr>
          <w:p w14:paraId="4E3648A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404A77D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07A4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69335AD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7114" w:type="dxa"/>
            <w:vAlign w:val="center"/>
          </w:tcPr>
          <w:p w14:paraId="23D6FA5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没有建立索赔（反索赔）管理制度以及合同纠纷管理并认真执行</w:t>
            </w:r>
          </w:p>
        </w:tc>
        <w:tc>
          <w:tcPr>
            <w:tcW w:w="1605" w:type="dxa"/>
            <w:noWrap/>
            <w:vAlign w:val="center"/>
          </w:tcPr>
          <w:p w14:paraId="408C6E0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64739E3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0FED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20" w:type="dxa"/>
            <w:vAlign w:val="center"/>
          </w:tcPr>
          <w:p w14:paraId="453FC67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7114" w:type="dxa"/>
            <w:vAlign w:val="center"/>
          </w:tcPr>
          <w:p w14:paraId="4067747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没有认真执行合同条款和业主的指示，做好违约整改的跟踪、检查、落实情况</w:t>
            </w:r>
          </w:p>
        </w:tc>
        <w:tc>
          <w:tcPr>
            <w:tcW w:w="1605" w:type="dxa"/>
            <w:noWrap/>
            <w:vAlign w:val="center"/>
          </w:tcPr>
          <w:p w14:paraId="25E92F7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5032D0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4DE6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634" w:type="dxa"/>
            <w:gridSpan w:val="2"/>
            <w:vAlign w:val="center"/>
          </w:tcPr>
          <w:p w14:paraId="36A3AEA8">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组织协调管理</w:t>
            </w:r>
          </w:p>
        </w:tc>
        <w:tc>
          <w:tcPr>
            <w:tcW w:w="1605" w:type="dxa"/>
            <w:vAlign w:val="center"/>
          </w:tcPr>
          <w:p w14:paraId="2A75A11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15" w:type="dxa"/>
            <w:vAlign w:val="center"/>
          </w:tcPr>
          <w:p w14:paraId="0A51269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142D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7B44BE0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一</w:t>
            </w:r>
          </w:p>
        </w:tc>
        <w:tc>
          <w:tcPr>
            <w:tcW w:w="7114" w:type="dxa"/>
            <w:vAlign w:val="center"/>
          </w:tcPr>
          <w:p w14:paraId="1A2C71B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总承包商管理情况</w:t>
            </w:r>
          </w:p>
        </w:tc>
        <w:tc>
          <w:tcPr>
            <w:tcW w:w="1605" w:type="dxa"/>
            <w:vAlign w:val="center"/>
          </w:tcPr>
          <w:p w14:paraId="180FAFFF">
            <w:pPr>
              <w:widowControl/>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15" w:type="dxa"/>
            <w:vAlign w:val="center"/>
          </w:tcPr>
          <w:p w14:paraId="7160B36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F201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520" w:type="dxa"/>
            <w:vAlign w:val="center"/>
          </w:tcPr>
          <w:p w14:paraId="67F4F9F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vAlign w:val="center"/>
          </w:tcPr>
          <w:p w14:paraId="3C96934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没有设置制度和人员配置，对项目进行协调管理</w:t>
            </w:r>
          </w:p>
        </w:tc>
        <w:tc>
          <w:tcPr>
            <w:tcW w:w="1605" w:type="dxa"/>
            <w:noWrap/>
            <w:vAlign w:val="center"/>
          </w:tcPr>
          <w:p w14:paraId="4579AC1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34D15A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6BBD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trPr>
        <w:tc>
          <w:tcPr>
            <w:tcW w:w="520" w:type="dxa"/>
            <w:vAlign w:val="center"/>
          </w:tcPr>
          <w:p w14:paraId="3B7106D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vAlign w:val="center"/>
          </w:tcPr>
          <w:p w14:paraId="4461FD8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认真执行施工管理办法，制定协调管理制度，没有积极协调本标段施工出现的各种问题（包括不同专业单位之间，施工、监理单位之间，与设计单位之间）制定了综合性施工进度安排，没有按规定时间移交工作面</w:t>
            </w:r>
          </w:p>
        </w:tc>
        <w:tc>
          <w:tcPr>
            <w:tcW w:w="1605" w:type="dxa"/>
            <w:noWrap/>
            <w:vAlign w:val="center"/>
          </w:tcPr>
          <w:p w14:paraId="1807A55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655922F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1709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520" w:type="dxa"/>
            <w:vAlign w:val="center"/>
          </w:tcPr>
          <w:p w14:paraId="494D23D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14" w:type="dxa"/>
            <w:vAlign w:val="center"/>
          </w:tcPr>
          <w:p w14:paraId="71234EE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在总包范围的区域内，没有向各分包及协作单位提供各项相应的服务管理及协调工作，没有对执行情况进行检查、监督和管理，包括施工现场管理、施工进度计划与工期管理、工程质量管理、安全文明施工管理、竣工验收与结算管理、合同管理与资金管理</w:t>
            </w:r>
          </w:p>
        </w:tc>
        <w:tc>
          <w:tcPr>
            <w:tcW w:w="1605" w:type="dxa"/>
            <w:noWrap/>
            <w:vAlign w:val="center"/>
          </w:tcPr>
          <w:p w14:paraId="4F1E6299">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1AF8C9B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D5FA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20" w:type="dxa"/>
            <w:vAlign w:val="center"/>
          </w:tcPr>
          <w:p w14:paraId="456B92A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7114" w:type="dxa"/>
            <w:vAlign w:val="center"/>
          </w:tcPr>
          <w:p w14:paraId="6128BAB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没有因施工产生的问题与区水局、区城管、区安监、环保、街道等部门的协调情况</w:t>
            </w:r>
          </w:p>
        </w:tc>
        <w:tc>
          <w:tcPr>
            <w:tcW w:w="1605" w:type="dxa"/>
            <w:noWrap/>
            <w:vAlign w:val="center"/>
          </w:tcPr>
          <w:p w14:paraId="7C567EE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7C7578C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80E3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20" w:type="dxa"/>
            <w:vAlign w:val="center"/>
          </w:tcPr>
          <w:p w14:paraId="0B981B2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7114" w:type="dxa"/>
            <w:vAlign w:val="center"/>
          </w:tcPr>
          <w:p w14:paraId="47FA3AE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没有及时有效提交和协助协调办理报建、报监等手续情况</w:t>
            </w:r>
          </w:p>
        </w:tc>
        <w:tc>
          <w:tcPr>
            <w:tcW w:w="1605" w:type="dxa"/>
            <w:noWrap/>
            <w:vAlign w:val="center"/>
          </w:tcPr>
          <w:p w14:paraId="533C508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1EE24D2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121D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520" w:type="dxa"/>
            <w:vAlign w:val="center"/>
          </w:tcPr>
          <w:p w14:paraId="74D56AD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7114" w:type="dxa"/>
            <w:vAlign w:val="center"/>
          </w:tcPr>
          <w:p w14:paraId="51414FF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没有协助业主处理有关问题和与工程相关的纠纷居民投诉等事宜，协助协调不力、不到位，造成建设单位损失</w:t>
            </w:r>
          </w:p>
        </w:tc>
        <w:tc>
          <w:tcPr>
            <w:tcW w:w="1605" w:type="dxa"/>
            <w:noWrap/>
            <w:vAlign w:val="center"/>
          </w:tcPr>
          <w:p w14:paraId="7AD5547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2B988E1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14A7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20" w:type="dxa"/>
            <w:vAlign w:val="center"/>
          </w:tcPr>
          <w:p w14:paraId="41BB954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二</w:t>
            </w:r>
          </w:p>
        </w:tc>
        <w:tc>
          <w:tcPr>
            <w:tcW w:w="7114" w:type="dxa"/>
            <w:vAlign w:val="center"/>
          </w:tcPr>
          <w:p w14:paraId="0E5CA48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农民工工资支付管理</w:t>
            </w:r>
          </w:p>
        </w:tc>
        <w:tc>
          <w:tcPr>
            <w:tcW w:w="1605" w:type="dxa"/>
            <w:vAlign w:val="center"/>
          </w:tcPr>
          <w:p w14:paraId="1ADEB15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15" w:type="dxa"/>
            <w:vAlign w:val="center"/>
          </w:tcPr>
          <w:p w14:paraId="13C1F3C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6732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520" w:type="dxa"/>
            <w:vAlign w:val="center"/>
          </w:tcPr>
          <w:p w14:paraId="15C8274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tcPr>
          <w:p w14:paraId="53913C9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没有执行相关法律、法规规定支付农民工工资，制定相关的制度</w:t>
            </w:r>
          </w:p>
        </w:tc>
        <w:tc>
          <w:tcPr>
            <w:tcW w:w="1605" w:type="dxa"/>
            <w:noWrap/>
            <w:vAlign w:val="center"/>
          </w:tcPr>
          <w:p w14:paraId="36CED9E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0D35135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5AB1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20" w:type="dxa"/>
            <w:vAlign w:val="center"/>
          </w:tcPr>
          <w:p w14:paraId="79EAD68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tcPr>
          <w:p w14:paraId="23B6BAC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没有将支付农民工工资编制工资支付表，如实记录支付单位、支付时间、支付对象、支付数额等工资支付情况。总包单位对劳务分包企业工资支付进行监督，督促其依法支付农民工工资。</w:t>
            </w:r>
          </w:p>
        </w:tc>
        <w:tc>
          <w:tcPr>
            <w:tcW w:w="1605" w:type="dxa"/>
            <w:noWrap/>
            <w:vAlign w:val="center"/>
          </w:tcPr>
          <w:p w14:paraId="1AE24BA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47A1BB0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D8EE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20" w:type="dxa"/>
            <w:vAlign w:val="center"/>
          </w:tcPr>
          <w:p w14:paraId="2565A7D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14" w:type="dxa"/>
          </w:tcPr>
          <w:p w14:paraId="4024559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对执行、落实不力，出现欠薪事件造成负面影响</w:t>
            </w:r>
          </w:p>
        </w:tc>
        <w:tc>
          <w:tcPr>
            <w:tcW w:w="1605" w:type="dxa"/>
            <w:noWrap/>
            <w:vAlign w:val="center"/>
          </w:tcPr>
          <w:p w14:paraId="7F0751E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违约一次给予严重违约</w:t>
            </w:r>
          </w:p>
        </w:tc>
        <w:tc>
          <w:tcPr>
            <w:tcW w:w="615" w:type="dxa"/>
            <w:vAlign w:val="center"/>
          </w:tcPr>
          <w:p w14:paraId="30B6D87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BB21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634" w:type="dxa"/>
            <w:gridSpan w:val="2"/>
            <w:vAlign w:val="center"/>
          </w:tcPr>
          <w:p w14:paraId="3E2B5456">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职业健康安全管理</w:t>
            </w:r>
          </w:p>
        </w:tc>
        <w:tc>
          <w:tcPr>
            <w:tcW w:w="1605" w:type="dxa"/>
            <w:vAlign w:val="center"/>
          </w:tcPr>
          <w:p w14:paraId="339C2DB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15" w:type="dxa"/>
            <w:vAlign w:val="center"/>
          </w:tcPr>
          <w:p w14:paraId="5C9695E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A5E8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4826CF3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一</w:t>
            </w:r>
          </w:p>
        </w:tc>
        <w:tc>
          <w:tcPr>
            <w:tcW w:w="7114" w:type="dxa"/>
            <w:vAlign w:val="center"/>
          </w:tcPr>
          <w:p w14:paraId="45F52EF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安全管理</w:t>
            </w:r>
          </w:p>
        </w:tc>
        <w:tc>
          <w:tcPr>
            <w:tcW w:w="1605" w:type="dxa"/>
            <w:vAlign w:val="center"/>
          </w:tcPr>
          <w:p w14:paraId="0AFF90B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15" w:type="dxa"/>
            <w:vAlign w:val="center"/>
          </w:tcPr>
          <w:p w14:paraId="4FBA48B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D648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17A21A6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vAlign w:val="center"/>
          </w:tcPr>
          <w:p w14:paraId="2FBB524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没有建立安全生产责任制度</w:t>
            </w:r>
          </w:p>
        </w:tc>
        <w:tc>
          <w:tcPr>
            <w:tcW w:w="1605" w:type="dxa"/>
            <w:noWrap/>
            <w:vAlign w:val="center"/>
          </w:tcPr>
          <w:p w14:paraId="2AF3C76D">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390DD32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2F40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34BF966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vAlign w:val="center"/>
          </w:tcPr>
          <w:p w14:paraId="0F27B52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没有安全生产教育培训制度</w:t>
            </w:r>
          </w:p>
        </w:tc>
        <w:tc>
          <w:tcPr>
            <w:tcW w:w="1605" w:type="dxa"/>
            <w:noWrap/>
            <w:vAlign w:val="center"/>
          </w:tcPr>
          <w:p w14:paraId="62D758F9">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692FCBC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1865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34DF553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14" w:type="dxa"/>
            <w:vAlign w:val="center"/>
          </w:tcPr>
          <w:p w14:paraId="6F541BF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没有设立安全生产管理机构和按规定配备专职安全生产管理人员</w:t>
            </w:r>
          </w:p>
        </w:tc>
        <w:tc>
          <w:tcPr>
            <w:tcW w:w="1605" w:type="dxa"/>
            <w:noWrap/>
            <w:vAlign w:val="center"/>
          </w:tcPr>
          <w:p w14:paraId="332915B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EA5508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61BF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018EB26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7114" w:type="dxa"/>
            <w:vAlign w:val="center"/>
          </w:tcPr>
          <w:p w14:paraId="23CDE00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没有对危险性较大的分部分项工程按规定编制专项施工方案，专项施工方案经施工单位技术负责人、总监理工程师签字后严格实施</w:t>
            </w:r>
          </w:p>
        </w:tc>
        <w:tc>
          <w:tcPr>
            <w:tcW w:w="1605" w:type="dxa"/>
            <w:noWrap/>
            <w:vAlign w:val="center"/>
          </w:tcPr>
          <w:p w14:paraId="28780936">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14BA689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D846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297ACAD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7114" w:type="dxa"/>
            <w:vAlign w:val="center"/>
          </w:tcPr>
          <w:p w14:paraId="631175B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没有对涉及深基坑、塔吊、地下暗挖工程、高大模板工程的专项施工方案，组织专家进行论证、审查</w:t>
            </w:r>
          </w:p>
        </w:tc>
        <w:tc>
          <w:tcPr>
            <w:tcW w:w="1605" w:type="dxa"/>
            <w:noWrap/>
            <w:vAlign w:val="center"/>
          </w:tcPr>
          <w:p w14:paraId="5CF7496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036AAB3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81F8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226F4D2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7114" w:type="dxa"/>
            <w:vAlign w:val="center"/>
          </w:tcPr>
          <w:p w14:paraId="54FF6FD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没有制定健全的安全生产规章制度和操作规程、危险源台帐和重大危险源清单</w:t>
            </w:r>
          </w:p>
        </w:tc>
        <w:tc>
          <w:tcPr>
            <w:tcW w:w="1605" w:type="dxa"/>
            <w:noWrap/>
            <w:vAlign w:val="center"/>
          </w:tcPr>
          <w:p w14:paraId="412A169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105BF32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B55D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570088D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7114" w:type="dxa"/>
            <w:vAlign w:val="center"/>
          </w:tcPr>
          <w:p w14:paraId="1C35C70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总承包单位在分包合同中没有明确各自安全生产方面的权利和义务</w:t>
            </w:r>
          </w:p>
        </w:tc>
        <w:tc>
          <w:tcPr>
            <w:tcW w:w="1605" w:type="dxa"/>
            <w:noWrap/>
            <w:vAlign w:val="center"/>
          </w:tcPr>
          <w:p w14:paraId="3DB6A50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3E23CA7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81E9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4B8630D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7114" w:type="dxa"/>
            <w:vAlign w:val="center"/>
          </w:tcPr>
          <w:p w14:paraId="6DE065A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施工组织设计中没有编制符合规范的安全技术措施和施工现场临时用电方案，并按施工方案组织施工</w:t>
            </w:r>
          </w:p>
        </w:tc>
        <w:tc>
          <w:tcPr>
            <w:tcW w:w="1605" w:type="dxa"/>
            <w:noWrap/>
            <w:vAlign w:val="center"/>
          </w:tcPr>
          <w:p w14:paraId="57074E6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3F78FE1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5D36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6D42E1E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7114" w:type="dxa"/>
            <w:vAlign w:val="center"/>
          </w:tcPr>
          <w:p w14:paraId="58D8246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工程项目没有按规定办理意外伤害保险</w:t>
            </w:r>
          </w:p>
        </w:tc>
        <w:tc>
          <w:tcPr>
            <w:tcW w:w="1605" w:type="dxa"/>
            <w:noWrap/>
            <w:vAlign w:val="center"/>
          </w:tcPr>
          <w:p w14:paraId="0CBD9B66">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78C0DBB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2642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trPr>
        <w:tc>
          <w:tcPr>
            <w:tcW w:w="520" w:type="dxa"/>
            <w:vAlign w:val="center"/>
          </w:tcPr>
          <w:p w14:paraId="3A44128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7114" w:type="dxa"/>
            <w:vAlign w:val="center"/>
          </w:tcPr>
          <w:p w14:paraId="4E1635C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没有分部(分项)工程安全技术交底, 建立安全技术交底制度，安全技术交底必须与下达施工任务同时进行，新进场班组必须先进行安全技术交底再上岗，全技术交底内容应包括工作场所的安全防护设施、安全操作规程、安全注意事项等，既要做到有针对性，又要简单明了，安全技术交底必须以书面形式进行</w:t>
            </w:r>
          </w:p>
        </w:tc>
        <w:tc>
          <w:tcPr>
            <w:tcW w:w="1605" w:type="dxa"/>
            <w:noWrap/>
            <w:vAlign w:val="center"/>
          </w:tcPr>
          <w:p w14:paraId="502B70B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2C926CD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A384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25DBE54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7114" w:type="dxa"/>
            <w:vAlign w:val="center"/>
          </w:tcPr>
          <w:p w14:paraId="54B00F6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按规定使用《广东省建筑施工安全管理资料统一用表》</w:t>
            </w:r>
          </w:p>
        </w:tc>
        <w:tc>
          <w:tcPr>
            <w:tcW w:w="1605" w:type="dxa"/>
            <w:noWrap/>
            <w:vAlign w:val="center"/>
          </w:tcPr>
          <w:p w14:paraId="41DD144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F32429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C182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1E7EE8D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7114" w:type="dxa"/>
            <w:vAlign w:val="center"/>
          </w:tcPr>
          <w:p w14:paraId="052AF88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总包单位把整体工程或主体工程转包，将专业工程不依法分包</w:t>
            </w:r>
          </w:p>
        </w:tc>
        <w:tc>
          <w:tcPr>
            <w:tcW w:w="1605" w:type="dxa"/>
            <w:noWrap/>
            <w:vAlign w:val="center"/>
          </w:tcPr>
          <w:p w14:paraId="604CC33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6C88FF5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A1A0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64E36E9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7114" w:type="dxa"/>
            <w:vAlign w:val="center"/>
          </w:tcPr>
          <w:p w14:paraId="4E4F05A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发生重大安全事故,未按规定上报和没有按规定处理</w:t>
            </w:r>
          </w:p>
        </w:tc>
        <w:tc>
          <w:tcPr>
            <w:tcW w:w="1605" w:type="dxa"/>
            <w:noWrap/>
            <w:vAlign w:val="center"/>
          </w:tcPr>
          <w:p w14:paraId="7D7F490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291A521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1882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4E60AA6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7114" w:type="dxa"/>
            <w:vAlign w:val="center"/>
          </w:tcPr>
          <w:p w14:paraId="3710275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单列的安全防护、文明施工措施费用挪作他用</w:t>
            </w:r>
          </w:p>
        </w:tc>
        <w:tc>
          <w:tcPr>
            <w:tcW w:w="1605" w:type="dxa"/>
            <w:noWrap/>
            <w:vAlign w:val="center"/>
          </w:tcPr>
          <w:p w14:paraId="5AEEA16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2DAF7D7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76F4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1122AC9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7114" w:type="dxa"/>
            <w:vAlign w:val="center"/>
          </w:tcPr>
          <w:p w14:paraId="6EF2D30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工地没有实行建筑工人实名制</w:t>
            </w:r>
          </w:p>
        </w:tc>
        <w:tc>
          <w:tcPr>
            <w:tcW w:w="1605" w:type="dxa"/>
            <w:noWrap/>
            <w:vAlign w:val="center"/>
          </w:tcPr>
          <w:p w14:paraId="47A7465D">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42D9D91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91BE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520" w:type="dxa"/>
            <w:vAlign w:val="center"/>
          </w:tcPr>
          <w:p w14:paraId="67B3D86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7114" w:type="dxa"/>
            <w:vAlign w:val="center"/>
          </w:tcPr>
          <w:p w14:paraId="7D0F87C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没有认真贯彻执行省建设厅《关于做好建筑施工工人“平安卡”管理制度试点工作的通知》（粤建管函[2006]149号）、市建委《关于推行建设工程平安卡制度的通知》穗建筑[2006]635号的规定,进场工人没有安全教育</w:t>
            </w:r>
          </w:p>
        </w:tc>
        <w:tc>
          <w:tcPr>
            <w:tcW w:w="1605" w:type="dxa"/>
            <w:noWrap/>
            <w:vAlign w:val="center"/>
          </w:tcPr>
          <w:p w14:paraId="4DBFFE8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5B1AD1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A9E5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1C8F3D3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二</w:t>
            </w:r>
          </w:p>
        </w:tc>
        <w:tc>
          <w:tcPr>
            <w:tcW w:w="7114" w:type="dxa"/>
            <w:vAlign w:val="center"/>
          </w:tcPr>
          <w:p w14:paraId="487EF64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目标管理</w:t>
            </w:r>
          </w:p>
        </w:tc>
        <w:tc>
          <w:tcPr>
            <w:tcW w:w="1605" w:type="dxa"/>
            <w:vAlign w:val="center"/>
          </w:tcPr>
          <w:p w14:paraId="6063993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15" w:type="dxa"/>
            <w:vAlign w:val="center"/>
          </w:tcPr>
          <w:p w14:paraId="10A3642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06D1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520" w:type="dxa"/>
            <w:vAlign w:val="center"/>
          </w:tcPr>
          <w:p w14:paraId="3D16D9E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vAlign w:val="center"/>
          </w:tcPr>
          <w:p w14:paraId="49C3EED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施工现场没有实行安全生产目标管理，工程开工前应制定总的安全管理目标，包括伤亡事故指标，安全达标和文明施工目标以及采取的安全措施</w:t>
            </w:r>
          </w:p>
        </w:tc>
        <w:tc>
          <w:tcPr>
            <w:tcW w:w="1605" w:type="dxa"/>
            <w:noWrap/>
            <w:vAlign w:val="center"/>
          </w:tcPr>
          <w:p w14:paraId="692168DF">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3256C27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E143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520" w:type="dxa"/>
            <w:vAlign w:val="center"/>
          </w:tcPr>
          <w:p w14:paraId="05EC884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vAlign w:val="center"/>
          </w:tcPr>
          <w:p w14:paraId="1F43E3F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项目部没有与施工管理人员和班组，班组与职工必须签订安全目标责任书，以责任书形式把工地总的安全管理目标按照各自职责逐级分解。项目部没有制定安全目标责任考核规定，责任到人，每月考核，记录在册</w:t>
            </w:r>
          </w:p>
        </w:tc>
        <w:tc>
          <w:tcPr>
            <w:tcW w:w="1605" w:type="dxa"/>
            <w:noWrap/>
            <w:vAlign w:val="center"/>
          </w:tcPr>
          <w:p w14:paraId="64BC957E">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1A7C94E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9825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20" w:type="dxa"/>
            <w:vAlign w:val="center"/>
          </w:tcPr>
          <w:p w14:paraId="10A2D6F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14" w:type="dxa"/>
            <w:vAlign w:val="center"/>
          </w:tcPr>
          <w:p w14:paraId="600A2BC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没有对安全目标责任书的执行情况每旬检查统计一次，每月总结一次，对存在的问题及时采取针对性措施</w:t>
            </w:r>
          </w:p>
        </w:tc>
        <w:tc>
          <w:tcPr>
            <w:tcW w:w="1605" w:type="dxa"/>
            <w:noWrap/>
            <w:vAlign w:val="center"/>
          </w:tcPr>
          <w:p w14:paraId="01E38F3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8AD6D5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280A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181B3E1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三</w:t>
            </w:r>
          </w:p>
        </w:tc>
        <w:tc>
          <w:tcPr>
            <w:tcW w:w="7114" w:type="dxa"/>
            <w:vAlign w:val="center"/>
          </w:tcPr>
          <w:p w14:paraId="65030CE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施工安全</w:t>
            </w:r>
          </w:p>
        </w:tc>
        <w:tc>
          <w:tcPr>
            <w:tcW w:w="1605" w:type="dxa"/>
            <w:vAlign w:val="center"/>
          </w:tcPr>
          <w:p w14:paraId="5CCCC224">
            <w:pPr>
              <w:widowControl/>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15" w:type="dxa"/>
            <w:vAlign w:val="center"/>
          </w:tcPr>
          <w:p w14:paraId="57F02B5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A905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04B8630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tcPr>
          <w:p w14:paraId="6872FAB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施工现场没有按规定设置消防通道、消防水源，配备消防设施和灭火器材</w:t>
            </w:r>
          </w:p>
        </w:tc>
        <w:tc>
          <w:tcPr>
            <w:tcW w:w="1605" w:type="dxa"/>
            <w:noWrap/>
            <w:vAlign w:val="center"/>
          </w:tcPr>
          <w:p w14:paraId="2F6517FF">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72584BD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20A3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24BF3F6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tcPr>
          <w:p w14:paraId="2A0B49C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电气设备、施工机具不符合规定要求</w:t>
            </w:r>
          </w:p>
        </w:tc>
        <w:tc>
          <w:tcPr>
            <w:tcW w:w="1605" w:type="dxa"/>
            <w:noWrap/>
            <w:vAlign w:val="center"/>
          </w:tcPr>
          <w:p w14:paraId="2BC3782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7B89C02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270B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797971F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14" w:type="dxa"/>
          </w:tcPr>
          <w:p w14:paraId="4EA045E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施工现场没有采取安全保护措施，保证毗邻建筑物、构筑物及地下管线的安全</w:t>
            </w:r>
          </w:p>
        </w:tc>
        <w:tc>
          <w:tcPr>
            <w:tcW w:w="1605" w:type="dxa"/>
            <w:noWrap/>
            <w:vAlign w:val="center"/>
          </w:tcPr>
          <w:p w14:paraId="17DE7BC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4E49342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04E4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412F76D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7114" w:type="dxa"/>
          </w:tcPr>
          <w:p w14:paraId="79E62EC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施工起重设备没有由具备起重设备安装专业承包企业资质的企业安装,经有相应资质的检验检测机构检验合格的</w:t>
            </w:r>
          </w:p>
        </w:tc>
        <w:tc>
          <w:tcPr>
            <w:tcW w:w="1605" w:type="dxa"/>
            <w:noWrap/>
            <w:vAlign w:val="center"/>
          </w:tcPr>
          <w:p w14:paraId="0E3A833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2479945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835C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520" w:type="dxa"/>
            <w:vAlign w:val="center"/>
          </w:tcPr>
          <w:p w14:paraId="75D94AB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7114" w:type="dxa"/>
          </w:tcPr>
          <w:p w14:paraId="024A828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施工起重设备和整体提升脚手架、模板等自升式架设设施在使用前，承包单位没有组织分包、出租、安装单位共同验收或委托有相应资质的检验检测机构进行验收的</w:t>
            </w:r>
          </w:p>
        </w:tc>
        <w:tc>
          <w:tcPr>
            <w:tcW w:w="1605" w:type="dxa"/>
            <w:noWrap/>
            <w:vAlign w:val="center"/>
          </w:tcPr>
          <w:p w14:paraId="2A67C8F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2E67A89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8927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520" w:type="dxa"/>
            <w:vAlign w:val="center"/>
          </w:tcPr>
          <w:p w14:paraId="6CB4CC8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7114" w:type="dxa"/>
          </w:tcPr>
          <w:p w14:paraId="3C8DF26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“三宝四口”不符合规定要求</w:t>
            </w:r>
          </w:p>
        </w:tc>
        <w:tc>
          <w:tcPr>
            <w:tcW w:w="1605" w:type="dxa"/>
            <w:noWrap/>
            <w:vAlign w:val="center"/>
          </w:tcPr>
          <w:p w14:paraId="4CD05CAE">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0C3AF51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53DA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5368A16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7114" w:type="dxa"/>
          </w:tcPr>
          <w:p w14:paraId="7CB5993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没有对所承建的建筑工程进行定期和专项安全检查，或检查认真不流于形式，检查记录真实</w:t>
            </w:r>
          </w:p>
        </w:tc>
        <w:tc>
          <w:tcPr>
            <w:tcW w:w="1605" w:type="dxa"/>
            <w:noWrap/>
            <w:vAlign w:val="center"/>
          </w:tcPr>
          <w:p w14:paraId="1E443B2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36781D7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FE87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520" w:type="dxa"/>
            <w:vAlign w:val="center"/>
          </w:tcPr>
          <w:p w14:paraId="1476139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7114" w:type="dxa"/>
            <w:vAlign w:val="center"/>
          </w:tcPr>
          <w:p w14:paraId="3467C8B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特种作业人员未经过专门的安全作业培训，取得资格证书即上岗作业，不具备相应资质，自行拆装施工起重设备，施工现场存在较大安全隐患</w:t>
            </w:r>
          </w:p>
        </w:tc>
        <w:tc>
          <w:tcPr>
            <w:tcW w:w="1605" w:type="dxa"/>
            <w:noWrap/>
            <w:vAlign w:val="center"/>
          </w:tcPr>
          <w:p w14:paraId="5B3DF65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A57059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4B39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266ED13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四</w:t>
            </w:r>
          </w:p>
        </w:tc>
        <w:tc>
          <w:tcPr>
            <w:tcW w:w="7114" w:type="dxa"/>
            <w:vAlign w:val="center"/>
          </w:tcPr>
          <w:p w14:paraId="7B7A12E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安全防护</w:t>
            </w:r>
          </w:p>
        </w:tc>
        <w:tc>
          <w:tcPr>
            <w:tcW w:w="1605" w:type="dxa"/>
            <w:noWrap/>
            <w:vAlign w:val="center"/>
          </w:tcPr>
          <w:p w14:paraId="75BA0FDF">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15" w:type="dxa"/>
            <w:vAlign w:val="center"/>
          </w:tcPr>
          <w:p w14:paraId="69FD53A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5B9D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136073A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vAlign w:val="center"/>
          </w:tcPr>
          <w:p w14:paraId="5C5EA94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没有按规定在现场设置明显安全警示标志</w:t>
            </w:r>
          </w:p>
        </w:tc>
        <w:tc>
          <w:tcPr>
            <w:tcW w:w="1605" w:type="dxa"/>
            <w:noWrap/>
            <w:vAlign w:val="center"/>
          </w:tcPr>
          <w:p w14:paraId="26AF3D5D">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6B5A0BC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B84B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046F575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tcPr>
          <w:p w14:paraId="7E179E5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安全防护用具、消防器材、机械设备和施工机具没有专人管理或没有实施机械设备、施工机具“一机一档”的档案管理制度</w:t>
            </w:r>
          </w:p>
        </w:tc>
        <w:tc>
          <w:tcPr>
            <w:tcW w:w="1605" w:type="dxa"/>
            <w:noWrap/>
            <w:vAlign w:val="center"/>
          </w:tcPr>
          <w:p w14:paraId="2BC0827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6D8AAEC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2A6B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696C195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14" w:type="dxa"/>
          </w:tcPr>
          <w:p w14:paraId="3A853DD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没有按规定编制生产安全事故应急预案，并按规定组织演练；在施工现场公示重大危险源，并落实专人管理</w:t>
            </w:r>
          </w:p>
        </w:tc>
        <w:tc>
          <w:tcPr>
            <w:tcW w:w="1605" w:type="dxa"/>
            <w:noWrap/>
            <w:vAlign w:val="center"/>
          </w:tcPr>
          <w:p w14:paraId="52B7C93E">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294F744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414A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520" w:type="dxa"/>
            <w:vAlign w:val="center"/>
          </w:tcPr>
          <w:p w14:paraId="57870AE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7114" w:type="dxa"/>
          </w:tcPr>
          <w:p w14:paraId="729CECB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没有按规定向作业人员提供安全防护用具和安全防护用品</w:t>
            </w:r>
          </w:p>
        </w:tc>
        <w:tc>
          <w:tcPr>
            <w:tcW w:w="1605" w:type="dxa"/>
            <w:noWrap/>
            <w:vAlign w:val="center"/>
          </w:tcPr>
          <w:p w14:paraId="44A2D3E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08AD84B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A071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520" w:type="dxa"/>
            <w:vAlign w:val="center"/>
          </w:tcPr>
          <w:p w14:paraId="0CF54DF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7114" w:type="dxa"/>
          </w:tcPr>
          <w:p w14:paraId="293D69F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没有将施工起重设备和整体提升脚手架、模板等自升式架设设施，在验收合格30日内向建设行政主管部门或其委托的安监站办理登记手续</w:t>
            </w:r>
          </w:p>
        </w:tc>
        <w:tc>
          <w:tcPr>
            <w:tcW w:w="1605" w:type="dxa"/>
            <w:noWrap/>
            <w:vAlign w:val="center"/>
          </w:tcPr>
          <w:p w14:paraId="1BE4171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00D49FA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B22E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520" w:type="dxa"/>
            <w:vAlign w:val="center"/>
          </w:tcPr>
          <w:p w14:paraId="307DAB1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7114" w:type="dxa"/>
            <w:vAlign w:val="center"/>
          </w:tcPr>
          <w:p w14:paraId="1F41250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临时施工用电不规范，未按要求设置</w:t>
            </w:r>
          </w:p>
        </w:tc>
        <w:tc>
          <w:tcPr>
            <w:tcW w:w="1605" w:type="dxa"/>
            <w:noWrap/>
            <w:vAlign w:val="center"/>
          </w:tcPr>
          <w:p w14:paraId="29ECECED">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1503B3B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CF0A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2349C7A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7114" w:type="dxa"/>
            <w:vAlign w:val="center"/>
          </w:tcPr>
          <w:p w14:paraId="77C68D0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在尚未竣工的建筑物内设置员工集体宿舍，宿舍用电不规范</w:t>
            </w:r>
          </w:p>
        </w:tc>
        <w:tc>
          <w:tcPr>
            <w:tcW w:w="1605" w:type="dxa"/>
            <w:noWrap/>
            <w:vAlign w:val="center"/>
          </w:tcPr>
          <w:p w14:paraId="4D15A2BD">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6094CB0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141D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7634" w:type="dxa"/>
            <w:gridSpan w:val="2"/>
            <w:vAlign w:val="center"/>
          </w:tcPr>
          <w:p w14:paraId="68402362">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环境管理（文明施工）检查</w:t>
            </w:r>
          </w:p>
        </w:tc>
        <w:tc>
          <w:tcPr>
            <w:tcW w:w="1605" w:type="dxa"/>
            <w:vAlign w:val="center"/>
          </w:tcPr>
          <w:p w14:paraId="22BF4F3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15" w:type="dxa"/>
            <w:vAlign w:val="center"/>
          </w:tcPr>
          <w:p w14:paraId="66F4084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A8C9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62F7658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一</w:t>
            </w:r>
          </w:p>
        </w:tc>
        <w:tc>
          <w:tcPr>
            <w:tcW w:w="7114" w:type="dxa"/>
            <w:vAlign w:val="center"/>
          </w:tcPr>
          <w:p w14:paraId="30B2C77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管理制度</w:t>
            </w:r>
          </w:p>
        </w:tc>
        <w:tc>
          <w:tcPr>
            <w:tcW w:w="1605" w:type="dxa"/>
            <w:vAlign w:val="center"/>
          </w:tcPr>
          <w:p w14:paraId="79ED4D4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15" w:type="dxa"/>
            <w:vAlign w:val="center"/>
          </w:tcPr>
          <w:p w14:paraId="388AAC9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13F9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trPr>
        <w:tc>
          <w:tcPr>
            <w:tcW w:w="520" w:type="dxa"/>
            <w:vAlign w:val="center"/>
          </w:tcPr>
          <w:p w14:paraId="77A8FAE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vAlign w:val="center"/>
          </w:tcPr>
          <w:p w14:paraId="0386786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承包单没有制定执行环境管理（文明施工）、绿色施工的目标、标准、制度以及工程各阶段实施的计划和措施，指定各作业场所、材料堆放场、生活设施的责任人。制定的目标和标准不得低于《绿色施工导则》、《广州市建设工程文明施工管理办法》、《越秀区代建项目管理中心建设项目的环境管理规定》《越秀区代建项目管理中心建设项目环境管理文明施工若干标准》的规定。</w:t>
            </w:r>
          </w:p>
        </w:tc>
        <w:tc>
          <w:tcPr>
            <w:tcW w:w="1605" w:type="dxa"/>
            <w:noWrap/>
            <w:vAlign w:val="center"/>
          </w:tcPr>
          <w:p w14:paraId="537E0C9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242462C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6CCF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5EF37AE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vAlign w:val="center"/>
          </w:tcPr>
          <w:p w14:paraId="0848BB1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没有制订应急准备和响应管理程序，设立环境因素台帐和重要环境因素清单</w:t>
            </w:r>
          </w:p>
        </w:tc>
        <w:tc>
          <w:tcPr>
            <w:tcW w:w="1605" w:type="dxa"/>
            <w:noWrap/>
            <w:vAlign w:val="center"/>
          </w:tcPr>
          <w:p w14:paraId="73E7FAD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6A7AC4A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38E2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atLeast"/>
        </w:trPr>
        <w:tc>
          <w:tcPr>
            <w:tcW w:w="520" w:type="dxa"/>
            <w:vAlign w:val="center"/>
          </w:tcPr>
          <w:p w14:paraId="5F01D7B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14" w:type="dxa"/>
            <w:vAlign w:val="center"/>
          </w:tcPr>
          <w:p w14:paraId="2DED56A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承包单位没有建立环境管理档案，将施工现场环境管理、文明施工的各项制度的执行情况，没有执行区代建中心、建设行政主管部门及城监、质监、监理等部门对施工现场检查情况整改回复</w:t>
            </w:r>
          </w:p>
        </w:tc>
        <w:tc>
          <w:tcPr>
            <w:tcW w:w="1605" w:type="dxa"/>
            <w:noWrap/>
            <w:vAlign w:val="center"/>
          </w:tcPr>
          <w:p w14:paraId="222215B6">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76ACE29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B9C7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4FACB0D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二</w:t>
            </w:r>
          </w:p>
        </w:tc>
        <w:tc>
          <w:tcPr>
            <w:tcW w:w="7114" w:type="dxa"/>
            <w:vAlign w:val="center"/>
          </w:tcPr>
          <w:p w14:paraId="7963839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绿色施工</w:t>
            </w:r>
          </w:p>
        </w:tc>
        <w:tc>
          <w:tcPr>
            <w:tcW w:w="1605" w:type="dxa"/>
            <w:noWrap/>
            <w:vAlign w:val="center"/>
          </w:tcPr>
          <w:p w14:paraId="4017374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15" w:type="dxa"/>
            <w:vAlign w:val="center"/>
          </w:tcPr>
          <w:p w14:paraId="16B3358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1663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520" w:type="dxa"/>
            <w:vAlign w:val="center"/>
          </w:tcPr>
          <w:p w14:paraId="582FDC8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vAlign w:val="center"/>
          </w:tcPr>
          <w:p w14:paraId="21A49DA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没有在保证质量、安全等基本要求的前提下，通过科学管理和技术进步，最大限度地节约资源与减少对环境负面影响的施工活动，实现四节一环保(节能、节地、节水、节材和环境保护)</w:t>
            </w:r>
          </w:p>
        </w:tc>
        <w:tc>
          <w:tcPr>
            <w:tcW w:w="1605" w:type="dxa"/>
            <w:noWrap/>
            <w:vAlign w:val="center"/>
          </w:tcPr>
          <w:p w14:paraId="1D27F6ED">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4B28DDA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6719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520" w:type="dxa"/>
            <w:vAlign w:val="center"/>
          </w:tcPr>
          <w:p w14:paraId="2ADC44F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vAlign w:val="center"/>
          </w:tcPr>
          <w:p w14:paraId="3A611AD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没有运用ISO14000和ISO18000管理体系，将绿色施工有关内容分解到管理体系目标中去，使绿色施工规范化、标准化，发展绿色施工的新技术、新设备、新材料与新工艺，推行应用示范工程。</w:t>
            </w:r>
          </w:p>
        </w:tc>
        <w:tc>
          <w:tcPr>
            <w:tcW w:w="1605" w:type="dxa"/>
            <w:noWrap/>
            <w:vAlign w:val="center"/>
          </w:tcPr>
          <w:p w14:paraId="16FFA8E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46990E3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A2B9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17589BB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三</w:t>
            </w:r>
          </w:p>
        </w:tc>
        <w:tc>
          <w:tcPr>
            <w:tcW w:w="7114" w:type="dxa"/>
            <w:vAlign w:val="center"/>
          </w:tcPr>
          <w:p w14:paraId="581BF98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组织管理</w:t>
            </w:r>
          </w:p>
        </w:tc>
        <w:tc>
          <w:tcPr>
            <w:tcW w:w="1605" w:type="dxa"/>
            <w:noWrap/>
            <w:vAlign w:val="center"/>
          </w:tcPr>
          <w:p w14:paraId="01B79E0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15" w:type="dxa"/>
            <w:vAlign w:val="center"/>
          </w:tcPr>
          <w:p w14:paraId="7D66FB4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233D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0338122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vAlign w:val="center"/>
          </w:tcPr>
          <w:p w14:paraId="7DC35E6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没有建立绿色施工管理体系，并制定相应的管理制度与目标</w:t>
            </w:r>
          </w:p>
        </w:tc>
        <w:tc>
          <w:tcPr>
            <w:tcW w:w="1605" w:type="dxa"/>
            <w:noWrap/>
            <w:vAlign w:val="center"/>
          </w:tcPr>
          <w:p w14:paraId="4E5C2D9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33EA93C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A4B9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4A305CB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vAlign w:val="center"/>
          </w:tcPr>
          <w:p w14:paraId="3B32265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项目经理为绿色施工第一责任人，没有负责绿色施工的组织实施及目标实现，没有定绿色施工管理人员和监督人员</w:t>
            </w:r>
          </w:p>
        </w:tc>
        <w:tc>
          <w:tcPr>
            <w:tcW w:w="1605" w:type="dxa"/>
            <w:noWrap/>
            <w:vAlign w:val="center"/>
          </w:tcPr>
          <w:p w14:paraId="0AB3ADB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F34049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DA17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1E989EE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四</w:t>
            </w:r>
          </w:p>
        </w:tc>
        <w:tc>
          <w:tcPr>
            <w:tcW w:w="7114" w:type="dxa"/>
            <w:vAlign w:val="center"/>
          </w:tcPr>
          <w:p w14:paraId="401ACA8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规划管理</w:t>
            </w:r>
          </w:p>
        </w:tc>
        <w:tc>
          <w:tcPr>
            <w:tcW w:w="1605" w:type="dxa"/>
            <w:noWrap/>
            <w:vAlign w:val="center"/>
          </w:tcPr>
          <w:p w14:paraId="62E3670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15" w:type="dxa"/>
            <w:vAlign w:val="center"/>
          </w:tcPr>
          <w:p w14:paraId="1CBD89D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87B7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1A9F148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vAlign w:val="center"/>
          </w:tcPr>
          <w:p w14:paraId="195B2EB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没有编制绿色施工方案，并按有关规定进行审批</w:t>
            </w:r>
          </w:p>
        </w:tc>
        <w:tc>
          <w:tcPr>
            <w:tcW w:w="1605" w:type="dxa"/>
            <w:noWrap/>
            <w:vAlign w:val="center"/>
          </w:tcPr>
          <w:p w14:paraId="4B8A7DB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7537191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6DE7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546C096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14" w:type="dxa"/>
            <w:vAlign w:val="center"/>
          </w:tcPr>
          <w:p w14:paraId="73B6715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没有环境保护措施，制定环境管理计划及应急救援预案,采取有效措施，降低环境负荷和施工噪音，保护地下设施和文物等资源 </w:t>
            </w:r>
          </w:p>
        </w:tc>
        <w:tc>
          <w:tcPr>
            <w:tcW w:w="1605" w:type="dxa"/>
            <w:noWrap/>
            <w:vAlign w:val="center"/>
          </w:tcPr>
          <w:p w14:paraId="6188070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E955AE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28F0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520" w:type="dxa"/>
            <w:vAlign w:val="center"/>
          </w:tcPr>
          <w:p w14:paraId="3209B6A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7114" w:type="dxa"/>
            <w:vAlign w:val="center"/>
          </w:tcPr>
          <w:p w14:paraId="2664B80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没有节材措施，在保证工程安全与质量的前提下，制定节材措施。如进行施工方案的节材优化，建筑垃圾减量化，尽量利用可循环材料等</w:t>
            </w:r>
          </w:p>
        </w:tc>
        <w:tc>
          <w:tcPr>
            <w:tcW w:w="1605" w:type="dxa"/>
            <w:noWrap/>
            <w:vAlign w:val="center"/>
          </w:tcPr>
          <w:p w14:paraId="7D31357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417E6BD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ADB6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1557E40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7114" w:type="dxa"/>
            <w:vAlign w:val="center"/>
          </w:tcPr>
          <w:p w14:paraId="4BDA0F1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没有节水措施，根据工程所在地的水资源状况，制定节水措施</w:t>
            </w:r>
          </w:p>
        </w:tc>
        <w:tc>
          <w:tcPr>
            <w:tcW w:w="1605" w:type="dxa"/>
            <w:noWrap/>
            <w:vAlign w:val="center"/>
          </w:tcPr>
          <w:p w14:paraId="14F9AB66">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68979F3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151F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4DFDC2D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7114" w:type="dxa"/>
            <w:vAlign w:val="center"/>
          </w:tcPr>
          <w:p w14:paraId="19349BA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没有节能措施，进行施工节能策划，确定目标，制定节能措施</w:t>
            </w:r>
          </w:p>
        </w:tc>
        <w:tc>
          <w:tcPr>
            <w:tcW w:w="1605" w:type="dxa"/>
            <w:noWrap/>
            <w:vAlign w:val="center"/>
          </w:tcPr>
          <w:p w14:paraId="36F3295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2F8829E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9846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1071268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7114" w:type="dxa"/>
            <w:vAlign w:val="center"/>
          </w:tcPr>
          <w:p w14:paraId="0BED6EB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没有节地与施工用地保护措施，制定临时用地指标、施工总平面布置规划及临时用地节地措施等</w:t>
            </w:r>
          </w:p>
        </w:tc>
        <w:tc>
          <w:tcPr>
            <w:tcW w:w="1605" w:type="dxa"/>
            <w:noWrap/>
            <w:vAlign w:val="center"/>
          </w:tcPr>
          <w:p w14:paraId="2AE8967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0869423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716E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13F367A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五</w:t>
            </w:r>
          </w:p>
        </w:tc>
        <w:tc>
          <w:tcPr>
            <w:tcW w:w="7114" w:type="dxa"/>
            <w:vAlign w:val="center"/>
          </w:tcPr>
          <w:p w14:paraId="0C8238D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实施管理</w:t>
            </w:r>
          </w:p>
        </w:tc>
        <w:tc>
          <w:tcPr>
            <w:tcW w:w="1605" w:type="dxa"/>
            <w:noWrap/>
            <w:vAlign w:val="center"/>
          </w:tcPr>
          <w:p w14:paraId="0BF8636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15" w:type="dxa"/>
            <w:vAlign w:val="center"/>
          </w:tcPr>
          <w:p w14:paraId="0560309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7D48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1BEB3C6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vAlign w:val="center"/>
          </w:tcPr>
          <w:p w14:paraId="7282833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绿色施工没有整个施工过程实施动态管理，加强对施工策划、施工准备、材料采购、现场施工、工程验收等各阶段的管理和监督</w:t>
            </w:r>
          </w:p>
        </w:tc>
        <w:tc>
          <w:tcPr>
            <w:tcW w:w="1605" w:type="dxa"/>
            <w:noWrap/>
            <w:vAlign w:val="center"/>
          </w:tcPr>
          <w:p w14:paraId="31DEDD8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4424018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2351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765518A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vAlign w:val="center"/>
          </w:tcPr>
          <w:p w14:paraId="2DE4C63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没有针对性地对绿色施工作相应的宣传，通过宣传营造绿色施工的氛围</w:t>
            </w:r>
          </w:p>
        </w:tc>
        <w:tc>
          <w:tcPr>
            <w:tcW w:w="1605" w:type="dxa"/>
            <w:noWrap/>
            <w:vAlign w:val="center"/>
          </w:tcPr>
          <w:p w14:paraId="1B0C366E">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7D1011B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BA43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6F2AEBD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14" w:type="dxa"/>
            <w:vAlign w:val="center"/>
          </w:tcPr>
          <w:p w14:paraId="6B97694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没有定期对职工进行绿色施工知识培训，增强职工绿色施工意识</w:t>
            </w:r>
          </w:p>
        </w:tc>
        <w:tc>
          <w:tcPr>
            <w:tcW w:w="1605" w:type="dxa"/>
            <w:noWrap/>
            <w:vAlign w:val="center"/>
          </w:tcPr>
          <w:p w14:paraId="28FE072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16FFAE5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F1E8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135FC01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六</w:t>
            </w:r>
          </w:p>
        </w:tc>
        <w:tc>
          <w:tcPr>
            <w:tcW w:w="7114" w:type="dxa"/>
            <w:vAlign w:val="center"/>
          </w:tcPr>
          <w:p w14:paraId="3AD0B3C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评价管理</w:t>
            </w:r>
          </w:p>
        </w:tc>
        <w:tc>
          <w:tcPr>
            <w:tcW w:w="1605" w:type="dxa"/>
            <w:noWrap/>
            <w:vAlign w:val="center"/>
          </w:tcPr>
          <w:p w14:paraId="074A38D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15" w:type="dxa"/>
            <w:vAlign w:val="center"/>
          </w:tcPr>
          <w:p w14:paraId="370C954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3C45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55FFB1C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vAlign w:val="center"/>
          </w:tcPr>
          <w:p w14:paraId="52D5433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没有对照绿色施工导则的指标体系，结合工程特点，没有对绿色施工的效果及采用的新技术、新设备、新材料与新工艺，进行自评估</w:t>
            </w:r>
          </w:p>
        </w:tc>
        <w:tc>
          <w:tcPr>
            <w:tcW w:w="1605" w:type="dxa"/>
            <w:noWrap/>
            <w:vAlign w:val="center"/>
          </w:tcPr>
          <w:p w14:paraId="4510207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BE168D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79EC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0A6BDE3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vAlign w:val="center"/>
          </w:tcPr>
          <w:p w14:paraId="727A585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没有成立专家评估小组，对绿色施工方案、实施过程至项目竣工，进行综合评估</w:t>
            </w:r>
          </w:p>
        </w:tc>
        <w:tc>
          <w:tcPr>
            <w:tcW w:w="1605" w:type="dxa"/>
            <w:noWrap/>
            <w:vAlign w:val="center"/>
          </w:tcPr>
          <w:p w14:paraId="5574993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0408A0B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A57B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760E0EE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七</w:t>
            </w:r>
          </w:p>
        </w:tc>
        <w:tc>
          <w:tcPr>
            <w:tcW w:w="7114" w:type="dxa"/>
            <w:vAlign w:val="center"/>
          </w:tcPr>
          <w:p w14:paraId="2457A17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人员安全与健康管理</w:t>
            </w:r>
          </w:p>
        </w:tc>
        <w:tc>
          <w:tcPr>
            <w:tcW w:w="1605" w:type="dxa"/>
            <w:noWrap/>
            <w:vAlign w:val="center"/>
          </w:tcPr>
          <w:p w14:paraId="26302DF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15" w:type="dxa"/>
            <w:vAlign w:val="center"/>
          </w:tcPr>
          <w:p w14:paraId="1C1A8B5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AB87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7161E87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vAlign w:val="center"/>
          </w:tcPr>
          <w:p w14:paraId="7E3B18F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没有制订施工防尘、防毒、防辐射、防噪音等职业危害的措施，保障施工人员的长期职业健康</w:t>
            </w:r>
          </w:p>
        </w:tc>
        <w:tc>
          <w:tcPr>
            <w:tcW w:w="1605" w:type="dxa"/>
            <w:noWrap/>
            <w:vAlign w:val="center"/>
          </w:tcPr>
          <w:p w14:paraId="6883848D">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33B3CB3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2B87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520" w:type="dxa"/>
            <w:vAlign w:val="center"/>
          </w:tcPr>
          <w:p w14:paraId="014955A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vAlign w:val="center"/>
          </w:tcPr>
          <w:p w14:paraId="1DEB0C6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合理布置施工场地，将施工现场的办公、生活区与作业区分开设置，并保持安全距离；或办公、生活区的选址符合安全性要求；保护生活及办公区不受施工活动的有害影响。施工现场建立卫生急救、保健防疫制度，在安全事故和疾病疫情出现时提供及时救助</w:t>
            </w:r>
          </w:p>
        </w:tc>
        <w:tc>
          <w:tcPr>
            <w:tcW w:w="1605" w:type="dxa"/>
            <w:noWrap/>
            <w:vAlign w:val="center"/>
          </w:tcPr>
          <w:p w14:paraId="220A873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20C5711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9FD8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520" w:type="dxa"/>
            <w:vAlign w:val="center"/>
          </w:tcPr>
          <w:p w14:paraId="7EC27BB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14" w:type="dxa"/>
            <w:vAlign w:val="center"/>
          </w:tcPr>
          <w:p w14:paraId="2585CD1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没有提供卫生、健康的工作与生活环境，加强对施工人员的住宿、膳食、饮用水等生活与环境卫生等管理，职工的膳食、饮水、休息场所符合卫生标准，明显改善施工人员的生活条件</w:t>
            </w:r>
          </w:p>
        </w:tc>
        <w:tc>
          <w:tcPr>
            <w:tcW w:w="1605" w:type="dxa"/>
            <w:noWrap/>
            <w:vAlign w:val="center"/>
          </w:tcPr>
          <w:p w14:paraId="6A46436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3E17987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2AB2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6F42F19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八</w:t>
            </w:r>
          </w:p>
        </w:tc>
        <w:tc>
          <w:tcPr>
            <w:tcW w:w="7114" w:type="dxa"/>
            <w:vAlign w:val="center"/>
          </w:tcPr>
          <w:p w14:paraId="12F7EF8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现场管理</w:t>
            </w:r>
          </w:p>
        </w:tc>
        <w:tc>
          <w:tcPr>
            <w:tcW w:w="1605" w:type="dxa"/>
            <w:noWrap/>
            <w:vAlign w:val="center"/>
          </w:tcPr>
          <w:p w14:paraId="7244859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15" w:type="dxa"/>
            <w:vAlign w:val="center"/>
          </w:tcPr>
          <w:p w14:paraId="0441187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A988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5" w:hRule="atLeast"/>
        </w:trPr>
        <w:tc>
          <w:tcPr>
            <w:tcW w:w="520" w:type="dxa"/>
            <w:vAlign w:val="center"/>
          </w:tcPr>
          <w:p w14:paraId="224C116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vAlign w:val="center"/>
          </w:tcPr>
          <w:p w14:paraId="69CDE17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承包单位没有对施工现场的设备、材料堆放、场地道路、临时生产和生活设施进行统一合理布局，进行施工现场总平面布置图设计及控制，并纳入施工组织设计，经建设单位和监理单位审核同意后执行。没有按施工的不同阶段设计或修改施工现场总平面布置图，按施工现场总平面布置图实施定置化管理</w:t>
            </w:r>
          </w:p>
        </w:tc>
        <w:tc>
          <w:tcPr>
            <w:tcW w:w="1605" w:type="dxa"/>
            <w:noWrap/>
            <w:vAlign w:val="center"/>
          </w:tcPr>
          <w:p w14:paraId="472E985F">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49FC111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D436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520" w:type="dxa"/>
            <w:vAlign w:val="center"/>
          </w:tcPr>
          <w:p w14:paraId="7372A00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vAlign w:val="center"/>
          </w:tcPr>
          <w:p w14:paraId="4103E98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现场管理没有严格执行《越秀区代建项目管理中心建设项目的环境管理规定》《越秀区代建项目管理中心建设项目环境管理文明施工若干标准》的规定</w:t>
            </w:r>
          </w:p>
        </w:tc>
        <w:tc>
          <w:tcPr>
            <w:tcW w:w="1605" w:type="dxa"/>
            <w:noWrap/>
            <w:vAlign w:val="center"/>
          </w:tcPr>
          <w:p w14:paraId="3D0F80AF">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14F8E8A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8808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74023ED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14" w:type="dxa"/>
            <w:vAlign w:val="center"/>
          </w:tcPr>
          <w:p w14:paraId="3101B27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施工现场没有推行硬地化。鼓励建设工程在工地内空地实施绿化</w:t>
            </w:r>
          </w:p>
        </w:tc>
        <w:tc>
          <w:tcPr>
            <w:tcW w:w="1605" w:type="dxa"/>
            <w:noWrap/>
            <w:vAlign w:val="center"/>
          </w:tcPr>
          <w:p w14:paraId="720C1D5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49CA60F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DC41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20" w:type="dxa"/>
            <w:vAlign w:val="center"/>
          </w:tcPr>
          <w:p w14:paraId="74259DC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7114" w:type="dxa"/>
            <w:vAlign w:val="center"/>
          </w:tcPr>
          <w:p w14:paraId="16B10A6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现场的建设材料和设施堆放不合理（不得堆放在围墙外。材料堆放应当离开围墙地，与生活设施分隔，分类堆放整齐，标识清楚，散料要砌池围筑、杆料要立杆设栏、块料要起废浆和淤泥必须使用办理了有效证件的封闭专用车辆进行运输，不许超载运行）</w:t>
            </w:r>
          </w:p>
        </w:tc>
        <w:tc>
          <w:tcPr>
            <w:tcW w:w="1605" w:type="dxa"/>
            <w:noWrap/>
            <w:vAlign w:val="center"/>
          </w:tcPr>
          <w:p w14:paraId="577CB39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67E04B5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71AD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20" w:type="dxa"/>
            <w:vAlign w:val="center"/>
          </w:tcPr>
          <w:p w14:paraId="0CFF6B9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7114" w:type="dxa"/>
            <w:vAlign w:val="center"/>
          </w:tcPr>
          <w:p w14:paraId="6BE12F8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施工现场内设置的临时设施（办公室、宿舍、厨房、厕所、临时水电设施、仓库）统一没有按区代建中心的规定要求，宽敝、明亮、整洁</w:t>
            </w:r>
          </w:p>
        </w:tc>
        <w:tc>
          <w:tcPr>
            <w:tcW w:w="1605" w:type="dxa"/>
            <w:noWrap/>
            <w:vAlign w:val="center"/>
          </w:tcPr>
          <w:p w14:paraId="43249EF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7659E86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39FD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520" w:type="dxa"/>
            <w:vAlign w:val="center"/>
          </w:tcPr>
          <w:p w14:paraId="56479FE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7114" w:type="dxa"/>
            <w:vAlign w:val="center"/>
          </w:tcPr>
          <w:p w14:paraId="597285E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施工现场不道路畅通，设置连续、通畅的排水设施和其他应急设施，场地内不得大面积积水，泥浆、污水、废水必须经硬底硬壁沉淀池沉淀及其他必要处理。未经处理禁止排入下水道</w:t>
            </w:r>
          </w:p>
        </w:tc>
        <w:tc>
          <w:tcPr>
            <w:tcW w:w="1605" w:type="dxa"/>
            <w:noWrap/>
            <w:vAlign w:val="center"/>
          </w:tcPr>
          <w:p w14:paraId="24ABD5C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6116C91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90D0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6FDB1AA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7114" w:type="dxa"/>
            <w:vAlign w:val="center"/>
          </w:tcPr>
          <w:p w14:paraId="7BB7FC7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施工垃圾没有设立垃圾池集中堆放并及时清理</w:t>
            </w:r>
          </w:p>
        </w:tc>
        <w:tc>
          <w:tcPr>
            <w:tcW w:w="1605" w:type="dxa"/>
            <w:noWrap/>
            <w:vAlign w:val="center"/>
          </w:tcPr>
          <w:p w14:paraId="7101BDC6">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263D436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1144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520" w:type="dxa"/>
            <w:vAlign w:val="center"/>
          </w:tcPr>
          <w:p w14:paraId="67BA073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7114" w:type="dxa"/>
            <w:vAlign w:val="center"/>
          </w:tcPr>
          <w:p w14:paraId="1B21D42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施工现场办公室内没有在醒目处张贴施工许可证、规划许可证、余泥渣土排放证、夜间施工许可证等证件的复印件，悬挂质量管理、文明施工、安全生产制度和组织机构表、施工现场平面布置图</w:t>
            </w:r>
          </w:p>
        </w:tc>
        <w:tc>
          <w:tcPr>
            <w:tcW w:w="1605" w:type="dxa"/>
            <w:noWrap/>
            <w:vAlign w:val="center"/>
          </w:tcPr>
          <w:p w14:paraId="215BC6B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ACA733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06D4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520" w:type="dxa"/>
            <w:vAlign w:val="center"/>
          </w:tcPr>
          <w:p w14:paraId="4100685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7114" w:type="dxa"/>
            <w:vAlign w:val="center"/>
          </w:tcPr>
          <w:p w14:paraId="0C4F5B7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建设工程竣工后，施工单位没有在一个月内（市政道路工程在通车半个月内）拆除工地围栏，安全防护设施和其他临时设施，做到“工完料尽、场地清”，工地及四周环境要及时清理干净</w:t>
            </w:r>
          </w:p>
        </w:tc>
        <w:tc>
          <w:tcPr>
            <w:tcW w:w="1605" w:type="dxa"/>
            <w:noWrap/>
            <w:vAlign w:val="center"/>
          </w:tcPr>
          <w:p w14:paraId="0F8AAFE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6930254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4D15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520" w:type="dxa"/>
            <w:vAlign w:val="center"/>
          </w:tcPr>
          <w:p w14:paraId="3B0D976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7114" w:type="dxa"/>
            <w:vAlign w:val="center"/>
          </w:tcPr>
          <w:p w14:paraId="4D42EF5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现场实行封闭式管理，现场四周除留必要的人员、车辆进出口通道外，施工单位必须在施工开始前设置好连续封闭的围墙。围墙、工地大门的设置，按《越秀区代建项目管理中心建设项目环境管理文明施工若干标准》执行</w:t>
            </w:r>
          </w:p>
        </w:tc>
        <w:tc>
          <w:tcPr>
            <w:tcW w:w="1605" w:type="dxa"/>
            <w:noWrap/>
            <w:vAlign w:val="center"/>
          </w:tcPr>
          <w:p w14:paraId="7D00F9FF">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6285C63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548E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520" w:type="dxa"/>
            <w:vAlign w:val="center"/>
          </w:tcPr>
          <w:p w14:paraId="3DD058D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7114" w:type="dxa"/>
            <w:vAlign w:val="center"/>
          </w:tcPr>
          <w:p w14:paraId="1733330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结构施工的围网封闭应当统一采用密目式阻燃安全网，要求平整、绷紧，密拼连接、整齐美观，不得漏挂、脱落。安全网应为100米平方厘米不小于2000目的密目式绿色围护立网。鼓励围网封闭采用新式美观合格的材料</w:t>
            </w:r>
          </w:p>
        </w:tc>
        <w:tc>
          <w:tcPr>
            <w:tcW w:w="1605" w:type="dxa"/>
            <w:noWrap/>
            <w:vAlign w:val="center"/>
          </w:tcPr>
          <w:p w14:paraId="689444F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12C8AA5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2D6D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520" w:type="dxa"/>
            <w:vAlign w:val="center"/>
          </w:tcPr>
          <w:p w14:paraId="42661CB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7114" w:type="dxa"/>
            <w:vAlign w:val="center"/>
          </w:tcPr>
          <w:p w14:paraId="46E1E57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施工现场没有做到环保6个百分百</w:t>
            </w:r>
          </w:p>
        </w:tc>
        <w:tc>
          <w:tcPr>
            <w:tcW w:w="1605" w:type="dxa"/>
            <w:noWrap/>
            <w:vAlign w:val="center"/>
          </w:tcPr>
          <w:p w14:paraId="111909C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6897229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55B8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4A02621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九</w:t>
            </w:r>
          </w:p>
        </w:tc>
        <w:tc>
          <w:tcPr>
            <w:tcW w:w="7114" w:type="dxa"/>
            <w:vAlign w:val="center"/>
          </w:tcPr>
          <w:p w14:paraId="0C6DDE9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治安治理</w:t>
            </w:r>
          </w:p>
        </w:tc>
        <w:tc>
          <w:tcPr>
            <w:tcW w:w="1605" w:type="dxa"/>
            <w:noWrap/>
            <w:vAlign w:val="center"/>
          </w:tcPr>
          <w:p w14:paraId="77F104B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15" w:type="dxa"/>
            <w:vAlign w:val="center"/>
          </w:tcPr>
          <w:p w14:paraId="7CFE2D8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2F7D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trPr>
        <w:tc>
          <w:tcPr>
            <w:tcW w:w="520" w:type="dxa"/>
            <w:vAlign w:val="center"/>
          </w:tcPr>
          <w:p w14:paraId="5A7F4B5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tcPr>
          <w:p w14:paraId="631A026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单位没有加强施工队伍的全面管理（坚持岗前培训和持证上岗，严禁接收“无暂住征、无劳动就业证、无计划生育证”人员，施工现场的管理人员和作业人员应当在胸前佩戴个人身份标卡。标卡由总承包单位统一制作，标卡应有个从照片、姓名、工种或职务、所属单位)</w:t>
            </w:r>
          </w:p>
        </w:tc>
        <w:tc>
          <w:tcPr>
            <w:tcW w:w="1605" w:type="dxa"/>
            <w:noWrap/>
            <w:vAlign w:val="center"/>
          </w:tcPr>
          <w:p w14:paraId="229D88D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B4C835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10B6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08EF532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tcPr>
          <w:p w14:paraId="107B296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施工单位应当做好建设工地施工现场安全保卫工作，落实防盗、防火措施，对各类违法行为和犯罪行为要及时制止，并报告公安机关</w:t>
            </w:r>
          </w:p>
        </w:tc>
        <w:tc>
          <w:tcPr>
            <w:tcW w:w="1605" w:type="dxa"/>
            <w:noWrap/>
            <w:vAlign w:val="center"/>
          </w:tcPr>
          <w:p w14:paraId="34C5CA4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C2831E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AB05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3C4F3DD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十</w:t>
            </w:r>
          </w:p>
        </w:tc>
        <w:tc>
          <w:tcPr>
            <w:tcW w:w="7114" w:type="dxa"/>
          </w:tcPr>
          <w:p w14:paraId="0EEE025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现场住宿</w:t>
            </w:r>
          </w:p>
        </w:tc>
        <w:tc>
          <w:tcPr>
            <w:tcW w:w="1605" w:type="dxa"/>
            <w:noWrap/>
            <w:vAlign w:val="center"/>
          </w:tcPr>
          <w:p w14:paraId="4F80FDF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15" w:type="dxa"/>
            <w:vAlign w:val="center"/>
          </w:tcPr>
          <w:p w14:paraId="79821CE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06CB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520" w:type="dxa"/>
            <w:vAlign w:val="center"/>
          </w:tcPr>
          <w:p w14:paraId="36EF204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tcPr>
          <w:p w14:paraId="07DD986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现场工人宿舍必须具备防潮、通风、采光性能，人均床铺占有面积不小于1.7米平方米，并进行行当分隔；每25人应设一个直接出入口，主要通道宽不少于1.2米；15人以上居住的宿舍门宽不少于1.2米。男女宿舍和沐浴应能满足施工高峰期的需要；禁止男女混居。工人宿舍内部设施必须整齐清洁，生活用品分类统一存放。宿舍内要有管理制度，并落实治安、防火、卫生、计生管理责任人</w:t>
            </w:r>
          </w:p>
        </w:tc>
        <w:tc>
          <w:tcPr>
            <w:tcW w:w="1605" w:type="dxa"/>
            <w:noWrap/>
            <w:vAlign w:val="center"/>
          </w:tcPr>
          <w:p w14:paraId="2103F8B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643E4A8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F53B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0FFE2D2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十一</w:t>
            </w:r>
          </w:p>
        </w:tc>
        <w:tc>
          <w:tcPr>
            <w:tcW w:w="7114" w:type="dxa"/>
          </w:tcPr>
          <w:p w14:paraId="7307C08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厕所</w:t>
            </w:r>
          </w:p>
        </w:tc>
        <w:tc>
          <w:tcPr>
            <w:tcW w:w="1605" w:type="dxa"/>
            <w:noWrap/>
            <w:vAlign w:val="center"/>
          </w:tcPr>
          <w:p w14:paraId="419BE9FE">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15" w:type="dxa"/>
            <w:vAlign w:val="center"/>
          </w:tcPr>
          <w:p w14:paraId="0C9D183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997C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520" w:type="dxa"/>
            <w:vAlign w:val="center"/>
          </w:tcPr>
          <w:p w14:paraId="619C8FD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tcPr>
          <w:p w14:paraId="4B54FAF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厕所不达标(厕所内墙裙应当铺贴高度1.5米的白瓷片，使槽内底部和旁侧应铺贴白瓷牌，地面、蹲台采用水泥浆抹面。厕所内应当设置洗手槽、便槽自动冲水设备、加盖化粪池，禁止将粪便直接排入下水道和河道。对厕所要落实专人清扫，定期喷药，不得有异味，要保持清洁卫生)</w:t>
            </w:r>
          </w:p>
        </w:tc>
        <w:tc>
          <w:tcPr>
            <w:tcW w:w="1605" w:type="dxa"/>
            <w:noWrap/>
            <w:vAlign w:val="center"/>
          </w:tcPr>
          <w:p w14:paraId="2942320E">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79B23E3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943C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15A911C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十二</w:t>
            </w:r>
          </w:p>
        </w:tc>
        <w:tc>
          <w:tcPr>
            <w:tcW w:w="7114" w:type="dxa"/>
          </w:tcPr>
          <w:p w14:paraId="7383BD10">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厨房</w:t>
            </w:r>
          </w:p>
        </w:tc>
        <w:tc>
          <w:tcPr>
            <w:tcW w:w="1605" w:type="dxa"/>
            <w:noWrap/>
            <w:vAlign w:val="center"/>
          </w:tcPr>
          <w:p w14:paraId="7D79BC4E">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15" w:type="dxa"/>
            <w:vAlign w:val="center"/>
          </w:tcPr>
          <w:p w14:paraId="6B9F151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882D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520" w:type="dxa"/>
            <w:vAlign w:val="center"/>
          </w:tcPr>
          <w:p w14:paraId="1CA4B65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tcPr>
          <w:p w14:paraId="425EB50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厨房不达标(施工场如设置一个或以上的集体厨房，位置原则上远离厕所30米以上，远离建筑物排棚、作业场所、污水沟及其他污染源20米以上。厨房内要求通风、卫生，经常保持清洁，生熟间要分隔，内墙要铺贴高2米的白瓷片，其余抹平扫白，门窗及洞口要设置纱窗，地面排水良好,满足消防要求)</w:t>
            </w:r>
          </w:p>
        </w:tc>
        <w:tc>
          <w:tcPr>
            <w:tcW w:w="1605" w:type="dxa"/>
            <w:noWrap/>
            <w:vAlign w:val="center"/>
          </w:tcPr>
          <w:p w14:paraId="6889F79F">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14A7693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27ED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32B2500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十三</w:t>
            </w:r>
          </w:p>
        </w:tc>
        <w:tc>
          <w:tcPr>
            <w:tcW w:w="7114" w:type="dxa"/>
          </w:tcPr>
          <w:p w14:paraId="6B924A8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卫生防疫</w:t>
            </w:r>
          </w:p>
        </w:tc>
        <w:tc>
          <w:tcPr>
            <w:tcW w:w="1605" w:type="dxa"/>
            <w:noWrap/>
            <w:vAlign w:val="center"/>
          </w:tcPr>
          <w:p w14:paraId="77783D4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15" w:type="dxa"/>
            <w:vAlign w:val="center"/>
          </w:tcPr>
          <w:p w14:paraId="6643377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0D33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trPr>
        <w:tc>
          <w:tcPr>
            <w:tcW w:w="520" w:type="dxa"/>
            <w:vAlign w:val="center"/>
          </w:tcPr>
          <w:p w14:paraId="26B2A89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tcPr>
          <w:p w14:paraId="3C2F927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现场内的厨房不符合广州市人民政府有关建筑工地厨房卫生要求的规定，申办食品卫生许可证。炊事员和茶水员上岗必须持有效的健康证和岗位培训证，上班期间必须穿戴白衣帽及袖套。洗、切、煮、卖、存等环节要设置合理，生熟严格分开，餐具用后随即洗刷干净，并按规定消毒</w:t>
            </w:r>
          </w:p>
        </w:tc>
        <w:tc>
          <w:tcPr>
            <w:tcW w:w="1605" w:type="dxa"/>
            <w:noWrap/>
            <w:vAlign w:val="center"/>
          </w:tcPr>
          <w:p w14:paraId="54270EE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10D0B96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B097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071080C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tcPr>
          <w:p w14:paraId="11B6F39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施工现场没有设茶水亭和茶水桶，茶水桶要有盖、加锁和有标志。夏季施工应当有防暑降温措施</w:t>
            </w:r>
          </w:p>
        </w:tc>
        <w:tc>
          <w:tcPr>
            <w:tcW w:w="1605" w:type="dxa"/>
            <w:noWrap/>
            <w:vAlign w:val="center"/>
          </w:tcPr>
          <w:p w14:paraId="035FAFF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19C109F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7219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4445234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14" w:type="dxa"/>
          </w:tcPr>
          <w:p w14:paraId="2EE819B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施工现场没有设立医疗室或设立有效的医疗急救箱。施工应当落实各项除“皿害”措施，严格控制“四害”孳生，无力自选落实除“四害”措施的，可委托社会机构代为处理</w:t>
            </w:r>
          </w:p>
        </w:tc>
        <w:tc>
          <w:tcPr>
            <w:tcW w:w="1605" w:type="dxa"/>
            <w:noWrap/>
            <w:vAlign w:val="center"/>
          </w:tcPr>
          <w:p w14:paraId="4A5AFB2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597ECF5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C76A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520" w:type="dxa"/>
            <w:vAlign w:val="center"/>
          </w:tcPr>
          <w:p w14:paraId="65F888C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十四</w:t>
            </w:r>
          </w:p>
        </w:tc>
        <w:tc>
          <w:tcPr>
            <w:tcW w:w="7114" w:type="dxa"/>
            <w:vAlign w:val="center"/>
          </w:tcPr>
          <w:p w14:paraId="2771A56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环境保护</w:t>
            </w:r>
          </w:p>
        </w:tc>
        <w:tc>
          <w:tcPr>
            <w:tcW w:w="1605" w:type="dxa"/>
            <w:noWrap/>
            <w:vAlign w:val="center"/>
          </w:tcPr>
          <w:p w14:paraId="244E845D">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15" w:type="dxa"/>
            <w:vAlign w:val="center"/>
          </w:tcPr>
          <w:p w14:paraId="44EC87B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AA16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20" w:type="dxa"/>
            <w:vAlign w:val="center"/>
          </w:tcPr>
          <w:p w14:paraId="5E2C461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14" w:type="dxa"/>
          </w:tcPr>
          <w:p w14:paraId="30ADAA3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拆卸工程没有当先里外进行，作业面必须采取喷水降尘措施。市政工程及其他工程没有在粉尘飞扬处采取遮挡围蔽或喷水降尘等措施</w:t>
            </w:r>
          </w:p>
        </w:tc>
        <w:tc>
          <w:tcPr>
            <w:tcW w:w="1605" w:type="dxa"/>
            <w:noWrap/>
            <w:vAlign w:val="center"/>
          </w:tcPr>
          <w:p w14:paraId="0227D08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06C7129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411B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20" w:type="dxa"/>
            <w:vAlign w:val="center"/>
          </w:tcPr>
          <w:p w14:paraId="0607037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14" w:type="dxa"/>
          </w:tcPr>
          <w:p w14:paraId="6BA1F24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建设工程除抢险工程外，每天施工作业时间限制在每日七时至十二时和十四时至二十二时，因工程技术或工程质量要求连续作业的，没有在工程所在地建设行政主管部门批准，并采取措施降低设备噪音后方能延长作业时间</w:t>
            </w:r>
          </w:p>
        </w:tc>
        <w:tc>
          <w:tcPr>
            <w:tcW w:w="1605" w:type="dxa"/>
            <w:noWrap/>
            <w:vAlign w:val="center"/>
          </w:tcPr>
          <w:p w14:paraId="2D2A997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7877AEB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4856D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520" w:type="dxa"/>
            <w:vAlign w:val="center"/>
          </w:tcPr>
          <w:p w14:paraId="704AB5A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14" w:type="dxa"/>
          </w:tcPr>
          <w:p w14:paraId="5D9456E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在建的工程项目没有遵守广州市人民政府有关扩大建设工程使用散装水泥和商品混凝土范围的规定，在规定的范围内应当使用散装水泥和商品混凝土</w:t>
            </w:r>
          </w:p>
        </w:tc>
        <w:tc>
          <w:tcPr>
            <w:tcW w:w="1605" w:type="dxa"/>
            <w:noWrap/>
            <w:vAlign w:val="center"/>
          </w:tcPr>
          <w:p w14:paraId="444514D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2538593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1D3F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520" w:type="dxa"/>
            <w:vAlign w:val="center"/>
          </w:tcPr>
          <w:p w14:paraId="29C75DE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7114" w:type="dxa"/>
          </w:tcPr>
          <w:p w14:paraId="614C1D0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在建的工程项目没有遵守广州市人民政府有关散体物料管理的规定，在排放、运输、受纳散体物料前办理批准手续，并按规定委托有资质的单位和合格车辆运输，不许超载</w:t>
            </w:r>
          </w:p>
        </w:tc>
        <w:tc>
          <w:tcPr>
            <w:tcW w:w="1605" w:type="dxa"/>
            <w:noWrap/>
            <w:vAlign w:val="center"/>
          </w:tcPr>
          <w:p w14:paraId="052A0B5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4B089C6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589D6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520" w:type="dxa"/>
            <w:vAlign w:val="center"/>
          </w:tcPr>
          <w:p w14:paraId="16718F5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7114" w:type="dxa"/>
          </w:tcPr>
          <w:p w14:paraId="61ACDEB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施工现场内的各类炉灶使用有毒物体作燃料,燃烧建筑废料和生活垃圾</w:t>
            </w:r>
          </w:p>
        </w:tc>
        <w:tc>
          <w:tcPr>
            <w:tcW w:w="1605" w:type="dxa"/>
            <w:noWrap/>
            <w:vAlign w:val="center"/>
          </w:tcPr>
          <w:p w14:paraId="7713522D">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违约一次给予一般违约</w:t>
            </w:r>
          </w:p>
        </w:tc>
        <w:tc>
          <w:tcPr>
            <w:tcW w:w="615" w:type="dxa"/>
            <w:vAlign w:val="center"/>
          </w:tcPr>
          <w:p w14:paraId="1D508175">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bl>
    <w:p w14:paraId="2F109B10">
      <w:pPr>
        <w:pStyle w:val="62"/>
        <w:ind w:right="992" w:firstLine="0" w:firstLineChars="0"/>
        <w:rPr>
          <w:color w:val="auto"/>
          <w:highlight w:val="none"/>
        </w:rPr>
      </w:pPr>
    </w:p>
    <w:p w14:paraId="491EFB55">
      <w:pPr>
        <w:pStyle w:val="62"/>
        <w:ind w:right="992" w:firstLine="0" w:firstLineChars="0"/>
        <w:rPr>
          <w:color w:val="auto"/>
          <w:highlight w:val="none"/>
        </w:rPr>
      </w:pPr>
      <w:r>
        <w:rPr>
          <w:color w:val="auto"/>
          <w:highlight w:val="none"/>
        </w:rPr>
        <w:br w:type="page"/>
      </w:r>
      <w:r>
        <w:rPr>
          <w:rFonts w:hint="eastAsia"/>
          <w:color w:val="auto"/>
          <w:highlight w:val="none"/>
        </w:rPr>
        <w:t>附件18：房屋建筑工程工地文明施工检查标准</w:t>
      </w:r>
    </w:p>
    <w:tbl>
      <w:tblPr>
        <w:tblStyle w:val="47"/>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67"/>
        <w:gridCol w:w="562"/>
        <w:gridCol w:w="767"/>
        <w:gridCol w:w="4389"/>
        <w:gridCol w:w="491"/>
        <w:gridCol w:w="989"/>
      </w:tblGrid>
      <w:tr w14:paraId="38E2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433" w:type="dxa"/>
            <w:gridSpan w:val="7"/>
            <w:vAlign w:val="center"/>
          </w:tcPr>
          <w:p w14:paraId="70BD9C8F">
            <w:pPr>
              <w:widowControl/>
              <w:jc w:val="center"/>
              <w:rPr>
                <w:rFonts w:ascii="宋体" w:hAnsi="宋体" w:cs="宋体"/>
                <w:color w:val="auto"/>
                <w:kern w:val="0"/>
                <w:sz w:val="36"/>
                <w:szCs w:val="36"/>
                <w:highlight w:val="none"/>
              </w:rPr>
            </w:pPr>
            <w:r>
              <w:rPr>
                <w:rFonts w:hint="eastAsia" w:ascii="宋体" w:hAnsi="宋体" w:cs="宋体"/>
                <w:color w:val="auto"/>
                <w:kern w:val="0"/>
                <w:sz w:val="36"/>
                <w:szCs w:val="36"/>
                <w:highlight w:val="none"/>
              </w:rPr>
              <w:t>房屋建筑工程工地文明施工检查标准</w:t>
            </w:r>
          </w:p>
        </w:tc>
      </w:tr>
      <w:tr w14:paraId="71C7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dxa"/>
            <w:vAlign w:val="center"/>
          </w:tcPr>
          <w:p w14:paraId="51FC3F3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767" w:type="dxa"/>
            <w:vAlign w:val="center"/>
          </w:tcPr>
          <w:p w14:paraId="3590B39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检查内容</w:t>
            </w:r>
          </w:p>
        </w:tc>
        <w:tc>
          <w:tcPr>
            <w:tcW w:w="1329" w:type="dxa"/>
            <w:gridSpan w:val="2"/>
            <w:vAlign w:val="center"/>
          </w:tcPr>
          <w:p w14:paraId="3B609C6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子项</w:t>
            </w:r>
          </w:p>
        </w:tc>
        <w:tc>
          <w:tcPr>
            <w:tcW w:w="4389" w:type="dxa"/>
            <w:vAlign w:val="center"/>
          </w:tcPr>
          <w:p w14:paraId="2C7BA5C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检查标准、要求</w:t>
            </w:r>
          </w:p>
        </w:tc>
        <w:tc>
          <w:tcPr>
            <w:tcW w:w="491" w:type="dxa"/>
            <w:vAlign w:val="center"/>
          </w:tcPr>
          <w:p w14:paraId="23756B0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检查结果</w:t>
            </w:r>
          </w:p>
        </w:tc>
        <w:tc>
          <w:tcPr>
            <w:tcW w:w="989" w:type="dxa"/>
            <w:vAlign w:val="center"/>
          </w:tcPr>
          <w:p w14:paraId="4540111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14:paraId="30AD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dxa"/>
            <w:vMerge w:val="restart"/>
            <w:vAlign w:val="center"/>
          </w:tcPr>
          <w:p w14:paraId="29F851D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767" w:type="dxa"/>
            <w:vMerge w:val="restart"/>
            <w:vAlign w:val="center"/>
          </w:tcPr>
          <w:p w14:paraId="71353F3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工地场地容貌管理</w:t>
            </w:r>
          </w:p>
        </w:tc>
        <w:tc>
          <w:tcPr>
            <w:tcW w:w="1329" w:type="dxa"/>
            <w:gridSpan w:val="2"/>
            <w:vAlign w:val="center"/>
          </w:tcPr>
          <w:p w14:paraId="29BA100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场区布置</w:t>
            </w:r>
          </w:p>
        </w:tc>
        <w:tc>
          <w:tcPr>
            <w:tcW w:w="4389" w:type="dxa"/>
            <w:vAlign w:val="center"/>
          </w:tcPr>
          <w:p w14:paraId="2CEE0DF8">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1.施工作业区与办公、生活区应当分开设置，具有足够的安全距离，采取相应的隔离措施。2.施工现场四周应当设置连续、封闭的围档。</w:t>
            </w:r>
          </w:p>
        </w:tc>
        <w:tc>
          <w:tcPr>
            <w:tcW w:w="491" w:type="dxa"/>
            <w:vAlign w:val="center"/>
          </w:tcPr>
          <w:p w14:paraId="2D19F23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restart"/>
            <w:vAlign w:val="center"/>
          </w:tcPr>
          <w:p w14:paraId="702E435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经检查现场不符合要求，暂扣当期进度款中措施费总额的15%</w:t>
            </w:r>
          </w:p>
        </w:tc>
      </w:tr>
      <w:tr w14:paraId="04D3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68" w:type="dxa"/>
            <w:vMerge w:val="continue"/>
            <w:vAlign w:val="center"/>
          </w:tcPr>
          <w:p w14:paraId="07C8B197">
            <w:pPr>
              <w:widowControl/>
              <w:jc w:val="left"/>
              <w:rPr>
                <w:rFonts w:ascii="宋体" w:hAnsi="宋体" w:cs="宋体"/>
                <w:color w:val="auto"/>
                <w:kern w:val="0"/>
                <w:sz w:val="24"/>
                <w:szCs w:val="24"/>
                <w:highlight w:val="none"/>
              </w:rPr>
            </w:pPr>
          </w:p>
        </w:tc>
        <w:tc>
          <w:tcPr>
            <w:tcW w:w="767" w:type="dxa"/>
            <w:vMerge w:val="continue"/>
            <w:vAlign w:val="center"/>
          </w:tcPr>
          <w:p w14:paraId="0B83695B">
            <w:pPr>
              <w:widowControl/>
              <w:jc w:val="left"/>
              <w:rPr>
                <w:rFonts w:ascii="宋体" w:hAnsi="宋体" w:cs="宋体"/>
                <w:color w:val="auto"/>
                <w:kern w:val="0"/>
                <w:sz w:val="24"/>
                <w:szCs w:val="24"/>
                <w:highlight w:val="none"/>
              </w:rPr>
            </w:pPr>
          </w:p>
        </w:tc>
        <w:tc>
          <w:tcPr>
            <w:tcW w:w="1329" w:type="dxa"/>
            <w:gridSpan w:val="2"/>
            <w:vAlign w:val="center"/>
          </w:tcPr>
          <w:p w14:paraId="2456EA5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标牌、铭牌设置</w:t>
            </w:r>
          </w:p>
        </w:tc>
        <w:tc>
          <w:tcPr>
            <w:tcW w:w="4389" w:type="dxa"/>
            <w:vAlign w:val="center"/>
          </w:tcPr>
          <w:p w14:paraId="031EF184">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在醒目位置设置施工铭牌（五牌一图），并张贴有关许可证件。2.施工铭牌应当明确项目名称，建设、施工、监理单位及项目负责人姓名，监督机构名称，开工、计划竣工日期和监督投诉电话等。3.标牌需至少每年更换一次。</w:t>
            </w:r>
          </w:p>
        </w:tc>
        <w:tc>
          <w:tcPr>
            <w:tcW w:w="491" w:type="dxa"/>
            <w:vAlign w:val="center"/>
          </w:tcPr>
          <w:p w14:paraId="7EAFB35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47E6D8DF">
            <w:pPr>
              <w:widowControl/>
              <w:jc w:val="left"/>
              <w:rPr>
                <w:rFonts w:ascii="宋体" w:hAnsi="宋体" w:cs="宋体"/>
                <w:color w:val="auto"/>
                <w:kern w:val="0"/>
                <w:sz w:val="24"/>
                <w:szCs w:val="24"/>
                <w:highlight w:val="none"/>
              </w:rPr>
            </w:pPr>
          </w:p>
        </w:tc>
      </w:tr>
      <w:tr w14:paraId="2E5D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8" w:type="dxa"/>
            <w:vMerge w:val="continue"/>
            <w:vAlign w:val="center"/>
          </w:tcPr>
          <w:p w14:paraId="7E9005EE">
            <w:pPr>
              <w:widowControl/>
              <w:jc w:val="left"/>
              <w:rPr>
                <w:rFonts w:ascii="宋体" w:hAnsi="宋体" w:cs="宋体"/>
                <w:color w:val="auto"/>
                <w:kern w:val="0"/>
                <w:sz w:val="24"/>
                <w:szCs w:val="24"/>
                <w:highlight w:val="none"/>
              </w:rPr>
            </w:pPr>
          </w:p>
        </w:tc>
        <w:tc>
          <w:tcPr>
            <w:tcW w:w="767" w:type="dxa"/>
            <w:vMerge w:val="continue"/>
            <w:vAlign w:val="center"/>
          </w:tcPr>
          <w:p w14:paraId="4FBB4454">
            <w:pPr>
              <w:widowControl/>
              <w:jc w:val="left"/>
              <w:rPr>
                <w:rFonts w:ascii="宋体" w:hAnsi="宋体" w:cs="宋体"/>
                <w:color w:val="auto"/>
                <w:kern w:val="0"/>
                <w:sz w:val="24"/>
                <w:szCs w:val="24"/>
                <w:highlight w:val="none"/>
              </w:rPr>
            </w:pPr>
          </w:p>
        </w:tc>
        <w:tc>
          <w:tcPr>
            <w:tcW w:w="1329" w:type="dxa"/>
            <w:gridSpan w:val="2"/>
            <w:vAlign w:val="center"/>
          </w:tcPr>
          <w:p w14:paraId="56483D79">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材料堆放管理</w:t>
            </w:r>
          </w:p>
        </w:tc>
        <w:tc>
          <w:tcPr>
            <w:tcW w:w="4389" w:type="dxa"/>
            <w:vAlign w:val="center"/>
          </w:tcPr>
          <w:p w14:paraId="028624F0">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1.施工现场的建筑材料和设备设施，应当按照施工总平面图划定的区域存放整齐，并设置标签，不得堆放在现场围蔽以外。</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2.施工现场的机具、设备等应及时清洗，保证外观清洁。</w:t>
            </w:r>
          </w:p>
        </w:tc>
        <w:tc>
          <w:tcPr>
            <w:tcW w:w="491" w:type="dxa"/>
            <w:vAlign w:val="center"/>
          </w:tcPr>
          <w:p w14:paraId="360A154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1B2C4D52">
            <w:pPr>
              <w:widowControl/>
              <w:jc w:val="left"/>
              <w:rPr>
                <w:rFonts w:ascii="宋体" w:hAnsi="宋体" w:cs="宋体"/>
                <w:color w:val="auto"/>
                <w:kern w:val="0"/>
                <w:sz w:val="24"/>
                <w:szCs w:val="24"/>
                <w:highlight w:val="none"/>
              </w:rPr>
            </w:pPr>
          </w:p>
        </w:tc>
      </w:tr>
      <w:tr w14:paraId="2917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dxa"/>
            <w:vMerge w:val="continue"/>
            <w:vAlign w:val="center"/>
          </w:tcPr>
          <w:p w14:paraId="6B14DAF0">
            <w:pPr>
              <w:widowControl/>
              <w:jc w:val="left"/>
              <w:rPr>
                <w:rFonts w:ascii="宋体" w:hAnsi="宋体" w:cs="宋体"/>
                <w:color w:val="auto"/>
                <w:kern w:val="0"/>
                <w:sz w:val="24"/>
                <w:szCs w:val="24"/>
                <w:highlight w:val="none"/>
              </w:rPr>
            </w:pPr>
          </w:p>
        </w:tc>
        <w:tc>
          <w:tcPr>
            <w:tcW w:w="767" w:type="dxa"/>
            <w:vMerge w:val="continue"/>
            <w:vAlign w:val="center"/>
          </w:tcPr>
          <w:p w14:paraId="6C5083A2">
            <w:pPr>
              <w:widowControl/>
              <w:jc w:val="left"/>
              <w:rPr>
                <w:rFonts w:ascii="宋体" w:hAnsi="宋体" w:cs="宋体"/>
                <w:color w:val="auto"/>
                <w:kern w:val="0"/>
                <w:sz w:val="24"/>
                <w:szCs w:val="24"/>
                <w:highlight w:val="none"/>
              </w:rPr>
            </w:pPr>
          </w:p>
        </w:tc>
        <w:tc>
          <w:tcPr>
            <w:tcW w:w="1329" w:type="dxa"/>
            <w:gridSpan w:val="2"/>
            <w:vAlign w:val="center"/>
          </w:tcPr>
          <w:p w14:paraId="448AD98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卫生防疫管理</w:t>
            </w:r>
          </w:p>
        </w:tc>
        <w:tc>
          <w:tcPr>
            <w:tcW w:w="4389" w:type="dxa"/>
            <w:vAlign w:val="center"/>
          </w:tcPr>
          <w:p w14:paraId="2B671DAA">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1.场地积水、垃圾等及时清理。2.定期进行防鼠灭蚊消杀。</w:t>
            </w:r>
          </w:p>
        </w:tc>
        <w:tc>
          <w:tcPr>
            <w:tcW w:w="491" w:type="dxa"/>
            <w:vAlign w:val="center"/>
          </w:tcPr>
          <w:p w14:paraId="7412D6C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7D545721">
            <w:pPr>
              <w:widowControl/>
              <w:jc w:val="left"/>
              <w:rPr>
                <w:rFonts w:ascii="宋体" w:hAnsi="宋体" w:cs="宋体"/>
                <w:color w:val="auto"/>
                <w:kern w:val="0"/>
                <w:sz w:val="24"/>
                <w:szCs w:val="24"/>
                <w:highlight w:val="none"/>
              </w:rPr>
            </w:pPr>
          </w:p>
        </w:tc>
      </w:tr>
      <w:tr w14:paraId="15BD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dxa"/>
            <w:vMerge w:val="continue"/>
            <w:vAlign w:val="center"/>
          </w:tcPr>
          <w:p w14:paraId="005CB582">
            <w:pPr>
              <w:widowControl/>
              <w:jc w:val="left"/>
              <w:rPr>
                <w:rFonts w:ascii="宋体" w:hAnsi="宋体" w:cs="宋体"/>
                <w:color w:val="auto"/>
                <w:kern w:val="0"/>
                <w:sz w:val="24"/>
                <w:szCs w:val="24"/>
                <w:highlight w:val="none"/>
              </w:rPr>
            </w:pPr>
          </w:p>
        </w:tc>
        <w:tc>
          <w:tcPr>
            <w:tcW w:w="767" w:type="dxa"/>
            <w:vMerge w:val="continue"/>
            <w:vAlign w:val="center"/>
          </w:tcPr>
          <w:p w14:paraId="624EE600">
            <w:pPr>
              <w:widowControl/>
              <w:jc w:val="left"/>
              <w:rPr>
                <w:rFonts w:ascii="宋体" w:hAnsi="宋体" w:cs="宋体"/>
                <w:color w:val="auto"/>
                <w:kern w:val="0"/>
                <w:sz w:val="24"/>
                <w:szCs w:val="24"/>
                <w:highlight w:val="none"/>
              </w:rPr>
            </w:pPr>
          </w:p>
        </w:tc>
        <w:tc>
          <w:tcPr>
            <w:tcW w:w="1329" w:type="dxa"/>
            <w:gridSpan w:val="2"/>
            <w:vAlign w:val="center"/>
          </w:tcPr>
          <w:p w14:paraId="1E6601F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门卫安保管理</w:t>
            </w:r>
          </w:p>
        </w:tc>
        <w:tc>
          <w:tcPr>
            <w:tcW w:w="4389" w:type="dxa"/>
            <w:vAlign w:val="center"/>
          </w:tcPr>
          <w:p w14:paraId="0B26CB62">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1.应落实门卫24小时值班制度。2.应当做好建设工地施工现场安全保卫工作，落实防盗、防火措施。</w:t>
            </w:r>
          </w:p>
        </w:tc>
        <w:tc>
          <w:tcPr>
            <w:tcW w:w="491" w:type="dxa"/>
            <w:vAlign w:val="center"/>
          </w:tcPr>
          <w:p w14:paraId="465DB47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6864FFDE">
            <w:pPr>
              <w:widowControl/>
              <w:jc w:val="left"/>
              <w:rPr>
                <w:rFonts w:ascii="宋体" w:hAnsi="宋体" w:cs="宋体"/>
                <w:color w:val="auto"/>
                <w:kern w:val="0"/>
                <w:sz w:val="24"/>
                <w:szCs w:val="24"/>
                <w:highlight w:val="none"/>
              </w:rPr>
            </w:pPr>
          </w:p>
        </w:tc>
      </w:tr>
      <w:tr w14:paraId="2DAD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dxa"/>
            <w:vMerge w:val="continue"/>
            <w:vAlign w:val="center"/>
          </w:tcPr>
          <w:p w14:paraId="1CCA370D">
            <w:pPr>
              <w:widowControl/>
              <w:jc w:val="left"/>
              <w:rPr>
                <w:rFonts w:ascii="宋体" w:hAnsi="宋体" w:cs="宋体"/>
                <w:color w:val="auto"/>
                <w:kern w:val="0"/>
                <w:sz w:val="24"/>
                <w:szCs w:val="24"/>
                <w:highlight w:val="none"/>
              </w:rPr>
            </w:pPr>
          </w:p>
        </w:tc>
        <w:tc>
          <w:tcPr>
            <w:tcW w:w="767" w:type="dxa"/>
            <w:vMerge w:val="continue"/>
            <w:vAlign w:val="center"/>
          </w:tcPr>
          <w:p w14:paraId="1D4B7CF7">
            <w:pPr>
              <w:widowControl/>
              <w:jc w:val="left"/>
              <w:rPr>
                <w:rFonts w:ascii="宋体" w:hAnsi="宋体" w:cs="宋体"/>
                <w:color w:val="auto"/>
                <w:kern w:val="0"/>
                <w:sz w:val="24"/>
                <w:szCs w:val="24"/>
                <w:highlight w:val="none"/>
              </w:rPr>
            </w:pPr>
          </w:p>
        </w:tc>
        <w:tc>
          <w:tcPr>
            <w:tcW w:w="1329" w:type="dxa"/>
            <w:gridSpan w:val="2"/>
            <w:vAlign w:val="center"/>
          </w:tcPr>
          <w:p w14:paraId="4F8AA8E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工地宿舍管理</w:t>
            </w:r>
          </w:p>
        </w:tc>
        <w:tc>
          <w:tcPr>
            <w:tcW w:w="4389" w:type="dxa"/>
            <w:vAlign w:val="center"/>
          </w:tcPr>
          <w:p w14:paraId="3BBE30F8">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1.不能使用大功率设备。2.不能存放电动车或进行充电。3.环境卫生整洁保持通风。</w:t>
            </w:r>
          </w:p>
        </w:tc>
        <w:tc>
          <w:tcPr>
            <w:tcW w:w="491" w:type="dxa"/>
            <w:vAlign w:val="center"/>
          </w:tcPr>
          <w:p w14:paraId="3446BDA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43A45D6A">
            <w:pPr>
              <w:widowControl/>
              <w:jc w:val="left"/>
              <w:rPr>
                <w:rFonts w:ascii="宋体" w:hAnsi="宋体" w:cs="宋体"/>
                <w:color w:val="auto"/>
                <w:kern w:val="0"/>
                <w:sz w:val="24"/>
                <w:szCs w:val="24"/>
                <w:highlight w:val="none"/>
              </w:rPr>
            </w:pPr>
          </w:p>
        </w:tc>
      </w:tr>
      <w:tr w14:paraId="0109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468" w:type="dxa"/>
            <w:vMerge w:val="restart"/>
            <w:vAlign w:val="center"/>
          </w:tcPr>
          <w:p w14:paraId="414AD81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767" w:type="dxa"/>
            <w:vMerge w:val="restart"/>
            <w:vAlign w:val="center"/>
          </w:tcPr>
          <w:p w14:paraId="54EFF58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围蔽</w:t>
            </w:r>
          </w:p>
        </w:tc>
        <w:tc>
          <w:tcPr>
            <w:tcW w:w="562" w:type="dxa"/>
            <w:vMerge w:val="restart"/>
            <w:vAlign w:val="center"/>
          </w:tcPr>
          <w:p w14:paraId="4D8678B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围墙</w:t>
            </w:r>
          </w:p>
        </w:tc>
        <w:tc>
          <w:tcPr>
            <w:tcW w:w="767" w:type="dxa"/>
            <w:vAlign w:val="center"/>
          </w:tcPr>
          <w:p w14:paraId="06E89B2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围蔽结构</w:t>
            </w:r>
          </w:p>
        </w:tc>
        <w:tc>
          <w:tcPr>
            <w:tcW w:w="4389" w:type="dxa"/>
            <w:vAlign w:val="center"/>
          </w:tcPr>
          <w:p w14:paraId="2C3BDB2E">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根据工程工期、场地条件、施工所在区域的景观风貌要求，并结合现场施工组织等实际情况，选用合适的围蔽方式。围蔽样式选用参照《广州市建设工程绿色施工围蔽指导图集(V2.0试行版)》执行。2.房屋建筑工程和工期在半年及以上的工程，采用装配式方钢结构围蔽、装配式日型钢结构围蔽、装配式穿孔金属板。3.工期在半年以内的工程，可采用装配式临时活动式围蔽、仿真绿植型围蔽等(装配式临时活动式结构)。4.装配式围蔽高度为2.5米。</w:t>
            </w:r>
          </w:p>
        </w:tc>
        <w:tc>
          <w:tcPr>
            <w:tcW w:w="491" w:type="dxa"/>
            <w:vAlign w:val="center"/>
          </w:tcPr>
          <w:p w14:paraId="190348A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restart"/>
            <w:vAlign w:val="center"/>
          </w:tcPr>
          <w:p w14:paraId="59677D9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经检查现场不符合要求，暂扣当期进度款中措施费总额的30%</w:t>
            </w:r>
          </w:p>
        </w:tc>
      </w:tr>
      <w:tr w14:paraId="5CE7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dxa"/>
            <w:vMerge w:val="continue"/>
            <w:vAlign w:val="center"/>
          </w:tcPr>
          <w:p w14:paraId="23644C80">
            <w:pPr>
              <w:widowControl/>
              <w:jc w:val="left"/>
              <w:rPr>
                <w:rFonts w:ascii="宋体" w:hAnsi="宋体" w:cs="宋体"/>
                <w:color w:val="auto"/>
                <w:kern w:val="0"/>
                <w:sz w:val="24"/>
                <w:szCs w:val="24"/>
                <w:highlight w:val="none"/>
              </w:rPr>
            </w:pPr>
          </w:p>
        </w:tc>
        <w:tc>
          <w:tcPr>
            <w:tcW w:w="767" w:type="dxa"/>
            <w:vMerge w:val="continue"/>
            <w:vAlign w:val="center"/>
          </w:tcPr>
          <w:p w14:paraId="118B0A39">
            <w:pPr>
              <w:widowControl/>
              <w:jc w:val="left"/>
              <w:rPr>
                <w:rFonts w:ascii="宋体" w:hAnsi="宋体" w:cs="宋体"/>
                <w:color w:val="auto"/>
                <w:kern w:val="0"/>
                <w:sz w:val="24"/>
                <w:szCs w:val="24"/>
                <w:highlight w:val="none"/>
              </w:rPr>
            </w:pPr>
          </w:p>
        </w:tc>
        <w:tc>
          <w:tcPr>
            <w:tcW w:w="562" w:type="dxa"/>
            <w:vMerge w:val="continue"/>
            <w:vAlign w:val="center"/>
          </w:tcPr>
          <w:p w14:paraId="1B09252E">
            <w:pPr>
              <w:widowControl/>
              <w:jc w:val="left"/>
              <w:rPr>
                <w:rFonts w:ascii="宋体" w:hAnsi="宋体" w:cs="宋体"/>
                <w:color w:val="auto"/>
                <w:kern w:val="0"/>
                <w:sz w:val="24"/>
                <w:szCs w:val="24"/>
                <w:highlight w:val="none"/>
              </w:rPr>
            </w:pPr>
          </w:p>
        </w:tc>
        <w:tc>
          <w:tcPr>
            <w:tcW w:w="767" w:type="dxa"/>
            <w:vAlign w:val="center"/>
          </w:tcPr>
          <w:p w14:paraId="28F5AE3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立体绿化</w:t>
            </w:r>
          </w:p>
        </w:tc>
        <w:tc>
          <w:tcPr>
            <w:tcW w:w="4389" w:type="dxa"/>
            <w:vAlign w:val="center"/>
          </w:tcPr>
          <w:p w14:paraId="28FE074D">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1.立体绿化围蔽应悬挂公益广告标语，要求:字体尺寸为60-80cm，纵向居中安装，铝塑板定制成型，采用铁线将字体模块与围蔽骨架绑扎固定。</w:t>
            </w:r>
          </w:p>
        </w:tc>
        <w:tc>
          <w:tcPr>
            <w:tcW w:w="491" w:type="dxa"/>
            <w:vAlign w:val="center"/>
          </w:tcPr>
          <w:p w14:paraId="3316E00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3677751E">
            <w:pPr>
              <w:widowControl/>
              <w:jc w:val="left"/>
              <w:rPr>
                <w:rFonts w:ascii="宋体" w:hAnsi="宋体" w:cs="宋体"/>
                <w:color w:val="auto"/>
                <w:kern w:val="0"/>
                <w:sz w:val="24"/>
                <w:szCs w:val="24"/>
                <w:highlight w:val="none"/>
              </w:rPr>
            </w:pPr>
          </w:p>
        </w:tc>
      </w:tr>
      <w:tr w14:paraId="006B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68" w:type="dxa"/>
            <w:vMerge w:val="continue"/>
            <w:vAlign w:val="center"/>
          </w:tcPr>
          <w:p w14:paraId="287B522A">
            <w:pPr>
              <w:widowControl/>
              <w:jc w:val="left"/>
              <w:rPr>
                <w:rFonts w:ascii="宋体" w:hAnsi="宋体" w:cs="宋体"/>
                <w:color w:val="auto"/>
                <w:kern w:val="0"/>
                <w:sz w:val="24"/>
                <w:szCs w:val="24"/>
                <w:highlight w:val="none"/>
              </w:rPr>
            </w:pPr>
          </w:p>
        </w:tc>
        <w:tc>
          <w:tcPr>
            <w:tcW w:w="767" w:type="dxa"/>
            <w:vMerge w:val="continue"/>
            <w:vAlign w:val="center"/>
          </w:tcPr>
          <w:p w14:paraId="0009A512">
            <w:pPr>
              <w:widowControl/>
              <w:jc w:val="left"/>
              <w:rPr>
                <w:rFonts w:ascii="宋体" w:hAnsi="宋体" w:cs="宋体"/>
                <w:color w:val="auto"/>
                <w:kern w:val="0"/>
                <w:sz w:val="24"/>
                <w:szCs w:val="24"/>
                <w:highlight w:val="none"/>
              </w:rPr>
            </w:pPr>
          </w:p>
        </w:tc>
        <w:tc>
          <w:tcPr>
            <w:tcW w:w="562" w:type="dxa"/>
            <w:vMerge w:val="continue"/>
            <w:vAlign w:val="center"/>
          </w:tcPr>
          <w:p w14:paraId="267C36AF">
            <w:pPr>
              <w:widowControl/>
              <w:jc w:val="left"/>
              <w:rPr>
                <w:rFonts w:ascii="宋体" w:hAnsi="宋体" w:cs="宋体"/>
                <w:color w:val="auto"/>
                <w:kern w:val="0"/>
                <w:sz w:val="24"/>
                <w:szCs w:val="24"/>
                <w:highlight w:val="none"/>
              </w:rPr>
            </w:pPr>
          </w:p>
        </w:tc>
        <w:tc>
          <w:tcPr>
            <w:tcW w:w="767" w:type="dxa"/>
            <w:vAlign w:val="center"/>
          </w:tcPr>
          <w:p w14:paraId="69E55FE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仿真绿植</w:t>
            </w:r>
          </w:p>
        </w:tc>
        <w:tc>
          <w:tcPr>
            <w:tcW w:w="4389" w:type="dxa"/>
            <w:vAlign w:val="center"/>
          </w:tcPr>
          <w:p w14:paraId="3F650922">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在原钢结构围蔽钢板立面上设置仿真草皮，草皮假草长度不小于15mm;用玻璃胶和螺丝固定，表面要与钢板贴合，褶皱松动面不超过5%。2.仿真绿植围蔽可悬挂公益广告标语。亚克力围边白色LED发光字，侧面灰色，横向居中安装，采用铁线将字体模块与围蔽骨架绑扎固定。</w:t>
            </w:r>
          </w:p>
        </w:tc>
        <w:tc>
          <w:tcPr>
            <w:tcW w:w="491" w:type="dxa"/>
            <w:vAlign w:val="center"/>
          </w:tcPr>
          <w:p w14:paraId="574C92C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29822C89">
            <w:pPr>
              <w:widowControl/>
              <w:jc w:val="left"/>
              <w:rPr>
                <w:rFonts w:ascii="宋体" w:hAnsi="宋体" w:cs="宋体"/>
                <w:color w:val="auto"/>
                <w:kern w:val="0"/>
                <w:sz w:val="24"/>
                <w:szCs w:val="24"/>
                <w:highlight w:val="none"/>
              </w:rPr>
            </w:pPr>
          </w:p>
        </w:tc>
      </w:tr>
      <w:tr w14:paraId="59FE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468" w:type="dxa"/>
            <w:vMerge w:val="continue"/>
            <w:vAlign w:val="center"/>
          </w:tcPr>
          <w:p w14:paraId="370C296F">
            <w:pPr>
              <w:widowControl/>
              <w:jc w:val="left"/>
              <w:rPr>
                <w:rFonts w:ascii="宋体" w:hAnsi="宋体" w:cs="宋体"/>
                <w:color w:val="auto"/>
                <w:kern w:val="0"/>
                <w:sz w:val="24"/>
                <w:szCs w:val="24"/>
                <w:highlight w:val="none"/>
              </w:rPr>
            </w:pPr>
          </w:p>
        </w:tc>
        <w:tc>
          <w:tcPr>
            <w:tcW w:w="767" w:type="dxa"/>
            <w:vMerge w:val="continue"/>
            <w:vAlign w:val="center"/>
          </w:tcPr>
          <w:p w14:paraId="14E0C3B2">
            <w:pPr>
              <w:widowControl/>
              <w:jc w:val="left"/>
              <w:rPr>
                <w:rFonts w:ascii="宋体" w:hAnsi="宋体" w:cs="宋体"/>
                <w:color w:val="auto"/>
                <w:kern w:val="0"/>
                <w:sz w:val="24"/>
                <w:szCs w:val="24"/>
                <w:highlight w:val="none"/>
              </w:rPr>
            </w:pPr>
          </w:p>
        </w:tc>
        <w:tc>
          <w:tcPr>
            <w:tcW w:w="562" w:type="dxa"/>
            <w:vMerge w:val="continue"/>
            <w:vAlign w:val="center"/>
          </w:tcPr>
          <w:p w14:paraId="5C8853B1">
            <w:pPr>
              <w:widowControl/>
              <w:jc w:val="left"/>
              <w:rPr>
                <w:rFonts w:ascii="宋体" w:hAnsi="宋体" w:cs="宋体"/>
                <w:color w:val="auto"/>
                <w:kern w:val="0"/>
                <w:sz w:val="24"/>
                <w:szCs w:val="24"/>
                <w:highlight w:val="none"/>
              </w:rPr>
            </w:pPr>
          </w:p>
        </w:tc>
        <w:tc>
          <w:tcPr>
            <w:tcW w:w="767" w:type="dxa"/>
            <w:vAlign w:val="center"/>
          </w:tcPr>
          <w:p w14:paraId="4E0F3FF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公益广告</w:t>
            </w:r>
          </w:p>
        </w:tc>
        <w:tc>
          <w:tcPr>
            <w:tcW w:w="4389" w:type="dxa"/>
            <w:vAlign w:val="center"/>
          </w:tcPr>
          <w:p w14:paraId="7ACAEC38">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1.工地围蔽所粘贴广告画统一采用经市委宣传部审核发布的公益广告，可在”广州市公益广告库“网站下载。2.公益广告画规格:采用2800x1400mm,2400x1200mm或2400 x 1200mm规格(依柱距确定)。3.公益广告画的固定定在围蔽墙体。采用可周转使用的金属边框，采用自攻螺丝固定在围蔽墙体。4.公益广告需至少每年更换一次。</w:t>
            </w:r>
          </w:p>
        </w:tc>
        <w:tc>
          <w:tcPr>
            <w:tcW w:w="491" w:type="dxa"/>
            <w:vAlign w:val="center"/>
          </w:tcPr>
          <w:p w14:paraId="49618FE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28FB57A4">
            <w:pPr>
              <w:widowControl/>
              <w:jc w:val="left"/>
              <w:rPr>
                <w:rFonts w:ascii="宋体" w:hAnsi="宋体" w:cs="宋体"/>
                <w:color w:val="auto"/>
                <w:kern w:val="0"/>
                <w:sz w:val="24"/>
                <w:szCs w:val="24"/>
                <w:highlight w:val="none"/>
              </w:rPr>
            </w:pPr>
          </w:p>
        </w:tc>
      </w:tr>
      <w:tr w14:paraId="5588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8" w:type="dxa"/>
            <w:vMerge w:val="continue"/>
            <w:vAlign w:val="center"/>
          </w:tcPr>
          <w:p w14:paraId="61A28834">
            <w:pPr>
              <w:widowControl/>
              <w:jc w:val="left"/>
              <w:rPr>
                <w:rFonts w:ascii="宋体" w:hAnsi="宋体" w:cs="宋体"/>
                <w:color w:val="auto"/>
                <w:kern w:val="0"/>
                <w:sz w:val="24"/>
                <w:szCs w:val="24"/>
                <w:highlight w:val="none"/>
              </w:rPr>
            </w:pPr>
          </w:p>
        </w:tc>
        <w:tc>
          <w:tcPr>
            <w:tcW w:w="767" w:type="dxa"/>
            <w:vMerge w:val="continue"/>
            <w:vAlign w:val="center"/>
          </w:tcPr>
          <w:p w14:paraId="51073608">
            <w:pPr>
              <w:widowControl/>
              <w:jc w:val="left"/>
              <w:rPr>
                <w:rFonts w:ascii="宋体" w:hAnsi="宋体" w:cs="宋体"/>
                <w:color w:val="auto"/>
                <w:kern w:val="0"/>
                <w:sz w:val="24"/>
                <w:szCs w:val="24"/>
                <w:highlight w:val="none"/>
              </w:rPr>
            </w:pPr>
          </w:p>
        </w:tc>
        <w:tc>
          <w:tcPr>
            <w:tcW w:w="562" w:type="dxa"/>
            <w:vMerge w:val="continue"/>
            <w:vAlign w:val="center"/>
          </w:tcPr>
          <w:p w14:paraId="62784971">
            <w:pPr>
              <w:widowControl/>
              <w:jc w:val="left"/>
              <w:rPr>
                <w:rFonts w:ascii="宋体" w:hAnsi="宋体" w:cs="宋体"/>
                <w:color w:val="auto"/>
                <w:kern w:val="0"/>
                <w:sz w:val="24"/>
                <w:szCs w:val="24"/>
                <w:highlight w:val="none"/>
              </w:rPr>
            </w:pPr>
          </w:p>
        </w:tc>
        <w:tc>
          <w:tcPr>
            <w:tcW w:w="767" w:type="dxa"/>
            <w:vAlign w:val="center"/>
          </w:tcPr>
          <w:p w14:paraId="5CEF274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表观质量</w:t>
            </w:r>
          </w:p>
        </w:tc>
        <w:tc>
          <w:tcPr>
            <w:tcW w:w="4389" w:type="dxa"/>
            <w:vAlign w:val="center"/>
          </w:tcPr>
          <w:p w14:paraId="6F41CE36">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1.围墙外立面有破损的要立即更换或者修复，围墙外的宣传画或者广告破旧的要及时进行翻新，围板外立面及其广告宣传画等要定期维护、清洗和更换，保持围板立面的整洁干净。</w:t>
            </w:r>
          </w:p>
        </w:tc>
        <w:tc>
          <w:tcPr>
            <w:tcW w:w="491" w:type="dxa"/>
            <w:vAlign w:val="center"/>
          </w:tcPr>
          <w:p w14:paraId="79CAB0D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7261A216">
            <w:pPr>
              <w:widowControl/>
              <w:jc w:val="left"/>
              <w:rPr>
                <w:rFonts w:ascii="宋体" w:hAnsi="宋体" w:cs="宋体"/>
                <w:color w:val="auto"/>
                <w:kern w:val="0"/>
                <w:sz w:val="24"/>
                <w:szCs w:val="24"/>
                <w:highlight w:val="none"/>
              </w:rPr>
            </w:pPr>
          </w:p>
        </w:tc>
      </w:tr>
      <w:tr w14:paraId="4D8A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468" w:type="dxa"/>
            <w:vMerge w:val="continue"/>
            <w:vAlign w:val="center"/>
          </w:tcPr>
          <w:p w14:paraId="1D85C7FE">
            <w:pPr>
              <w:widowControl/>
              <w:jc w:val="left"/>
              <w:rPr>
                <w:rFonts w:ascii="宋体" w:hAnsi="宋体" w:cs="宋体"/>
                <w:color w:val="auto"/>
                <w:kern w:val="0"/>
                <w:sz w:val="24"/>
                <w:szCs w:val="24"/>
                <w:highlight w:val="none"/>
              </w:rPr>
            </w:pPr>
          </w:p>
        </w:tc>
        <w:tc>
          <w:tcPr>
            <w:tcW w:w="767" w:type="dxa"/>
            <w:vMerge w:val="continue"/>
            <w:vAlign w:val="center"/>
          </w:tcPr>
          <w:p w14:paraId="5CDEB6BF">
            <w:pPr>
              <w:widowControl/>
              <w:jc w:val="left"/>
              <w:rPr>
                <w:rFonts w:ascii="宋体" w:hAnsi="宋体" w:cs="宋体"/>
                <w:color w:val="auto"/>
                <w:kern w:val="0"/>
                <w:sz w:val="24"/>
                <w:szCs w:val="24"/>
                <w:highlight w:val="none"/>
              </w:rPr>
            </w:pPr>
          </w:p>
        </w:tc>
        <w:tc>
          <w:tcPr>
            <w:tcW w:w="562" w:type="dxa"/>
            <w:vMerge w:val="restart"/>
            <w:vAlign w:val="center"/>
          </w:tcPr>
          <w:p w14:paraId="780D295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基坑</w:t>
            </w:r>
          </w:p>
        </w:tc>
        <w:tc>
          <w:tcPr>
            <w:tcW w:w="767" w:type="dxa"/>
            <w:vAlign w:val="center"/>
          </w:tcPr>
          <w:p w14:paraId="2D082DE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护栏结构</w:t>
            </w:r>
          </w:p>
        </w:tc>
        <w:tc>
          <w:tcPr>
            <w:tcW w:w="4389" w:type="dxa"/>
            <w:vAlign w:val="center"/>
          </w:tcPr>
          <w:p w14:paraId="61B45267">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基坑围蔽严格实行规范化、标准化管理，应使用定制护栏，不再使用钢管和绿色安全网。2.采用标准化定型钢护栏围蔽，高度不低于1.2米，护栏立柱间距不大于2米，护栏立柱与基础锚固并设立踢脚线(高度为20厘米)。</w:t>
            </w:r>
          </w:p>
        </w:tc>
        <w:tc>
          <w:tcPr>
            <w:tcW w:w="491" w:type="dxa"/>
            <w:vAlign w:val="center"/>
          </w:tcPr>
          <w:p w14:paraId="03525AC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301F43B0">
            <w:pPr>
              <w:widowControl/>
              <w:jc w:val="left"/>
              <w:rPr>
                <w:rFonts w:ascii="宋体" w:hAnsi="宋体" w:cs="宋体"/>
                <w:color w:val="auto"/>
                <w:kern w:val="0"/>
                <w:sz w:val="24"/>
                <w:szCs w:val="24"/>
                <w:highlight w:val="none"/>
              </w:rPr>
            </w:pPr>
          </w:p>
        </w:tc>
      </w:tr>
      <w:tr w14:paraId="6C1E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dxa"/>
            <w:vMerge w:val="continue"/>
            <w:vAlign w:val="center"/>
          </w:tcPr>
          <w:p w14:paraId="2A114ADB">
            <w:pPr>
              <w:widowControl/>
              <w:jc w:val="left"/>
              <w:rPr>
                <w:rFonts w:ascii="宋体" w:hAnsi="宋体" w:cs="宋体"/>
                <w:color w:val="auto"/>
                <w:kern w:val="0"/>
                <w:sz w:val="24"/>
                <w:szCs w:val="24"/>
                <w:highlight w:val="none"/>
              </w:rPr>
            </w:pPr>
          </w:p>
        </w:tc>
        <w:tc>
          <w:tcPr>
            <w:tcW w:w="767" w:type="dxa"/>
            <w:vMerge w:val="continue"/>
            <w:vAlign w:val="center"/>
          </w:tcPr>
          <w:p w14:paraId="0A02DDB6">
            <w:pPr>
              <w:widowControl/>
              <w:jc w:val="left"/>
              <w:rPr>
                <w:rFonts w:ascii="宋体" w:hAnsi="宋体" w:cs="宋体"/>
                <w:color w:val="auto"/>
                <w:kern w:val="0"/>
                <w:sz w:val="24"/>
                <w:szCs w:val="24"/>
                <w:highlight w:val="none"/>
              </w:rPr>
            </w:pPr>
          </w:p>
        </w:tc>
        <w:tc>
          <w:tcPr>
            <w:tcW w:w="562" w:type="dxa"/>
            <w:vMerge w:val="continue"/>
            <w:vAlign w:val="center"/>
          </w:tcPr>
          <w:p w14:paraId="0713CD0A">
            <w:pPr>
              <w:widowControl/>
              <w:jc w:val="left"/>
              <w:rPr>
                <w:rFonts w:ascii="宋体" w:hAnsi="宋体" w:cs="宋体"/>
                <w:color w:val="auto"/>
                <w:kern w:val="0"/>
                <w:sz w:val="24"/>
                <w:szCs w:val="24"/>
                <w:highlight w:val="none"/>
              </w:rPr>
            </w:pPr>
          </w:p>
        </w:tc>
        <w:tc>
          <w:tcPr>
            <w:tcW w:w="767" w:type="dxa"/>
            <w:vAlign w:val="center"/>
          </w:tcPr>
          <w:p w14:paraId="0356C52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安全网</w:t>
            </w:r>
          </w:p>
        </w:tc>
        <w:tc>
          <w:tcPr>
            <w:tcW w:w="4389" w:type="dxa"/>
            <w:vAlign w:val="center"/>
          </w:tcPr>
          <w:p w14:paraId="11343D1A">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1.颜色选用1272号色(《中国建筑色卡》 G B/T18922一2008)</w:t>
            </w:r>
          </w:p>
        </w:tc>
        <w:tc>
          <w:tcPr>
            <w:tcW w:w="491" w:type="dxa"/>
            <w:vAlign w:val="center"/>
          </w:tcPr>
          <w:p w14:paraId="61AE64F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4D7DC12A">
            <w:pPr>
              <w:widowControl/>
              <w:jc w:val="left"/>
              <w:rPr>
                <w:rFonts w:ascii="宋体" w:hAnsi="宋体" w:cs="宋体"/>
                <w:color w:val="auto"/>
                <w:kern w:val="0"/>
                <w:sz w:val="24"/>
                <w:szCs w:val="24"/>
                <w:highlight w:val="none"/>
              </w:rPr>
            </w:pPr>
          </w:p>
        </w:tc>
      </w:tr>
      <w:tr w14:paraId="3A72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dxa"/>
            <w:vMerge w:val="continue"/>
            <w:vAlign w:val="center"/>
          </w:tcPr>
          <w:p w14:paraId="47E4C722">
            <w:pPr>
              <w:widowControl/>
              <w:jc w:val="left"/>
              <w:rPr>
                <w:rFonts w:ascii="宋体" w:hAnsi="宋体" w:cs="宋体"/>
                <w:color w:val="auto"/>
                <w:kern w:val="0"/>
                <w:sz w:val="24"/>
                <w:szCs w:val="24"/>
                <w:highlight w:val="none"/>
              </w:rPr>
            </w:pPr>
          </w:p>
        </w:tc>
        <w:tc>
          <w:tcPr>
            <w:tcW w:w="767" w:type="dxa"/>
            <w:vMerge w:val="continue"/>
            <w:vAlign w:val="center"/>
          </w:tcPr>
          <w:p w14:paraId="3A32DC87">
            <w:pPr>
              <w:widowControl/>
              <w:jc w:val="left"/>
              <w:rPr>
                <w:rFonts w:ascii="宋体" w:hAnsi="宋体" w:cs="宋体"/>
                <w:color w:val="auto"/>
                <w:kern w:val="0"/>
                <w:sz w:val="24"/>
                <w:szCs w:val="24"/>
                <w:highlight w:val="none"/>
              </w:rPr>
            </w:pPr>
          </w:p>
        </w:tc>
        <w:tc>
          <w:tcPr>
            <w:tcW w:w="562" w:type="dxa"/>
            <w:vMerge w:val="continue"/>
            <w:vAlign w:val="center"/>
          </w:tcPr>
          <w:p w14:paraId="6E429D3C">
            <w:pPr>
              <w:widowControl/>
              <w:jc w:val="left"/>
              <w:rPr>
                <w:rFonts w:ascii="宋体" w:hAnsi="宋体" w:cs="宋体"/>
                <w:color w:val="auto"/>
                <w:kern w:val="0"/>
                <w:sz w:val="24"/>
                <w:szCs w:val="24"/>
                <w:highlight w:val="none"/>
              </w:rPr>
            </w:pPr>
          </w:p>
        </w:tc>
        <w:tc>
          <w:tcPr>
            <w:tcW w:w="767" w:type="dxa"/>
            <w:vAlign w:val="center"/>
          </w:tcPr>
          <w:p w14:paraId="36A6BAF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警示标牌</w:t>
            </w:r>
          </w:p>
        </w:tc>
        <w:tc>
          <w:tcPr>
            <w:tcW w:w="4389" w:type="dxa"/>
            <w:vAlign w:val="center"/>
          </w:tcPr>
          <w:p w14:paraId="3303DF5C">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1.应按规范要求配置相应数量和种类的安全警示标志牌。2.应定期对标牌进行检查，发现缺失、损坏及时更换、更新。</w:t>
            </w:r>
          </w:p>
        </w:tc>
        <w:tc>
          <w:tcPr>
            <w:tcW w:w="491" w:type="dxa"/>
            <w:vAlign w:val="center"/>
          </w:tcPr>
          <w:p w14:paraId="411D389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77CA142A">
            <w:pPr>
              <w:widowControl/>
              <w:jc w:val="left"/>
              <w:rPr>
                <w:rFonts w:ascii="宋体" w:hAnsi="宋体" w:cs="宋体"/>
                <w:color w:val="auto"/>
                <w:kern w:val="0"/>
                <w:sz w:val="24"/>
                <w:szCs w:val="24"/>
                <w:highlight w:val="none"/>
              </w:rPr>
            </w:pPr>
          </w:p>
        </w:tc>
      </w:tr>
      <w:tr w14:paraId="74CE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8" w:type="dxa"/>
            <w:vMerge w:val="continue"/>
            <w:vAlign w:val="center"/>
          </w:tcPr>
          <w:p w14:paraId="152164C7">
            <w:pPr>
              <w:widowControl/>
              <w:jc w:val="left"/>
              <w:rPr>
                <w:rFonts w:ascii="宋体" w:hAnsi="宋体" w:cs="宋体"/>
                <w:color w:val="auto"/>
                <w:kern w:val="0"/>
                <w:sz w:val="24"/>
                <w:szCs w:val="24"/>
                <w:highlight w:val="none"/>
              </w:rPr>
            </w:pPr>
          </w:p>
        </w:tc>
        <w:tc>
          <w:tcPr>
            <w:tcW w:w="767" w:type="dxa"/>
            <w:vMerge w:val="continue"/>
            <w:vAlign w:val="center"/>
          </w:tcPr>
          <w:p w14:paraId="19A1BC14">
            <w:pPr>
              <w:widowControl/>
              <w:jc w:val="left"/>
              <w:rPr>
                <w:rFonts w:ascii="宋体" w:hAnsi="宋体" w:cs="宋体"/>
                <w:color w:val="auto"/>
                <w:kern w:val="0"/>
                <w:sz w:val="24"/>
                <w:szCs w:val="24"/>
                <w:highlight w:val="none"/>
              </w:rPr>
            </w:pPr>
          </w:p>
        </w:tc>
        <w:tc>
          <w:tcPr>
            <w:tcW w:w="562" w:type="dxa"/>
            <w:vMerge w:val="restart"/>
            <w:vAlign w:val="center"/>
          </w:tcPr>
          <w:p w14:paraId="46B2995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主体结构外立面</w:t>
            </w:r>
          </w:p>
        </w:tc>
        <w:tc>
          <w:tcPr>
            <w:tcW w:w="767" w:type="dxa"/>
            <w:vAlign w:val="center"/>
          </w:tcPr>
          <w:p w14:paraId="39D344A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外防护架结构</w:t>
            </w:r>
          </w:p>
        </w:tc>
        <w:tc>
          <w:tcPr>
            <w:tcW w:w="4389" w:type="dxa"/>
            <w:vAlign w:val="center"/>
          </w:tcPr>
          <w:p w14:paraId="172F3BAC">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1.建筑施工立面外防护架立面主要材料的颜色选用1272号色(《中</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国建筑色卡》 G B/T18922一2008)，包括钢管脚手架、密目式</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安全网、冲孔钢板等材料。2.外围适当设置安全宣传标语。</w:t>
            </w:r>
          </w:p>
        </w:tc>
        <w:tc>
          <w:tcPr>
            <w:tcW w:w="491" w:type="dxa"/>
            <w:vAlign w:val="center"/>
          </w:tcPr>
          <w:p w14:paraId="2583449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7B4BE523">
            <w:pPr>
              <w:widowControl/>
              <w:jc w:val="left"/>
              <w:rPr>
                <w:rFonts w:ascii="宋体" w:hAnsi="宋体" w:cs="宋体"/>
                <w:color w:val="auto"/>
                <w:kern w:val="0"/>
                <w:sz w:val="24"/>
                <w:szCs w:val="24"/>
                <w:highlight w:val="none"/>
              </w:rPr>
            </w:pPr>
          </w:p>
        </w:tc>
      </w:tr>
      <w:tr w14:paraId="181A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dxa"/>
            <w:vMerge w:val="continue"/>
            <w:vAlign w:val="center"/>
          </w:tcPr>
          <w:p w14:paraId="3855F042">
            <w:pPr>
              <w:widowControl/>
              <w:jc w:val="left"/>
              <w:rPr>
                <w:rFonts w:ascii="宋体" w:hAnsi="宋体" w:cs="宋体"/>
                <w:color w:val="auto"/>
                <w:kern w:val="0"/>
                <w:sz w:val="24"/>
                <w:szCs w:val="24"/>
                <w:highlight w:val="none"/>
              </w:rPr>
            </w:pPr>
          </w:p>
        </w:tc>
        <w:tc>
          <w:tcPr>
            <w:tcW w:w="767" w:type="dxa"/>
            <w:vMerge w:val="continue"/>
            <w:vAlign w:val="center"/>
          </w:tcPr>
          <w:p w14:paraId="5CBA840A">
            <w:pPr>
              <w:widowControl/>
              <w:jc w:val="left"/>
              <w:rPr>
                <w:rFonts w:ascii="宋体" w:hAnsi="宋体" w:cs="宋体"/>
                <w:color w:val="auto"/>
                <w:kern w:val="0"/>
                <w:sz w:val="24"/>
                <w:szCs w:val="24"/>
                <w:highlight w:val="none"/>
              </w:rPr>
            </w:pPr>
          </w:p>
        </w:tc>
        <w:tc>
          <w:tcPr>
            <w:tcW w:w="562" w:type="dxa"/>
            <w:vMerge w:val="continue"/>
            <w:vAlign w:val="center"/>
          </w:tcPr>
          <w:p w14:paraId="2796AFE8">
            <w:pPr>
              <w:widowControl/>
              <w:jc w:val="left"/>
              <w:rPr>
                <w:rFonts w:ascii="宋体" w:hAnsi="宋体" w:cs="宋体"/>
                <w:color w:val="auto"/>
                <w:kern w:val="0"/>
                <w:sz w:val="24"/>
                <w:szCs w:val="24"/>
                <w:highlight w:val="none"/>
              </w:rPr>
            </w:pPr>
          </w:p>
        </w:tc>
        <w:tc>
          <w:tcPr>
            <w:tcW w:w="767" w:type="dxa"/>
            <w:vAlign w:val="center"/>
          </w:tcPr>
          <w:p w14:paraId="5512670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安全网</w:t>
            </w:r>
          </w:p>
        </w:tc>
        <w:tc>
          <w:tcPr>
            <w:tcW w:w="4389" w:type="dxa"/>
            <w:vAlign w:val="center"/>
          </w:tcPr>
          <w:p w14:paraId="52128532">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1.颜色选用1272号色(《中国建筑色卡》 G B/T18922一2008)2.应当使用2000目或以上的高密目网，安全网应完整无破损。</w:t>
            </w:r>
          </w:p>
        </w:tc>
        <w:tc>
          <w:tcPr>
            <w:tcW w:w="491" w:type="dxa"/>
            <w:vAlign w:val="center"/>
          </w:tcPr>
          <w:p w14:paraId="31B0185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17428B40">
            <w:pPr>
              <w:widowControl/>
              <w:jc w:val="left"/>
              <w:rPr>
                <w:rFonts w:ascii="宋体" w:hAnsi="宋体" w:cs="宋体"/>
                <w:color w:val="auto"/>
                <w:kern w:val="0"/>
                <w:sz w:val="24"/>
                <w:szCs w:val="24"/>
                <w:highlight w:val="none"/>
              </w:rPr>
            </w:pPr>
          </w:p>
        </w:tc>
      </w:tr>
      <w:tr w14:paraId="18E7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8" w:type="dxa"/>
            <w:vMerge w:val="continue"/>
            <w:vAlign w:val="center"/>
          </w:tcPr>
          <w:p w14:paraId="1BA7ABAC">
            <w:pPr>
              <w:widowControl/>
              <w:jc w:val="left"/>
              <w:rPr>
                <w:rFonts w:ascii="宋体" w:hAnsi="宋体" w:cs="宋体"/>
                <w:color w:val="auto"/>
                <w:kern w:val="0"/>
                <w:sz w:val="24"/>
                <w:szCs w:val="24"/>
                <w:highlight w:val="none"/>
              </w:rPr>
            </w:pPr>
          </w:p>
        </w:tc>
        <w:tc>
          <w:tcPr>
            <w:tcW w:w="767" w:type="dxa"/>
            <w:vMerge w:val="continue"/>
            <w:vAlign w:val="center"/>
          </w:tcPr>
          <w:p w14:paraId="048BCA94">
            <w:pPr>
              <w:widowControl/>
              <w:jc w:val="left"/>
              <w:rPr>
                <w:rFonts w:ascii="宋体" w:hAnsi="宋体" w:cs="宋体"/>
                <w:color w:val="auto"/>
                <w:kern w:val="0"/>
                <w:sz w:val="24"/>
                <w:szCs w:val="24"/>
                <w:highlight w:val="none"/>
              </w:rPr>
            </w:pPr>
          </w:p>
        </w:tc>
        <w:tc>
          <w:tcPr>
            <w:tcW w:w="1329" w:type="dxa"/>
            <w:gridSpan w:val="2"/>
            <w:vAlign w:val="center"/>
          </w:tcPr>
          <w:p w14:paraId="71E8648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大门</w:t>
            </w:r>
          </w:p>
        </w:tc>
        <w:tc>
          <w:tcPr>
            <w:tcW w:w="4389" w:type="dxa"/>
            <w:vAlign w:val="center"/>
          </w:tcPr>
          <w:p w14:paraId="19781284">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1.施工区主入口应当设置公示标识牌、门卫岗亭、电子信息公示牌、</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视频监控等配套设施，车辆出入口视频监控录像现场存储时间应</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不少于30天。</w:t>
            </w:r>
          </w:p>
        </w:tc>
        <w:tc>
          <w:tcPr>
            <w:tcW w:w="491" w:type="dxa"/>
            <w:vAlign w:val="center"/>
          </w:tcPr>
          <w:p w14:paraId="055798C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23CCBC2F">
            <w:pPr>
              <w:widowControl/>
              <w:jc w:val="left"/>
              <w:rPr>
                <w:rFonts w:ascii="宋体" w:hAnsi="宋体" w:cs="宋体"/>
                <w:color w:val="auto"/>
                <w:kern w:val="0"/>
                <w:sz w:val="24"/>
                <w:szCs w:val="24"/>
                <w:highlight w:val="none"/>
              </w:rPr>
            </w:pPr>
          </w:p>
        </w:tc>
      </w:tr>
      <w:tr w14:paraId="6A82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468" w:type="dxa"/>
            <w:vAlign w:val="center"/>
          </w:tcPr>
          <w:p w14:paraId="5D265FE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767" w:type="dxa"/>
            <w:vAlign w:val="center"/>
          </w:tcPr>
          <w:p w14:paraId="7810650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路面硬化</w:t>
            </w:r>
          </w:p>
        </w:tc>
        <w:tc>
          <w:tcPr>
            <w:tcW w:w="1329" w:type="dxa"/>
            <w:gridSpan w:val="2"/>
            <w:vAlign w:val="center"/>
          </w:tcPr>
          <w:p w14:paraId="055AA41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4389" w:type="dxa"/>
            <w:vAlign w:val="center"/>
          </w:tcPr>
          <w:p w14:paraId="5D9DC9D2">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施工现场大门内外通道、临时设施室内地面、材料堆放场、钢筋加工场、仓库地面等区域，应当进行硬底化，机动车通道的宽度不小于3.5米。2.生活服务区、办公区范围内，可采用人行道砖进行铺装，可配套实施园林绿化设施，并加强洒水，降低扬尘。3.施工工地在基坑开挖阶段，施工便道应当及时铺填碎石、钢板或其它材料，防止扬尘，施工到士0.00时施工道路必须实现硬底化。</w:t>
            </w:r>
          </w:p>
        </w:tc>
        <w:tc>
          <w:tcPr>
            <w:tcW w:w="491" w:type="dxa"/>
            <w:vAlign w:val="center"/>
          </w:tcPr>
          <w:p w14:paraId="5CD9252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Align w:val="center"/>
          </w:tcPr>
          <w:p w14:paraId="5E9F5B6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经检查现场不符合要求，暂扣当期进度款中措施费总额的10%</w:t>
            </w:r>
          </w:p>
        </w:tc>
      </w:tr>
      <w:tr w14:paraId="14D3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468" w:type="dxa"/>
            <w:vAlign w:val="center"/>
          </w:tcPr>
          <w:p w14:paraId="1892DF0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767" w:type="dxa"/>
            <w:vAlign w:val="center"/>
          </w:tcPr>
          <w:p w14:paraId="458B543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砂土、物料覆盖</w:t>
            </w:r>
          </w:p>
        </w:tc>
        <w:tc>
          <w:tcPr>
            <w:tcW w:w="1329" w:type="dxa"/>
            <w:gridSpan w:val="2"/>
            <w:vAlign w:val="center"/>
          </w:tcPr>
          <w:p w14:paraId="645ADE4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4389" w:type="dxa"/>
            <w:vAlign w:val="center"/>
          </w:tcPr>
          <w:p w14:paraId="2C2AB59A">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工程渣土、建筑垃圾应当集中分类堆放，严密覆盖，宜在施工工地内设置封闭式垃圾站严禁高空抛洒；非施工作业面的裸露土或临时存放的土堆闲置3个月内的，应该进行覆盖、压实、洒水等降尘措施。2.建筑土方开挖后应当尽快回填，不能及时回填的应当采取覆盖或者固化等措施。3.对裸露的砂土可采用密布网进行覆盖或料斗封闭。4.应当使用2000目或以上的高密目网覆盖。</w:t>
            </w:r>
          </w:p>
        </w:tc>
        <w:tc>
          <w:tcPr>
            <w:tcW w:w="491" w:type="dxa"/>
            <w:vAlign w:val="center"/>
          </w:tcPr>
          <w:p w14:paraId="0FA48AC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Align w:val="center"/>
          </w:tcPr>
          <w:p w14:paraId="00947ED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经检查现场不符合要求，暂扣当期进度款中措施费总额的5%</w:t>
            </w:r>
          </w:p>
        </w:tc>
      </w:tr>
      <w:tr w14:paraId="0471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68" w:type="dxa"/>
            <w:vMerge w:val="restart"/>
            <w:vAlign w:val="center"/>
          </w:tcPr>
          <w:p w14:paraId="5646692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767" w:type="dxa"/>
            <w:vMerge w:val="restart"/>
            <w:vAlign w:val="center"/>
          </w:tcPr>
          <w:p w14:paraId="02E17B9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作业洒水</w:t>
            </w:r>
          </w:p>
        </w:tc>
        <w:tc>
          <w:tcPr>
            <w:tcW w:w="562" w:type="dxa"/>
            <w:vMerge w:val="restart"/>
            <w:vAlign w:val="center"/>
          </w:tcPr>
          <w:p w14:paraId="79DD823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喷淋系统设置</w:t>
            </w:r>
          </w:p>
        </w:tc>
        <w:tc>
          <w:tcPr>
            <w:tcW w:w="767" w:type="dxa"/>
            <w:vAlign w:val="center"/>
          </w:tcPr>
          <w:p w14:paraId="02A7DDA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土方作业的基坑</w:t>
            </w:r>
          </w:p>
        </w:tc>
        <w:tc>
          <w:tcPr>
            <w:tcW w:w="4389" w:type="dxa"/>
            <w:vAlign w:val="center"/>
          </w:tcPr>
          <w:p w14:paraId="4646F134">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土方作业的基坑布设间距不大于1.5米，喷头大小4厘米，围绕基坑一圈设置。喷头管长约50cm，喷淋应满足水雾化喷洒功能，出水成扇形喷洒。喷淋系统的水管颜色与定型护栏颜色相协调。2.根据施工现场扬尘情况，每天安排洒水不少于4次。</w:t>
            </w:r>
          </w:p>
        </w:tc>
        <w:tc>
          <w:tcPr>
            <w:tcW w:w="491" w:type="dxa"/>
            <w:vAlign w:val="center"/>
          </w:tcPr>
          <w:p w14:paraId="45E03F0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restart"/>
            <w:vAlign w:val="center"/>
          </w:tcPr>
          <w:p w14:paraId="6C56391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经检查现场不符合要求，暂扣当期进度款中措施费总额的10%</w:t>
            </w:r>
          </w:p>
        </w:tc>
      </w:tr>
      <w:tr w14:paraId="6127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68" w:type="dxa"/>
            <w:vMerge w:val="continue"/>
            <w:vAlign w:val="center"/>
          </w:tcPr>
          <w:p w14:paraId="290D1F82">
            <w:pPr>
              <w:widowControl/>
              <w:jc w:val="left"/>
              <w:rPr>
                <w:rFonts w:ascii="宋体" w:hAnsi="宋体" w:cs="宋体"/>
                <w:color w:val="auto"/>
                <w:kern w:val="0"/>
                <w:sz w:val="24"/>
                <w:szCs w:val="24"/>
                <w:highlight w:val="none"/>
              </w:rPr>
            </w:pPr>
          </w:p>
        </w:tc>
        <w:tc>
          <w:tcPr>
            <w:tcW w:w="767" w:type="dxa"/>
            <w:vMerge w:val="continue"/>
            <w:vAlign w:val="center"/>
          </w:tcPr>
          <w:p w14:paraId="6D00FE08">
            <w:pPr>
              <w:widowControl/>
              <w:jc w:val="left"/>
              <w:rPr>
                <w:rFonts w:ascii="宋体" w:hAnsi="宋体" w:cs="宋体"/>
                <w:color w:val="auto"/>
                <w:kern w:val="0"/>
                <w:sz w:val="24"/>
                <w:szCs w:val="24"/>
                <w:highlight w:val="none"/>
              </w:rPr>
            </w:pPr>
          </w:p>
        </w:tc>
        <w:tc>
          <w:tcPr>
            <w:tcW w:w="562" w:type="dxa"/>
            <w:vMerge w:val="continue"/>
            <w:vAlign w:val="center"/>
          </w:tcPr>
          <w:p w14:paraId="417B5649">
            <w:pPr>
              <w:widowControl/>
              <w:jc w:val="left"/>
              <w:rPr>
                <w:rFonts w:ascii="宋体" w:hAnsi="宋体" w:cs="宋体"/>
                <w:color w:val="auto"/>
                <w:kern w:val="0"/>
                <w:sz w:val="24"/>
                <w:szCs w:val="24"/>
                <w:highlight w:val="none"/>
              </w:rPr>
            </w:pPr>
          </w:p>
        </w:tc>
        <w:tc>
          <w:tcPr>
            <w:tcW w:w="767" w:type="dxa"/>
            <w:vAlign w:val="center"/>
          </w:tcPr>
          <w:p w14:paraId="22156A1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工地围墙</w:t>
            </w:r>
          </w:p>
        </w:tc>
        <w:tc>
          <w:tcPr>
            <w:tcW w:w="4389" w:type="dxa"/>
            <w:vAlign w:val="center"/>
          </w:tcPr>
          <w:p w14:paraId="47ADB5DD">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工地围墙上方设置喷淋系统，喷头管长约50cm，喷头向着工地内，斜角约45度，按喷头间距不大于1.5米，喷头大小4厘米一圈设置喷淋应满足水雾化喷洒功能，出水成扇形喷洒。2.根据施工现场扬尘情况，每天安排洒水不少于4次。</w:t>
            </w:r>
          </w:p>
        </w:tc>
        <w:tc>
          <w:tcPr>
            <w:tcW w:w="491" w:type="dxa"/>
            <w:vAlign w:val="center"/>
          </w:tcPr>
          <w:p w14:paraId="10CDB2B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3DEFF782">
            <w:pPr>
              <w:widowControl/>
              <w:jc w:val="left"/>
              <w:rPr>
                <w:rFonts w:ascii="宋体" w:hAnsi="宋体" w:cs="宋体"/>
                <w:color w:val="auto"/>
                <w:kern w:val="0"/>
                <w:sz w:val="24"/>
                <w:szCs w:val="24"/>
                <w:highlight w:val="none"/>
              </w:rPr>
            </w:pPr>
          </w:p>
        </w:tc>
      </w:tr>
      <w:tr w14:paraId="7A2A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8" w:type="dxa"/>
            <w:vMerge w:val="continue"/>
            <w:vAlign w:val="center"/>
          </w:tcPr>
          <w:p w14:paraId="644F64E4">
            <w:pPr>
              <w:widowControl/>
              <w:jc w:val="left"/>
              <w:rPr>
                <w:rFonts w:ascii="宋体" w:hAnsi="宋体" w:cs="宋体"/>
                <w:color w:val="auto"/>
                <w:kern w:val="0"/>
                <w:sz w:val="24"/>
                <w:szCs w:val="24"/>
                <w:highlight w:val="none"/>
              </w:rPr>
            </w:pPr>
          </w:p>
        </w:tc>
        <w:tc>
          <w:tcPr>
            <w:tcW w:w="767" w:type="dxa"/>
            <w:vMerge w:val="continue"/>
            <w:vAlign w:val="center"/>
          </w:tcPr>
          <w:p w14:paraId="47946240">
            <w:pPr>
              <w:widowControl/>
              <w:jc w:val="left"/>
              <w:rPr>
                <w:rFonts w:ascii="宋体" w:hAnsi="宋体" w:cs="宋体"/>
                <w:color w:val="auto"/>
                <w:kern w:val="0"/>
                <w:sz w:val="24"/>
                <w:szCs w:val="24"/>
                <w:highlight w:val="none"/>
              </w:rPr>
            </w:pPr>
          </w:p>
        </w:tc>
        <w:tc>
          <w:tcPr>
            <w:tcW w:w="562" w:type="dxa"/>
            <w:vMerge w:val="continue"/>
            <w:vAlign w:val="center"/>
          </w:tcPr>
          <w:p w14:paraId="288BC0EB">
            <w:pPr>
              <w:widowControl/>
              <w:jc w:val="left"/>
              <w:rPr>
                <w:rFonts w:ascii="宋体" w:hAnsi="宋体" w:cs="宋体"/>
                <w:color w:val="auto"/>
                <w:kern w:val="0"/>
                <w:sz w:val="24"/>
                <w:szCs w:val="24"/>
                <w:highlight w:val="none"/>
              </w:rPr>
            </w:pPr>
          </w:p>
        </w:tc>
        <w:tc>
          <w:tcPr>
            <w:tcW w:w="767" w:type="dxa"/>
            <w:vAlign w:val="center"/>
          </w:tcPr>
          <w:p w14:paraId="3327608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主体外排栅</w:t>
            </w:r>
          </w:p>
        </w:tc>
        <w:tc>
          <w:tcPr>
            <w:tcW w:w="4389" w:type="dxa"/>
            <w:vAlign w:val="center"/>
          </w:tcPr>
          <w:p w14:paraId="45E87F16">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1.外排栅结构，喷淋系统以间距1.5米，喷头大小4厘米一圈设置，原则上第一道设置在15一20米，每隔25米设置一道。2.根据施工现场扬尘情况，每天安排洒水不少于4次。</w:t>
            </w:r>
          </w:p>
        </w:tc>
        <w:tc>
          <w:tcPr>
            <w:tcW w:w="491" w:type="dxa"/>
            <w:vAlign w:val="center"/>
          </w:tcPr>
          <w:p w14:paraId="4E0D182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422B77CF">
            <w:pPr>
              <w:widowControl/>
              <w:jc w:val="left"/>
              <w:rPr>
                <w:rFonts w:ascii="宋体" w:hAnsi="宋体" w:cs="宋体"/>
                <w:color w:val="auto"/>
                <w:kern w:val="0"/>
                <w:sz w:val="24"/>
                <w:szCs w:val="24"/>
                <w:highlight w:val="none"/>
              </w:rPr>
            </w:pPr>
          </w:p>
        </w:tc>
      </w:tr>
      <w:tr w14:paraId="2606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468" w:type="dxa"/>
            <w:vMerge w:val="continue"/>
            <w:vAlign w:val="center"/>
          </w:tcPr>
          <w:p w14:paraId="4FB2A87D">
            <w:pPr>
              <w:widowControl/>
              <w:jc w:val="left"/>
              <w:rPr>
                <w:rFonts w:ascii="宋体" w:hAnsi="宋体" w:cs="宋体"/>
                <w:color w:val="auto"/>
                <w:kern w:val="0"/>
                <w:sz w:val="24"/>
                <w:szCs w:val="24"/>
                <w:highlight w:val="none"/>
              </w:rPr>
            </w:pPr>
          </w:p>
        </w:tc>
        <w:tc>
          <w:tcPr>
            <w:tcW w:w="767" w:type="dxa"/>
            <w:vMerge w:val="continue"/>
            <w:vAlign w:val="center"/>
          </w:tcPr>
          <w:p w14:paraId="34869ECD">
            <w:pPr>
              <w:widowControl/>
              <w:jc w:val="left"/>
              <w:rPr>
                <w:rFonts w:ascii="宋体" w:hAnsi="宋体" w:cs="宋体"/>
                <w:color w:val="auto"/>
                <w:kern w:val="0"/>
                <w:sz w:val="24"/>
                <w:szCs w:val="24"/>
                <w:highlight w:val="none"/>
              </w:rPr>
            </w:pPr>
          </w:p>
        </w:tc>
        <w:tc>
          <w:tcPr>
            <w:tcW w:w="562" w:type="dxa"/>
            <w:vMerge w:val="restart"/>
            <w:vAlign w:val="center"/>
          </w:tcPr>
          <w:p w14:paraId="66E72F4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雾炮设备设置</w:t>
            </w:r>
          </w:p>
        </w:tc>
        <w:tc>
          <w:tcPr>
            <w:tcW w:w="767" w:type="dxa"/>
            <w:vAlign w:val="center"/>
          </w:tcPr>
          <w:p w14:paraId="52333A5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土方、主体阶段</w:t>
            </w:r>
          </w:p>
        </w:tc>
        <w:tc>
          <w:tcPr>
            <w:tcW w:w="4389" w:type="dxa"/>
            <w:vAlign w:val="center"/>
          </w:tcPr>
          <w:p w14:paraId="102DC444">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1.施工现场土方作业阶段，作业区目测扬尘高度应小于1.5米，不扩</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散到场区外；结构施工、安装装饰装修阶段，作业区目测扬尘高度应小于0.5米；施工现场非作业区达到目测无扬尘的要求，超过此标准，则安排开启雾炮设备和喷淋系统。2.监测设备显示PM10, PM2.5浓度超过相关标准时，应开启雾炮设备、喷淋系统或者其他洒水设备等进行洒水降尘。3.根据施工现场扬尘情况，每夭安排洒水不少于6次。</w:t>
            </w:r>
          </w:p>
        </w:tc>
        <w:tc>
          <w:tcPr>
            <w:tcW w:w="491" w:type="dxa"/>
            <w:vAlign w:val="center"/>
          </w:tcPr>
          <w:p w14:paraId="11916A6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1DB78F11">
            <w:pPr>
              <w:widowControl/>
              <w:jc w:val="left"/>
              <w:rPr>
                <w:rFonts w:ascii="宋体" w:hAnsi="宋体" w:cs="宋体"/>
                <w:color w:val="auto"/>
                <w:kern w:val="0"/>
                <w:sz w:val="24"/>
                <w:szCs w:val="24"/>
                <w:highlight w:val="none"/>
              </w:rPr>
            </w:pPr>
          </w:p>
        </w:tc>
      </w:tr>
      <w:tr w14:paraId="4A19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8" w:type="dxa"/>
            <w:vMerge w:val="continue"/>
            <w:vAlign w:val="center"/>
          </w:tcPr>
          <w:p w14:paraId="374C4F53">
            <w:pPr>
              <w:widowControl/>
              <w:jc w:val="left"/>
              <w:rPr>
                <w:rFonts w:ascii="宋体" w:hAnsi="宋体" w:cs="宋体"/>
                <w:color w:val="auto"/>
                <w:kern w:val="0"/>
                <w:sz w:val="24"/>
                <w:szCs w:val="24"/>
                <w:highlight w:val="none"/>
              </w:rPr>
            </w:pPr>
          </w:p>
        </w:tc>
        <w:tc>
          <w:tcPr>
            <w:tcW w:w="767" w:type="dxa"/>
            <w:vMerge w:val="continue"/>
            <w:vAlign w:val="center"/>
          </w:tcPr>
          <w:p w14:paraId="221F8F8B">
            <w:pPr>
              <w:widowControl/>
              <w:jc w:val="left"/>
              <w:rPr>
                <w:rFonts w:ascii="宋体" w:hAnsi="宋体" w:cs="宋体"/>
                <w:color w:val="auto"/>
                <w:kern w:val="0"/>
                <w:sz w:val="24"/>
                <w:szCs w:val="24"/>
                <w:highlight w:val="none"/>
              </w:rPr>
            </w:pPr>
          </w:p>
        </w:tc>
        <w:tc>
          <w:tcPr>
            <w:tcW w:w="562" w:type="dxa"/>
            <w:vMerge w:val="continue"/>
            <w:vAlign w:val="center"/>
          </w:tcPr>
          <w:p w14:paraId="3B46B5C6">
            <w:pPr>
              <w:widowControl/>
              <w:jc w:val="left"/>
              <w:rPr>
                <w:rFonts w:ascii="宋体" w:hAnsi="宋体" w:cs="宋体"/>
                <w:color w:val="auto"/>
                <w:kern w:val="0"/>
                <w:sz w:val="24"/>
                <w:szCs w:val="24"/>
                <w:highlight w:val="none"/>
              </w:rPr>
            </w:pPr>
          </w:p>
        </w:tc>
        <w:tc>
          <w:tcPr>
            <w:tcW w:w="767" w:type="dxa"/>
            <w:vAlign w:val="center"/>
          </w:tcPr>
          <w:p w14:paraId="2F916C2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拆除工程（阶段）</w:t>
            </w:r>
          </w:p>
        </w:tc>
        <w:tc>
          <w:tcPr>
            <w:tcW w:w="4389" w:type="dxa"/>
            <w:vAlign w:val="center"/>
          </w:tcPr>
          <w:p w14:paraId="12448307">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1.拆除工程必须采取喷水、雾炮机喷雾降尘等措施，气象预报风速达到5级时，应当停止拆除工程施工。2.渣土要及时清运或者覆盖，在拆除施工完成之日起3日内清运完毕，并应遵守拆除工程管理的相关规定。</w:t>
            </w:r>
          </w:p>
        </w:tc>
        <w:tc>
          <w:tcPr>
            <w:tcW w:w="491" w:type="dxa"/>
            <w:vAlign w:val="center"/>
          </w:tcPr>
          <w:p w14:paraId="3979D0A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0F47A180">
            <w:pPr>
              <w:widowControl/>
              <w:jc w:val="left"/>
              <w:rPr>
                <w:rFonts w:ascii="宋体" w:hAnsi="宋体" w:cs="宋体"/>
                <w:color w:val="auto"/>
                <w:kern w:val="0"/>
                <w:sz w:val="24"/>
                <w:szCs w:val="24"/>
                <w:highlight w:val="none"/>
              </w:rPr>
            </w:pPr>
          </w:p>
        </w:tc>
      </w:tr>
      <w:tr w14:paraId="5D27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68" w:type="dxa"/>
            <w:vMerge w:val="continue"/>
            <w:vAlign w:val="center"/>
          </w:tcPr>
          <w:p w14:paraId="5C3764CE">
            <w:pPr>
              <w:widowControl/>
              <w:jc w:val="left"/>
              <w:rPr>
                <w:rFonts w:ascii="宋体" w:hAnsi="宋体" w:cs="宋体"/>
                <w:color w:val="auto"/>
                <w:kern w:val="0"/>
                <w:sz w:val="24"/>
                <w:szCs w:val="24"/>
                <w:highlight w:val="none"/>
              </w:rPr>
            </w:pPr>
          </w:p>
        </w:tc>
        <w:tc>
          <w:tcPr>
            <w:tcW w:w="767" w:type="dxa"/>
            <w:vMerge w:val="continue"/>
            <w:vAlign w:val="center"/>
          </w:tcPr>
          <w:p w14:paraId="45A19299">
            <w:pPr>
              <w:widowControl/>
              <w:jc w:val="left"/>
              <w:rPr>
                <w:rFonts w:ascii="宋体" w:hAnsi="宋体" w:cs="宋体"/>
                <w:color w:val="auto"/>
                <w:kern w:val="0"/>
                <w:sz w:val="24"/>
                <w:szCs w:val="24"/>
                <w:highlight w:val="none"/>
              </w:rPr>
            </w:pPr>
          </w:p>
        </w:tc>
        <w:tc>
          <w:tcPr>
            <w:tcW w:w="1329" w:type="dxa"/>
            <w:gridSpan w:val="2"/>
            <w:vAlign w:val="center"/>
          </w:tcPr>
          <w:p w14:paraId="009E521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场地周边管理</w:t>
            </w:r>
          </w:p>
        </w:tc>
        <w:tc>
          <w:tcPr>
            <w:tcW w:w="4389" w:type="dxa"/>
            <w:vAlign w:val="center"/>
          </w:tcPr>
          <w:p w14:paraId="4596BFC3">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施工现场周边范围内，垃圾等及时清理，污染外墙及时清洗，路面及时洒水。</w:t>
            </w:r>
          </w:p>
        </w:tc>
        <w:tc>
          <w:tcPr>
            <w:tcW w:w="491" w:type="dxa"/>
            <w:vAlign w:val="center"/>
          </w:tcPr>
          <w:p w14:paraId="3AE007E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57ACF922">
            <w:pPr>
              <w:widowControl/>
              <w:jc w:val="left"/>
              <w:rPr>
                <w:rFonts w:ascii="宋体" w:hAnsi="宋体" w:cs="宋体"/>
                <w:color w:val="auto"/>
                <w:kern w:val="0"/>
                <w:sz w:val="24"/>
                <w:szCs w:val="24"/>
                <w:highlight w:val="none"/>
              </w:rPr>
            </w:pPr>
          </w:p>
        </w:tc>
      </w:tr>
      <w:tr w14:paraId="3238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dxa"/>
            <w:vMerge w:val="restart"/>
            <w:vAlign w:val="center"/>
          </w:tcPr>
          <w:p w14:paraId="3D85CF6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767" w:type="dxa"/>
            <w:vMerge w:val="restart"/>
            <w:vAlign w:val="center"/>
          </w:tcPr>
          <w:p w14:paraId="0948AF0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车辆管理</w:t>
            </w:r>
          </w:p>
        </w:tc>
        <w:tc>
          <w:tcPr>
            <w:tcW w:w="562" w:type="dxa"/>
            <w:vMerge w:val="restart"/>
            <w:vAlign w:val="center"/>
          </w:tcPr>
          <w:p w14:paraId="1BA1C22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车辆出入管理</w:t>
            </w:r>
          </w:p>
        </w:tc>
        <w:tc>
          <w:tcPr>
            <w:tcW w:w="767" w:type="dxa"/>
            <w:vAlign w:val="center"/>
          </w:tcPr>
          <w:p w14:paraId="6A74AB9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车辆清洁</w:t>
            </w:r>
          </w:p>
        </w:tc>
        <w:tc>
          <w:tcPr>
            <w:tcW w:w="4389" w:type="dxa"/>
            <w:vAlign w:val="center"/>
          </w:tcPr>
          <w:p w14:paraId="3A63D552">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1.进出工地的运输车辆的轮胎和车身外表应当完全除泥，确保车辆驶出工地时无尘土飞扬。</w:t>
            </w:r>
          </w:p>
        </w:tc>
        <w:tc>
          <w:tcPr>
            <w:tcW w:w="491" w:type="dxa"/>
            <w:vAlign w:val="center"/>
          </w:tcPr>
          <w:p w14:paraId="4C02AE8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restart"/>
            <w:vAlign w:val="center"/>
          </w:tcPr>
          <w:p w14:paraId="12179EC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经检查现场不符合要求，暂扣当期进度款中措施费总额的10%</w:t>
            </w:r>
          </w:p>
        </w:tc>
      </w:tr>
      <w:tr w14:paraId="0281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68" w:type="dxa"/>
            <w:vMerge w:val="continue"/>
            <w:vAlign w:val="center"/>
          </w:tcPr>
          <w:p w14:paraId="1B8ABE54">
            <w:pPr>
              <w:widowControl/>
              <w:jc w:val="left"/>
              <w:rPr>
                <w:rFonts w:ascii="宋体" w:hAnsi="宋体" w:cs="宋体"/>
                <w:color w:val="auto"/>
                <w:kern w:val="0"/>
                <w:sz w:val="24"/>
                <w:szCs w:val="24"/>
                <w:highlight w:val="none"/>
              </w:rPr>
            </w:pPr>
          </w:p>
        </w:tc>
        <w:tc>
          <w:tcPr>
            <w:tcW w:w="767" w:type="dxa"/>
            <w:vMerge w:val="continue"/>
            <w:vAlign w:val="center"/>
          </w:tcPr>
          <w:p w14:paraId="11E562D0">
            <w:pPr>
              <w:widowControl/>
              <w:jc w:val="left"/>
              <w:rPr>
                <w:rFonts w:ascii="宋体" w:hAnsi="宋体" w:cs="宋体"/>
                <w:color w:val="auto"/>
                <w:kern w:val="0"/>
                <w:sz w:val="24"/>
                <w:szCs w:val="24"/>
                <w:highlight w:val="none"/>
              </w:rPr>
            </w:pPr>
          </w:p>
        </w:tc>
        <w:tc>
          <w:tcPr>
            <w:tcW w:w="562" w:type="dxa"/>
            <w:vMerge w:val="continue"/>
            <w:vAlign w:val="center"/>
          </w:tcPr>
          <w:p w14:paraId="03252501">
            <w:pPr>
              <w:widowControl/>
              <w:jc w:val="left"/>
              <w:rPr>
                <w:rFonts w:ascii="宋体" w:hAnsi="宋体" w:cs="宋体"/>
                <w:color w:val="auto"/>
                <w:kern w:val="0"/>
                <w:sz w:val="24"/>
                <w:szCs w:val="24"/>
                <w:highlight w:val="none"/>
              </w:rPr>
            </w:pPr>
          </w:p>
        </w:tc>
        <w:tc>
          <w:tcPr>
            <w:tcW w:w="767" w:type="dxa"/>
            <w:vAlign w:val="center"/>
          </w:tcPr>
          <w:p w14:paraId="09C1261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车辆登记</w:t>
            </w:r>
          </w:p>
        </w:tc>
        <w:tc>
          <w:tcPr>
            <w:tcW w:w="4389" w:type="dxa"/>
            <w:vAlign w:val="center"/>
          </w:tcPr>
          <w:p w14:paraId="73F37574">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建立泥头车管理台帐，详细记录车辆证照信息、进出场信息、冲洗情况、密闭情况等。每次车辆清洗要登记进出工地车辆的车牌号码、驾驶员姓名、进出工地时间等信息，车辆冲洗完后驾驶员和冲洗人要签名，监理单位负责人不定时对车辆清洗情况进行检查。</w:t>
            </w:r>
          </w:p>
        </w:tc>
        <w:tc>
          <w:tcPr>
            <w:tcW w:w="491" w:type="dxa"/>
            <w:vAlign w:val="center"/>
          </w:tcPr>
          <w:p w14:paraId="01859CB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7F0D9FDD">
            <w:pPr>
              <w:widowControl/>
              <w:jc w:val="left"/>
              <w:rPr>
                <w:rFonts w:ascii="宋体" w:hAnsi="宋体" w:cs="宋体"/>
                <w:color w:val="auto"/>
                <w:kern w:val="0"/>
                <w:sz w:val="24"/>
                <w:szCs w:val="24"/>
                <w:highlight w:val="none"/>
              </w:rPr>
            </w:pPr>
          </w:p>
        </w:tc>
      </w:tr>
      <w:tr w14:paraId="0054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468" w:type="dxa"/>
            <w:vMerge w:val="continue"/>
            <w:vAlign w:val="center"/>
          </w:tcPr>
          <w:p w14:paraId="29E8C563">
            <w:pPr>
              <w:widowControl/>
              <w:jc w:val="left"/>
              <w:rPr>
                <w:rFonts w:ascii="宋体" w:hAnsi="宋体" w:cs="宋体"/>
                <w:color w:val="auto"/>
                <w:kern w:val="0"/>
                <w:sz w:val="24"/>
                <w:szCs w:val="24"/>
                <w:highlight w:val="none"/>
              </w:rPr>
            </w:pPr>
          </w:p>
        </w:tc>
        <w:tc>
          <w:tcPr>
            <w:tcW w:w="767" w:type="dxa"/>
            <w:vMerge w:val="continue"/>
            <w:vAlign w:val="center"/>
          </w:tcPr>
          <w:p w14:paraId="3E79B3D4">
            <w:pPr>
              <w:widowControl/>
              <w:jc w:val="left"/>
              <w:rPr>
                <w:rFonts w:ascii="宋体" w:hAnsi="宋体" w:cs="宋体"/>
                <w:color w:val="auto"/>
                <w:kern w:val="0"/>
                <w:sz w:val="24"/>
                <w:szCs w:val="24"/>
                <w:highlight w:val="none"/>
              </w:rPr>
            </w:pPr>
          </w:p>
        </w:tc>
        <w:tc>
          <w:tcPr>
            <w:tcW w:w="1329" w:type="dxa"/>
            <w:gridSpan w:val="2"/>
            <w:vAlign w:val="center"/>
          </w:tcPr>
          <w:p w14:paraId="6FFEE3A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冲洗设施设置</w:t>
            </w:r>
          </w:p>
        </w:tc>
        <w:tc>
          <w:tcPr>
            <w:tcW w:w="4389" w:type="dxa"/>
            <w:vAlign w:val="center"/>
          </w:tcPr>
          <w:p w14:paraId="02EB2F30">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建设工程施工项目应在工地车辆出入口附近设置洗车槽，工地场地面积较大的项目，还应在土方开挖出口处设置洗车槽。2.为确保出工地车辆泥土能冲洗干净，现场除配备洗轮机外，还应配备高压水枪，对车辆清洗不彻底的部位进行辅助清洗。3.不具备设置标准洗车槽设施的市政、管线工程，经所在工程的监管部门同意后，施工单位应采用移动式冲水设备冲洗工地车辆，并安排工人保洁。</w:t>
            </w:r>
          </w:p>
        </w:tc>
        <w:tc>
          <w:tcPr>
            <w:tcW w:w="491" w:type="dxa"/>
            <w:vAlign w:val="center"/>
          </w:tcPr>
          <w:p w14:paraId="65CCE20B">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766346B1">
            <w:pPr>
              <w:widowControl/>
              <w:jc w:val="left"/>
              <w:rPr>
                <w:rFonts w:ascii="宋体" w:hAnsi="宋体" w:cs="宋体"/>
                <w:color w:val="auto"/>
                <w:kern w:val="0"/>
                <w:sz w:val="24"/>
                <w:szCs w:val="24"/>
                <w:highlight w:val="none"/>
              </w:rPr>
            </w:pPr>
          </w:p>
        </w:tc>
      </w:tr>
      <w:tr w14:paraId="0E9F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468" w:type="dxa"/>
            <w:vMerge w:val="continue"/>
            <w:vAlign w:val="center"/>
          </w:tcPr>
          <w:p w14:paraId="5646077F">
            <w:pPr>
              <w:widowControl/>
              <w:jc w:val="left"/>
              <w:rPr>
                <w:rFonts w:ascii="宋体" w:hAnsi="宋体" w:cs="宋体"/>
                <w:color w:val="auto"/>
                <w:kern w:val="0"/>
                <w:sz w:val="24"/>
                <w:szCs w:val="24"/>
                <w:highlight w:val="none"/>
              </w:rPr>
            </w:pPr>
          </w:p>
        </w:tc>
        <w:tc>
          <w:tcPr>
            <w:tcW w:w="767" w:type="dxa"/>
            <w:vMerge w:val="continue"/>
            <w:vAlign w:val="center"/>
          </w:tcPr>
          <w:p w14:paraId="5E5A665F">
            <w:pPr>
              <w:widowControl/>
              <w:jc w:val="left"/>
              <w:rPr>
                <w:rFonts w:ascii="宋体" w:hAnsi="宋体" w:cs="宋体"/>
                <w:color w:val="auto"/>
                <w:kern w:val="0"/>
                <w:sz w:val="24"/>
                <w:szCs w:val="24"/>
                <w:highlight w:val="none"/>
              </w:rPr>
            </w:pPr>
          </w:p>
        </w:tc>
        <w:tc>
          <w:tcPr>
            <w:tcW w:w="562" w:type="dxa"/>
            <w:vMerge w:val="restart"/>
            <w:vAlign w:val="center"/>
          </w:tcPr>
          <w:p w14:paraId="13F865D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建筑物装载及运输要求</w:t>
            </w:r>
          </w:p>
        </w:tc>
        <w:tc>
          <w:tcPr>
            <w:tcW w:w="767" w:type="dxa"/>
            <w:vAlign w:val="center"/>
          </w:tcPr>
          <w:p w14:paraId="021340F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装载要求</w:t>
            </w:r>
          </w:p>
        </w:tc>
        <w:tc>
          <w:tcPr>
            <w:tcW w:w="4389" w:type="dxa"/>
            <w:vAlign w:val="center"/>
          </w:tcPr>
          <w:p w14:paraId="53AFA24C">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建筑废弃物装载要求:驶出工地的渣土和粉状物料运输车辆应完全封闭严密且平装，不能高于车厢围栏且遮盖率达到100%，车辆钢盖板必须与车底平行。施工现场泥头车或建筑材料(沙、石粉或余泥)运输车辆，车箱禁止用帆布或安全网覆盖，一律采用两旁带自动挡板的车箱，并做到全密封，防止建筑材料、垃圾和工程渣土飞扬、洒落、泄漏等。</w:t>
            </w:r>
          </w:p>
        </w:tc>
        <w:tc>
          <w:tcPr>
            <w:tcW w:w="491" w:type="dxa"/>
            <w:vAlign w:val="center"/>
          </w:tcPr>
          <w:p w14:paraId="7852734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31849A01">
            <w:pPr>
              <w:widowControl/>
              <w:jc w:val="left"/>
              <w:rPr>
                <w:rFonts w:ascii="宋体" w:hAnsi="宋体" w:cs="宋体"/>
                <w:color w:val="auto"/>
                <w:kern w:val="0"/>
                <w:sz w:val="24"/>
                <w:szCs w:val="24"/>
                <w:highlight w:val="none"/>
              </w:rPr>
            </w:pPr>
          </w:p>
        </w:tc>
      </w:tr>
      <w:tr w14:paraId="18D7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468" w:type="dxa"/>
            <w:vMerge w:val="continue"/>
            <w:vAlign w:val="center"/>
          </w:tcPr>
          <w:p w14:paraId="19678FA0">
            <w:pPr>
              <w:widowControl/>
              <w:jc w:val="left"/>
              <w:rPr>
                <w:rFonts w:ascii="宋体" w:hAnsi="宋体" w:cs="宋体"/>
                <w:color w:val="auto"/>
                <w:kern w:val="0"/>
                <w:sz w:val="24"/>
                <w:szCs w:val="24"/>
                <w:highlight w:val="none"/>
              </w:rPr>
            </w:pPr>
          </w:p>
        </w:tc>
        <w:tc>
          <w:tcPr>
            <w:tcW w:w="767" w:type="dxa"/>
            <w:vMerge w:val="continue"/>
            <w:vAlign w:val="center"/>
          </w:tcPr>
          <w:p w14:paraId="30585E53">
            <w:pPr>
              <w:widowControl/>
              <w:jc w:val="left"/>
              <w:rPr>
                <w:rFonts w:ascii="宋体" w:hAnsi="宋体" w:cs="宋体"/>
                <w:color w:val="auto"/>
                <w:kern w:val="0"/>
                <w:sz w:val="24"/>
                <w:szCs w:val="24"/>
                <w:highlight w:val="none"/>
              </w:rPr>
            </w:pPr>
          </w:p>
        </w:tc>
        <w:tc>
          <w:tcPr>
            <w:tcW w:w="562" w:type="dxa"/>
            <w:vMerge w:val="continue"/>
            <w:vAlign w:val="center"/>
          </w:tcPr>
          <w:p w14:paraId="3C8780DD">
            <w:pPr>
              <w:widowControl/>
              <w:jc w:val="left"/>
              <w:rPr>
                <w:rFonts w:ascii="宋体" w:hAnsi="宋体" w:cs="宋体"/>
                <w:color w:val="auto"/>
                <w:kern w:val="0"/>
                <w:sz w:val="24"/>
                <w:szCs w:val="24"/>
                <w:highlight w:val="none"/>
              </w:rPr>
            </w:pPr>
          </w:p>
        </w:tc>
        <w:tc>
          <w:tcPr>
            <w:tcW w:w="767" w:type="dxa"/>
            <w:vAlign w:val="center"/>
          </w:tcPr>
          <w:p w14:paraId="66B66D9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运输要求</w:t>
            </w:r>
          </w:p>
        </w:tc>
        <w:tc>
          <w:tcPr>
            <w:tcW w:w="4389" w:type="dxa"/>
            <w:vAlign w:val="center"/>
          </w:tcPr>
          <w:p w14:paraId="2438BE9A">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工地在余泥运输阶段，施工单位要安排配备专职建筑废弃物运输管理人员，负责检查余泥装载和”一不准进、三不准出“(”一不准进“是指无《广州市建筑垃圾准运证》的车辆坚决不准进入建筑工地;”三不准出“是指超载、无遮盖、未冲洗干净车轮和车身的车辆，坚决不准驶出工地)等相关制度的落实。车辆驶出时应保证清洁，车身无泥水滴落。</w:t>
            </w:r>
          </w:p>
        </w:tc>
        <w:tc>
          <w:tcPr>
            <w:tcW w:w="491" w:type="dxa"/>
            <w:vAlign w:val="center"/>
          </w:tcPr>
          <w:p w14:paraId="76FC4128">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5DFC229E">
            <w:pPr>
              <w:widowControl/>
              <w:jc w:val="left"/>
              <w:rPr>
                <w:rFonts w:ascii="宋体" w:hAnsi="宋体" w:cs="宋体"/>
                <w:color w:val="auto"/>
                <w:kern w:val="0"/>
                <w:sz w:val="24"/>
                <w:szCs w:val="24"/>
                <w:highlight w:val="none"/>
              </w:rPr>
            </w:pPr>
          </w:p>
        </w:tc>
      </w:tr>
      <w:tr w14:paraId="777E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468" w:type="dxa"/>
            <w:vMerge w:val="continue"/>
            <w:vAlign w:val="center"/>
          </w:tcPr>
          <w:p w14:paraId="6CD45632">
            <w:pPr>
              <w:widowControl/>
              <w:jc w:val="left"/>
              <w:rPr>
                <w:rFonts w:ascii="宋体" w:hAnsi="宋体" w:cs="宋体"/>
                <w:color w:val="auto"/>
                <w:kern w:val="0"/>
                <w:sz w:val="24"/>
                <w:szCs w:val="24"/>
                <w:highlight w:val="none"/>
              </w:rPr>
            </w:pPr>
          </w:p>
        </w:tc>
        <w:tc>
          <w:tcPr>
            <w:tcW w:w="767" w:type="dxa"/>
            <w:vMerge w:val="continue"/>
            <w:vAlign w:val="center"/>
          </w:tcPr>
          <w:p w14:paraId="2D415EE5">
            <w:pPr>
              <w:widowControl/>
              <w:jc w:val="left"/>
              <w:rPr>
                <w:rFonts w:ascii="宋体" w:hAnsi="宋体" w:cs="宋体"/>
                <w:color w:val="auto"/>
                <w:kern w:val="0"/>
                <w:sz w:val="24"/>
                <w:szCs w:val="24"/>
                <w:highlight w:val="none"/>
              </w:rPr>
            </w:pPr>
          </w:p>
        </w:tc>
        <w:tc>
          <w:tcPr>
            <w:tcW w:w="1329" w:type="dxa"/>
            <w:gridSpan w:val="2"/>
            <w:vAlign w:val="center"/>
          </w:tcPr>
          <w:p w14:paraId="11D5C3A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视频监控设备</w:t>
            </w:r>
          </w:p>
        </w:tc>
        <w:tc>
          <w:tcPr>
            <w:tcW w:w="4389" w:type="dxa"/>
            <w:vAlign w:val="center"/>
          </w:tcPr>
          <w:p w14:paraId="5776D58B">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房屋建筑工程(含综合管廊)施工现场出入口应当安装监控车辆出场冲洗情况及车辆号牌的视频监控设备，并与市住房城乡建设局的”广州市建设工程智慧监管一体化平台实现联网，视频监控录像现场存储时间不少于30天。2.城市建成区其他建设项目(房建工程以外)的施工现场出入口应当安装监控车辆出场冲洗情况及车辆号牌的视频监控设备，并逐步实现与该项目的监管部门的监管平台联网。</w:t>
            </w:r>
          </w:p>
        </w:tc>
        <w:tc>
          <w:tcPr>
            <w:tcW w:w="491" w:type="dxa"/>
            <w:vAlign w:val="center"/>
          </w:tcPr>
          <w:p w14:paraId="123D6C5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3F860A60">
            <w:pPr>
              <w:widowControl/>
              <w:jc w:val="left"/>
              <w:rPr>
                <w:rFonts w:ascii="宋体" w:hAnsi="宋体" w:cs="宋体"/>
                <w:color w:val="auto"/>
                <w:kern w:val="0"/>
                <w:sz w:val="24"/>
                <w:szCs w:val="24"/>
                <w:highlight w:val="none"/>
              </w:rPr>
            </w:pPr>
          </w:p>
        </w:tc>
      </w:tr>
      <w:tr w14:paraId="0E14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468" w:type="dxa"/>
            <w:vAlign w:val="center"/>
          </w:tcPr>
          <w:p w14:paraId="34EA737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767" w:type="dxa"/>
            <w:vAlign w:val="center"/>
          </w:tcPr>
          <w:p w14:paraId="1C75E0B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裸土覆盖或绿化</w:t>
            </w:r>
          </w:p>
        </w:tc>
        <w:tc>
          <w:tcPr>
            <w:tcW w:w="1329" w:type="dxa"/>
            <w:gridSpan w:val="2"/>
            <w:vAlign w:val="center"/>
          </w:tcPr>
          <w:p w14:paraId="0FA9A84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4389" w:type="dxa"/>
            <w:vAlign w:val="center"/>
          </w:tcPr>
          <w:p w14:paraId="646912C9">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施工现场内裸露3个月以上的土地，应当采取绿化措施;裸露3个月以下的土地，应当采取覆盖、压实、洒水等压尘措施。2.需要堆放3个月以上的渣土、堆土等应覆盖遮阴网，喷水保湿、培育自然植被或者种植成本不高、覆盖性强、生长较快的草本植物，实行临时绿化。短期内不能按规划实施的空间规划绿地，可采取生态喷播的办法试行临时绿化。施工工地裸露土地绿化率不少于95%。</w:t>
            </w:r>
          </w:p>
        </w:tc>
        <w:tc>
          <w:tcPr>
            <w:tcW w:w="491" w:type="dxa"/>
            <w:vAlign w:val="center"/>
          </w:tcPr>
          <w:p w14:paraId="6DE6761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Align w:val="center"/>
          </w:tcPr>
          <w:p w14:paraId="0DA6DC9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经检查现场不符合要求，暂扣当期进度款中措施费总额的5%</w:t>
            </w:r>
          </w:p>
        </w:tc>
      </w:tr>
      <w:tr w14:paraId="17DE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68" w:type="dxa"/>
            <w:vMerge w:val="restart"/>
            <w:vAlign w:val="center"/>
          </w:tcPr>
          <w:p w14:paraId="3820DB3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8</w:t>
            </w:r>
          </w:p>
        </w:tc>
        <w:tc>
          <w:tcPr>
            <w:tcW w:w="767" w:type="dxa"/>
            <w:vMerge w:val="restart"/>
            <w:vAlign w:val="center"/>
          </w:tcPr>
          <w:p w14:paraId="0E2E063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室内要求</w:t>
            </w:r>
          </w:p>
        </w:tc>
        <w:tc>
          <w:tcPr>
            <w:tcW w:w="1329" w:type="dxa"/>
            <w:gridSpan w:val="2"/>
            <w:vAlign w:val="center"/>
          </w:tcPr>
          <w:p w14:paraId="713F80D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安全警示牌</w:t>
            </w:r>
          </w:p>
        </w:tc>
        <w:tc>
          <w:tcPr>
            <w:tcW w:w="4389" w:type="dxa"/>
            <w:vAlign w:val="center"/>
          </w:tcPr>
          <w:p w14:paraId="2AE528C5">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1.应按规范要求配置相应数量和种类的安全警示标志牌。2.应定期对标牌进行检查，发现缺失、损坏及时更换、更新。</w:t>
            </w:r>
          </w:p>
        </w:tc>
        <w:tc>
          <w:tcPr>
            <w:tcW w:w="491" w:type="dxa"/>
            <w:vAlign w:val="center"/>
          </w:tcPr>
          <w:p w14:paraId="57DEB10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restart"/>
            <w:vAlign w:val="center"/>
          </w:tcPr>
          <w:p w14:paraId="305ADCB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经检查现场不符合要求，暂扣当期进度款中措施费总额的10%</w:t>
            </w:r>
          </w:p>
        </w:tc>
      </w:tr>
      <w:tr w14:paraId="6E5F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68" w:type="dxa"/>
            <w:vMerge w:val="continue"/>
            <w:vAlign w:val="center"/>
          </w:tcPr>
          <w:p w14:paraId="06BA1957">
            <w:pPr>
              <w:widowControl/>
              <w:jc w:val="left"/>
              <w:rPr>
                <w:rFonts w:ascii="宋体" w:hAnsi="宋体" w:cs="宋体"/>
                <w:color w:val="auto"/>
                <w:kern w:val="0"/>
                <w:sz w:val="24"/>
                <w:szCs w:val="24"/>
                <w:highlight w:val="none"/>
              </w:rPr>
            </w:pPr>
          </w:p>
        </w:tc>
        <w:tc>
          <w:tcPr>
            <w:tcW w:w="767" w:type="dxa"/>
            <w:vMerge w:val="continue"/>
            <w:vAlign w:val="center"/>
          </w:tcPr>
          <w:p w14:paraId="6A08C82A">
            <w:pPr>
              <w:widowControl/>
              <w:jc w:val="left"/>
              <w:rPr>
                <w:rFonts w:ascii="宋体" w:hAnsi="宋体" w:cs="宋体"/>
                <w:color w:val="auto"/>
                <w:kern w:val="0"/>
                <w:sz w:val="24"/>
                <w:szCs w:val="24"/>
                <w:highlight w:val="none"/>
              </w:rPr>
            </w:pPr>
          </w:p>
        </w:tc>
        <w:tc>
          <w:tcPr>
            <w:tcW w:w="1329" w:type="dxa"/>
            <w:gridSpan w:val="2"/>
            <w:vAlign w:val="center"/>
          </w:tcPr>
          <w:p w14:paraId="76AEB09A">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临边洞口防护</w:t>
            </w:r>
          </w:p>
        </w:tc>
        <w:tc>
          <w:tcPr>
            <w:tcW w:w="4389" w:type="dxa"/>
            <w:vAlign w:val="center"/>
          </w:tcPr>
          <w:p w14:paraId="40176DC3">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“四口五临边”等应按规范设置防护措施。</w:t>
            </w:r>
          </w:p>
        </w:tc>
        <w:tc>
          <w:tcPr>
            <w:tcW w:w="491" w:type="dxa"/>
            <w:vAlign w:val="center"/>
          </w:tcPr>
          <w:p w14:paraId="28E8EA2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18A77555">
            <w:pPr>
              <w:widowControl/>
              <w:jc w:val="left"/>
              <w:rPr>
                <w:rFonts w:ascii="宋体" w:hAnsi="宋体" w:cs="宋体"/>
                <w:color w:val="auto"/>
                <w:kern w:val="0"/>
                <w:sz w:val="24"/>
                <w:szCs w:val="24"/>
                <w:highlight w:val="none"/>
              </w:rPr>
            </w:pPr>
          </w:p>
        </w:tc>
      </w:tr>
      <w:tr w14:paraId="1189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468" w:type="dxa"/>
            <w:vMerge w:val="continue"/>
            <w:vAlign w:val="center"/>
          </w:tcPr>
          <w:p w14:paraId="0AD39C1B">
            <w:pPr>
              <w:widowControl/>
              <w:jc w:val="left"/>
              <w:rPr>
                <w:rFonts w:ascii="宋体" w:hAnsi="宋体" w:cs="宋体"/>
                <w:color w:val="auto"/>
                <w:kern w:val="0"/>
                <w:sz w:val="24"/>
                <w:szCs w:val="24"/>
                <w:highlight w:val="none"/>
              </w:rPr>
            </w:pPr>
          </w:p>
        </w:tc>
        <w:tc>
          <w:tcPr>
            <w:tcW w:w="767" w:type="dxa"/>
            <w:vMerge w:val="continue"/>
            <w:vAlign w:val="center"/>
          </w:tcPr>
          <w:p w14:paraId="26FAF75A">
            <w:pPr>
              <w:widowControl/>
              <w:jc w:val="left"/>
              <w:rPr>
                <w:rFonts w:ascii="宋体" w:hAnsi="宋体" w:cs="宋体"/>
                <w:color w:val="auto"/>
                <w:kern w:val="0"/>
                <w:sz w:val="24"/>
                <w:szCs w:val="24"/>
                <w:highlight w:val="none"/>
              </w:rPr>
            </w:pPr>
          </w:p>
        </w:tc>
        <w:tc>
          <w:tcPr>
            <w:tcW w:w="1329" w:type="dxa"/>
            <w:gridSpan w:val="2"/>
            <w:vAlign w:val="center"/>
          </w:tcPr>
          <w:p w14:paraId="1A2593B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材料堆放</w:t>
            </w:r>
          </w:p>
        </w:tc>
        <w:tc>
          <w:tcPr>
            <w:tcW w:w="4389" w:type="dxa"/>
            <w:vAlign w:val="center"/>
          </w:tcPr>
          <w:p w14:paraId="191E4608">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1.建筑材料、构件、料具应按分类、合理进行码放。</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2.材料应码放整齐，并应标明名称、规格等。</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3.室内材料码放应采取防火等措施。</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4.室内施工应及时装袋，按规定及时清运，严禁随意抛掷。</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5.材料堆放不得堵塞通道。</w:t>
            </w:r>
          </w:p>
        </w:tc>
        <w:tc>
          <w:tcPr>
            <w:tcW w:w="491" w:type="dxa"/>
            <w:vAlign w:val="center"/>
          </w:tcPr>
          <w:p w14:paraId="4ECFE5D7">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6C23CC28">
            <w:pPr>
              <w:widowControl/>
              <w:jc w:val="left"/>
              <w:rPr>
                <w:rFonts w:ascii="宋体" w:hAnsi="宋体" w:cs="宋体"/>
                <w:color w:val="auto"/>
                <w:kern w:val="0"/>
                <w:sz w:val="24"/>
                <w:szCs w:val="24"/>
                <w:highlight w:val="none"/>
              </w:rPr>
            </w:pPr>
          </w:p>
        </w:tc>
      </w:tr>
      <w:tr w14:paraId="68FF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8" w:type="dxa"/>
            <w:vMerge w:val="continue"/>
            <w:vAlign w:val="center"/>
          </w:tcPr>
          <w:p w14:paraId="242E6BDD">
            <w:pPr>
              <w:widowControl/>
              <w:jc w:val="left"/>
              <w:rPr>
                <w:rFonts w:ascii="宋体" w:hAnsi="宋体" w:cs="宋体"/>
                <w:color w:val="auto"/>
                <w:kern w:val="0"/>
                <w:sz w:val="24"/>
                <w:szCs w:val="24"/>
                <w:highlight w:val="none"/>
              </w:rPr>
            </w:pPr>
          </w:p>
        </w:tc>
        <w:tc>
          <w:tcPr>
            <w:tcW w:w="767" w:type="dxa"/>
            <w:vMerge w:val="continue"/>
            <w:vAlign w:val="center"/>
          </w:tcPr>
          <w:p w14:paraId="29C444F5">
            <w:pPr>
              <w:widowControl/>
              <w:jc w:val="left"/>
              <w:rPr>
                <w:rFonts w:ascii="宋体" w:hAnsi="宋体" w:cs="宋体"/>
                <w:color w:val="auto"/>
                <w:kern w:val="0"/>
                <w:sz w:val="24"/>
                <w:szCs w:val="24"/>
                <w:highlight w:val="none"/>
              </w:rPr>
            </w:pPr>
          </w:p>
        </w:tc>
        <w:tc>
          <w:tcPr>
            <w:tcW w:w="1329" w:type="dxa"/>
            <w:gridSpan w:val="2"/>
            <w:vAlign w:val="center"/>
          </w:tcPr>
          <w:p w14:paraId="23A8162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积水处理</w:t>
            </w:r>
          </w:p>
        </w:tc>
        <w:tc>
          <w:tcPr>
            <w:tcW w:w="4389" w:type="dxa"/>
            <w:vAlign w:val="center"/>
          </w:tcPr>
          <w:p w14:paraId="2781544A">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室内积水应及时清理，保证地面清洁。</w:t>
            </w:r>
          </w:p>
        </w:tc>
        <w:tc>
          <w:tcPr>
            <w:tcW w:w="491" w:type="dxa"/>
            <w:vAlign w:val="center"/>
          </w:tcPr>
          <w:p w14:paraId="58F151ED">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42B16D17">
            <w:pPr>
              <w:widowControl/>
              <w:jc w:val="left"/>
              <w:rPr>
                <w:rFonts w:ascii="宋体" w:hAnsi="宋体" w:cs="宋体"/>
                <w:color w:val="auto"/>
                <w:kern w:val="0"/>
                <w:sz w:val="24"/>
                <w:szCs w:val="24"/>
                <w:highlight w:val="none"/>
              </w:rPr>
            </w:pPr>
          </w:p>
        </w:tc>
      </w:tr>
      <w:tr w14:paraId="46B6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468" w:type="dxa"/>
            <w:vMerge w:val="continue"/>
            <w:vAlign w:val="center"/>
          </w:tcPr>
          <w:p w14:paraId="65478CCD">
            <w:pPr>
              <w:widowControl/>
              <w:jc w:val="left"/>
              <w:rPr>
                <w:rFonts w:ascii="宋体" w:hAnsi="宋体" w:cs="宋体"/>
                <w:color w:val="auto"/>
                <w:kern w:val="0"/>
                <w:sz w:val="24"/>
                <w:szCs w:val="24"/>
                <w:highlight w:val="none"/>
              </w:rPr>
            </w:pPr>
          </w:p>
        </w:tc>
        <w:tc>
          <w:tcPr>
            <w:tcW w:w="767" w:type="dxa"/>
            <w:vMerge w:val="continue"/>
            <w:vAlign w:val="center"/>
          </w:tcPr>
          <w:p w14:paraId="40D5170A">
            <w:pPr>
              <w:widowControl/>
              <w:jc w:val="left"/>
              <w:rPr>
                <w:rFonts w:ascii="宋体" w:hAnsi="宋体" w:cs="宋体"/>
                <w:color w:val="auto"/>
                <w:kern w:val="0"/>
                <w:sz w:val="24"/>
                <w:szCs w:val="24"/>
                <w:highlight w:val="none"/>
              </w:rPr>
            </w:pPr>
          </w:p>
        </w:tc>
        <w:tc>
          <w:tcPr>
            <w:tcW w:w="1329" w:type="dxa"/>
            <w:gridSpan w:val="2"/>
            <w:vAlign w:val="center"/>
          </w:tcPr>
          <w:p w14:paraId="017B41E6">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用电照明管理</w:t>
            </w:r>
          </w:p>
        </w:tc>
        <w:tc>
          <w:tcPr>
            <w:tcW w:w="4389" w:type="dxa"/>
            <w:vAlign w:val="center"/>
          </w:tcPr>
          <w:p w14:paraId="762357BA">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1.照明用电应与动力用电分设。</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2.手持照明灯应采用安全电压供电。</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3.灯具金属外壳应接保护零线。</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4.灯具与地面、易燃物间的距离应符合规范要求。</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5.照明线路和安全电压线路的架设应符合规范要求。</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6.室内应按规范要求配备应急照明。</w:t>
            </w:r>
          </w:p>
        </w:tc>
        <w:tc>
          <w:tcPr>
            <w:tcW w:w="491" w:type="dxa"/>
            <w:vAlign w:val="center"/>
          </w:tcPr>
          <w:p w14:paraId="2F44179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674C3F15">
            <w:pPr>
              <w:widowControl/>
              <w:jc w:val="left"/>
              <w:rPr>
                <w:rFonts w:ascii="宋体" w:hAnsi="宋体" w:cs="宋体"/>
                <w:color w:val="auto"/>
                <w:kern w:val="0"/>
                <w:sz w:val="24"/>
                <w:szCs w:val="24"/>
                <w:highlight w:val="none"/>
              </w:rPr>
            </w:pPr>
          </w:p>
        </w:tc>
      </w:tr>
      <w:tr w14:paraId="727E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68" w:type="dxa"/>
            <w:vMerge w:val="restart"/>
            <w:vAlign w:val="center"/>
          </w:tcPr>
          <w:p w14:paraId="424DFA44">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9</w:t>
            </w:r>
          </w:p>
        </w:tc>
        <w:tc>
          <w:tcPr>
            <w:tcW w:w="767" w:type="dxa"/>
            <w:vMerge w:val="restart"/>
            <w:vAlign w:val="center"/>
          </w:tcPr>
          <w:p w14:paraId="17B8A23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其他要求</w:t>
            </w:r>
          </w:p>
        </w:tc>
        <w:tc>
          <w:tcPr>
            <w:tcW w:w="1329" w:type="dxa"/>
            <w:gridSpan w:val="2"/>
            <w:vAlign w:val="center"/>
          </w:tcPr>
          <w:p w14:paraId="672EE840">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工地视频监控设备</w:t>
            </w:r>
          </w:p>
        </w:tc>
        <w:tc>
          <w:tcPr>
            <w:tcW w:w="4389" w:type="dxa"/>
            <w:vAlign w:val="center"/>
          </w:tcPr>
          <w:p w14:paraId="1169024E">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工地车辆出入口、施工作业人员出入口、工程项目部会议室、工地施工活跃区域、工地最高点(或塔吊处)、建筑材料堆放处等位置须按要求设置视频监控设备。2.工程视频监控应接入广州市建设工程智慧监管一体化平台，视频监控录像现场存储时间不少于30天。</w:t>
            </w:r>
          </w:p>
        </w:tc>
        <w:tc>
          <w:tcPr>
            <w:tcW w:w="491" w:type="dxa"/>
            <w:vAlign w:val="center"/>
          </w:tcPr>
          <w:p w14:paraId="3B14EA1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restart"/>
            <w:vAlign w:val="center"/>
          </w:tcPr>
          <w:p w14:paraId="1C2C1803">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经检查现场不符合要求，暂扣当期进度款中措施费总额的5%</w:t>
            </w:r>
          </w:p>
        </w:tc>
      </w:tr>
      <w:tr w14:paraId="6C7F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68" w:type="dxa"/>
            <w:vMerge w:val="continue"/>
            <w:vAlign w:val="center"/>
          </w:tcPr>
          <w:p w14:paraId="4869A648">
            <w:pPr>
              <w:widowControl/>
              <w:jc w:val="left"/>
              <w:rPr>
                <w:rFonts w:ascii="宋体" w:hAnsi="宋体" w:cs="宋体"/>
                <w:color w:val="auto"/>
                <w:kern w:val="0"/>
                <w:sz w:val="24"/>
                <w:szCs w:val="24"/>
                <w:highlight w:val="none"/>
              </w:rPr>
            </w:pPr>
          </w:p>
        </w:tc>
        <w:tc>
          <w:tcPr>
            <w:tcW w:w="767" w:type="dxa"/>
            <w:vMerge w:val="continue"/>
            <w:vAlign w:val="center"/>
          </w:tcPr>
          <w:p w14:paraId="3663009B">
            <w:pPr>
              <w:widowControl/>
              <w:jc w:val="left"/>
              <w:rPr>
                <w:rFonts w:ascii="宋体" w:hAnsi="宋体" w:cs="宋体"/>
                <w:color w:val="auto"/>
                <w:kern w:val="0"/>
                <w:sz w:val="24"/>
                <w:szCs w:val="24"/>
                <w:highlight w:val="none"/>
              </w:rPr>
            </w:pPr>
          </w:p>
        </w:tc>
        <w:tc>
          <w:tcPr>
            <w:tcW w:w="1329" w:type="dxa"/>
            <w:gridSpan w:val="2"/>
            <w:vAlign w:val="center"/>
          </w:tcPr>
          <w:p w14:paraId="2873D181">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扬尘在线监测设备</w:t>
            </w:r>
          </w:p>
        </w:tc>
        <w:tc>
          <w:tcPr>
            <w:tcW w:w="4389" w:type="dxa"/>
            <w:vAlign w:val="center"/>
          </w:tcPr>
          <w:p w14:paraId="133B4A33">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工程占地面积在10000平方米以上的项目，在施工现场应至少安装1套扬尘在线监测设备，每增加10000平方米宜增设1个监测点，选择在工地周围视野良好、通风条件良好的位置安装并与市生态环境局的扬尘在线监测系统实现联网。</w:t>
            </w:r>
          </w:p>
        </w:tc>
        <w:tc>
          <w:tcPr>
            <w:tcW w:w="491" w:type="dxa"/>
            <w:vAlign w:val="center"/>
          </w:tcPr>
          <w:p w14:paraId="5CD71E75">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1D988C5D">
            <w:pPr>
              <w:widowControl/>
              <w:jc w:val="left"/>
              <w:rPr>
                <w:rFonts w:ascii="宋体" w:hAnsi="宋体" w:cs="宋体"/>
                <w:color w:val="auto"/>
                <w:kern w:val="0"/>
                <w:sz w:val="24"/>
                <w:szCs w:val="24"/>
                <w:highlight w:val="none"/>
              </w:rPr>
            </w:pPr>
          </w:p>
        </w:tc>
      </w:tr>
      <w:tr w14:paraId="07B7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dxa"/>
            <w:vMerge w:val="continue"/>
            <w:vAlign w:val="center"/>
          </w:tcPr>
          <w:p w14:paraId="6C603D97">
            <w:pPr>
              <w:widowControl/>
              <w:jc w:val="left"/>
              <w:rPr>
                <w:rFonts w:ascii="宋体" w:hAnsi="宋体" w:cs="宋体"/>
                <w:color w:val="auto"/>
                <w:kern w:val="0"/>
                <w:sz w:val="24"/>
                <w:szCs w:val="24"/>
                <w:highlight w:val="none"/>
              </w:rPr>
            </w:pPr>
          </w:p>
        </w:tc>
        <w:tc>
          <w:tcPr>
            <w:tcW w:w="767" w:type="dxa"/>
            <w:vMerge w:val="continue"/>
            <w:vAlign w:val="center"/>
          </w:tcPr>
          <w:p w14:paraId="31137296">
            <w:pPr>
              <w:widowControl/>
              <w:jc w:val="left"/>
              <w:rPr>
                <w:rFonts w:ascii="宋体" w:hAnsi="宋体" w:cs="宋体"/>
                <w:color w:val="auto"/>
                <w:kern w:val="0"/>
                <w:sz w:val="24"/>
                <w:szCs w:val="24"/>
                <w:highlight w:val="none"/>
              </w:rPr>
            </w:pPr>
          </w:p>
        </w:tc>
        <w:tc>
          <w:tcPr>
            <w:tcW w:w="1329" w:type="dxa"/>
            <w:gridSpan w:val="2"/>
            <w:vAlign w:val="center"/>
          </w:tcPr>
          <w:p w14:paraId="09EDD1AE">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三级沉淀池设置</w:t>
            </w:r>
          </w:p>
        </w:tc>
        <w:tc>
          <w:tcPr>
            <w:tcW w:w="4389" w:type="dxa"/>
            <w:vAlign w:val="center"/>
          </w:tcPr>
          <w:p w14:paraId="5A10BF76">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1.工地现场的施工污水、废水必须通过三级沉淀池处理后进行排放，并及时清理沉淀池。</w:t>
            </w:r>
          </w:p>
        </w:tc>
        <w:tc>
          <w:tcPr>
            <w:tcW w:w="491" w:type="dxa"/>
            <w:vAlign w:val="center"/>
          </w:tcPr>
          <w:p w14:paraId="2BDBF63F">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989" w:type="dxa"/>
            <w:vMerge w:val="continue"/>
            <w:vAlign w:val="center"/>
          </w:tcPr>
          <w:p w14:paraId="1A890BD2">
            <w:pPr>
              <w:widowControl/>
              <w:jc w:val="left"/>
              <w:rPr>
                <w:rFonts w:ascii="宋体" w:hAnsi="宋体" w:cs="宋体"/>
                <w:color w:val="auto"/>
                <w:kern w:val="0"/>
                <w:sz w:val="24"/>
                <w:szCs w:val="24"/>
                <w:highlight w:val="none"/>
              </w:rPr>
            </w:pPr>
          </w:p>
        </w:tc>
      </w:tr>
      <w:tr w14:paraId="17E0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433" w:type="dxa"/>
            <w:gridSpan w:val="7"/>
            <w:vAlign w:val="center"/>
          </w:tcPr>
          <w:p w14:paraId="09EAD2F6">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备注：如整改完成，在下次检查达到要求后，以上暂扣措施费将在下期进度款中一次性全额返还。</w:t>
            </w:r>
          </w:p>
        </w:tc>
      </w:tr>
    </w:tbl>
    <w:p w14:paraId="4A6C0F70">
      <w:pPr>
        <w:pStyle w:val="62"/>
        <w:ind w:right="992" w:firstLine="0" w:firstLineChars="0"/>
        <w:rPr>
          <w:color w:val="auto"/>
          <w:highlight w:val="none"/>
        </w:rPr>
      </w:pPr>
    </w:p>
    <w:p w14:paraId="67F598DE">
      <w:pPr>
        <w:adjustRightInd w:val="0"/>
        <w:snapToGrid w:val="0"/>
        <w:spacing w:line="360" w:lineRule="auto"/>
        <w:jc w:val="center"/>
        <w:rPr>
          <w:rFonts w:ascii="宋体" w:hAnsi="宋体" w:cs="宋体"/>
          <w:color w:val="auto"/>
          <w:sz w:val="24"/>
          <w:highlight w:val="none"/>
        </w:rPr>
      </w:pPr>
    </w:p>
    <w:p w14:paraId="26F3C271">
      <w:pPr>
        <w:ind w:left="239" w:leftChars="114"/>
        <w:rPr>
          <w:color w:val="auto"/>
          <w:sz w:val="24"/>
          <w:szCs w:val="24"/>
          <w:highlight w:val="none"/>
        </w:rPr>
      </w:pPr>
    </w:p>
    <w:p w14:paraId="2CD51C7F">
      <w:pPr>
        <w:pStyle w:val="62"/>
        <w:ind w:right="992" w:firstLine="0" w:firstLineChars="0"/>
        <w:rPr>
          <w:color w:val="auto"/>
          <w:highlight w:val="none"/>
        </w:rPr>
      </w:pPr>
    </w:p>
    <w:sectPr>
      <w:pgSz w:w="11906" w:h="16838"/>
      <w:pgMar w:top="1440" w:right="1797" w:bottom="1440" w:left="1797"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listo MT">
    <w:altName w:val="Segoe Print"/>
    <w:panose1 w:val="02040603050505030304"/>
    <w:charset w:val="00"/>
    <w:family w:val="roman"/>
    <w:pitch w:val="default"/>
    <w:sig w:usb0="00000000" w:usb1="00000000" w:usb2="00000000" w:usb3="00000000" w:csb0="2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宋体-PUA">
    <w:altName w:val="宋体"/>
    <w:panose1 w:val="00000000000000000000"/>
    <w:charset w:val="86"/>
    <w:family w:val="auto"/>
    <w:pitch w:val="default"/>
    <w:sig w:usb0="00000000" w:usb1="00000000" w:usb2="00000010" w:usb3="00000000" w:csb0="00040000" w:csb1="00000000"/>
  </w:font>
  <w:font w:name="AdobeSongStd-Light">
    <w:altName w:val="黑体"/>
    <w:panose1 w:val="00000000000000000000"/>
    <w:charset w:val="86"/>
    <w:family w:val="auto"/>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C040F">
    <w:pPr>
      <w:pStyle w:val="31"/>
      <w:jc w:val="center"/>
    </w:pPr>
    <w:r>
      <w:fldChar w:fldCharType="begin"/>
    </w:r>
    <w:r>
      <w:instrText xml:space="preserve"> PAGE   \* MERGEFORMAT </w:instrText>
    </w:r>
    <w:r>
      <w:fldChar w:fldCharType="separate"/>
    </w:r>
    <w:r>
      <w:rPr>
        <w:lang w:val="zh-CN"/>
      </w:rPr>
      <w:t>55</w:t>
    </w:r>
    <w:r>
      <w:rPr>
        <w:lang w:val="zh-CN"/>
      </w:rPr>
      <w:fldChar w:fldCharType="end"/>
    </w:r>
  </w:p>
  <w:p w14:paraId="3FD83CE6">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C899F">
    <w:pPr>
      <w:pStyle w:val="31"/>
      <w:framePr w:wrap="around" w:vAnchor="text" w:hAnchor="margin" w:xAlign="center" w:y="1"/>
    </w:pPr>
    <w:r>
      <w:rPr>
        <w:rStyle w:val="51"/>
      </w:rPr>
      <w:fldChar w:fldCharType="begin"/>
    </w:r>
    <w:r>
      <w:rPr>
        <w:rStyle w:val="51"/>
      </w:rPr>
      <w:instrText xml:space="preserve">PAGE  </w:instrText>
    </w:r>
    <w:r>
      <w:rPr>
        <w:rStyle w:val="51"/>
      </w:rPr>
      <w:fldChar w:fldCharType="end"/>
    </w:r>
  </w:p>
  <w:p w14:paraId="7326CB5D">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EADAB">
    <w:pPr>
      <w:pStyle w:val="31"/>
      <w:jc w:val="center"/>
    </w:pPr>
    <w:r>
      <w:fldChar w:fldCharType="begin"/>
    </w:r>
    <w:r>
      <w:instrText xml:space="preserve">PAGE   \* MERGEFORMAT</w:instrText>
    </w:r>
    <w:r>
      <w:fldChar w:fldCharType="separate"/>
    </w:r>
    <w:r>
      <w:rPr>
        <w:lang w:val="zh-CN"/>
      </w:rPr>
      <w:t>162</w:t>
    </w:r>
    <w:r>
      <w:fldChar w:fldCharType="end"/>
    </w:r>
  </w:p>
  <w:p w14:paraId="2AC9FA70">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988DF">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bullet"/>
      <w:lvlText w:val=""/>
      <w:lvlJc w:val="left"/>
      <w:pPr>
        <w:tabs>
          <w:tab w:val="left" w:pos="855"/>
        </w:tabs>
        <w:ind w:left="855"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DA35A76"/>
    <w:multiLevelType w:val="multilevel"/>
    <w:tmpl w:val="0DA35A7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CB65D7"/>
    <w:multiLevelType w:val="multilevel"/>
    <w:tmpl w:val="10CB65D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20B7623"/>
    <w:multiLevelType w:val="multilevel"/>
    <w:tmpl w:val="120B7623"/>
    <w:lvl w:ilvl="0" w:tentative="0">
      <w:start w:val="1"/>
      <w:numFmt w:val="chineseCountingThousand"/>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chineseCountingThousand"/>
      <w:pStyle w:val="11"/>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9C37876"/>
    <w:multiLevelType w:val="multilevel"/>
    <w:tmpl w:val="19C3787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B097054"/>
    <w:multiLevelType w:val="multilevel"/>
    <w:tmpl w:val="1B097054"/>
    <w:lvl w:ilvl="0" w:tentative="0">
      <w:start w:val="1"/>
      <w:numFmt w:val="japaneseCounting"/>
      <w:lvlText w:val="第%1条"/>
      <w:lvlJc w:val="left"/>
      <w:pPr>
        <w:tabs>
          <w:tab w:val="left" w:pos="1695"/>
        </w:tabs>
        <w:ind w:left="1695" w:hanging="1125"/>
      </w:pPr>
      <w:rPr>
        <w:rFonts w:hint="eastAsia"/>
      </w:rPr>
    </w:lvl>
    <w:lvl w:ilvl="1" w:tentative="0">
      <w:start w:val="1"/>
      <w:numFmt w:val="decimal"/>
      <w:lvlText w:val="%2、"/>
      <w:lvlJc w:val="left"/>
      <w:pPr>
        <w:tabs>
          <w:tab w:val="left" w:pos="1710"/>
        </w:tabs>
        <w:ind w:left="1710" w:hanging="720"/>
      </w:pPr>
      <w:rPr>
        <w:rFonts w:hint="eastAsia"/>
      </w:rPr>
    </w:lvl>
    <w:lvl w:ilvl="2" w:tentative="0">
      <w:start w:val="4"/>
      <w:numFmt w:val="japaneseCounting"/>
      <w:lvlText w:val="第%3章"/>
      <w:lvlJc w:val="left"/>
      <w:pPr>
        <w:tabs>
          <w:tab w:val="left" w:pos="2535"/>
        </w:tabs>
        <w:ind w:left="2535" w:hanging="1125"/>
      </w:pPr>
      <w:rPr>
        <w:rFonts w:hint="eastAsia"/>
      </w:r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6">
    <w:nsid w:val="259905B5"/>
    <w:multiLevelType w:val="multilevel"/>
    <w:tmpl w:val="259905B5"/>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suff w:val="space"/>
      <w:lvlText w:val="%2.%3.%4"/>
      <w:lvlJc w:val="left"/>
      <w:pPr>
        <w:ind w:left="284" w:hanging="284"/>
      </w:pPr>
      <w:rPr>
        <w:rFonts w:hint="eastAsia" w:ascii="宋体" w:eastAsia="宋体"/>
        <w:b/>
        <w:i w:val="0"/>
        <w:sz w:val="28"/>
      </w:rPr>
    </w:lvl>
    <w:lvl w:ilvl="4" w:tentative="0">
      <w:start w:val="1"/>
      <w:numFmt w:val="decimal"/>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pStyle w:val="13"/>
      <w:suff w:val="nothing"/>
      <w:lvlText w:val=""/>
      <w:lvlJc w:val="left"/>
      <w:pPr>
        <w:ind w:left="0" w:firstLine="0"/>
      </w:pPr>
      <w:rPr>
        <w:rFonts w:hint="eastAsia"/>
      </w:rPr>
    </w:lvl>
    <w:lvl w:ilvl="7" w:tentative="0">
      <w:start w:val="1"/>
      <w:numFmt w:val="none"/>
      <w:pStyle w:val="14"/>
      <w:suff w:val="nothing"/>
      <w:lvlText w:val=""/>
      <w:lvlJc w:val="left"/>
      <w:pPr>
        <w:ind w:left="0" w:firstLine="0"/>
      </w:pPr>
      <w:rPr>
        <w:rFonts w:hint="eastAsia"/>
      </w:rPr>
    </w:lvl>
    <w:lvl w:ilvl="8" w:tentative="0">
      <w:start w:val="1"/>
      <w:numFmt w:val="none"/>
      <w:pStyle w:val="15"/>
      <w:suff w:val="nothing"/>
      <w:lvlText w:val=""/>
      <w:lvlJc w:val="left"/>
      <w:pPr>
        <w:ind w:left="0" w:firstLine="0"/>
      </w:pPr>
      <w:rPr>
        <w:rFonts w:hint="eastAsia"/>
      </w:rPr>
    </w:lvl>
  </w:abstractNum>
  <w:abstractNum w:abstractNumId="7">
    <w:nsid w:val="295301C9"/>
    <w:multiLevelType w:val="multilevel"/>
    <w:tmpl w:val="295301C9"/>
    <w:lvl w:ilvl="0" w:tentative="0">
      <w:start w:val="1"/>
      <w:numFmt w:val="decimal"/>
      <w:lvlText w:val="%1）"/>
      <w:lvlJc w:val="left"/>
      <w:pPr>
        <w:ind w:left="821" w:hanging="360"/>
      </w:pPr>
      <w:rPr>
        <w:rFonts w:hint="default"/>
      </w:rPr>
    </w:lvl>
    <w:lvl w:ilvl="1" w:tentative="0">
      <w:start w:val="1"/>
      <w:numFmt w:val="lowerLetter"/>
      <w:lvlText w:val="%2)"/>
      <w:lvlJc w:val="left"/>
      <w:pPr>
        <w:ind w:left="1301" w:hanging="420"/>
      </w:pPr>
    </w:lvl>
    <w:lvl w:ilvl="2" w:tentative="0">
      <w:start w:val="1"/>
      <w:numFmt w:val="lowerRoman"/>
      <w:lvlText w:val="%3."/>
      <w:lvlJc w:val="right"/>
      <w:pPr>
        <w:ind w:left="1721" w:hanging="420"/>
      </w:pPr>
    </w:lvl>
    <w:lvl w:ilvl="3" w:tentative="0">
      <w:start w:val="1"/>
      <w:numFmt w:val="decimal"/>
      <w:lvlText w:val="%4."/>
      <w:lvlJc w:val="left"/>
      <w:pPr>
        <w:ind w:left="2141" w:hanging="420"/>
      </w:pPr>
    </w:lvl>
    <w:lvl w:ilvl="4" w:tentative="0">
      <w:start w:val="1"/>
      <w:numFmt w:val="lowerLetter"/>
      <w:lvlText w:val="%5)"/>
      <w:lvlJc w:val="left"/>
      <w:pPr>
        <w:ind w:left="2561" w:hanging="420"/>
      </w:pPr>
    </w:lvl>
    <w:lvl w:ilvl="5" w:tentative="0">
      <w:start w:val="1"/>
      <w:numFmt w:val="lowerRoman"/>
      <w:lvlText w:val="%6."/>
      <w:lvlJc w:val="right"/>
      <w:pPr>
        <w:ind w:left="2981" w:hanging="420"/>
      </w:pPr>
    </w:lvl>
    <w:lvl w:ilvl="6" w:tentative="0">
      <w:start w:val="1"/>
      <w:numFmt w:val="decimal"/>
      <w:lvlText w:val="%7."/>
      <w:lvlJc w:val="left"/>
      <w:pPr>
        <w:ind w:left="3401" w:hanging="420"/>
      </w:pPr>
    </w:lvl>
    <w:lvl w:ilvl="7" w:tentative="0">
      <w:start w:val="1"/>
      <w:numFmt w:val="lowerLetter"/>
      <w:lvlText w:val="%8)"/>
      <w:lvlJc w:val="left"/>
      <w:pPr>
        <w:ind w:left="3821" w:hanging="420"/>
      </w:pPr>
    </w:lvl>
    <w:lvl w:ilvl="8" w:tentative="0">
      <w:start w:val="1"/>
      <w:numFmt w:val="lowerRoman"/>
      <w:lvlText w:val="%9."/>
      <w:lvlJc w:val="right"/>
      <w:pPr>
        <w:ind w:left="4241" w:hanging="420"/>
      </w:pPr>
    </w:lvl>
  </w:abstractNum>
  <w:abstractNum w:abstractNumId="8">
    <w:nsid w:val="3BA0300A"/>
    <w:multiLevelType w:val="multilevel"/>
    <w:tmpl w:val="3BA03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4FB0463"/>
    <w:multiLevelType w:val="multilevel"/>
    <w:tmpl w:val="74FB0463"/>
    <w:lvl w:ilvl="0" w:tentative="0">
      <w:start w:val="1"/>
      <w:numFmt w:val="decimal"/>
      <w:suff w:val="nothing"/>
      <w:lvlText w:val="第%1篇"/>
      <w:lvlJc w:val="left"/>
      <w:pPr>
        <w:ind w:left="0" w:firstLine="0"/>
      </w:pPr>
      <w:rPr>
        <w:rFonts w:hint="eastAsia"/>
        <w:spacing w:val="60"/>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center"/>
      <w:pPr>
        <w:ind w:left="0" w:firstLine="288"/>
      </w:pPr>
      <w:rPr>
        <w:rFonts w:hint="eastAsia"/>
      </w:rPr>
    </w:lvl>
    <w:lvl w:ilvl="5" w:tentative="0">
      <w:start w:val="1"/>
      <w:numFmt w:val="none"/>
      <w:pStyle w:val="12"/>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9"/>
  </w:num>
  <w:num w:numId="3">
    <w:abstractNumId w:val="6"/>
  </w:num>
  <w:num w:numId="4">
    <w:abstractNumId w:val="4"/>
  </w:num>
  <w:num w:numId="5">
    <w:abstractNumId w:val="7"/>
  </w:num>
  <w:num w:numId="6">
    <w:abstractNumId w:val="1"/>
  </w:num>
  <w:num w:numId="7">
    <w:abstractNumId w:val="2"/>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M2UyNmExMGFkOTdkNDE4YTQyNjA4NjVjNTk1ODcifQ=="/>
  </w:docVars>
  <w:rsids>
    <w:rsidRoot w:val="007E586D"/>
    <w:rsid w:val="00000A8B"/>
    <w:rsid w:val="00001B08"/>
    <w:rsid w:val="00001F62"/>
    <w:rsid w:val="00002A13"/>
    <w:rsid w:val="000033ED"/>
    <w:rsid w:val="00004CD6"/>
    <w:rsid w:val="00006253"/>
    <w:rsid w:val="000065CB"/>
    <w:rsid w:val="00007291"/>
    <w:rsid w:val="000114F2"/>
    <w:rsid w:val="00015852"/>
    <w:rsid w:val="000171E5"/>
    <w:rsid w:val="00021C76"/>
    <w:rsid w:val="00021D19"/>
    <w:rsid w:val="000227F9"/>
    <w:rsid w:val="000236E5"/>
    <w:rsid w:val="00024021"/>
    <w:rsid w:val="00024306"/>
    <w:rsid w:val="000262A2"/>
    <w:rsid w:val="00026598"/>
    <w:rsid w:val="00031C30"/>
    <w:rsid w:val="00031EFE"/>
    <w:rsid w:val="000323C1"/>
    <w:rsid w:val="000360FF"/>
    <w:rsid w:val="000366C9"/>
    <w:rsid w:val="00040136"/>
    <w:rsid w:val="00042E86"/>
    <w:rsid w:val="00045312"/>
    <w:rsid w:val="00047016"/>
    <w:rsid w:val="00047557"/>
    <w:rsid w:val="00050174"/>
    <w:rsid w:val="0005250B"/>
    <w:rsid w:val="0005262E"/>
    <w:rsid w:val="00053318"/>
    <w:rsid w:val="000560DE"/>
    <w:rsid w:val="000562C0"/>
    <w:rsid w:val="00056376"/>
    <w:rsid w:val="000563BD"/>
    <w:rsid w:val="00060F37"/>
    <w:rsid w:val="000618A6"/>
    <w:rsid w:val="000656A9"/>
    <w:rsid w:val="000662D9"/>
    <w:rsid w:val="00066CE8"/>
    <w:rsid w:val="00076D44"/>
    <w:rsid w:val="00081BA9"/>
    <w:rsid w:val="00082376"/>
    <w:rsid w:val="000913EB"/>
    <w:rsid w:val="00095DFE"/>
    <w:rsid w:val="000966CD"/>
    <w:rsid w:val="000A1672"/>
    <w:rsid w:val="000A216A"/>
    <w:rsid w:val="000A2628"/>
    <w:rsid w:val="000A4B2E"/>
    <w:rsid w:val="000A7711"/>
    <w:rsid w:val="000B4AA3"/>
    <w:rsid w:val="000B51A5"/>
    <w:rsid w:val="000B56FB"/>
    <w:rsid w:val="000B6386"/>
    <w:rsid w:val="000B6D1E"/>
    <w:rsid w:val="000B7974"/>
    <w:rsid w:val="000C05EC"/>
    <w:rsid w:val="000C22FB"/>
    <w:rsid w:val="000C4D4A"/>
    <w:rsid w:val="000C639D"/>
    <w:rsid w:val="000C6639"/>
    <w:rsid w:val="000D0F68"/>
    <w:rsid w:val="000D44EC"/>
    <w:rsid w:val="000D47CD"/>
    <w:rsid w:val="000F0B26"/>
    <w:rsid w:val="000F6C48"/>
    <w:rsid w:val="000F71D0"/>
    <w:rsid w:val="000F720B"/>
    <w:rsid w:val="00102906"/>
    <w:rsid w:val="00102AC3"/>
    <w:rsid w:val="00103036"/>
    <w:rsid w:val="00105A45"/>
    <w:rsid w:val="001060A5"/>
    <w:rsid w:val="00110B34"/>
    <w:rsid w:val="00116EE3"/>
    <w:rsid w:val="00120822"/>
    <w:rsid w:val="00131570"/>
    <w:rsid w:val="001320E3"/>
    <w:rsid w:val="0013472E"/>
    <w:rsid w:val="0014054A"/>
    <w:rsid w:val="00143896"/>
    <w:rsid w:val="00157974"/>
    <w:rsid w:val="00161D7A"/>
    <w:rsid w:val="001631CC"/>
    <w:rsid w:val="00164FC0"/>
    <w:rsid w:val="00165836"/>
    <w:rsid w:val="00166107"/>
    <w:rsid w:val="00171D49"/>
    <w:rsid w:val="00172197"/>
    <w:rsid w:val="0018158C"/>
    <w:rsid w:val="0018349A"/>
    <w:rsid w:val="001850E0"/>
    <w:rsid w:val="00187741"/>
    <w:rsid w:val="00194292"/>
    <w:rsid w:val="00195BCE"/>
    <w:rsid w:val="00196B11"/>
    <w:rsid w:val="001A0301"/>
    <w:rsid w:val="001A0EB1"/>
    <w:rsid w:val="001A1094"/>
    <w:rsid w:val="001A70AF"/>
    <w:rsid w:val="001B0122"/>
    <w:rsid w:val="001B2E42"/>
    <w:rsid w:val="001B3BCA"/>
    <w:rsid w:val="001B5563"/>
    <w:rsid w:val="001B5F34"/>
    <w:rsid w:val="001B6EE7"/>
    <w:rsid w:val="001C0279"/>
    <w:rsid w:val="001C09FC"/>
    <w:rsid w:val="001C27AD"/>
    <w:rsid w:val="001C62D3"/>
    <w:rsid w:val="001C65A4"/>
    <w:rsid w:val="001C7B7E"/>
    <w:rsid w:val="001D0219"/>
    <w:rsid w:val="001D0EF7"/>
    <w:rsid w:val="001D10D6"/>
    <w:rsid w:val="001D387D"/>
    <w:rsid w:val="001E1D55"/>
    <w:rsid w:val="001E1DB6"/>
    <w:rsid w:val="001E4F25"/>
    <w:rsid w:val="001E7C0E"/>
    <w:rsid w:val="001E7FAC"/>
    <w:rsid w:val="001F2005"/>
    <w:rsid w:val="001F2378"/>
    <w:rsid w:val="001F257E"/>
    <w:rsid w:val="001F424F"/>
    <w:rsid w:val="001F56C5"/>
    <w:rsid w:val="002000F0"/>
    <w:rsid w:val="00202308"/>
    <w:rsid w:val="00202E1A"/>
    <w:rsid w:val="00211792"/>
    <w:rsid w:val="002151F3"/>
    <w:rsid w:val="0021665B"/>
    <w:rsid w:val="002174D8"/>
    <w:rsid w:val="00217A58"/>
    <w:rsid w:val="00221221"/>
    <w:rsid w:val="00221E9D"/>
    <w:rsid w:val="002230A1"/>
    <w:rsid w:val="002233B0"/>
    <w:rsid w:val="00223532"/>
    <w:rsid w:val="0023072F"/>
    <w:rsid w:val="0023109C"/>
    <w:rsid w:val="0023132B"/>
    <w:rsid w:val="00236529"/>
    <w:rsid w:val="00245878"/>
    <w:rsid w:val="002463A2"/>
    <w:rsid w:val="002474A9"/>
    <w:rsid w:val="00247A50"/>
    <w:rsid w:val="002514FE"/>
    <w:rsid w:val="00253CFB"/>
    <w:rsid w:val="00256441"/>
    <w:rsid w:val="00262D69"/>
    <w:rsid w:val="00263E2B"/>
    <w:rsid w:val="00264C33"/>
    <w:rsid w:val="00265612"/>
    <w:rsid w:val="00265DF9"/>
    <w:rsid w:val="00267D8B"/>
    <w:rsid w:val="00267E61"/>
    <w:rsid w:val="00271EFF"/>
    <w:rsid w:val="002723DE"/>
    <w:rsid w:val="00272A9D"/>
    <w:rsid w:val="002751CB"/>
    <w:rsid w:val="00276645"/>
    <w:rsid w:val="002779CD"/>
    <w:rsid w:val="002801F3"/>
    <w:rsid w:val="00286715"/>
    <w:rsid w:val="0028726B"/>
    <w:rsid w:val="00291025"/>
    <w:rsid w:val="00291C80"/>
    <w:rsid w:val="00293108"/>
    <w:rsid w:val="00294E1B"/>
    <w:rsid w:val="002951CE"/>
    <w:rsid w:val="00295814"/>
    <w:rsid w:val="002A1F52"/>
    <w:rsid w:val="002A565E"/>
    <w:rsid w:val="002A681B"/>
    <w:rsid w:val="002A70DC"/>
    <w:rsid w:val="002A78F5"/>
    <w:rsid w:val="002B20C8"/>
    <w:rsid w:val="002B2249"/>
    <w:rsid w:val="002B56CD"/>
    <w:rsid w:val="002B6D28"/>
    <w:rsid w:val="002B7BD1"/>
    <w:rsid w:val="002B7D77"/>
    <w:rsid w:val="002C3925"/>
    <w:rsid w:val="002C414C"/>
    <w:rsid w:val="002C559D"/>
    <w:rsid w:val="002C5F4F"/>
    <w:rsid w:val="002C6DC7"/>
    <w:rsid w:val="002C7E50"/>
    <w:rsid w:val="002D7F64"/>
    <w:rsid w:val="002E02EC"/>
    <w:rsid w:val="002E1079"/>
    <w:rsid w:val="002E3593"/>
    <w:rsid w:val="002E4A85"/>
    <w:rsid w:val="002E62F0"/>
    <w:rsid w:val="002F63F4"/>
    <w:rsid w:val="00300743"/>
    <w:rsid w:val="00300EBF"/>
    <w:rsid w:val="00301F85"/>
    <w:rsid w:val="00303AD2"/>
    <w:rsid w:val="003044B5"/>
    <w:rsid w:val="00304619"/>
    <w:rsid w:val="0030532C"/>
    <w:rsid w:val="00311548"/>
    <w:rsid w:val="003218BC"/>
    <w:rsid w:val="00322E84"/>
    <w:rsid w:val="0032413C"/>
    <w:rsid w:val="0032620D"/>
    <w:rsid w:val="00326763"/>
    <w:rsid w:val="00326FC7"/>
    <w:rsid w:val="003273AB"/>
    <w:rsid w:val="00332363"/>
    <w:rsid w:val="00333C96"/>
    <w:rsid w:val="003448E2"/>
    <w:rsid w:val="0034527C"/>
    <w:rsid w:val="003457F6"/>
    <w:rsid w:val="00347E27"/>
    <w:rsid w:val="0035075D"/>
    <w:rsid w:val="00351CF3"/>
    <w:rsid w:val="00352760"/>
    <w:rsid w:val="00354B37"/>
    <w:rsid w:val="0035721B"/>
    <w:rsid w:val="00361FFE"/>
    <w:rsid w:val="0036397A"/>
    <w:rsid w:val="00364C44"/>
    <w:rsid w:val="003652B9"/>
    <w:rsid w:val="003670ED"/>
    <w:rsid w:val="00370710"/>
    <w:rsid w:val="00370A5B"/>
    <w:rsid w:val="00372EFD"/>
    <w:rsid w:val="003737FA"/>
    <w:rsid w:val="00373934"/>
    <w:rsid w:val="0037409F"/>
    <w:rsid w:val="00374565"/>
    <w:rsid w:val="003771C5"/>
    <w:rsid w:val="0038013C"/>
    <w:rsid w:val="00381919"/>
    <w:rsid w:val="003830AE"/>
    <w:rsid w:val="00383113"/>
    <w:rsid w:val="003955C2"/>
    <w:rsid w:val="003A691A"/>
    <w:rsid w:val="003A716E"/>
    <w:rsid w:val="003B0450"/>
    <w:rsid w:val="003B0DB6"/>
    <w:rsid w:val="003B13F0"/>
    <w:rsid w:val="003B7533"/>
    <w:rsid w:val="003C5584"/>
    <w:rsid w:val="003C6E7B"/>
    <w:rsid w:val="003D2551"/>
    <w:rsid w:val="003D4541"/>
    <w:rsid w:val="003D4950"/>
    <w:rsid w:val="003D49BA"/>
    <w:rsid w:val="003E2024"/>
    <w:rsid w:val="003E32FA"/>
    <w:rsid w:val="003E7032"/>
    <w:rsid w:val="003F02FB"/>
    <w:rsid w:val="003F05C7"/>
    <w:rsid w:val="003F22E3"/>
    <w:rsid w:val="003F238B"/>
    <w:rsid w:val="003F6AEA"/>
    <w:rsid w:val="003F706D"/>
    <w:rsid w:val="004006BE"/>
    <w:rsid w:val="00403330"/>
    <w:rsid w:val="00412302"/>
    <w:rsid w:val="0041295A"/>
    <w:rsid w:val="004164B0"/>
    <w:rsid w:val="00417157"/>
    <w:rsid w:val="00421CCB"/>
    <w:rsid w:val="00425008"/>
    <w:rsid w:val="00426703"/>
    <w:rsid w:val="00427162"/>
    <w:rsid w:val="00431757"/>
    <w:rsid w:val="00431F36"/>
    <w:rsid w:val="004373E8"/>
    <w:rsid w:val="00441946"/>
    <w:rsid w:val="00442937"/>
    <w:rsid w:val="00443313"/>
    <w:rsid w:val="00443B0C"/>
    <w:rsid w:val="004441F7"/>
    <w:rsid w:val="00446014"/>
    <w:rsid w:val="00446FE9"/>
    <w:rsid w:val="00451238"/>
    <w:rsid w:val="00452A9D"/>
    <w:rsid w:val="004544B7"/>
    <w:rsid w:val="004555AC"/>
    <w:rsid w:val="00455A9F"/>
    <w:rsid w:val="00456D3C"/>
    <w:rsid w:val="004614A0"/>
    <w:rsid w:val="00462240"/>
    <w:rsid w:val="0046598D"/>
    <w:rsid w:val="00465C51"/>
    <w:rsid w:val="0046757A"/>
    <w:rsid w:val="0047758E"/>
    <w:rsid w:val="004812D0"/>
    <w:rsid w:val="00481924"/>
    <w:rsid w:val="00483418"/>
    <w:rsid w:val="0048448F"/>
    <w:rsid w:val="00485D24"/>
    <w:rsid w:val="00486A82"/>
    <w:rsid w:val="00487573"/>
    <w:rsid w:val="00493265"/>
    <w:rsid w:val="004978E8"/>
    <w:rsid w:val="004A647F"/>
    <w:rsid w:val="004A6FBF"/>
    <w:rsid w:val="004A7FE4"/>
    <w:rsid w:val="004B04DE"/>
    <w:rsid w:val="004B3416"/>
    <w:rsid w:val="004B60BD"/>
    <w:rsid w:val="004B71A8"/>
    <w:rsid w:val="004C1BE0"/>
    <w:rsid w:val="004C2372"/>
    <w:rsid w:val="004C2C94"/>
    <w:rsid w:val="004C4F48"/>
    <w:rsid w:val="004C54DD"/>
    <w:rsid w:val="004C7EAA"/>
    <w:rsid w:val="004D358B"/>
    <w:rsid w:val="004D66DA"/>
    <w:rsid w:val="004D78AD"/>
    <w:rsid w:val="004E0DD6"/>
    <w:rsid w:val="004F439B"/>
    <w:rsid w:val="004F53AE"/>
    <w:rsid w:val="00500822"/>
    <w:rsid w:val="005025B8"/>
    <w:rsid w:val="00502BEA"/>
    <w:rsid w:val="00512405"/>
    <w:rsid w:val="00512A1F"/>
    <w:rsid w:val="00512EFF"/>
    <w:rsid w:val="00513CF9"/>
    <w:rsid w:val="00515FB5"/>
    <w:rsid w:val="00520D7E"/>
    <w:rsid w:val="0052456D"/>
    <w:rsid w:val="00534962"/>
    <w:rsid w:val="00535CC7"/>
    <w:rsid w:val="00536DA3"/>
    <w:rsid w:val="005406CC"/>
    <w:rsid w:val="00540FE3"/>
    <w:rsid w:val="00542049"/>
    <w:rsid w:val="00543900"/>
    <w:rsid w:val="0054735C"/>
    <w:rsid w:val="00552AE0"/>
    <w:rsid w:val="00556095"/>
    <w:rsid w:val="00557DE8"/>
    <w:rsid w:val="005618BF"/>
    <w:rsid w:val="00564DEA"/>
    <w:rsid w:val="0056500B"/>
    <w:rsid w:val="00565127"/>
    <w:rsid w:val="0056539A"/>
    <w:rsid w:val="005700F4"/>
    <w:rsid w:val="00572EA8"/>
    <w:rsid w:val="0057457E"/>
    <w:rsid w:val="005750E3"/>
    <w:rsid w:val="0057525B"/>
    <w:rsid w:val="0057721A"/>
    <w:rsid w:val="00581002"/>
    <w:rsid w:val="00582A9C"/>
    <w:rsid w:val="005834A7"/>
    <w:rsid w:val="005841EC"/>
    <w:rsid w:val="00591D2B"/>
    <w:rsid w:val="005942FB"/>
    <w:rsid w:val="00594ABD"/>
    <w:rsid w:val="005A1E41"/>
    <w:rsid w:val="005A3F34"/>
    <w:rsid w:val="005A5D22"/>
    <w:rsid w:val="005A611D"/>
    <w:rsid w:val="005B1F39"/>
    <w:rsid w:val="005B46B4"/>
    <w:rsid w:val="005B5E35"/>
    <w:rsid w:val="005C418E"/>
    <w:rsid w:val="005D0165"/>
    <w:rsid w:val="005D0204"/>
    <w:rsid w:val="005D18A2"/>
    <w:rsid w:val="005D4DA7"/>
    <w:rsid w:val="005D773F"/>
    <w:rsid w:val="005E062E"/>
    <w:rsid w:val="005E0FF3"/>
    <w:rsid w:val="005E1A20"/>
    <w:rsid w:val="005E34D2"/>
    <w:rsid w:val="005E5B1E"/>
    <w:rsid w:val="005E7F8A"/>
    <w:rsid w:val="005F07E5"/>
    <w:rsid w:val="005F1D89"/>
    <w:rsid w:val="005F287A"/>
    <w:rsid w:val="005F3233"/>
    <w:rsid w:val="005F39B7"/>
    <w:rsid w:val="005F3CE4"/>
    <w:rsid w:val="0060076F"/>
    <w:rsid w:val="00600EAA"/>
    <w:rsid w:val="00602C71"/>
    <w:rsid w:val="00604F54"/>
    <w:rsid w:val="00606477"/>
    <w:rsid w:val="00607AF4"/>
    <w:rsid w:val="00610122"/>
    <w:rsid w:val="0061111C"/>
    <w:rsid w:val="006116ED"/>
    <w:rsid w:val="006138D7"/>
    <w:rsid w:val="00621C46"/>
    <w:rsid w:val="00621E09"/>
    <w:rsid w:val="006255E4"/>
    <w:rsid w:val="0063006C"/>
    <w:rsid w:val="00634996"/>
    <w:rsid w:val="006378AF"/>
    <w:rsid w:val="00637E5C"/>
    <w:rsid w:val="00640E35"/>
    <w:rsid w:val="006417B9"/>
    <w:rsid w:val="00643D19"/>
    <w:rsid w:val="00646F02"/>
    <w:rsid w:val="00647EFD"/>
    <w:rsid w:val="006526BB"/>
    <w:rsid w:val="00654A2C"/>
    <w:rsid w:val="00657E27"/>
    <w:rsid w:val="0066045A"/>
    <w:rsid w:val="006627C8"/>
    <w:rsid w:val="00662AF2"/>
    <w:rsid w:val="00667FF6"/>
    <w:rsid w:val="00670ACC"/>
    <w:rsid w:val="00675A8B"/>
    <w:rsid w:val="00675DE3"/>
    <w:rsid w:val="006768FB"/>
    <w:rsid w:val="00676945"/>
    <w:rsid w:val="00680169"/>
    <w:rsid w:val="006819B7"/>
    <w:rsid w:val="00685411"/>
    <w:rsid w:val="00687B3D"/>
    <w:rsid w:val="00687BF9"/>
    <w:rsid w:val="00690EF9"/>
    <w:rsid w:val="00692B52"/>
    <w:rsid w:val="00694DF3"/>
    <w:rsid w:val="0069584F"/>
    <w:rsid w:val="006A0847"/>
    <w:rsid w:val="006A0862"/>
    <w:rsid w:val="006A42D4"/>
    <w:rsid w:val="006A5BF4"/>
    <w:rsid w:val="006A7A98"/>
    <w:rsid w:val="006B113D"/>
    <w:rsid w:val="006B2AE6"/>
    <w:rsid w:val="006B2FDE"/>
    <w:rsid w:val="006B3A2A"/>
    <w:rsid w:val="006C00A5"/>
    <w:rsid w:val="006C24FD"/>
    <w:rsid w:val="006C289B"/>
    <w:rsid w:val="006C4F45"/>
    <w:rsid w:val="006C594A"/>
    <w:rsid w:val="006C5B74"/>
    <w:rsid w:val="006D0919"/>
    <w:rsid w:val="006D1A1F"/>
    <w:rsid w:val="006D34C0"/>
    <w:rsid w:val="006D372A"/>
    <w:rsid w:val="006D51A0"/>
    <w:rsid w:val="006D66E1"/>
    <w:rsid w:val="006D7922"/>
    <w:rsid w:val="006E02FA"/>
    <w:rsid w:val="006E2846"/>
    <w:rsid w:val="006F08D1"/>
    <w:rsid w:val="006F0B7A"/>
    <w:rsid w:val="006F1865"/>
    <w:rsid w:val="006F1F71"/>
    <w:rsid w:val="006F4473"/>
    <w:rsid w:val="006F4EB4"/>
    <w:rsid w:val="006F73B4"/>
    <w:rsid w:val="006F7CD1"/>
    <w:rsid w:val="00703BAB"/>
    <w:rsid w:val="00705C4F"/>
    <w:rsid w:val="00710576"/>
    <w:rsid w:val="007112C8"/>
    <w:rsid w:val="0071254A"/>
    <w:rsid w:val="007136F7"/>
    <w:rsid w:val="00713717"/>
    <w:rsid w:val="00713DE6"/>
    <w:rsid w:val="0071443B"/>
    <w:rsid w:val="00714EA0"/>
    <w:rsid w:val="00725C7C"/>
    <w:rsid w:val="00732041"/>
    <w:rsid w:val="0073275B"/>
    <w:rsid w:val="00732F32"/>
    <w:rsid w:val="00735331"/>
    <w:rsid w:val="007377F9"/>
    <w:rsid w:val="00740667"/>
    <w:rsid w:val="007465FC"/>
    <w:rsid w:val="00750179"/>
    <w:rsid w:val="00750268"/>
    <w:rsid w:val="00751A9B"/>
    <w:rsid w:val="00753907"/>
    <w:rsid w:val="007545C2"/>
    <w:rsid w:val="0075572D"/>
    <w:rsid w:val="0075631A"/>
    <w:rsid w:val="0076036D"/>
    <w:rsid w:val="00761544"/>
    <w:rsid w:val="00763393"/>
    <w:rsid w:val="007668CF"/>
    <w:rsid w:val="00766908"/>
    <w:rsid w:val="007703B0"/>
    <w:rsid w:val="00770436"/>
    <w:rsid w:val="0077144A"/>
    <w:rsid w:val="007717FD"/>
    <w:rsid w:val="00771DA6"/>
    <w:rsid w:val="007766EC"/>
    <w:rsid w:val="007772C3"/>
    <w:rsid w:val="007777B0"/>
    <w:rsid w:val="007805EC"/>
    <w:rsid w:val="0078065A"/>
    <w:rsid w:val="007818F0"/>
    <w:rsid w:val="007846CF"/>
    <w:rsid w:val="0079104C"/>
    <w:rsid w:val="007911FA"/>
    <w:rsid w:val="00793678"/>
    <w:rsid w:val="007951B1"/>
    <w:rsid w:val="0079735F"/>
    <w:rsid w:val="007A2E4B"/>
    <w:rsid w:val="007A7848"/>
    <w:rsid w:val="007B0244"/>
    <w:rsid w:val="007B2048"/>
    <w:rsid w:val="007B2A6E"/>
    <w:rsid w:val="007B3FEA"/>
    <w:rsid w:val="007B532F"/>
    <w:rsid w:val="007B6AA8"/>
    <w:rsid w:val="007B7C19"/>
    <w:rsid w:val="007C0372"/>
    <w:rsid w:val="007C2746"/>
    <w:rsid w:val="007C2C6B"/>
    <w:rsid w:val="007C4BA2"/>
    <w:rsid w:val="007C59EC"/>
    <w:rsid w:val="007D0781"/>
    <w:rsid w:val="007D0BFC"/>
    <w:rsid w:val="007D58C1"/>
    <w:rsid w:val="007D5A45"/>
    <w:rsid w:val="007D5B41"/>
    <w:rsid w:val="007D5E40"/>
    <w:rsid w:val="007D6BF9"/>
    <w:rsid w:val="007D7859"/>
    <w:rsid w:val="007E0B90"/>
    <w:rsid w:val="007E31C5"/>
    <w:rsid w:val="007E42E4"/>
    <w:rsid w:val="007E586D"/>
    <w:rsid w:val="007E76B0"/>
    <w:rsid w:val="007F1026"/>
    <w:rsid w:val="007F3763"/>
    <w:rsid w:val="007F4537"/>
    <w:rsid w:val="007F579B"/>
    <w:rsid w:val="007F74EA"/>
    <w:rsid w:val="007F76A7"/>
    <w:rsid w:val="00801960"/>
    <w:rsid w:val="008029BA"/>
    <w:rsid w:val="00803FA8"/>
    <w:rsid w:val="00806198"/>
    <w:rsid w:val="0080730F"/>
    <w:rsid w:val="00807C9C"/>
    <w:rsid w:val="00811BC6"/>
    <w:rsid w:val="00811E4C"/>
    <w:rsid w:val="008154F3"/>
    <w:rsid w:val="00815E7C"/>
    <w:rsid w:val="00820283"/>
    <w:rsid w:val="00824684"/>
    <w:rsid w:val="00826D53"/>
    <w:rsid w:val="008376A2"/>
    <w:rsid w:val="008411E4"/>
    <w:rsid w:val="00841CCD"/>
    <w:rsid w:val="008424BB"/>
    <w:rsid w:val="00842A18"/>
    <w:rsid w:val="0084390D"/>
    <w:rsid w:val="0085361D"/>
    <w:rsid w:val="008578A6"/>
    <w:rsid w:val="00860541"/>
    <w:rsid w:val="00863053"/>
    <w:rsid w:val="00865E71"/>
    <w:rsid w:val="00866362"/>
    <w:rsid w:val="00870053"/>
    <w:rsid w:val="0087147B"/>
    <w:rsid w:val="0087611D"/>
    <w:rsid w:val="00882617"/>
    <w:rsid w:val="008833E2"/>
    <w:rsid w:val="008859B5"/>
    <w:rsid w:val="00885E35"/>
    <w:rsid w:val="0089086F"/>
    <w:rsid w:val="00890A40"/>
    <w:rsid w:val="00891707"/>
    <w:rsid w:val="00896243"/>
    <w:rsid w:val="008A0632"/>
    <w:rsid w:val="008A433B"/>
    <w:rsid w:val="008A5701"/>
    <w:rsid w:val="008A59AD"/>
    <w:rsid w:val="008B2888"/>
    <w:rsid w:val="008B4010"/>
    <w:rsid w:val="008B5CAB"/>
    <w:rsid w:val="008B64C2"/>
    <w:rsid w:val="008C0C4F"/>
    <w:rsid w:val="008C31C3"/>
    <w:rsid w:val="008C52BC"/>
    <w:rsid w:val="008D0219"/>
    <w:rsid w:val="008D5348"/>
    <w:rsid w:val="008D7AD9"/>
    <w:rsid w:val="008E3D1C"/>
    <w:rsid w:val="008E3DD7"/>
    <w:rsid w:val="008E64CD"/>
    <w:rsid w:val="008E7A20"/>
    <w:rsid w:val="008F0C07"/>
    <w:rsid w:val="008F160C"/>
    <w:rsid w:val="008F1D23"/>
    <w:rsid w:val="008F2C48"/>
    <w:rsid w:val="008F3D2D"/>
    <w:rsid w:val="008F4A9F"/>
    <w:rsid w:val="008F711B"/>
    <w:rsid w:val="009022AA"/>
    <w:rsid w:val="00907EDC"/>
    <w:rsid w:val="009115E8"/>
    <w:rsid w:val="00913F55"/>
    <w:rsid w:val="009140D6"/>
    <w:rsid w:val="009156FE"/>
    <w:rsid w:val="009165BB"/>
    <w:rsid w:val="009171E6"/>
    <w:rsid w:val="00921B80"/>
    <w:rsid w:val="009309C3"/>
    <w:rsid w:val="00930F09"/>
    <w:rsid w:val="009311B5"/>
    <w:rsid w:val="0093247F"/>
    <w:rsid w:val="00935FB3"/>
    <w:rsid w:val="00936507"/>
    <w:rsid w:val="0093654C"/>
    <w:rsid w:val="00936603"/>
    <w:rsid w:val="009373FC"/>
    <w:rsid w:val="0094014E"/>
    <w:rsid w:val="00941331"/>
    <w:rsid w:val="00945A87"/>
    <w:rsid w:val="00945B39"/>
    <w:rsid w:val="00945CD0"/>
    <w:rsid w:val="00946956"/>
    <w:rsid w:val="00947B49"/>
    <w:rsid w:val="00947B97"/>
    <w:rsid w:val="00951DE6"/>
    <w:rsid w:val="00953407"/>
    <w:rsid w:val="00957F68"/>
    <w:rsid w:val="009615B8"/>
    <w:rsid w:val="00962AFC"/>
    <w:rsid w:val="009644B7"/>
    <w:rsid w:val="00965174"/>
    <w:rsid w:val="00971161"/>
    <w:rsid w:val="0097246F"/>
    <w:rsid w:val="0097251E"/>
    <w:rsid w:val="009727B7"/>
    <w:rsid w:val="00972D68"/>
    <w:rsid w:val="00974162"/>
    <w:rsid w:val="00974965"/>
    <w:rsid w:val="009757C3"/>
    <w:rsid w:val="00977CA1"/>
    <w:rsid w:val="00977E49"/>
    <w:rsid w:val="009803F3"/>
    <w:rsid w:val="0098778B"/>
    <w:rsid w:val="00992865"/>
    <w:rsid w:val="00996D6C"/>
    <w:rsid w:val="009977AD"/>
    <w:rsid w:val="009A080E"/>
    <w:rsid w:val="009A0894"/>
    <w:rsid w:val="009A13DE"/>
    <w:rsid w:val="009A2B2A"/>
    <w:rsid w:val="009A3835"/>
    <w:rsid w:val="009A393A"/>
    <w:rsid w:val="009A4FBB"/>
    <w:rsid w:val="009A508E"/>
    <w:rsid w:val="009A7F10"/>
    <w:rsid w:val="009B08D1"/>
    <w:rsid w:val="009B1EA1"/>
    <w:rsid w:val="009B521E"/>
    <w:rsid w:val="009B52EF"/>
    <w:rsid w:val="009B5CD9"/>
    <w:rsid w:val="009B646A"/>
    <w:rsid w:val="009C179C"/>
    <w:rsid w:val="009C295D"/>
    <w:rsid w:val="009C53E9"/>
    <w:rsid w:val="009D1E83"/>
    <w:rsid w:val="009D4579"/>
    <w:rsid w:val="009D784A"/>
    <w:rsid w:val="009E40E9"/>
    <w:rsid w:val="009E4E3E"/>
    <w:rsid w:val="009E7922"/>
    <w:rsid w:val="009F5178"/>
    <w:rsid w:val="00A02EE4"/>
    <w:rsid w:val="00A046EC"/>
    <w:rsid w:val="00A055EB"/>
    <w:rsid w:val="00A05BFD"/>
    <w:rsid w:val="00A1030D"/>
    <w:rsid w:val="00A118D5"/>
    <w:rsid w:val="00A12232"/>
    <w:rsid w:val="00A153C6"/>
    <w:rsid w:val="00A16406"/>
    <w:rsid w:val="00A17A11"/>
    <w:rsid w:val="00A213F3"/>
    <w:rsid w:val="00A21B0C"/>
    <w:rsid w:val="00A311DA"/>
    <w:rsid w:val="00A328AF"/>
    <w:rsid w:val="00A3453F"/>
    <w:rsid w:val="00A34A7A"/>
    <w:rsid w:val="00A35CB7"/>
    <w:rsid w:val="00A36B92"/>
    <w:rsid w:val="00A40666"/>
    <w:rsid w:val="00A42438"/>
    <w:rsid w:val="00A42649"/>
    <w:rsid w:val="00A42E8D"/>
    <w:rsid w:val="00A43004"/>
    <w:rsid w:val="00A44252"/>
    <w:rsid w:val="00A46F06"/>
    <w:rsid w:val="00A4789D"/>
    <w:rsid w:val="00A51930"/>
    <w:rsid w:val="00A54DEA"/>
    <w:rsid w:val="00A57D3C"/>
    <w:rsid w:val="00A661A9"/>
    <w:rsid w:val="00A66DA3"/>
    <w:rsid w:val="00A70343"/>
    <w:rsid w:val="00A728C6"/>
    <w:rsid w:val="00A76982"/>
    <w:rsid w:val="00A76EBC"/>
    <w:rsid w:val="00A77EDB"/>
    <w:rsid w:val="00A809BA"/>
    <w:rsid w:val="00A80B2B"/>
    <w:rsid w:val="00A81F5B"/>
    <w:rsid w:val="00A84055"/>
    <w:rsid w:val="00A85E88"/>
    <w:rsid w:val="00A85F28"/>
    <w:rsid w:val="00A9529C"/>
    <w:rsid w:val="00A96367"/>
    <w:rsid w:val="00A96A29"/>
    <w:rsid w:val="00AA04E3"/>
    <w:rsid w:val="00AA0BA2"/>
    <w:rsid w:val="00AA1C93"/>
    <w:rsid w:val="00AA307B"/>
    <w:rsid w:val="00AA559A"/>
    <w:rsid w:val="00AA5AD9"/>
    <w:rsid w:val="00AA624B"/>
    <w:rsid w:val="00AB155E"/>
    <w:rsid w:val="00AB26B7"/>
    <w:rsid w:val="00AB6805"/>
    <w:rsid w:val="00AB76CE"/>
    <w:rsid w:val="00AC14AE"/>
    <w:rsid w:val="00AC2DD5"/>
    <w:rsid w:val="00AC2EFA"/>
    <w:rsid w:val="00AC4727"/>
    <w:rsid w:val="00AC5723"/>
    <w:rsid w:val="00AC7CA1"/>
    <w:rsid w:val="00AD0161"/>
    <w:rsid w:val="00AD0EFB"/>
    <w:rsid w:val="00AD15B0"/>
    <w:rsid w:val="00AD5060"/>
    <w:rsid w:val="00AD6CFF"/>
    <w:rsid w:val="00AD7774"/>
    <w:rsid w:val="00AE4FB8"/>
    <w:rsid w:val="00AE6FA3"/>
    <w:rsid w:val="00AE7A8E"/>
    <w:rsid w:val="00AE7B92"/>
    <w:rsid w:val="00AE7FAA"/>
    <w:rsid w:val="00AF0F8D"/>
    <w:rsid w:val="00AF32A3"/>
    <w:rsid w:val="00AF50A3"/>
    <w:rsid w:val="00AF7A21"/>
    <w:rsid w:val="00AF7BBA"/>
    <w:rsid w:val="00B00EE6"/>
    <w:rsid w:val="00B01DBC"/>
    <w:rsid w:val="00B037BD"/>
    <w:rsid w:val="00B0568C"/>
    <w:rsid w:val="00B05A23"/>
    <w:rsid w:val="00B05AF2"/>
    <w:rsid w:val="00B110D0"/>
    <w:rsid w:val="00B11D09"/>
    <w:rsid w:val="00B14A51"/>
    <w:rsid w:val="00B15BBB"/>
    <w:rsid w:val="00B23753"/>
    <w:rsid w:val="00B265EC"/>
    <w:rsid w:val="00B31C4A"/>
    <w:rsid w:val="00B33AEE"/>
    <w:rsid w:val="00B35824"/>
    <w:rsid w:val="00B377AD"/>
    <w:rsid w:val="00B40A17"/>
    <w:rsid w:val="00B4145F"/>
    <w:rsid w:val="00B43F41"/>
    <w:rsid w:val="00B46AD9"/>
    <w:rsid w:val="00B47297"/>
    <w:rsid w:val="00B50B6E"/>
    <w:rsid w:val="00B5138B"/>
    <w:rsid w:val="00B561E9"/>
    <w:rsid w:val="00B57358"/>
    <w:rsid w:val="00B60CCB"/>
    <w:rsid w:val="00B6163C"/>
    <w:rsid w:val="00B63840"/>
    <w:rsid w:val="00B63D94"/>
    <w:rsid w:val="00B64AD0"/>
    <w:rsid w:val="00B66806"/>
    <w:rsid w:val="00B730E5"/>
    <w:rsid w:val="00B731F9"/>
    <w:rsid w:val="00B74FC6"/>
    <w:rsid w:val="00B77C44"/>
    <w:rsid w:val="00B77ED8"/>
    <w:rsid w:val="00B83827"/>
    <w:rsid w:val="00B83B9D"/>
    <w:rsid w:val="00B840EF"/>
    <w:rsid w:val="00B84597"/>
    <w:rsid w:val="00B93163"/>
    <w:rsid w:val="00B93F2F"/>
    <w:rsid w:val="00B9536B"/>
    <w:rsid w:val="00B9584B"/>
    <w:rsid w:val="00BA308E"/>
    <w:rsid w:val="00BA396D"/>
    <w:rsid w:val="00BA4F01"/>
    <w:rsid w:val="00BA66A6"/>
    <w:rsid w:val="00BA777D"/>
    <w:rsid w:val="00BA78B4"/>
    <w:rsid w:val="00BB35A7"/>
    <w:rsid w:val="00BB3ABF"/>
    <w:rsid w:val="00BB68E2"/>
    <w:rsid w:val="00BB75A1"/>
    <w:rsid w:val="00BC60F1"/>
    <w:rsid w:val="00BD1A53"/>
    <w:rsid w:val="00BD2C43"/>
    <w:rsid w:val="00BD6194"/>
    <w:rsid w:val="00BE04D8"/>
    <w:rsid w:val="00BE21AE"/>
    <w:rsid w:val="00BE524D"/>
    <w:rsid w:val="00BE5B6C"/>
    <w:rsid w:val="00BE5F9E"/>
    <w:rsid w:val="00BE7321"/>
    <w:rsid w:val="00BF0E0A"/>
    <w:rsid w:val="00BF1518"/>
    <w:rsid w:val="00BF2E48"/>
    <w:rsid w:val="00BF3104"/>
    <w:rsid w:val="00BF3DEC"/>
    <w:rsid w:val="00BF6C45"/>
    <w:rsid w:val="00C05A0A"/>
    <w:rsid w:val="00C06D67"/>
    <w:rsid w:val="00C079ED"/>
    <w:rsid w:val="00C151A0"/>
    <w:rsid w:val="00C15403"/>
    <w:rsid w:val="00C15D90"/>
    <w:rsid w:val="00C17A48"/>
    <w:rsid w:val="00C21F12"/>
    <w:rsid w:val="00C23AD7"/>
    <w:rsid w:val="00C243D2"/>
    <w:rsid w:val="00C24BE3"/>
    <w:rsid w:val="00C26E34"/>
    <w:rsid w:val="00C32729"/>
    <w:rsid w:val="00C34348"/>
    <w:rsid w:val="00C35479"/>
    <w:rsid w:val="00C35C3A"/>
    <w:rsid w:val="00C43115"/>
    <w:rsid w:val="00C43DB0"/>
    <w:rsid w:val="00C44072"/>
    <w:rsid w:val="00C46439"/>
    <w:rsid w:val="00C479B1"/>
    <w:rsid w:val="00C5119F"/>
    <w:rsid w:val="00C51C70"/>
    <w:rsid w:val="00C51CC9"/>
    <w:rsid w:val="00C61809"/>
    <w:rsid w:val="00C61924"/>
    <w:rsid w:val="00C6287D"/>
    <w:rsid w:val="00C64B26"/>
    <w:rsid w:val="00C67B23"/>
    <w:rsid w:val="00C73123"/>
    <w:rsid w:val="00C74B14"/>
    <w:rsid w:val="00C75102"/>
    <w:rsid w:val="00C7792F"/>
    <w:rsid w:val="00C82DF6"/>
    <w:rsid w:val="00C87595"/>
    <w:rsid w:val="00C92567"/>
    <w:rsid w:val="00CA7E70"/>
    <w:rsid w:val="00CB20D7"/>
    <w:rsid w:val="00CB23B9"/>
    <w:rsid w:val="00CB28BF"/>
    <w:rsid w:val="00CB2BE8"/>
    <w:rsid w:val="00CB334B"/>
    <w:rsid w:val="00CB5BFD"/>
    <w:rsid w:val="00CB6301"/>
    <w:rsid w:val="00CB6E8F"/>
    <w:rsid w:val="00CC4E76"/>
    <w:rsid w:val="00CC6CC8"/>
    <w:rsid w:val="00CC79C9"/>
    <w:rsid w:val="00CD201B"/>
    <w:rsid w:val="00CD49F6"/>
    <w:rsid w:val="00CD6833"/>
    <w:rsid w:val="00CE1083"/>
    <w:rsid w:val="00CE5725"/>
    <w:rsid w:val="00CE6CB3"/>
    <w:rsid w:val="00CF16E1"/>
    <w:rsid w:val="00CF3C7A"/>
    <w:rsid w:val="00CF580E"/>
    <w:rsid w:val="00D00789"/>
    <w:rsid w:val="00D02286"/>
    <w:rsid w:val="00D028E9"/>
    <w:rsid w:val="00D0303C"/>
    <w:rsid w:val="00D059EA"/>
    <w:rsid w:val="00D06289"/>
    <w:rsid w:val="00D062B1"/>
    <w:rsid w:val="00D062C5"/>
    <w:rsid w:val="00D13C0A"/>
    <w:rsid w:val="00D145D3"/>
    <w:rsid w:val="00D14F18"/>
    <w:rsid w:val="00D1534B"/>
    <w:rsid w:val="00D16994"/>
    <w:rsid w:val="00D21CA8"/>
    <w:rsid w:val="00D2332F"/>
    <w:rsid w:val="00D23B95"/>
    <w:rsid w:val="00D267D5"/>
    <w:rsid w:val="00D26E25"/>
    <w:rsid w:val="00D26E44"/>
    <w:rsid w:val="00D308B5"/>
    <w:rsid w:val="00D30FD0"/>
    <w:rsid w:val="00D31643"/>
    <w:rsid w:val="00D31F36"/>
    <w:rsid w:val="00D336C8"/>
    <w:rsid w:val="00D3500A"/>
    <w:rsid w:val="00D35C57"/>
    <w:rsid w:val="00D378D1"/>
    <w:rsid w:val="00D44077"/>
    <w:rsid w:val="00D44BC3"/>
    <w:rsid w:val="00D46D33"/>
    <w:rsid w:val="00D51139"/>
    <w:rsid w:val="00D522EA"/>
    <w:rsid w:val="00D567C8"/>
    <w:rsid w:val="00D576A1"/>
    <w:rsid w:val="00D6121E"/>
    <w:rsid w:val="00D713CE"/>
    <w:rsid w:val="00D754E0"/>
    <w:rsid w:val="00D76E40"/>
    <w:rsid w:val="00D808E3"/>
    <w:rsid w:val="00D8286E"/>
    <w:rsid w:val="00D832C2"/>
    <w:rsid w:val="00D83605"/>
    <w:rsid w:val="00D86FA4"/>
    <w:rsid w:val="00D87142"/>
    <w:rsid w:val="00D87FFE"/>
    <w:rsid w:val="00D92C48"/>
    <w:rsid w:val="00D963AB"/>
    <w:rsid w:val="00DA6903"/>
    <w:rsid w:val="00DA78F2"/>
    <w:rsid w:val="00DA7F0B"/>
    <w:rsid w:val="00DB1B96"/>
    <w:rsid w:val="00DB623D"/>
    <w:rsid w:val="00DC134C"/>
    <w:rsid w:val="00DC23E5"/>
    <w:rsid w:val="00DC2ED6"/>
    <w:rsid w:val="00DC31B9"/>
    <w:rsid w:val="00DC398F"/>
    <w:rsid w:val="00DC50ED"/>
    <w:rsid w:val="00DC5206"/>
    <w:rsid w:val="00DC6FE6"/>
    <w:rsid w:val="00DD04BA"/>
    <w:rsid w:val="00DD0FE9"/>
    <w:rsid w:val="00DD1BDD"/>
    <w:rsid w:val="00DD23D0"/>
    <w:rsid w:val="00DD2D2C"/>
    <w:rsid w:val="00DE04C1"/>
    <w:rsid w:val="00DE33CC"/>
    <w:rsid w:val="00DE5466"/>
    <w:rsid w:val="00DE6968"/>
    <w:rsid w:val="00DE7CB5"/>
    <w:rsid w:val="00DF31C5"/>
    <w:rsid w:val="00DF3676"/>
    <w:rsid w:val="00DF4C80"/>
    <w:rsid w:val="00E01B21"/>
    <w:rsid w:val="00E05EC5"/>
    <w:rsid w:val="00E06CE9"/>
    <w:rsid w:val="00E104BF"/>
    <w:rsid w:val="00E12444"/>
    <w:rsid w:val="00E125FE"/>
    <w:rsid w:val="00E127BB"/>
    <w:rsid w:val="00E156E0"/>
    <w:rsid w:val="00E15717"/>
    <w:rsid w:val="00E1662D"/>
    <w:rsid w:val="00E20499"/>
    <w:rsid w:val="00E21315"/>
    <w:rsid w:val="00E214DB"/>
    <w:rsid w:val="00E23036"/>
    <w:rsid w:val="00E23F1D"/>
    <w:rsid w:val="00E253DA"/>
    <w:rsid w:val="00E30EFD"/>
    <w:rsid w:val="00E3189E"/>
    <w:rsid w:val="00E32C7B"/>
    <w:rsid w:val="00E3511F"/>
    <w:rsid w:val="00E3533A"/>
    <w:rsid w:val="00E40122"/>
    <w:rsid w:val="00E40968"/>
    <w:rsid w:val="00E42BEB"/>
    <w:rsid w:val="00E514FA"/>
    <w:rsid w:val="00E52B7F"/>
    <w:rsid w:val="00E53614"/>
    <w:rsid w:val="00E53F94"/>
    <w:rsid w:val="00E54684"/>
    <w:rsid w:val="00E554EA"/>
    <w:rsid w:val="00E56ACC"/>
    <w:rsid w:val="00E60E24"/>
    <w:rsid w:val="00E6686A"/>
    <w:rsid w:val="00E739C9"/>
    <w:rsid w:val="00E73A82"/>
    <w:rsid w:val="00E85587"/>
    <w:rsid w:val="00E9035E"/>
    <w:rsid w:val="00E91F7E"/>
    <w:rsid w:val="00E92617"/>
    <w:rsid w:val="00E943D0"/>
    <w:rsid w:val="00E95484"/>
    <w:rsid w:val="00EA249E"/>
    <w:rsid w:val="00EA4164"/>
    <w:rsid w:val="00EA584F"/>
    <w:rsid w:val="00EA5A77"/>
    <w:rsid w:val="00EB4E22"/>
    <w:rsid w:val="00EB55DE"/>
    <w:rsid w:val="00EB5F34"/>
    <w:rsid w:val="00ED1925"/>
    <w:rsid w:val="00ED1CEF"/>
    <w:rsid w:val="00ED4434"/>
    <w:rsid w:val="00ED75A2"/>
    <w:rsid w:val="00EE0897"/>
    <w:rsid w:val="00EE43F4"/>
    <w:rsid w:val="00EE7BF5"/>
    <w:rsid w:val="00EF2AF9"/>
    <w:rsid w:val="00EF33D3"/>
    <w:rsid w:val="00EF3E69"/>
    <w:rsid w:val="00EF5425"/>
    <w:rsid w:val="00EF73B4"/>
    <w:rsid w:val="00F02127"/>
    <w:rsid w:val="00F0592E"/>
    <w:rsid w:val="00F067B0"/>
    <w:rsid w:val="00F105F7"/>
    <w:rsid w:val="00F11A81"/>
    <w:rsid w:val="00F1389F"/>
    <w:rsid w:val="00F17E76"/>
    <w:rsid w:val="00F2124B"/>
    <w:rsid w:val="00F236FB"/>
    <w:rsid w:val="00F25348"/>
    <w:rsid w:val="00F266E0"/>
    <w:rsid w:val="00F328D9"/>
    <w:rsid w:val="00F342F8"/>
    <w:rsid w:val="00F34AE7"/>
    <w:rsid w:val="00F36361"/>
    <w:rsid w:val="00F36B60"/>
    <w:rsid w:val="00F377FA"/>
    <w:rsid w:val="00F40205"/>
    <w:rsid w:val="00F42C50"/>
    <w:rsid w:val="00F4523D"/>
    <w:rsid w:val="00F47115"/>
    <w:rsid w:val="00F5109F"/>
    <w:rsid w:val="00F524D0"/>
    <w:rsid w:val="00F535A3"/>
    <w:rsid w:val="00F54CBB"/>
    <w:rsid w:val="00F57BEF"/>
    <w:rsid w:val="00F60D19"/>
    <w:rsid w:val="00F61ABA"/>
    <w:rsid w:val="00F6295D"/>
    <w:rsid w:val="00F6394A"/>
    <w:rsid w:val="00F660FD"/>
    <w:rsid w:val="00F67B1C"/>
    <w:rsid w:val="00F67E21"/>
    <w:rsid w:val="00F70F13"/>
    <w:rsid w:val="00F71BA8"/>
    <w:rsid w:val="00F73DE8"/>
    <w:rsid w:val="00F75D18"/>
    <w:rsid w:val="00F77EF2"/>
    <w:rsid w:val="00F81FA3"/>
    <w:rsid w:val="00F82579"/>
    <w:rsid w:val="00F84E08"/>
    <w:rsid w:val="00F85318"/>
    <w:rsid w:val="00F934E7"/>
    <w:rsid w:val="00F938F0"/>
    <w:rsid w:val="00F93B0F"/>
    <w:rsid w:val="00FA095E"/>
    <w:rsid w:val="00FA5CD5"/>
    <w:rsid w:val="00FA7052"/>
    <w:rsid w:val="00FA7A56"/>
    <w:rsid w:val="00FA7E14"/>
    <w:rsid w:val="00FB0938"/>
    <w:rsid w:val="00FB34CD"/>
    <w:rsid w:val="00FB38E7"/>
    <w:rsid w:val="00FB4246"/>
    <w:rsid w:val="00FB6909"/>
    <w:rsid w:val="00FC3CA1"/>
    <w:rsid w:val="00FC7987"/>
    <w:rsid w:val="00FD20CD"/>
    <w:rsid w:val="00FD3A6C"/>
    <w:rsid w:val="00FD560E"/>
    <w:rsid w:val="00FD7B36"/>
    <w:rsid w:val="00FE28D2"/>
    <w:rsid w:val="00FE3570"/>
    <w:rsid w:val="00FE57BF"/>
    <w:rsid w:val="00FE5D36"/>
    <w:rsid w:val="00FE7B55"/>
    <w:rsid w:val="00FE7D11"/>
    <w:rsid w:val="00FF0ED1"/>
    <w:rsid w:val="00FF2812"/>
    <w:rsid w:val="00FF66C9"/>
    <w:rsid w:val="019E3125"/>
    <w:rsid w:val="023E5F5C"/>
    <w:rsid w:val="062048AB"/>
    <w:rsid w:val="06467FE1"/>
    <w:rsid w:val="06C317E7"/>
    <w:rsid w:val="080F0521"/>
    <w:rsid w:val="09993AB5"/>
    <w:rsid w:val="099D7B86"/>
    <w:rsid w:val="09FB6FA3"/>
    <w:rsid w:val="0A430D0D"/>
    <w:rsid w:val="0A5063FD"/>
    <w:rsid w:val="0BF737ED"/>
    <w:rsid w:val="0E185B18"/>
    <w:rsid w:val="0FE16EA0"/>
    <w:rsid w:val="1227491F"/>
    <w:rsid w:val="12E513EC"/>
    <w:rsid w:val="12E8710E"/>
    <w:rsid w:val="13E25321"/>
    <w:rsid w:val="14F0383F"/>
    <w:rsid w:val="151034FF"/>
    <w:rsid w:val="15175270"/>
    <w:rsid w:val="15CB17E5"/>
    <w:rsid w:val="173B5312"/>
    <w:rsid w:val="17CE40BC"/>
    <w:rsid w:val="180A36B5"/>
    <w:rsid w:val="19A54871"/>
    <w:rsid w:val="1A246A03"/>
    <w:rsid w:val="1B001C0D"/>
    <w:rsid w:val="1CA84156"/>
    <w:rsid w:val="1D1265CA"/>
    <w:rsid w:val="1D353A79"/>
    <w:rsid w:val="1DEB1E70"/>
    <w:rsid w:val="1E0367E9"/>
    <w:rsid w:val="1E38517C"/>
    <w:rsid w:val="207672EF"/>
    <w:rsid w:val="20872872"/>
    <w:rsid w:val="21690BB5"/>
    <w:rsid w:val="2418517E"/>
    <w:rsid w:val="24B93C4E"/>
    <w:rsid w:val="255F65A3"/>
    <w:rsid w:val="25BA2D03"/>
    <w:rsid w:val="25E575ED"/>
    <w:rsid w:val="271A002E"/>
    <w:rsid w:val="279C3CF4"/>
    <w:rsid w:val="27C973D8"/>
    <w:rsid w:val="28355D2D"/>
    <w:rsid w:val="286A598B"/>
    <w:rsid w:val="28791576"/>
    <w:rsid w:val="29375A1D"/>
    <w:rsid w:val="2B5D17D7"/>
    <w:rsid w:val="2BBB2BB5"/>
    <w:rsid w:val="2BD759DA"/>
    <w:rsid w:val="2D3A2196"/>
    <w:rsid w:val="2D850B71"/>
    <w:rsid w:val="2E356A44"/>
    <w:rsid w:val="2F5A44AB"/>
    <w:rsid w:val="31E26F5C"/>
    <w:rsid w:val="336F5D12"/>
    <w:rsid w:val="35BF4381"/>
    <w:rsid w:val="37761C2A"/>
    <w:rsid w:val="38ED3A6E"/>
    <w:rsid w:val="399C0C6E"/>
    <w:rsid w:val="3A005C2A"/>
    <w:rsid w:val="3A092B2A"/>
    <w:rsid w:val="3AC72928"/>
    <w:rsid w:val="3B23753E"/>
    <w:rsid w:val="3B537CDC"/>
    <w:rsid w:val="3C0D4B53"/>
    <w:rsid w:val="3C1A71CF"/>
    <w:rsid w:val="3C742AE3"/>
    <w:rsid w:val="3CAF3787"/>
    <w:rsid w:val="3FEE6A4A"/>
    <w:rsid w:val="3FF22C1F"/>
    <w:rsid w:val="409C2011"/>
    <w:rsid w:val="40E816EB"/>
    <w:rsid w:val="42E93A8C"/>
    <w:rsid w:val="431C567C"/>
    <w:rsid w:val="44324703"/>
    <w:rsid w:val="45204F08"/>
    <w:rsid w:val="45B34C45"/>
    <w:rsid w:val="46696E2A"/>
    <w:rsid w:val="46F824A2"/>
    <w:rsid w:val="4746405A"/>
    <w:rsid w:val="47E56984"/>
    <w:rsid w:val="485D2261"/>
    <w:rsid w:val="4A7A3CBE"/>
    <w:rsid w:val="4B6C4CC7"/>
    <w:rsid w:val="4BBB0C9A"/>
    <w:rsid w:val="4BBB26BC"/>
    <w:rsid w:val="4E7B069E"/>
    <w:rsid w:val="50ED2D30"/>
    <w:rsid w:val="51E43446"/>
    <w:rsid w:val="54F6232C"/>
    <w:rsid w:val="554813BF"/>
    <w:rsid w:val="55AA39EC"/>
    <w:rsid w:val="56607C45"/>
    <w:rsid w:val="570C2464"/>
    <w:rsid w:val="57790CE9"/>
    <w:rsid w:val="58C75351"/>
    <w:rsid w:val="597A39EE"/>
    <w:rsid w:val="599B48CE"/>
    <w:rsid w:val="5A0031AA"/>
    <w:rsid w:val="5A563AFB"/>
    <w:rsid w:val="5B2F2ACA"/>
    <w:rsid w:val="5BB84687"/>
    <w:rsid w:val="5D6D29AB"/>
    <w:rsid w:val="5D73534F"/>
    <w:rsid w:val="5DB669A1"/>
    <w:rsid w:val="5EB033F0"/>
    <w:rsid w:val="5F0070C0"/>
    <w:rsid w:val="5F7476FA"/>
    <w:rsid w:val="60547108"/>
    <w:rsid w:val="60D80EFD"/>
    <w:rsid w:val="60FC1597"/>
    <w:rsid w:val="613F52ED"/>
    <w:rsid w:val="61EE73C5"/>
    <w:rsid w:val="62A241CB"/>
    <w:rsid w:val="651641C9"/>
    <w:rsid w:val="65547FE1"/>
    <w:rsid w:val="67BE2206"/>
    <w:rsid w:val="67C81ECA"/>
    <w:rsid w:val="681F306F"/>
    <w:rsid w:val="69D424C8"/>
    <w:rsid w:val="6B0E09CB"/>
    <w:rsid w:val="6B620B96"/>
    <w:rsid w:val="6D8F7D08"/>
    <w:rsid w:val="6F076E40"/>
    <w:rsid w:val="6FA46BF8"/>
    <w:rsid w:val="6FB74D92"/>
    <w:rsid w:val="731A244E"/>
    <w:rsid w:val="75F776FF"/>
    <w:rsid w:val="77A46F7B"/>
    <w:rsid w:val="77C76BCD"/>
    <w:rsid w:val="78DC046E"/>
    <w:rsid w:val="794C38BE"/>
    <w:rsid w:val="7B7F1BB1"/>
    <w:rsid w:val="7C4103BF"/>
    <w:rsid w:val="7D024942"/>
    <w:rsid w:val="7D267561"/>
    <w:rsid w:val="7E9216AA"/>
    <w:rsid w:val="7FB3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5"/>
    <w:link w:val="88"/>
    <w:qFormat/>
    <w:uiPriority w:val="0"/>
    <w:pPr>
      <w:keepNext/>
      <w:keepLines/>
      <w:spacing w:after="120" w:line="360" w:lineRule="auto"/>
      <w:outlineLvl w:val="0"/>
    </w:pPr>
    <w:rPr>
      <w:bCs/>
      <w:kern w:val="44"/>
      <w:sz w:val="36"/>
      <w:szCs w:val="36"/>
    </w:rPr>
  </w:style>
  <w:style w:type="paragraph" w:styleId="7">
    <w:name w:val="heading 2"/>
    <w:basedOn w:val="1"/>
    <w:next w:val="1"/>
    <w:link w:val="134"/>
    <w:qFormat/>
    <w:uiPriority w:val="0"/>
    <w:pPr>
      <w:keepNext/>
      <w:keepLines/>
      <w:spacing w:before="240" w:after="120" w:line="360" w:lineRule="auto"/>
      <w:ind w:left="454" w:hanging="454"/>
      <w:outlineLvl w:val="1"/>
    </w:pPr>
    <w:rPr>
      <w:rFonts w:ascii="宋体" w:hAnsi="宋体"/>
      <w:b/>
      <w:color w:val="000000"/>
      <w:sz w:val="24"/>
      <w:szCs w:val="24"/>
    </w:rPr>
  </w:style>
  <w:style w:type="paragraph" w:styleId="8">
    <w:name w:val="heading 3"/>
    <w:basedOn w:val="1"/>
    <w:next w:val="9"/>
    <w:link w:val="247"/>
    <w:qFormat/>
    <w:uiPriority w:val="0"/>
    <w:pPr>
      <w:keepNext/>
      <w:keepLines/>
      <w:spacing w:beforeLines="50" w:afterLines="50" w:line="360" w:lineRule="auto"/>
      <w:jc w:val="center"/>
      <w:outlineLvl w:val="2"/>
    </w:pPr>
    <w:rPr>
      <w:b/>
      <w:sz w:val="24"/>
      <w:szCs w:val="24"/>
    </w:rPr>
  </w:style>
  <w:style w:type="paragraph" w:styleId="10">
    <w:name w:val="heading 4"/>
    <w:basedOn w:val="8"/>
    <w:next w:val="9"/>
    <w:link w:val="310"/>
    <w:qFormat/>
    <w:uiPriority w:val="0"/>
    <w:pPr>
      <w:outlineLvl w:val="3"/>
    </w:pPr>
    <w:rPr>
      <w:rFonts w:ascii="Arial" w:hAnsi="Arial"/>
    </w:rPr>
  </w:style>
  <w:style w:type="paragraph" w:styleId="11">
    <w:name w:val="heading 5"/>
    <w:basedOn w:val="10"/>
    <w:next w:val="9"/>
    <w:link w:val="328"/>
    <w:qFormat/>
    <w:uiPriority w:val="0"/>
    <w:pPr>
      <w:numPr>
        <w:ilvl w:val="2"/>
        <w:numId w:val="1"/>
      </w:numPr>
      <w:tabs>
        <w:tab w:val="left" w:pos="4200"/>
      </w:tabs>
      <w:spacing w:beforeLines="0" w:afterLines="0" w:line="377" w:lineRule="auto"/>
      <w:ind w:left="900" w:hanging="900"/>
      <w:outlineLvl w:val="4"/>
    </w:pPr>
  </w:style>
  <w:style w:type="paragraph" w:styleId="12">
    <w:name w:val="heading 6"/>
    <w:basedOn w:val="1"/>
    <w:next w:val="1"/>
    <w:link w:val="181"/>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3">
    <w:name w:val="heading 7"/>
    <w:basedOn w:val="1"/>
    <w:next w:val="9"/>
    <w:link w:val="204"/>
    <w:qFormat/>
    <w:uiPriority w:val="0"/>
    <w:pPr>
      <w:keepNext/>
      <w:keepLines/>
      <w:numPr>
        <w:ilvl w:val="6"/>
        <w:numId w:val="3"/>
      </w:numPr>
      <w:spacing w:before="240" w:after="64" w:line="320" w:lineRule="auto"/>
      <w:outlineLvl w:val="6"/>
    </w:pPr>
    <w:rPr>
      <w:b/>
      <w:sz w:val="24"/>
    </w:rPr>
  </w:style>
  <w:style w:type="paragraph" w:styleId="14">
    <w:name w:val="heading 8"/>
    <w:basedOn w:val="1"/>
    <w:next w:val="9"/>
    <w:link w:val="214"/>
    <w:qFormat/>
    <w:uiPriority w:val="0"/>
    <w:pPr>
      <w:keepNext/>
      <w:keepLines/>
      <w:numPr>
        <w:ilvl w:val="7"/>
        <w:numId w:val="3"/>
      </w:numPr>
      <w:spacing w:before="240" w:after="64" w:line="320" w:lineRule="auto"/>
      <w:outlineLvl w:val="7"/>
    </w:pPr>
    <w:rPr>
      <w:rFonts w:ascii="Arial" w:hAnsi="Arial" w:eastAsia="黑体"/>
      <w:sz w:val="24"/>
    </w:rPr>
  </w:style>
  <w:style w:type="paragraph" w:styleId="15">
    <w:name w:val="heading 9"/>
    <w:basedOn w:val="1"/>
    <w:next w:val="9"/>
    <w:link w:val="330"/>
    <w:qFormat/>
    <w:uiPriority w:val="0"/>
    <w:pPr>
      <w:keepNext/>
      <w:keepLines/>
      <w:numPr>
        <w:ilvl w:val="8"/>
        <w:numId w:val="3"/>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Body Text 21"/>
    <w:basedOn w:val="1"/>
    <w:qFormat/>
    <w:uiPriority w:val="0"/>
    <w:pPr>
      <w:spacing w:before="120" w:beforeLines="0"/>
    </w:pPr>
    <w:rPr>
      <w:rFonts w:ascii="Arial" w:hAnsi="Arial"/>
      <w:sz w:val="24"/>
    </w:rPr>
  </w:style>
  <w:style w:type="paragraph" w:styleId="4">
    <w:name w:val="Title"/>
    <w:basedOn w:val="1"/>
    <w:link w:val="148"/>
    <w:qFormat/>
    <w:uiPriority w:val="0"/>
    <w:pPr>
      <w:spacing w:before="120" w:after="60"/>
      <w:jc w:val="center"/>
    </w:pPr>
    <w:rPr>
      <w:rFonts w:ascii="Arial" w:hAnsi="Arial"/>
      <w:b/>
      <w:sz w:val="44"/>
    </w:rPr>
  </w:style>
  <w:style w:type="paragraph" w:styleId="5">
    <w:name w:val="Body Text First Indent"/>
    <w:basedOn w:val="6"/>
    <w:link w:val="122"/>
    <w:qFormat/>
    <w:uiPriority w:val="0"/>
    <w:pPr>
      <w:ind w:firstLine="420"/>
    </w:pPr>
  </w:style>
  <w:style w:type="paragraph" w:styleId="6">
    <w:name w:val="Body Text"/>
    <w:basedOn w:val="1"/>
    <w:link w:val="194"/>
    <w:qFormat/>
    <w:uiPriority w:val="0"/>
    <w:pPr>
      <w:spacing w:after="120"/>
    </w:pPr>
  </w:style>
  <w:style w:type="paragraph" w:styleId="9">
    <w:name w:val="Normal Indent"/>
    <w:basedOn w:val="1"/>
    <w:qFormat/>
    <w:uiPriority w:val="0"/>
    <w:pPr>
      <w:ind w:firstLine="420"/>
    </w:pPr>
  </w:style>
  <w:style w:type="paragraph" w:styleId="16">
    <w:name w:val="List 3"/>
    <w:basedOn w:val="1"/>
    <w:qFormat/>
    <w:uiPriority w:val="0"/>
    <w:pPr>
      <w:ind w:left="100" w:leftChars="400" w:hanging="200" w:hangingChars="200"/>
    </w:pPr>
    <w:rPr>
      <w:szCs w:val="24"/>
    </w:rPr>
  </w:style>
  <w:style w:type="paragraph" w:styleId="17">
    <w:name w:val="toc 7"/>
    <w:basedOn w:val="1"/>
    <w:next w:val="1"/>
    <w:unhideWhenUsed/>
    <w:qFormat/>
    <w:uiPriority w:val="39"/>
    <w:pPr>
      <w:ind w:left="1260"/>
      <w:jc w:val="left"/>
    </w:pPr>
    <w:rPr>
      <w:rFonts w:ascii="Calibri" w:hAnsi="Calibri" w:cs="Calibri"/>
      <w:sz w:val="18"/>
      <w:szCs w:val="18"/>
    </w:rPr>
  </w:style>
  <w:style w:type="paragraph" w:styleId="18">
    <w:name w:val="Document Map"/>
    <w:basedOn w:val="1"/>
    <w:link w:val="316"/>
    <w:qFormat/>
    <w:uiPriority w:val="0"/>
    <w:pPr>
      <w:shd w:val="clear" w:color="auto" w:fill="000080"/>
    </w:pPr>
  </w:style>
  <w:style w:type="paragraph" w:styleId="19">
    <w:name w:val="annotation text"/>
    <w:basedOn w:val="1"/>
    <w:link w:val="346"/>
    <w:qFormat/>
    <w:uiPriority w:val="0"/>
    <w:pPr>
      <w:jc w:val="left"/>
    </w:pPr>
  </w:style>
  <w:style w:type="paragraph" w:styleId="20">
    <w:name w:val="Body Text Indent"/>
    <w:basedOn w:val="1"/>
    <w:link w:val="254"/>
    <w:qFormat/>
    <w:uiPriority w:val="0"/>
    <w:pPr>
      <w:ind w:firstLine="570"/>
    </w:pPr>
    <w:rPr>
      <w:sz w:val="28"/>
    </w:rPr>
  </w:style>
  <w:style w:type="paragraph" w:styleId="21">
    <w:name w:val="List 2"/>
    <w:basedOn w:val="1"/>
    <w:qFormat/>
    <w:uiPriority w:val="0"/>
    <w:pPr>
      <w:ind w:left="100" w:leftChars="200" w:hanging="200" w:hangingChars="200"/>
    </w:pPr>
    <w:rPr>
      <w:szCs w:val="24"/>
    </w:rPr>
  </w:style>
  <w:style w:type="paragraph" w:styleId="22">
    <w:name w:val="Block Text"/>
    <w:basedOn w:val="1"/>
    <w:qFormat/>
    <w:uiPriority w:val="0"/>
    <w:pPr>
      <w:autoSpaceDE w:val="0"/>
      <w:autoSpaceDN w:val="0"/>
      <w:adjustRightInd w:val="0"/>
      <w:spacing w:line="360" w:lineRule="auto"/>
      <w:ind w:left="420" w:leftChars="200" w:right="11" w:firstLine="479" w:firstLineChars="228"/>
    </w:pPr>
    <w:rPr>
      <w:rFonts w:ascii="宋体" w:hAnsi="Arial"/>
      <w:szCs w:val="21"/>
      <w:lang w:val="zh-CN"/>
    </w:rPr>
  </w:style>
  <w:style w:type="paragraph" w:styleId="23">
    <w:name w:val="toc 5"/>
    <w:basedOn w:val="1"/>
    <w:next w:val="1"/>
    <w:unhideWhenUsed/>
    <w:qFormat/>
    <w:uiPriority w:val="39"/>
    <w:pPr>
      <w:ind w:left="840"/>
      <w:jc w:val="left"/>
    </w:pPr>
    <w:rPr>
      <w:rFonts w:ascii="Calibri" w:hAnsi="Calibri" w:cs="Calibri"/>
      <w:sz w:val="18"/>
      <w:szCs w:val="18"/>
    </w:rPr>
  </w:style>
  <w:style w:type="paragraph" w:styleId="24">
    <w:name w:val="toc 3"/>
    <w:basedOn w:val="1"/>
    <w:next w:val="1"/>
    <w:qFormat/>
    <w:uiPriority w:val="0"/>
    <w:pPr>
      <w:ind w:left="420"/>
      <w:jc w:val="left"/>
    </w:pPr>
    <w:rPr>
      <w:rFonts w:ascii="Calibri" w:hAnsi="Calibri" w:cs="Calibri"/>
      <w:i/>
      <w:iCs/>
      <w:sz w:val="20"/>
    </w:rPr>
  </w:style>
  <w:style w:type="paragraph" w:styleId="25">
    <w:name w:val="Plain Text"/>
    <w:basedOn w:val="1"/>
    <w:next w:val="1"/>
    <w:link w:val="320"/>
    <w:qFormat/>
    <w:uiPriority w:val="0"/>
    <w:rPr>
      <w:rFonts w:ascii="宋体" w:hAnsi="Courier New"/>
    </w:rPr>
  </w:style>
  <w:style w:type="paragraph" w:styleId="26">
    <w:name w:val="toc 8"/>
    <w:basedOn w:val="1"/>
    <w:next w:val="1"/>
    <w:unhideWhenUsed/>
    <w:qFormat/>
    <w:uiPriority w:val="39"/>
    <w:pPr>
      <w:ind w:left="1470"/>
      <w:jc w:val="left"/>
    </w:pPr>
    <w:rPr>
      <w:rFonts w:ascii="Calibri" w:hAnsi="Calibri" w:cs="Calibri"/>
      <w:sz w:val="18"/>
      <w:szCs w:val="18"/>
    </w:rPr>
  </w:style>
  <w:style w:type="paragraph" w:styleId="27">
    <w:name w:val="Date"/>
    <w:basedOn w:val="1"/>
    <w:next w:val="1"/>
    <w:link w:val="58"/>
    <w:qFormat/>
    <w:uiPriority w:val="0"/>
  </w:style>
  <w:style w:type="paragraph" w:styleId="28">
    <w:name w:val="Body Text Indent 2"/>
    <w:basedOn w:val="1"/>
    <w:link w:val="259"/>
    <w:qFormat/>
    <w:uiPriority w:val="0"/>
    <w:pPr>
      <w:spacing w:line="400" w:lineRule="exact"/>
      <w:ind w:left="425"/>
    </w:pPr>
    <w:rPr>
      <w:color w:val="000000"/>
      <w:sz w:val="24"/>
    </w:rPr>
  </w:style>
  <w:style w:type="paragraph" w:styleId="29">
    <w:name w:val="endnote text"/>
    <w:basedOn w:val="1"/>
    <w:link w:val="343"/>
    <w:qFormat/>
    <w:uiPriority w:val="0"/>
    <w:pPr>
      <w:snapToGrid w:val="0"/>
      <w:jc w:val="left"/>
    </w:pPr>
    <w:rPr>
      <w:kern w:val="0"/>
      <w:sz w:val="20"/>
      <w:lang w:val="zh-CN"/>
    </w:rPr>
  </w:style>
  <w:style w:type="paragraph" w:styleId="30">
    <w:name w:val="Balloon Text"/>
    <w:basedOn w:val="1"/>
    <w:link w:val="299"/>
    <w:qFormat/>
    <w:uiPriority w:val="0"/>
    <w:rPr>
      <w:sz w:val="18"/>
      <w:szCs w:val="18"/>
    </w:rPr>
  </w:style>
  <w:style w:type="paragraph" w:styleId="31">
    <w:name w:val="footer"/>
    <w:basedOn w:val="1"/>
    <w:link w:val="354"/>
    <w:qFormat/>
    <w:uiPriority w:val="0"/>
    <w:pPr>
      <w:tabs>
        <w:tab w:val="center" w:pos="4153"/>
        <w:tab w:val="right" w:pos="8306"/>
      </w:tabs>
      <w:snapToGrid w:val="0"/>
      <w:jc w:val="left"/>
    </w:pPr>
    <w:rPr>
      <w:sz w:val="18"/>
    </w:rPr>
  </w:style>
  <w:style w:type="paragraph" w:styleId="32">
    <w:name w:val="header"/>
    <w:basedOn w:val="1"/>
    <w:link w:val="293"/>
    <w:qFormat/>
    <w:uiPriority w:val="0"/>
    <w:pPr>
      <w:pBdr>
        <w:bottom w:val="single" w:color="auto" w:sz="6" w:space="1"/>
      </w:pBdr>
      <w:tabs>
        <w:tab w:val="center" w:pos="4153"/>
        <w:tab w:val="right" w:pos="8306"/>
      </w:tabs>
      <w:snapToGrid w:val="0"/>
      <w:jc w:val="center"/>
    </w:pPr>
    <w:rPr>
      <w:sz w:val="18"/>
    </w:rPr>
  </w:style>
  <w:style w:type="paragraph" w:styleId="33">
    <w:name w:val="toc 1"/>
    <w:basedOn w:val="1"/>
    <w:next w:val="1"/>
    <w:qFormat/>
    <w:uiPriority w:val="0"/>
    <w:pPr>
      <w:spacing w:before="120" w:after="120"/>
      <w:jc w:val="left"/>
    </w:pPr>
    <w:rPr>
      <w:rFonts w:ascii="Calibri" w:hAnsi="Calibri" w:cs="Calibri"/>
      <w:b/>
      <w:bCs/>
      <w:caps/>
      <w:sz w:val="20"/>
    </w:rPr>
  </w:style>
  <w:style w:type="paragraph" w:styleId="34">
    <w:name w:val="toc 4"/>
    <w:basedOn w:val="1"/>
    <w:next w:val="1"/>
    <w:unhideWhenUsed/>
    <w:qFormat/>
    <w:uiPriority w:val="39"/>
    <w:pPr>
      <w:ind w:left="630"/>
      <w:jc w:val="left"/>
    </w:pPr>
    <w:rPr>
      <w:rFonts w:ascii="Calibri" w:hAnsi="Calibri" w:cs="Calibri"/>
      <w:sz w:val="18"/>
      <w:szCs w:val="18"/>
    </w:rPr>
  </w:style>
  <w:style w:type="paragraph" w:styleId="35">
    <w:name w:val="List"/>
    <w:basedOn w:val="1"/>
    <w:qFormat/>
    <w:uiPriority w:val="0"/>
    <w:pPr>
      <w:ind w:left="200" w:hanging="200" w:hangingChars="200"/>
    </w:pPr>
    <w:rPr>
      <w:szCs w:val="24"/>
    </w:rPr>
  </w:style>
  <w:style w:type="paragraph" w:styleId="36">
    <w:name w:val="footnote text"/>
    <w:basedOn w:val="1"/>
    <w:link w:val="292"/>
    <w:qFormat/>
    <w:uiPriority w:val="0"/>
    <w:pPr>
      <w:snapToGrid w:val="0"/>
      <w:spacing w:line="360" w:lineRule="auto"/>
      <w:ind w:firstLine="523" w:firstLineChars="218"/>
      <w:jc w:val="left"/>
    </w:pPr>
    <w:rPr>
      <w:rFonts w:ascii="宋体" w:hAnsi="宋体"/>
      <w:kern w:val="0"/>
      <w:sz w:val="18"/>
      <w:szCs w:val="18"/>
      <w:lang w:val="zh-CN"/>
    </w:rPr>
  </w:style>
  <w:style w:type="paragraph" w:styleId="37">
    <w:name w:val="toc 6"/>
    <w:basedOn w:val="1"/>
    <w:next w:val="1"/>
    <w:unhideWhenUsed/>
    <w:qFormat/>
    <w:uiPriority w:val="39"/>
    <w:pPr>
      <w:ind w:left="1050"/>
      <w:jc w:val="left"/>
    </w:pPr>
    <w:rPr>
      <w:rFonts w:ascii="Calibri" w:hAnsi="Calibri" w:cs="Calibri"/>
      <w:sz w:val="18"/>
      <w:szCs w:val="18"/>
    </w:rPr>
  </w:style>
  <w:style w:type="paragraph" w:styleId="38">
    <w:name w:val="Body Text Indent 3"/>
    <w:basedOn w:val="1"/>
    <w:link w:val="155"/>
    <w:qFormat/>
    <w:uiPriority w:val="0"/>
    <w:pPr>
      <w:tabs>
        <w:tab w:val="left" w:pos="0"/>
      </w:tabs>
      <w:spacing w:line="400" w:lineRule="exact"/>
      <w:ind w:left="563" w:leftChars="228" w:hanging="84" w:hangingChars="35"/>
    </w:pPr>
    <w:rPr>
      <w:color w:val="000000"/>
      <w:sz w:val="24"/>
    </w:rPr>
  </w:style>
  <w:style w:type="paragraph" w:styleId="39">
    <w:name w:val="toc 2"/>
    <w:basedOn w:val="1"/>
    <w:next w:val="1"/>
    <w:qFormat/>
    <w:uiPriority w:val="0"/>
    <w:pPr>
      <w:ind w:left="210"/>
      <w:jc w:val="left"/>
    </w:pPr>
    <w:rPr>
      <w:rFonts w:ascii="Calibri" w:hAnsi="Calibri" w:cs="Calibri"/>
      <w:smallCaps/>
      <w:sz w:val="20"/>
    </w:rPr>
  </w:style>
  <w:style w:type="paragraph" w:styleId="40">
    <w:name w:val="toc 9"/>
    <w:basedOn w:val="1"/>
    <w:next w:val="1"/>
    <w:unhideWhenUsed/>
    <w:qFormat/>
    <w:uiPriority w:val="39"/>
    <w:pPr>
      <w:ind w:left="1680"/>
      <w:jc w:val="left"/>
    </w:pPr>
    <w:rPr>
      <w:rFonts w:ascii="Calibri" w:hAnsi="Calibri" w:cs="Calibri"/>
      <w:sz w:val="18"/>
      <w:szCs w:val="18"/>
    </w:rPr>
  </w:style>
  <w:style w:type="paragraph" w:styleId="41">
    <w:name w:val="Body Text 2"/>
    <w:basedOn w:val="1"/>
    <w:link w:val="277"/>
    <w:qFormat/>
    <w:uiPriority w:val="0"/>
    <w:rPr>
      <w:rFonts w:ascii="宋体" w:hAnsi="宋体"/>
      <w:szCs w:val="24"/>
      <w:u w:val="single"/>
    </w:rPr>
  </w:style>
  <w:style w:type="paragraph" w:styleId="42">
    <w:name w:val="List 4"/>
    <w:basedOn w:val="1"/>
    <w:qFormat/>
    <w:uiPriority w:val="0"/>
    <w:pPr>
      <w:ind w:left="100" w:leftChars="600" w:hanging="200" w:hangingChars="200"/>
    </w:pPr>
    <w:rPr>
      <w:szCs w:val="24"/>
    </w:rPr>
  </w:style>
  <w:style w:type="paragraph" w:styleId="4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4">
    <w:name w:val="index 1"/>
    <w:basedOn w:val="1"/>
    <w:next w:val="1"/>
    <w:qFormat/>
    <w:uiPriority w:val="0"/>
    <w:rPr>
      <w:rFonts w:eastAsia="仿宋_GB2312"/>
      <w:sz w:val="28"/>
    </w:rPr>
  </w:style>
  <w:style w:type="paragraph" w:styleId="45">
    <w:name w:val="annotation subject"/>
    <w:basedOn w:val="19"/>
    <w:next w:val="19"/>
    <w:link w:val="317"/>
    <w:qFormat/>
    <w:uiPriority w:val="0"/>
    <w:rPr>
      <w:b/>
      <w:bCs/>
    </w:rPr>
  </w:style>
  <w:style w:type="paragraph" w:styleId="46">
    <w:name w:val="Body Text First Indent 2"/>
    <w:basedOn w:val="20"/>
    <w:qFormat/>
    <w:uiPriority w:val="0"/>
    <w:pPr>
      <w:spacing w:after="120"/>
      <w:ind w:left="420" w:leftChars="200" w:firstLine="420" w:firstLineChars="200"/>
    </w:pPr>
    <w:rPr>
      <w:sz w:val="21"/>
      <w:szCs w:val="24"/>
    </w:rPr>
  </w:style>
  <w:style w:type="character" w:styleId="49">
    <w:name w:val="Strong"/>
    <w:basedOn w:val="48"/>
    <w:qFormat/>
    <w:uiPriority w:val="22"/>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basedOn w:val="48"/>
    <w:qFormat/>
    <w:uiPriority w:val="99"/>
    <w:rPr>
      <w:color w:val="800080"/>
      <w:u w:val="single"/>
    </w:rPr>
  </w:style>
  <w:style w:type="character" w:styleId="53">
    <w:name w:val="Hyperlink"/>
    <w:basedOn w:val="48"/>
    <w:qFormat/>
    <w:uiPriority w:val="99"/>
    <w:rPr>
      <w:color w:val="0000FF"/>
      <w:u w:val="single"/>
    </w:rPr>
  </w:style>
  <w:style w:type="character" w:styleId="54">
    <w:name w:val="annotation reference"/>
    <w:basedOn w:val="48"/>
    <w:qFormat/>
    <w:uiPriority w:val="0"/>
    <w:rPr>
      <w:sz w:val="21"/>
      <w:szCs w:val="21"/>
    </w:rPr>
  </w:style>
  <w:style w:type="character" w:styleId="55">
    <w:name w:val="footnote reference"/>
    <w:qFormat/>
    <w:uiPriority w:val="0"/>
    <w:rPr>
      <w:vertAlign w:val="superscript"/>
    </w:rPr>
  </w:style>
  <w:style w:type="character" w:customStyle="1" w:styleId="56">
    <w:name w:val="正文文本缩进 Char"/>
    <w:qFormat/>
    <w:uiPriority w:val="0"/>
    <w:rPr>
      <w:kern w:val="2"/>
      <w:sz w:val="28"/>
    </w:rPr>
  </w:style>
  <w:style w:type="paragraph" w:customStyle="1" w:styleId="5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kern w:val="0"/>
      <w:sz w:val="22"/>
      <w:szCs w:val="22"/>
      <w:lang w:eastAsia="en-US"/>
    </w:rPr>
  </w:style>
  <w:style w:type="character" w:customStyle="1" w:styleId="58">
    <w:name w:val="日期 Char"/>
    <w:link w:val="27"/>
    <w:qFormat/>
    <w:uiPriority w:val="0"/>
    <w:rPr>
      <w:kern w:val="2"/>
      <w:sz w:val="21"/>
    </w:rPr>
  </w:style>
  <w:style w:type="paragraph" w:customStyle="1" w:styleId="59">
    <w:name w:val="xl39"/>
    <w:basedOn w:val="1"/>
    <w:qFormat/>
    <w:uiPriority w:val="0"/>
    <w:pPr>
      <w:widowControl/>
      <w:pBdr>
        <w:top w:val="single" w:color="000000" w:sz="8" w:space="0"/>
        <w:left w:val="single" w:color="000000" w:sz="4" w:space="0"/>
        <w:bottom w:val="single" w:color="000000" w:sz="4" w:space="0"/>
        <w:right w:val="single" w:color="000000" w:sz="8" w:space="0"/>
      </w:pBdr>
      <w:spacing w:before="100" w:beforeAutospacing="1" w:after="100" w:afterAutospacing="1"/>
      <w:jc w:val="center"/>
    </w:pPr>
    <w:rPr>
      <w:rFonts w:hint="eastAsia" w:ascii="宋体" w:hAnsi="宋体" w:cs="Arial Unicode MS"/>
      <w:kern w:val="0"/>
      <w:sz w:val="22"/>
      <w:szCs w:val="22"/>
      <w:lang w:eastAsia="en-US"/>
    </w:rPr>
  </w:style>
  <w:style w:type="paragraph" w:customStyle="1" w:styleId="60">
    <w:name w:val="xl35"/>
    <w:basedOn w:val="1"/>
    <w:qFormat/>
    <w:uiPriority w:val="0"/>
    <w:pPr>
      <w:widowControl/>
      <w:pBdr>
        <w:top w:val="single" w:color="000000" w:sz="8" w:space="0"/>
        <w:left w:val="single" w:color="000000" w:sz="8"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22"/>
      <w:szCs w:val="22"/>
      <w:lang w:eastAsia="en-US"/>
    </w:rPr>
  </w:style>
  <w:style w:type="character" w:customStyle="1" w:styleId="61">
    <w:name w:val="文一 Char"/>
    <w:basedOn w:val="48"/>
    <w:link w:val="62"/>
    <w:qFormat/>
    <w:uiPriority w:val="0"/>
    <w:rPr>
      <w:rFonts w:eastAsia="宋体"/>
      <w:snapToGrid w:val="0"/>
      <w:spacing w:val="4"/>
      <w:sz w:val="24"/>
      <w:szCs w:val="24"/>
      <w:lang w:val="en-US" w:eastAsia="zh-CN" w:bidi="ar-SA"/>
    </w:rPr>
  </w:style>
  <w:style w:type="paragraph" w:customStyle="1" w:styleId="62">
    <w:name w:val="文一"/>
    <w:basedOn w:val="1"/>
    <w:link w:val="61"/>
    <w:qFormat/>
    <w:uiPriority w:val="0"/>
    <w:pPr>
      <w:topLinePunct/>
      <w:adjustRightInd w:val="0"/>
      <w:snapToGrid w:val="0"/>
      <w:spacing w:line="360" w:lineRule="auto"/>
      <w:ind w:firstLine="200" w:firstLineChars="200"/>
    </w:pPr>
    <w:rPr>
      <w:snapToGrid w:val="0"/>
      <w:spacing w:val="4"/>
      <w:kern w:val="0"/>
      <w:sz w:val="24"/>
      <w:szCs w:val="24"/>
    </w:rPr>
  </w:style>
  <w:style w:type="paragraph" w:customStyle="1" w:styleId="63">
    <w:name w:val="Char Char Char Char Char Char Char Char Char"/>
    <w:basedOn w:val="1"/>
    <w:qFormat/>
    <w:uiPriority w:val="0"/>
    <w:rPr>
      <w:sz w:val="28"/>
      <w:szCs w:val="24"/>
    </w:rPr>
  </w:style>
  <w:style w:type="paragraph" w:customStyle="1" w:styleId="64">
    <w:name w:val="发文落款"/>
    <w:basedOn w:val="65"/>
    <w:qFormat/>
    <w:uiPriority w:val="0"/>
    <w:pPr>
      <w:ind w:left="4094" w:right="607" w:firstLine="0"/>
      <w:jc w:val="center"/>
    </w:pPr>
  </w:style>
  <w:style w:type="paragraph" w:customStyle="1" w:styleId="65">
    <w:name w:val="公文正文1"/>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66">
    <w:name w:val="日期 Char1"/>
    <w:qFormat/>
    <w:uiPriority w:val="0"/>
    <w:rPr>
      <w:kern w:val="2"/>
      <w:sz w:val="21"/>
    </w:rPr>
  </w:style>
  <w:style w:type="paragraph" w:customStyle="1" w:styleId="6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宋体"/>
      <w:kern w:val="0"/>
      <w:sz w:val="24"/>
      <w:szCs w:val="24"/>
    </w:rPr>
  </w:style>
  <w:style w:type="paragraph" w:customStyle="1" w:styleId="6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kern w:val="0"/>
      <w:szCs w:val="21"/>
      <w:lang w:eastAsia="en-US"/>
    </w:rPr>
  </w:style>
  <w:style w:type="paragraph" w:customStyle="1" w:styleId="69">
    <w:name w:val="普通(Web)1"/>
    <w:basedOn w:val="1"/>
    <w:qFormat/>
    <w:uiPriority w:val="0"/>
    <w:pPr>
      <w:widowControl/>
      <w:spacing w:before="284" w:line="360" w:lineRule="auto"/>
      <w:jc w:val="left"/>
    </w:pPr>
    <w:rPr>
      <w:rFonts w:ascii="宋体" w:hAnsi="宋体"/>
      <w:kern w:val="0"/>
      <w:sz w:val="24"/>
      <w:szCs w:val="24"/>
    </w:rPr>
  </w:style>
  <w:style w:type="character" w:customStyle="1" w:styleId="70">
    <w:name w:val="标题 8 Char"/>
    <w:qFormat/>
    <w:uiPriority w:val="0"/>
    <w:rPr>
      <w:rFonts w:ascii="Arial" w:hAnsi="Arial" w:eastAsia="黑体"/>
      <w:kern w:val="2"/>
      <w:sz w:val="24"/>
    </w:rPr>
  </w:style>
  <w:style w:type="character" w:customStyle="1" w:styleId="71">
    <w:name w:val="标题 5 Char"/>
    <w:qFormat/>
    <w:uiPriority w:val="0"/>
    <w:rPr>
      <w:rFonts w:ascii="Arial" w:hAnsi="Arial"/>
      <w:b/>
      <w:kern w:val="2"/>
      <w:sz w:val="24"/>
      <w:szCs w:val="24"/>
    </w:rPr>
  </w:style>
  <w:style w:type="paragraph" w:customStyle="1" w:styleId="72">
    <w:name w:val="xl80"/>
    <w:basedOn w:val="1"/>
    <w:qFormat/>
    <w:uiPriority w:val="0"/>
    <w:pPr>
      <w:widowControl/>
      <w:pBdr>
        <w:left w:val="single" w:color="auto" w:sz="4" w:space="0"/>
      </w:pBdr>
      <w:spacing w:before="100" w:beforeAutospacing="1" w:after="100" w:afterAutospacing="1"/>
      <w:jc w:val="left"/>
    </w:pPr>
    <w:rPr>
      <w:rFonts w:ascii="宋体" w:hAnsi="宋体" w:cs="宋体"/>
      <w:kern w:val="0"/>
      <w:sz w:val="24"/>
      <w:szCs w:val="24"/>
    </w:rPr>
  </w:style>
  <w:style w:type="paragraph" w:customStyle="1" w:styleId="73">
    <w:name w:val="文提"/>
    <w:basedOn w:val="62"/>
    <w:qFormat/>
    <w:uiPriority w:val="0"/>
    <w:pPr>
      <w:ind w:firstLine="0" w:firstLineChars="0"/>
    </w:pPr>
    <w:rPr>
      <w:rFonts w:eastAsia="黑体" w:cs="宋体"/>
      <w:b/>
    </w:rPr>
  </w:style>
  <w:style w:type="paragraph" w:customStyle="1" w:styleId="74">
    <w:name w:val="xl66"/>
    <w:basedOn w:val="1"/>
    <w:qFormat/>
    <w:uiPriority w:val="0"/>
    <w:pPr>
      <w:widowControl/>
      <w:pBdr>
        <w:top w:val="single" w:color="FF0000" w:sz="4" w:space="0"/>
        <w:left w:val="single" w:color="FF0000" w:sz="4" w:space="0"/>
        <w:bottom w:val="single" w:color="FF0000" w:sz="4" w:space="0"/>
        <w:right w:val="single" w:color="FF0000" w:sz="4" w:space="0"/>
      </w:pBdr>
      <w:shd w:val="clear" w:color="000000" w:fill="FFFF00"/>
      <w:spacing w:before="100" w:beforeAutospacing="1" w:after="100" w:afterAutospacing="1"/>
      <w:jc w:val="center"/>
    </w:pPr>
    <w:rPr>
      <w:rFonts w:ascii="宋体" w:hAnsi="宋体" w:cs="宋体"/>
      <w:b/>
      <w:bCs/>
      <w:kern w:val="0"/>
      <w:sz w:val="24"/>
      <w:szCs w:val="24"/>
    </w:rPr>
  </w:style>
  <w:style w:type="paragraph" w:customStyle="1" w:styleId="75">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hint="eastAsia" w:ascii="宋体" w:hAnsi="宋体" w:cs="Arial Unicode MS"/>
      <w:kern w:val="0"/>
      <w:sz w:val="22"/>
      <w:szCs w:val="22"/>
      <w:lang w:eastAsia="en-US"/>
    </w:rPr>
  </w:style>
  <w:style w:type="paragraph" w:customStyle="1" w:styleId="76">
    <w:name w:val="cjk1"/>
    <w:basedOn w:val="1"/>
    <w:qFormat/>
    <w:uiPriority w:val="0"/>
    <w:pPr>
      <w:widowControl/>
      <w:spacing w:before="284" w:line="360" w:lineRule="auto"/>
      <w:jc w:val="left"/>
    </w:pPr>
    <w:rPr>
      <w:rFonts w:ascii="宋体" w:hAnsi="宋体"/>
      <w:kern w:val="0"/>
      <w:sz w:val="22"/>
      <w:szCs w:val="22"/>
    </w:rPr>
  </w:style>
  <w:style w:type="paragraph" w:customStyle="1" w:styleId="77">
    <w:name w:val="xl43"/>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hint="eastAsia" w:ascii="宋体" w:hAnsi="宋体" w:cs="Arial Unicode MS"/>
      <w:kern w:val="0"/>
      <w:sz w:val="22"/>
      <w:szCs w:val="22"/>
      <w:lang w:eastAsia="en-US"/>
    </w:rPr>
  </w:style>
  <w:style w:type="paragraph" w:customStyle="1" w:styleId="78">
    <w:name w:val="样式2"/>
    <w:basedOn w:val="7"/>
    <w:qFormat/>
    <w:uiPriority w:val="0"/>
    <w:pPr>
      <w:spacing w:before="260" w:after="260" w:line="416" w:lineRule="auto"/>
    </w:pPr>
    <w:rPr>
      <w:rFonts w:eastAsia="华文中宋"/>
      <w:bCs/>
      <w:color w:val="auto"/>
      <w:sz w:val="36"/>
      <w:szCs w:val="36"/>
    </w:rPr>
  </w:style>
  <w:style w:type="paragraph" w:customStyle="1" w:styleId="79">
    <w:name w:val="封四"/>
    <w:basedOn w:val="62"/>
    <w:next w:val="62"/>
    <w:qFormat/>
    <w:uiPriority w:val="0"/>
    <w:pPr>
      <w:jc w:val="left"/>
    </w:pPr>
    <w:rPr>
      <w:sz w:val="30"/>
      <w:szCs w:val="30"/>
    </w:rPr>
  </w:style>
  <w:style w:type="paragraph" w:customStyle="1" w:styleId="80">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81">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2"/>
      <w:szCs w:val="22"/>
      <w:lang w:eastAsia="en-US"/>
    </w:rPr>
  </w:style>
  <w:style w:type="paragraph" w:customStyle="1" w:styleId="82">
    <w:name w:val="xl42"/>
    <w:basedOn w:val="1"/>
    <w:qFormat/>
    <w:uiPriority w:val="0"/>
    <w:pPr>
      <w:widowControl/>
      <w:pBdr>
        <w:left w:val="single" w:color="000000" w:sz="8" w:space="0"/>
        <w:right w:val="single" w:color="000000" w:sz="8" w:space="0"/>
      </w:pBdr>
      <w:spacing w:before="100" w:beforeAutospacing="1" w:after="100" w:afterAutospacing="1"/>
      <w:jc w:val="left"/>
      <w:textAlignment w:val="top"/>
    </w:pPr>
    <w:rPr>
      <w:rFonts w:hint="eastAsia" w:ascii="宋体" w:hAnsi="宋体" w:cs="Arial Unicode MS"/>
      <w:kern w:val="0"/>
      <w:sz w:val="22"/>
      <w:szCs w:val="22"/>
      <w:lang w:eastAsia="en-US"/>
    </w:rPr>
  </w:style>
  <w:style w:type="paragraph" w:customStyle="1" w:styleId="83">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16"/>
      <w:szCs w:val="16"/>
      <w:lang w:eastAsia="en-US"/>
    </w:rPr>
  </w:style>
  <w:style w:type="paragraph" w:customStyle="1" w:styleId="84">
    <w:name w:val="xl79"/>
    <w:basedOn w:val="1"/>
    <w:qFormat/>
    <w:uiPriority w:val="0"/>
    <w:pPr>
      <w:widowControl/>
      <w:pBdr>
        <w:left w:val="single" w:color="FF0000" w:sz="4" w:space="0"/>
        <w:right w:val="single" w:color="FF0000" w:sz="4" w:space="0"/>
      </w:pBdr>
      <w:spacing w:before="100" w:beforeAutospacing="1" w:after="100" w:afterAutospacing="1"/>
      <w:jc w:val="center"/>
    </w:pPr>
    <w:rPr>
      <w:rFonts w:ascii="宋体" w:hAnsi="宋体" w:cs="宋体"/>
      <w:b/>
      <w:bCs/>
      <w:kern w:val="0"/>
      <w:sz w:val="24"/>
      <w:szCs w:val="24"/>
    </w:rPr>
  </w:style>
  <w:style w:type="paragraph" w:customStyle="1" w:styleId="85">
    <w:name w:val="font8"/>
    <w:basedOn w:val="1"/>
    <w:qFormat/>
    <w:uiPriority w:val="0"/>
    <w:pPr>
      <w:widowControl/>
      <w:spacing w:before="100" w:beforeAutospacing="1" w:after="100" w:afterAutospacing="1"/>
      <w:jc w:val="left"/>
    </w:pPr>
    <w:rPr>
      <w:rFonts w:eastAsia="Arial Unicode MS"/>
      <w:kern w:val="0"/>
      <w:sz w:val="22"/>
      <w:szCs w:val="22"/>
      <w:lang w:eastAsia="en-US"/>
    </w:rPr>
  </w:style>
  <w:style w:type="character" w:customStyle="1" w:styleId="86">
    <w:name w:val="纯文本 Char"/>
    <w:basedOn w:val="48"/>
    <w:qFormat/>
    <w:locked/>
    <w:uiPriority w:val="0"/>
    <w:rPr>
      <w:rFonts w:ascii="宋体" w:hAnsi="Courier New" w:eastAsia="宋体"/>
      <w:kern w:val="2"/>
      <w:sz w:val="21"/>
      <w:lang w:val="en-US" w:eastAsia="zh-CN" w:bidi="ar-SA"/>
    </w:rPr>
  </w:style>
  <w:style w:type="character" w:customStyle="1" w:styleId="87">
    <w:name w:val="文档结构图 Char"/>
    <w:qFormat/>
    <w:uiPriority w:val="0"/>
    <w:rPr>
      <w:kern w:val="2"/>
      <w:sz w:val="21"/>
      <w:shd w:val="clear" w:color="auto" w:fill="000080"/>
    </w:rPr>
  </w:style>
  <w:style w:type="character" w:customStyle="1" w:styleId="88">
    <w:name w:val="标题 1 Char"/>
    <w:basedOn w:val="89"/>
    <w:link w:val="3"/>
    <w:qFormat/>
    <w:uiPriority w:val="0"/>
    <w:rPr>
      <w:rFonts w:ascii="Arial" w:hAnsi="Arial" w:eastAsia="宋体"/>
      <w:bCs/>
      <w:kern w:val="44"/>
      <w:sz w:val="36"/>
      <w:szCs w:val="36"/>
      <w:lang w:val="en-US" w:eastAsia="zh-CN" w:bidi="ar-SA"/>
    </w:rPr>
  </w:style>
  <w:style w:type="character" w:customStyle="1" w:styleId="89">
    <w:name w:val="标题 Char"/>
    <w:basedOn w:val="48"/>
    <w:qFormat/>
    <w:uiPriority w:val="0"/>
    <w:rPr>
      <w:rFonts w:ascii="Arial" w:hAnsi="Arial" w:eastAsia="宋体"/>
      <w:b/>
      <w:kern w:val="2"/>
      <w:sz w:val="44"/>
      <w:lang w:val="en-US" w:eastAsia="zh-CN" w:bidi="ar-SA"/>
    </w:rPr>
  </w:style>
  <w:style w:type="character" w:customStyle="1" w:styleId="90">
    <w:name w:val="标题 3 Char1"/>
    <w:qFormat/>
    <w:uiPriority w:val="0"/>
    <w:rPr>
      <w:rFonts w:ascii="Calibri" w:hAnsi="Calibri" w:eastAsia="宋体"/>
      <w:b/>
      <w:bCs/>
      <w:kern w:val="2"/>
      <w:sz w:val="32"/>
      <w:szCs w:val="32"/>
      <w:lang w:val="en-US" w:eastAsia="zh-CN"/>
    </w:rPr>
  </w:style>
  <w:style w:type="paragraph" w:customStyle="1" w:styleId="9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92">
    <w:name w:val="xl48"/>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textAlignment w:val="center"/>
    </w:pPr>
    <w:rPr>
      <w:rFonts w:ascii="Arial" w:hAnsi="Arial" w:eastAsia="Arial Unicode MS" w:cs="Arial"/>
      <w:kern w:val="0"/>
      <w:sz w:val="24"/>
      <w:szCs w:val="24"/>
      <w:lang w:eastAsia="en-US"/>
    </w:rPr>
  </w:style>
  <w:style w:type="character" w:customStyle="1" w:styleId="93">
    <w:name w:val="批注引用1"/>
    <w:qFormat/>
    <w:uiPriority w:val="0"/>
    <w:rPr>
      <w:sz w:val="21"/>
      <w:szCs w:val="21"/>
    </w:rPr>
  </w:style>
  <w:style w:type="paragraph" w:customStyle="1" w:styleId="94">
    <w:name w:val="封二"/>
    <w:basedOn w:val="95"/>
    <w:next w:val="95"/>
    <w:qFormat/>
    <w:uiPriority w:val="0"/>
    <w:pPr>
      <w:ind w:firstLine="0" w:firstLineChars="0"/>
      <w:jc w:val="center"/>
    </w:pPr>
    <w:rPr>
      <w:rFonts w:eastAsia="黑体"/>
      <w:b/>
      <w:sz w:val="36"/>
      <w:szCs w:val="36"/>
    </w:rPr>
  </w:style>
  <w:style w:type="paragraph" w:customStyle="1" w:styleId="95">
    <w:name w:val="文一1"/>
    <w:basedOn w:val="1"/>
    <w:link w:val="278"/>
    <w:qFormat/>
    <w:uiPriority w:val="0"/>
    <w:pPr>
      <w:topLinePunct/>
      <w:adjustRightInd w:val="0"/>
      <w:snapToGrid w:val="0"/>
      <w:spacing w:line="360" w:lineRule="auto"/>
      <w:ind w:firstLine="200" w:firstLineChars="200"/>
    </w:pPr>
    <w:rPr>
      <w:snapToGrid w:val="0"/>
      <w:spacing w:val="4"/>
      <w:kern w:val="0"/>
      <w:sz w:val="24"/>
      <w:szCs w:val="24"/>
    </w:rPr>
  </w:style>
  <w:style w:type="paragraph" w:customStyle="1" w:styleId="96">
    <w:name w:val="修订3"/>
    <w:hidden/>
    <w:semiHidden/>
    <w:qFormat/>
    <w:uiPriority w:val="99"/>
    <w:rPr>
      <w:rFonts w:ascii="Times New Roman" w:hAnsi="Times New Roman" w:eastAsia="宋体" w:cs="Times New Roman"/>
      <w:kern w:val="2"/>
      <w:sz w:val="21"/>
      <w:lang w:val="en-US" w:eastAsia="zh-CN" w:bidi="ar-SA"/>
    </w:rPr>
  </w:style>
  <w:style w:type="paragraph" w:customStyle="1" w:styleId="97">
    <w:name w:val="默认段落字体 Para Char Char Char Char Char Char Char"/>
    <w:basedOn w:val="18"/>
    <w:qFormat/>
    <w:uiPriority w:val="0"/>
    <w:pPr>
      <w:adjustRightInd w:val="0"/>
      <w:spacing w:line="436" w:lineRule="exact"/>
      <w:ind w:left="357"/>
      <w:jc w:val="left"/>
      <w:outlineLvl w:val="3"/>
    </w:pPr>
    <w:rPr>
      <w:rFonts w:ascii="Tahoma" w:hAnsi="Tahoma"/>
      <w:b/>
      <w:sz w:val="24"/>
      <w:szCs w:val="24"/>
    </w:rPr>
  </w:style>
  <w:style w:type="character" w:customStyle="1" w:styleId="98">
    <w:name w:val="标题 2 Char"/>
    <w:qFormat/>
    <w:uiPriority w:val="0"/>
    <w:rPr>
      <w:rFonts w:ascii="宋体" w:hAnsi="宋体"/>
      <w:b/>
      <w:color w:val="000000"/>
      <w:kern w:val="2"/>
      <w:sz w:val="24"/>
      <w:szCs w:val="24"/>
    </w:rPr>
  </w:style>
  <w:style w:type="paragraph" w:customStyle="1" w:styleId="99">
    <w:name w:val="xl5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customStyle="1" w:styleId="100">
    <w:name w:val="文档结构图1"/>
    <w:basedOn w:val="1"/>
    <w:qFormat/>
    <w:uiPriority w:val="0"/>
    <w:rPr>
      <w:rFonts w:ascii="宋体"/>
      <w:sz w:val="18"/>
      <w:szCs w:val="18"/>
    </w:rPr>
  </w:style>
  <w:style w:type="paragraph" w:customStyle="1" w:styleId="101">
    <w:name w:val="正方框图"/>
    <w:basedOn w:val="1"/>
    <w:qFormat/>
    <w:uiPriority w:val="0"/>
    <w:pPr>
      <w:snapToGrid w:val="0"/>
      <w:jc w:val="center"/>
    </w:pPr>
    <w:rPr>
      <w:sz w:val="24"/>
    </w:rPr>
  </w:style>
  <w:style w:type="paragraph" w:customStyle="1" w:styleId="10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szCs w:val="24"/>
    </w:rPr>
  </w:style>
  <w:style w:type="paragraph" w:customStyle="1" w:styleId="10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4">
    <w:name w:val="封三"/>
    <w:basedOn w:val="62"/>
    <w:next w:val="62"/>
    <w:qFormat/>
    <w:uiPriority w:val="0"/>
    <w:pPr>
      <w:ind w:firstLine="0" w:firstLineChars="0"/>
      <w:jc w:val="center"/>
    </w:pPr>
    <w:rPr>
      <w:sz w:val="30"/>
    </w:rPr>
  </w:style>
  <w:style w:type="paragraph" w:customStyle="1" w:styleId="105">
    <w:name w:val="章节一"/>
    <w:basedOn w:val="1"/>
    <w:next w:val="1"/>
    <w:qFormat/>
    <w:uiPriority w:val="0"/>
    <w:pPr>
      <w:topLinePunct/>
      <w:adjustRightInd w:val="0"/>
      <w:snapToGrid w:val="0"/>
      <w:spacing w:beforeLines="50" w:afterLines="50"/>
      <w:jc w:val="center"/>
      <w:outlineLvl w:val="0"/>
    </w:pPr>
    <w:rPr>
      <w:rFonts w:eastAsia="黑体"/>
      <w:b/>
      <w:snapToGrid w:val="0"/>
      <w:spacing w:val="4"/>
      <w:kern w:val="0"/>
      <w:sz w:val="36"/>
      <w:szCs w:val="36"/>
    </w:rPr>
  </w:style>
  <w:style w:type="paragraph" w:customStyle="1" w:styleId="106">
    <w:name w:val="样式 标题 6 + 行距: 1.5 倍行距"/>
    <w:basedOn w:val="12"/>
    <w:qFormat/>
    <w:uiPriority w:val="0"/>
    <w:pPr>
      <w:numPr>
        <w:ilvl w:val="0"/>
        <w:numId w:val="0"/>
      </w:numPr>
      <w:adjustRightInd w:val="0"/>
      <w:spacing w:before="0" w:after="0" w:line="360" w:lineRule="auto"/>
      <w:jc w:val="left"/>
      <w:textAlignment w:val="baseline"/>
    </w:pPr>
    <w:rPr>
      <w:rFonts w:ascii="Times New Roman" w:hAnsi="Times New Roman"/>
      <w:kern w:val="0"/>
      <w:szCs w:val="28"/>
    </w:rPr>
  </w:style>
  <w:style w:type="paragraph" w:customStyle="1" w:styleId="107">
    <w:name w:val="cjk2"/>
    <w:basedOn w:val="1"/>
    <w:qFormat/>
    <w:uiPriority w:val="0"/>
    <w:pPr>
      <w:widowControl/>
      <w:spacing w:before="284" w:line="360" w:lineRule="auto"/>
      <w:jc w:val="left"/>
    </w:pPr>
    <w:rPr>
      <w:rFonts w:ascii="宋体" w:hAnsi="宋体"/>
      <w:kern w:val="0"/>
      <w:sz w:val="22"/>
      <w:szCs w:val="22"/>
    </w:rPr>
  </w:style>
  <w:style w:type="paragraph" w:customStyle="1" w:styleId="10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character" w:customStyle="1" w:styleId="109">
    <w:name w:val="尾注文本 Char"/>
    <w:basedOn w:val="48"/>
    <w:qFormat/>
    <w:uiPriority w:val="0"/>
    <w:rPr>
      <w:lang w:val="zh-CN" w:eastAsia="zh-CN"/>
    </w:rPr>
  </w:style>
  <w:style w:type="character" w:customStyle="1" w:styleId="110">
    <w:name w:val="批注文字 字符"/>
    <w:qFormat/>
    <w:uiPriority w:val="0"/>
    <w:rPr>
      <w:rFonts w:ascii="Calibri" w:hAnsi="Calibri" w:eastAsia="宋体" w:cs="Times New Roman"/>
    </w:rPr>
  </w:style>
  <w:style w:type="character" w:customStyle="1" w:styleId="111">
    <w:name w:val="正文文本 Char1"/>
    <w:qFormat/>
    <w:uiPriority w:val="0"/>
    <w:rPr>
      <w:kern w:val="2"/>
      <w:sz w:val="21"/>
      <w:szCs w:val="24"/>
    </w:rPr>
  </w:style>
  <w:style w:type="paragraph" w:customStyle="1" w:styleId="112">
    <w:name w:val="xl3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textAlignment w:val="top"/>
    </w:pPr>
    <w:rPr>
      <w:rFonts w:hint="eastAsia" w:ascii="宋体" w:hAnsi="宋体" w:cs="Arial Unicode MS"/>
      <w:kern w:val="0"/>
      <w:sz w:val="22"/>
      <w:szCs w:val="22"/>
      <w:lang w:eastAsia="en-US"/>
    </w:rPr>
  </w:style>
  <w:style w:type="paragraph" w:customStyle="1" w:styleId="113">
    <w:name w:val="文提1"/>
    <w:basedOn w:val="95"/>
    <w:qFormat/>
    <w:uiPriority w:val="0"/>
    <w:pPr>
      <w:ind w:firstLine="0" w:firstLineChars="0"/>
    </w:pPr>
    <w:rPr>
      <w:rFonts w:eastAsia="黑体" w:cs="宋体"/>
      <w:b/>
    </w:rPr>
  </w:style>
  <w:style w:type="paragraph" w:customStyle="1" w:styleId="114">
    <w:name w:val="cjk11"/>
    <w:basedOn w:val="1"/>
    <w:qFormat/>
    <w:uiPriority w:val="0"/>
    <w:pPr>
      <w:widowControl/>
      <w:spacing w:before="284" w:line="360" w:lineRule="auto"/>
      <w:jc w:val="left"/>
    </w:pPr>
    <w:rPr>
      <w:rFonts w:ascii="宋体" w:hAnsi="宋体"/>
      <w:kern w:val="0"/>
      <w:sz w:val="22"/>
      <w:szCs w:val="22"/>
    </w:rPr>
  </w:style>
  <w:style w:type="paragraph" w:customStyle="1" w:styleId="115">
    <w:name w:val="默认段落字体 Para Char Char Char Char"/>
    <w:basedOn w:val="1"/>
    <w:qFormat/>
    <w:uiPriority w:val="0"/>
    <w:rPr>
      <w:szCs w:val="24"/>
    </w:rPr>
  </w:style>
  <w:style w:type="paragraph" w:customStyle="1" w:styleId="116">
    <w:name w:val="4 Char"/>
    <w:basedOn w:val="1"/>
    <w:qFormat/>
    <w:uiPriority w:val="0"/>
    <w:rPr>
      <w:sz w:val="30"/>
      <w:szCs w:val="24"/>
    </w:rPr>
  </w:style>
  <w:style w:type="paragraph" w:customStyle="1" w:styleId="117">
    <w:name w:val="章节一1"/>
    <w:basedOn w:val="1"/>
    <w:next w:val="1"/>
    <w:qFormat/>
    <w:uiPriority w:val="0"/>
    <w:pPr>
      <w:topLinePunct/>
      <w:adjustRightInd w:val="0"/>
      <w:snapToGrid w:val="0"/>
      <w:spacing w:beforeLines="50" w:afterLines="50"/>
      <w:jc w:val="center"/>
      <w:outlineLvl w:val="0"/>
    </w:pPr>
    <w:rPr>
      <w:rFonts w:eastAsia="黑体"/>
      <w:b/>
      <w:snapToGrid w:val="0"/>
      <w:spacing w:val="4"/>
      <w:kern w:val="0"/>
      <w:sz w:val="36"/>
      <w:szCs w:val="36"/>
    </w:rPr>
  </w:style>
  <w:style w:type="paragraph" w:customStyle="1" w:styleId="118">
    <w:name w:val="公文抬头"/>
    <w:basedOn w:val="9"/>
    <w:qFormat/>
    <w:uiPriority w:val="0"/>
    <w:pPr>
      <w:ind w:firstLine="0"/>
    </w:pPr>
    <w:rPr>
      <w:rFonts w:ascii="仿宋_GB2312" w:eastAsia="仿宋_GB2312"/>
      <w:sz w:val="30"/>
      <w:szCs w:val="24"/>
    </w:rPr>
  </w:style>
  <w:style w:type="paragraph" w:customStyle="1" w:styleId="119">
    <w:name w:val="xl40"/>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hint="eastAsia" w:ascii="宋体" w:hAnsi="宋体" w:cs="Arial Unicode MS"/>
      <w:kern w:val="0"/>
      <w:sz w:val="22"/>
      <w:szCs w:val="22"/>
      <w:lang w:eastAsia="en-US"/>
    </w:rPr>
  </w:style>
  <w:style w:type="paragraph" w:customStyle="1" w:styleId="120">
    <w:name w:val="Char Char Char Char"/>
    <w:basedOn w:val="1"/>
    <w:qFormat/>
    <w:uiPriority w:val="0"/>
    <w:rPr>
      <w:sz w:val="30"/>
      <w:szCs w:val="24"/>
    </w:rPr>
  </w:style>
  <w:style w:type="character" w:customStyle="1" w:styleId="121">
    <w:name w:val="正文文本 2 Char"/>
    <w:qFormat/>
    <w:uiPriority w:val="0"/>
    <w:rPr>
      <w:rFonts w:ascii="宋体" w:hAnsi="宋体"/>
      <w:kern w:val="2"/>
      <w:sz w:val="21"/>
      <w:szCs w:val="24"/>
      <w:u w:val="single"/>
    </w:rPr>
  </w:style>
  <w:style w:type="character" w:customStyle="1" w:styleId="122">
    <w:name w:val="正文首行缩进 Char"/>
    <w:basedOn w:val="48"/>
    <w:link w:val="5"/>
    <w:qFormat/>
    <w:uiPriority w:val="0"/>
    <w:rPr>
      <w:rFonts w:eastAsia="宋体"/>
      <w:kern w:val="2"/>
      <w:sz w:val="21"/>
      <w:lang w:val="en-US" w:eastAsia="zh-CN" w:bidi="ar-SA"/>
    </w:rPr>
  </w:style>
  <w:style w:type="paragraph" w:customStyle="1" w:styleId="123">
    <w:name w:val="xl48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textAlignment w:val="center"/>
    </w:pPr>
    <w:rPr>
      <w:rFonts w:ascii="Arial" w:hAnsi="Arial" w:eastAsia="Arial Unicode MS" w:cs="Arial"/>
      <w:kern w:val="0"/>
      <w:sz w:val="24"/>
      <w:szCs w:val="24"/>
      <w:lang w:eastAsia="en-US"/>
    </w:rPr>
  </w:style>
  <w:style w:type="paragraph" w:customStyle="1" w:styleId="124">
    <w:name w:val="xl421"/>
    <w:basedOn w:val="1"/>
    <w:qFormat/>
    <w:uiPriority w:val="0"/>
    <w:pPr>
      <w:widowControl/>
      <w:pBdr>
        <w:left w:val="single" w:color="000000" w:sz="8" w:space="0"/>
        <w:right w:val="single" w:color="000000" w:sz="8" w:space="0"/>
      </w:pBdr>
      <w:spacing w:before="100" w:beforeAutospacing="1" w:after="100" w:afterAutospacing="1"/>
      <w:jc w:val="left"/>
      <w:textAlignment w:val="top"/>
    </w:pPr>
    <w:rPr>
      <w:rFonts w:hint="eastAsia" w:ascii="宋体" w:hAnsi="宋体" w:cs="Arial Unicode MS"/>
      <w:kern w:val="0"/>
      <w:sz w:val="22"/>
      <w:szCs w:val="22"/>
      <w:lang w:eastAsia="en-US"/>
    </w:rPr>
  </w:style>
  <w:style w:type="paragraph" w:customStyle="1" w:styleId="125">
    <w:name w:val="封一"/>
    <w:basedOn w:val="62"/>
    <w:next w:val="62"/>
    <w:qFormat/>
    <w:uiPriority w:val="0"/>
    <w:pPr>
      <w:ind w:firstLine="0" w:firstLineChars="0"/>
      <w:jc w:val="center"/>
    </w:pPr>
    <w:rPr>
      <w:rFonts w:eastAsia="黑体"/>
      <w:b/>
      <w:sz w:val="84"/>
      <w:szCs w:val="84"/>
    </w:rPr>
  </w:style>
  <w:style w:type="paragraph" w:customStyle="1" w:styleId="126">
    <w:name w:val="文档结构图11"/>
    <w:basedOn w:val="1"/>
    <w:qFormat/>
    <w:uiPriority w:val="0"/>
    <w:rPr>
      <w:rFonts w:ascii="宋体"/>
      <w:sz w:val="18"/>
      <w:szCs w:val="18"/>
    </w:rPr>
  </w:style>
  <w:style w:type="character" w:customStyle="1" w:styleId="127">
    <w:name w:val="日期 字符"/>
    <w:semiHidden/>
    <w:qFormat/>
    <w:uiPriority w:val="99"/>
    <w:rPr>
      <w:rFonts w:ascii="Calibri" w:hAnsi="Calibri" w:eastAsia="宋体" w:cs="Times New Roman"/>
    </w:rPr>
  </w:style>
  <w:style w:type="paragraph" w:customStyle="1" w:styleId="128">
    <w:name w:val="Char Char Char1 Char"/>
    <w:basedOn w:val="18"/>
    <w:qFormat/>
    <w:uiPriority w:val="0"/>
    <w:rPr>
      <w:rFonts w:ascii="Tahoma" w:hAnsi="Tahoma"/>
      <w:sz w:val="24"/>
      <w:szCs w:val="24"/>
    </w:rPr>
  </w:style>
  <w:style w:type="paragraph" w:customStyle="1" w:styleId="129">
    <w:name w:val="xl4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lang w:eastAsia="en-US"/>
    </w:rPr>
  </w:style>
  <w:style w:type="paragraph" w:customStyle="1" w:styleId="130">
    <w:name w:val="4 Char1"/>
    <w:basedOn w:val="1"/>
    <w:qFormat/>
    <w:uiPriority w:val="0"/>
    <w:rPr>
      <w:sz w:val="30"/>
      <w:szCs w:val="24"/>
    </w:rPr>
  </w:style>
  <w:style w:type="paragraph" w:customStyle="1" w:styleId="131">
    <w:name w:val="列出段落1"/>
    <w:basedOn w:val="1"/>
    <w:qFormat/>
    <w:uiPriority w:val="0"/>
    <w:pPr>
      <w:ind w:firstLine="420" w:firstLineChars="200"/>
    </w:pPr>
    <w:rPr>
      <w:rFonts w:ascii="Calibri" w:hAnsi="Calibri" w:cs="Calibri"/>
      <w:szCs w:val="21"/>
    </w:rPr>
  </w:style>
  <w:style w:type="paragraph" w:customStyle="1" w:styleId="132">
    <w:name w:val="xl77"/>
    <w:basedOn w:val="1"/>
    <w:qFormat/>
    <w:uiPriority w:val="0"/>
    <w:pPr>
      <w:widowControl/>
      <w:pBdr>
        <w:top w:val="single" w:color="FF0000" w:sz="4" w:space="0"/>
        <w:left w:val="single" w:color="FF0000" w:sz="4" w:space="0"/>
        <w:bottom w:val="single" w:color="FF0000" w:sz="4" w:space="0"/>
        <w:right w:val="single" w:color="FF0000" w:sz="4" w:space="0"/>
      </w:pBdr>
      <w:spacing w:before="100" w:beforeAutospacing="1" w:after="100" w:afterAutospacing="1"/>
      <w:jc w:val="left"/>
    </w:pPr>
    <w:rPr>
      <w:rFonts w:ascii="宋体" w:hAnsi="宋体" w:cs="宋体"/>
      <w:kern w:val="0"/>
      <w:sz w:val="24"/>
      <w:szCs w:val="24"/>
    </w:rPr>
  </w:style>
  <w:style w:type="character" w:customStyle="1" w:styleId="133">
    <w:name w:val="标题 1 字符"/>
    <w:qFormat/>
    <w:uiPriority w:val="9"/>
    <w:rPr>
      <w:rFonts w:ascii="Calibri" w:hAnsi="Calibri" w:eastAsia="宋体" w:cs="Times New Roman"/>
      <w:b/>
      <w:bCs/>
      <w:kern w:val="44"/>
      <w:sz w:val="44"/>
      <w:szCs w:val="44"/>
    </w:rPr>
  </w:style>
  <w:style w:type="character" w:customStyle="1" w:styleId="134">
    <w:name w:val="标题 2 Char1"/>
    <w:link w:val="7"/>
    <w:qFormat/>
    <w:uiPriority w:val="0"/>
    <w:rPr>
      <w:rFonts w:ascii="宋体" w:hAnsi="宋体"/>
      <w:b/>
      <w:color w:val="000000"/>
      <w:kern w:val="2"/>
      <w:sz w:val="24"/>
      <w:szCs w:val="24"/>
    </w:rPr>
  </w:style>
  <w:style w:type="paragraph" w:customStyle="1" w:styleId="1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6">
    <w:name w:val="xl2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hint="eastAsia" w:ascii="宋体" w:hAnsi="宋体" w:cs="Arial Unicode MS"/>
      <w:kern w:val="0"/>
      <w:sz w:val="22"/>
      <w:szCs w:val="22"/>
      <w:lang w:eastAsia="en-US"/>
    </w:rPr>
  </w:style>
  <w:style w:type="paragraph" w:customStyle="1" w:styleId="137">
    <w:name w:val="xl57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customStyle="1" w:styleId="138">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24"/>
      <w:szCs w:val="24"/>
      <w:lang w:eastAsia="en-US"/>
    </w:rPr>
  </w:style>
  <w:style w:type="paragraph" w:customStyle="1" w:styleId="139">
    <w:name w:val="xl4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hint="eastAsia" w:ascii="宋体" w:hAnsi="宋体" w:cs="Arial Unicode MS"/>
      <w:kern w:val="0"/>
      <w:sz w:val="22"/>
      <w:szCs w:val="22"/>
      <w:lang w:eastAsia="en-US"/>
    </w:rPr>
  </w:style>
  <w:style w:type="paragraph" w:customStyle="1" w:styleId="140">
    <w:name w:val="xl31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textAlignment w:val="top"/>
    </w:pPr>
    <w:rPr>
      <w:rFonts w:hint="eastAsia" w:ascii="宋体" w:hAnsi="宋体" w:cs="Arial Unicode MS"/>
      <w:kern w:val="0"/>
      <w:sz w:val="22"/>
      <w:szCs w:val="22"/>
      <w:lang w:eastAsia="en-US"/>
    </w:rPr>
  </w:style>
  <w:style w:type="paragraph" w:customStyle="1" w:styleId="141">
    <w:name w:val="xl5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customStyle="1" w:styleId="1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customStyle="1" w:styleId="143">
    <w:name w:val="修订2"/>
    <w:unhideWhenUsed/>
    <w:qFormat/>
    <w:uiPriority w:val="99"/>
    <w:rPr>
      <w:rFonts w:ascii="Calibri" w:hAnsi="Calibri" w:eastAsia="宋体" w:cs="Times New Roman"/>
      <w:kern w:val="2"/>
      <w:sz w:val="21"/>
      <w:lang w:val="en-US" w:eastAsia="zh-CN" w:bidi="ar-SA"/>
    </w:rPr>
  </w:style>
  <w:style w:type="paragraph" w:customStyle="1" w:styleId="144">
    <w:name w:val="xl351"/>
    <w:basedOn w:val="1"/>
    <w:qFormat/>
    <w:uiPriority w:val="0"/>
    <w:pPr>
      <w:widowControl/>
      <w:pBdr>
        <w:top w:val="single" w:color="000000" w:sz="8" w:space="0"/>
        <w:left w:val="single" w:color="000000" w:sz="8"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22"/>
      <w:szCs w:val="22"/>
      <w:lang w:eastAsia="en-US"/>
    </w:rPr>
  </w:style>
  <w:style w:type="paragraph" w:customStyle="1" w:styleId="145">
    <w:name w:val="xl5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character" w:customStyle="1" w:styleId="146">
    <w:name w:val="标题 4 Char"/>
    <w:qFormat/>
    <w:uiPriority w:val="0"/>
    <w:rPr>
      <w:rFonts w:ascii="Arial" w:hAnsi="Arial"/>
      <w:b/>
      <w:kern w:val="2"/>
      <w:sz w:val="24"/>
      <w:szCs w:val="24"/>
    </w:rPr>
  </w:style>
  <w:style w:type="character" w:customStyle="1" w:styleId="147">
    <w:name w:val="标题 1 Char1"/>
    <w:basedOn w:val="148"/>
    <w:qFormat/>
    <w:uiPriority w:val="0"/>
    <w:rPr>
      <w:rFonts w:ascii="Arial" w:hAnsi="Arial" w:eastAsia="宋体"/>
      <w:bCs/>
      <w:kern w:val="44"/>
      <w:sz w:val="36"/>
      <w:szCs w:val="36"/>
      <w:lang w:val="en-US" w:eastAsia="zh-CN" w:bidi="ar-SA"/>
    </w:rPr>
  </w:style>
  <w:style w:type="character" w:customStyle="1" w:styleId="148">
    <w:name w:val="标题 Char1"/>
    <w:basedOn w:val="48"/>
    <w:link w:val="4"/>
    <w:qFormat/>
    <w:uiPriority w:val="0"/>
    <w:rPr>
      <w:rFonts w:ascii="Arial" w:hAnsi="Arial" w:eastAsia="宋体"/>
      <w:b/>
      <w:kern w:val="2"/>
      <w:sz w:val="44"/>
      <w:lang w:val="en-US" w:eastAsia="zh-CN" w:bidi="ar-SA"/>
    </w:rPr>
  </w:style>
  <w:style w:type="paragraph" w:customStyle="1" w:styleId="149">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eastAsia="Arial Unicode MS"/>
      <w:kern w:val="0"/>
      <w:szCs w:val="21"/>
      <w:lang w:eastAsia="en-US"/>
    </w:rPr>
  </w:style>
  <w:style w:type="character" w:customStyle="1" w:styleId="150">
    <w:name w:val="文一 Char Char"/>
    <w:qFormat/>
    <w:locked/>
    <w:uiPriority w:val="0"/>
    <w:rPr>
      <w:rFonts w:eastAsia="Times New Roman"/>
      <w:snapToGrid w:val="0"/>
      <w:spacing w:val="4"/>
      <w:sz w:val="24"/>
      <w:lang w:val="en-US" w:eastAsia="zh-CN"/>
    </w:rPr>
  </w:style>
  <w:style w:type="paragraph" w:customStyle="1" w:styleId="15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customStyle="1" w:styleId="152">
    <w:name w:val="cjk21"/>
    <w:basedOn w:val="1"/>
    <w:qFormat/>
    <w:uiPriority w:val="0"/>
    <w:pPr>
      <w:widowControl/>
      <w:spacing w:before="284" w:line="360" w:lineRule="auto"/>
      <w:jc w:val="left"/>
    </w:pPr>
    <w:rPr>
      <w:rFonts w:ascii="宋体" w:hAnsi="宋体"/>
      <w:kern w:val="0"/>
      <w:sz w:val="22"/>
      <w:szCs w:val="22"/>
    </w:rPr>
  </w:style>
  <w:style w:type="character" w:customStyle="1" w:styleId="153">
    <w:name w:val="正文文本 Char"/>
    <w:qFormat/>
    <w:uiPriority w:val="0"/>
    <w:rPr>
      <w:kern w:val="2"/>
      <w:sz w:val="21"/>
    </w:rPr>
  </w:style>
  <w:style w:type="paragraph" w:customStyle="1" w:styleId="154">
    <w:name w:val="Char Char Char Char Char Char Char Char Char1"/>
    <w:basedOn w:val="1"/>
    <w:qFormat/>
    <w:uiPriority w:val="0"/>
    <w:rPr>
      <w:sz w:val="28"/>
      <w:szCs w:val="24"/>
    </w:rPr>
  </w:style>
  <w:style w:type="character" w:customStyle="1" w:styleId="155">
    <w:name w:val="正文文本缩进 3 Char"/>
    <w:link w:val="38"/>
    <w:qFormat/>
    <w:uiPriority w:val="0"/>
    <w:rPr>
      <w:color w:val="000000"/>
      <w:kern w:val="2"/>
      <w:sz w:val="24"/>
    </w:rPr>
  </w:style>
  <w:style w:type="paragraph" w:customStyle="1" w:styleId="156">
    <w:name w:val="xl2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24"/>
      <w:szCs w:val="24"/>
      <w:lang w:eastAsia="en-US"/>
    </w:rPr>
  </w:style>
  <w:style w:type="paragraph" w:customStyle="1" w:styleId="157">
    <w:name w:val="默认段落字体 Para Char"/>
    <w:basedOn w:val="1"/>
    <w:qFormat/>
    <w:uiPriority w:val="0"/>
    <w:rPr>
      <w:sz w:val="30"/>
      <w:szCs w:val="24"/>
    </w:rPr>
  </w:style>
  <w:style w:type="paragraph" w:customStyle="1" w:styleId="158">
    <w:name w:val="font5"/>
    <w:basedOn w:val="1"/>
    <w:qFormat/>
    <w:uiPriority w:val="0"/>
    <w:pPr>
      <w:widowControl/>
      <w:spacing w:before="100" w:beforeAutospacing="1" w:after="100" w:afterAutospacing="1"/>
      <w:jc w:val="left"/>
    </w:pPr>
    <w:rPr>
      <w:rFonts w:hint="eastAsia" w:ascii="宋体" w:hAnsi="宋体" w:cs="Arial Unicode MS"/>
      <w:kern w:val="0"/>
      <w:sz w:val="18"/>
      <w:szCs w:val="18"/>
      <w:lang w:eastAsia="en-US"/>
    </w:rPr>
  </w:style>
  <w:style w:type="paragraph" w:customStyle="1" w:styleId="159">
    <w:name w:val="Char Char1 Char"/>
    <w:basedOn w:val="1"/>
    <w:qFormat/>
    <w:uiPriority w:val="0"/>
    <w:pPr>
      <w:tabs>
        <w:tab w:val="left" w:pos="1080"/>
      </w:tabs>
      <w:ind w:left="1080" w:hanging="1080"/>
    </w:pPr>
    <w:rPr>
      <w:sz w:val="24"/>
      <w:szCs w:val="24"/>
    </w:rPr>
  </w:style>
  <w:style w:type="paragraph" w:customStyle="1" w:styleId="160">
    <w:name w:val="样式 标题 6 + 行距: 1.5 倍行距1"/>
    <w:basedOn w:val="12"/>
    <w:qFormat/>
    <w:uiPriority w:val="0"/>
    <w:pPr>
      <w:numPr>
        <w:ilvl w:val="0"/>
        <w:numId w:val="0"/>
      </w:numPr>
      <w:adjustRightInd w:val="0"/>
      <w:spacing w:before="0" w:after="0" w:line="360" w:lineRule="auto"/>
      <w:jc w:val="left"/>
      <w:textAlignment w:val="baseline"/>
    </w:pPr>
    <w:rPr>
      <w:rFonts w:ascii="Times New Roman" w:hAnsi="Times New Roman"/>
      <w:kern w:val="0"/>
      <w:szCs w:val="28"/>
    </w:rPr>
  </w:style>
  <w:style w:type="paragraph" w:customStyle="1" w:styleId="161">
    <w:name w:val="1"/>
    <w:basedOn w:val="1"/>
    <w:next w:val="9"/>
    <w:qFormat/>
    <w:uiPriority w:val="0"/>
    <w:pPr>
      <w:ind w:firstLine="420"/>
    </w:pPr>
  </w:style>
  <w:style w:type="paragraph" w:customStyle="1" w:styleId="162">
    <w:name w:val="xl7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宋体"/>
      <w:kern w:val="0"/>
      <w:sz w:val="24"/>
      <w:szCs w:val="24"/>
    </w:rPr>
  </w:style>
  <w:style w:type="paragraph" w:customStyle="1" w:styleId="163">
    <w:name w:val="xl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22"/>
      <w:szCs w:val="22"/>
      <w:lang w:eastAsia="en-US"/>
    </w:rPr>
  </w:style>
  <w:style w:type="character" w:customStyle="1" w:styleId="164">
    <w:name w:val="标题 1 字符1"/>
    <w:qFormat/>
    <w:uiPriority w:val="9"/>
    <w:rPr>
      <w:rFonts w:ascii="Calibri" w:hAnsi="Calibri" w:eastAsia="宋体" w:cs="Times New Roman"/>
      <w:b/>
      <w:bCs/>
      <w:kern w:val="44"/>
      <w:sz w:val="44"/>
      <w:szCs w:val="44"/>
    </w:rPr>
  </w:style>
  <w:style w:type="paragraph" w:customStyle="1" w:styleId="16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4"/>
      <w:szCs w:val="24"/>
    </w:rPr>
  </w:style>
  <w:style w:type="paragraph" w:customStyle="1" w:styleId="166">
    <w:name w:val="样式 标题 5 + 小四 行距: 1.5 倍行距"/>
    <w:basedOn w:val="11"/>
    <w:qFormat/>
    <w:uiPriority w:val="0"/>
    <w:pPr>
      <w:numPr>
        <w:ilvl w:val="0"/>
        <w:numId w:val="0"/>
      </w:numPr>
      <w:adjustRightInd w:val="0"/>
      <w:spacing w:line="360" w:lineRule="auto"/>
      <w:jc w:val="left"/>
      <w:textAlignment w:val="baseline"/>
    </w:pPr>
    <w:rPr>
      <w:rFonts w:ascii="Times New Roman" w:hAnsi="Times New Roman" w:eastAsia="黑体"/>
      <w:bCs/>
      <w:color w:val="000000"/>
      <w:kern w:val="0"/>
      <w:szCs w:val="28"/>
    </w:rPr>
  </w:style>
  <w:style w:type="character" w:customStyle="1" w:styleId="167">
    <w:name w:val="Char Char Char"/>
    <w:basedOn w:val="48"/>
    <w:qFormat/>
    <w:uiPriority w:val="0"/>
    <w:rPr>
      <w:rFonts w:ascii="Arial" w:hAnsi="Arial" w:eastAsia="黑体"/>
      <w:b/>
      <w:bCs/>
      <w:kern w:val="2"/>
      <w:sz w:val="32"/>
      <w:szCs w:val="32"/>
      <w:lang w:val="en-US" w:eastAsia="zh-CN" w:bidi="ar-SA"/>
    </w:rPr>
  </w:style>
  <w:style w:type="paragraph" w:customStyle="1" w:styleId="168">
    <w:name w:val="表头"/>
    <w:basedOn w:val="1"/>
    <w:qFormat/>
    <w:uiPriority w:val="0"/>
    <w:pPr>
      <w:spacing w:line="360" w:lineRule="auto"/>
      <w:jc w:val="center"/>
    </w:pPr>
    <w:rPr>
      <w:rFonts w:ascii="黑体" w:eastAsia="黑体"/>
      <w:kern w:val="0"/>
      <w:sz w:val="24"/>
    </w:rPr>
  </w:style>
  <w:style w:type="paragraph" w:customStyle="1" w:styleId="169">
    <w:name w:val="xl4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kern w:val="0"/>
      <w:szCs w:val="21"/>
      <w:lang w:eastAsia="en-US"/>
    </w:rPr>
  </w:style>
  <w:style w:type="paragraph" w:customStyle="1" w:styleId="170">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17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172">
    <w:name w:val="正文文本缩进 3 Char1"/>
    <w:qFormat/>
    <w:uiPriority w:val="0"/>
    <w:rPr>
      <w:color w:val="000000"/>
      <w:kern w:val="2"/>
      <w:sz w:val="24"/>
    </w:rPr>
  </w:style>
  <w:style w:type="paragraph" w:customStyle="1" w:styleId="173">
    <w:name w:val="Char1"/>
    <w:basedOn w:val="1"/>
    <w:qFormat/>
    <w:uiPriority w:val="0"/>
    <w:pPr>
      <w:ind w:left="567" w:hanging="279"/>
    </w:pPr>
    <w:rPr>
      <w:sz w:val="24"/>
      <w:szCs w:val="24"/>
    </w:rPr>
  </w:style>
  <w:style w:type="paragraph" w:customStyle="1" w:styleId="174">
    <w:name w:val="列出段落2"/>
    <w:basedOn w:val="1"/>
    <w:qFormat/>
    <w:uiPriority w:val="0"/>
    <w:pPr>
      <w:ind w:firstLine="420" w:firstLineChars="200"/>
    </w:pPr>
    <w:rPr>
      <w:rFonts w:ascii="Calibri" w:hAnsi="Calibri"/>
      <w:szCs w:val="22"/>
    </w:rPr>
  </w:style>
  <w:style w:type="paragraph" w:customStyle="1" w:styleId="175">
    <w:name w:val="xl4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textAlignment w:val="top"/>
    </w:pPr>
    <w:rPr>
      <w:rFonts w:hint="eastAsia" w:ascii="宋体" w:hAnsi="宋体" w:cs="Arial Unicode MS"/>
      <w:kern w:val="0"/>
      <w:sz w:val="22"/>
      <w:szCs w:val="22"/>
      <w:lang w:eastAsia="en-US"/>
    </w:rPr>
  </w:style>
  <w:style w:type="paragraph" w:customStyle="1" w:styleId="176">
    <w:name w:val="cjk"/>
    <w:basedOn w:val="1"/>
    <w:qFormat/>
    <w:uiPriority w:val="0"/>
    <w:pPr>
      <w:widowControl/>
      <w:spacing w:before="284" w:after="100" w:afterAutospacing="1" w:line="360" w:lineRule="auto"/>
      <w:jc w:val="left"/>
    </w:pPr>
    <w:rPr>
      <w:rFonts w:ascii="宋体" w:hAnsi="宋体" w:cs="宋体"/>
      <w:kern w:val="0"/>
      <w:sz w:val="22"/>
      <w:szCs w:val="22"/>
    </w:rPr>
  </w:style>
  <w:style w:type="paragraph" w:customStyle="1" w:styleId="17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8">
    <w:name w:val="font7"/>
    <w:basedOn w:val="1"/>
    <w:qFormat/>
    <w:uiPriority w:val="0"/>
    <w:pPr>
      <w:widowControl/>
      <w:spacing w:before="100" w:beforeAutospacing="1" w:after="100" w:afterAutospacing="1"/>
      <w:jc w:val="left"/>
    </w:pPr>
    <w:rPr>
      <w:rFonts w:hint="eastAsia" w:ascii="宋体" w:hAnsi="宋体" w:cs="Arial Unicode MS"/>
      <w:kern w:val="0"/>
      <w:sz w:val="22"/>
      <w:szCs w:val="22"/>
      <w:lang w:eastAsia="en-US"/>
    </w:rPr>
  </w:style>
  <w:style w:type="paragraph" w:customStyle="1" w:styleId="179">
    <w:name w:val="xl401"/>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hint="eastAsia" w:ascii="宋体" w:hAnsi="宋体" w:cs="Arial Unicode MS"/>
      <w:kern w:val="0"/>
      <w:sz w:val="22"/>
      <w:szCs w:val="22"/>
      <w:lang w:eastAsia="en-US"/>
    </w:rPr>
  </w:style>
  <w:style w:type="paragraph" w:customStyle="1" w:styleId="180">
    <w:name w:val="xl37"/>
    <w:basedOn w:val="1"/>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22"/>
      <w:szCs w:val="22"/>
      <w:lang w:eastAsia="en-US"/>
    </w:rPr>
  </w:style>
  <w:style w:type="character" w:customStyle="1" w:styleId="181">
    <w:name w:val="标题 6 Char"/>
    <w:link w:val="12"/>
    <w:qFormat/>
    <w:uiPriority w:val="0"/>
    <w:rPr>
      <w:rFonts w:ascii="Arial" w:hAnsi="Arial" w:eastAsia="黑体"/>
      <w:b/>
      <w:bCs/>
      <w:kern w:val="2"/>
      <w:sz w:val="24"/>
      <w:szCs w:val="24"/>
    </w:rPr>
  </w:style>
  <w:style w:type="paragraph" w:customStyle="1" w:styleId="182">
    <w:name w:val="封一1"/>
    <w:basedOn w:val="95"/>
    <w:next w:val="95"/>
    <w:qFormat/>
    <w:uiPriority w:val="0"/>
    <w:pPr>
      <w:ind w:firstLine="0" w:firstLineChars="0"/>
      <w:jc w:val="center"/>
    </w:pPr>
    <w:rPr>
      <w:rFonts w:eastAsia="黑体"/>
      <w:b/>
      <w:sz w:val="84"/>
      <w:szCs w:val="84"/>
    </w:rPr>
  </w:style>
  <w:style w:type="paragraph" w:customStyle="1" w:styleId="183">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2"/>
      <w:szCs w:val="22"/>
      <w:lang w:eastAsia="en-US"/>
    </w:rPr>
  </w:style>
  <w:style w:type="paragraph" w:customStyle="1" w:styleId="184">
    <w:name w:val="xl771"/>
    <w:basedOn w:val="1"/>
    <w:qFormat/>
    <w:uiPriority w:val="0"/>
    <w:pPr>
      <w:widowControl/>
      <w:pBdr>
        <w:top w:val="single" w:color="FF0000" w:sz="4" w:space="0"/>
        <w:left w:val="single" w:color="FF0000" w:sz="4" w:space="0"/>
        <w:bottom w:val="single" w:color="FF0000" w:sz="4" w:space="0"/>
        <w:right w:val="single" w:color="FF0000" w:sz="4" w:space="0"/>
      </w:pBdr>
      <w:spacing w:before="100" w:beforeAutospacing="1" w:after="100" w:afterAutospacing="1"/>
      <w:jc w:val="left"/>
    </w:pPr>
    <w:rPr>
      <w:rFonts w:ascii="宋体" w:hAnsi="宋体" w:cs="宋体"/>
      <w:kern w:val="0"/>
      <w:sz w:val="24"/>
      <w:szCs w:val="24"/>
    </w:rPr>
  </w:style>
  <w:style w:type="paragraph" w:customStyle="1" w:styleId="185">
    <w:name w:val="xl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0"/>
      <w:lang w:eastAsia="en-US"/>
    </w:rPr>
  </w:style>
  <w:style w:type="paragraph" w:customStyle="1" w:styleId="186">
    <w:name w:val="默认段落字体 Para Char Char Char Char1"/>
    <w:basedOn w:val="1"/>
    <w:qFormat/>
    <w:uiPriority w:val="0"/>
    <w:rPr>
      <w:szCs w:val="24"/>
    </w:rPr>
  </w:style>
  <w:style w:type="paragraph" w:customStyle="1" w:styleId="187">
    <w:name w:val="公文抬头1"/>
    <w:basedOn w:val="9"/>
    <w:qFormat/>
    <w:uiPriority w:val="0"/>
    <w:pPr>
      <w:ind w:firstLine="0"/>
    </w:pPr>
    <w:rPr>
      <w:rFonts w:ascii="仿宋_GB2312" w:eastAsia="仿宋_GB2312"/>
      <w:sz w:val="30"/>
      <w:szCs w:val="24"/>
    </w:rPr>
  </w:style>
  <w:style w:type="character" w:customStyle="1" w:styleId="188">
    <w:name w:val="批注文字 Char"/>
    <w:basedOn w:val="48"/>
    <w:qFormat/>
    <w:uiPriority w:val="0"/>
    <w:rPr>
      <w:kern w:val="2"/>
      <w:sz w:val="21"/>
    </w:rPr>
  </w:style>
  <w:style w:type="character" w:customStyle="1" w:styleId="189">
    <w:name w:val="Char Char Char1"/>
    <w:basedOn w:val="48"/>
    <w:qFormat/>
    <w:uiPriority w:val="0"/>
    <w:rPr>
      <w:rFonts w:ascii="Arial" w:hAnsi="Arial" w:eastAsia="黑体"/>
      <w:b/>
      <w:bCs/>
      <w:kern w:val="2"/>
      <w:sz w:val="32"/>
      <w:szCs w:val="32"/>
      <w:lang w:val="en-US" w:eastAsia="zh-CN" w:bidi="ar-SA"/>
    </w:rPr>
  </w:style>
  <w:style w:type="paragraph" w:customStyle="1" w:styleId="190">
    <w:name w:val="xl30"/>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left"/>
      <w:textAlignment w:val="top"/>
    </w:pPr>
    <w:rPr>
      <w:rFonts w:hint="eastAsia" w:ascii="宋体" w:hAnsi="宋体" w:cs="Arial Unicode MS"/>
      <w:kern w:val="0"/>
      <w:sz w:val="22"/>
      <w:szCs w:val="22"/>
      <w:lang w:eastAsia="en-US"/>
    </w:rPr>
  </w:style>
  <w:style w:type="paragraph" w:customStyle="1" w:styleId="191">
    <w:name w:val="font71"/>
    <w:basedOn w:val="1"/>
    <w:qFormat/>
    <w:uiPriority w:val="0"/>
    <w:pPr>
      <w:widowControl/>
      <w:spacing w:before="100" w:beforeAutospacing="1" w:after="100" w:afterAutospacing="1"/>
      <w:jc w:val="left"/>
    </w:pPr>
    <w:rPr>
      <w:rFonts w:hint="eastAsia" w:ascii="宋体" w:hAnsi="宋体" w:cs="Arial Unicode MS"/>
      <w:kern w:val="0"/>
      <w:sz w:val="22"/>
      <w:szCs w:val="22"/>
      <w:lang w:eastAsia="en-US"/>
    </w:rPr>
  </w:style>
  <w:style w:type="character" w:customStyle="1" w:styleId="192">
    <w:name w:val="批注引用11"/>
    <w:qFormat/>
    <w:uiPriority w:val="0"/>
    <w:rPr>
      <w:sz w:val="21"/>
      <w:szCs w:val="21"/>
    </w:rPr>
  </w:style>
  <w:style w:type="paragraph" w:customStyle="1" w:styleId="193">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kern w:val="0"/>
      <w:szCs w:val="21"/>
      <w:lang w:eastAsia="en-US"/>
    </w:rPr>
  </w:style>
  <w:style w:type="character" w:customStyle="1" w:styleId="194">
    <w:name w:val="正文文本 Char2"/>
    <w:link w:val="6"/>
    <w:qFormat/>
    <w:uiPriority w:val="0"/>
    <w:rPr>
      <w:kern w:val="2"/>
      <w:sz w:val="21"/>
    </w:rPr>
  </w:style>
  <w:style w:type="paragraph" w:customStyle="1" w:styleId="195">
    <w:name w:val="修订11"/>
    <w:hidden/>
    <w:unhideWhenUsed/>
    <w:qFormat/>
    <w:uiPriority w:val="99"/>
    <w:rPr>
      <w:rFonts w:ascii="Times New Roman" w:hAnsi="Times New Roman" w:eastAsia="宋体" w:cs="Times New Roman"/>
      <w:kern w:val="2"/>
      <w:sz w:val="21"/>
      <w:lang w:val="en-US" w:eastAsia="zh-CN" w:bidi="ar-SA"/>
    </w:rPr>
  </w:style>
  <w:style w:type="paragraph" w:customStyle="1" w:styleId="196">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2"/>
      <w:szCs w:val="22"/>
      <w:lang w:eastAsia="en-US"/>
    </w:rPr>
  </w:style>
  <w:style w:type="paragraph" w:customStyle="1" w:styleId="197">
    <w:name w:val="默认段落字体 Para Char Char Char Char Char Char Char1"/>
    <w:basedOn w:val="18"/>
    <w:qFormat/>
    <w:uiPriority w:val="0"/>
    <w:pPr>
      <w:adjustRightInd w:val="0"/>
      <w:spacing w:line="436" w:lineRule="exact"/>
      <w:ind w:left="357"/>
      <w:jc w:val="left"/>
      <w:outlineLvl w:val="3"/>
    </w:pPr>
    <w:rPr>
      <w:rFonts w:ascii="Tahoma" w:hAnsi="Tahoma"/>
      <w:b/>
      <w:sz w:val="24"/>
      <w:szCs w:val="24"/>
    </w:rPr>
  </w:style>
  <w:style w:type="paragraph" w:customStyle="1" w:styleId="198">
    <w:name w:val="样式21"/>
    <w:basedOn w:val="7"/>
    <w:qFormat/>
    <w:uiPriority w:val="0"/>
    <w:pPr>
      <w:spacing w:before="260" w:after="260" w:line="416" w:lineRule="auto"/>
    </w:pPr>
    <w:rPr>
      <w:rFonts w:eastAsia="华文中宋"/>
      <w:bCs/>
      <w:color w:val="auto"/>
      <w:sz w:val="36"/>
      <w:szCs w:val="36"/>
    </w:rPr>
  </w:style>
  <w:style w:type="character" w:customStyle="1" w:styleId="199">
    <w:name w:val="页码1"/>
    <w:qFormat/>
    <w:uiPriority w:val="0"/>
  </w:style>
  <w:style w:type="paragraph" w:customStyle="1" w:styleId="200">
    <w:name w:val="xl371"/>
    <w:basedOn w:val="1"/>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22"/>
      <w:szCs w:val="22"/>
      <w:lang w:eastAsia="en-US"/>
    </w:rPr>
  </w:style>
  <w:style w:type="paragraph" w:customStyle="1" w:styleId="201">
    <w:name w:val="font9"/>
    <w:basedOn w:val="1"/>
    <w:qFormat/>
    <w:uiPriority w:val="0"/>
    <w:pPr>
      <w:widowControl/>
      <w:spacing w:before="100" w:beforeAutospacing="1" w:after="100" w:afterAutospacing="1"/>
      <w:jc w:val="left"/>
    </w:pPr>
    <w:rPr>
      <w:rFonts w:eastAsia="Arial Unicode MS"/>
      <w:kern w:val="0"/>
      <w:sz w:val="18"/>
      <w:szCs w:val="18"/>
      <w:lang w:eastAsia="en-US"/>
    </w:rPr>
  </w:style>
  <w:style w:type="paragraph" w:customStyle="1" w:styleId="202">
    <w:name w:val="xl45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0"/>
      <w:lang w:eastAsia="en-US"/>
    </w:rPr>
  </w:style>
  <w:style w:type="character" w:customStyle="1" w:styleId="203">
    <w:name w:val="日期 字符1"/>
    <w:semiHidden/>
    <w:qFormat/>
    <w:uiPriority w:val="99"/>
    <w:rPr>
      <w:rFonts w:ascii="Calibri" w:hAnsi="Calibri" w:eastAsia="宋体" w:cs="Times New Roman"/>
    </w:rPr>
  </w:style>
  <w:style w:type="character" w:customStyle="1" w:styleId="204">
    <w:name w:val="标题 7 Char"/>
    <w:link w:val="13"/>
    <w:qFormat/>
    <w:uiPriority w:val="0"/>
    <w:rPr>
      <w:b/>
      <w:kern w:val="2"/>
      <w:sz w:val="24"/>
    </w:rPr>
  </w:style>
  <w:style w:type="paragraph" w:customStyle="1" w:styleId="205">
    <w:name w:val="xl801"/>
    <w:basedOn w:val="1"/>
    <w:qFormat/>
    <w:uiPriority w:val="0"/>
    <w:pPr>
      <w:widowControl/>
      <w:pBdr>
        <w:left w:val="single" w:color="auto" w:sz="4" w:space="0"/>
      </w:pBdr>
      <w:spacing w:before="100" w:beforeAutospacing="1" w:after="100" w:afterAutospacing="1"/>
      <w:jc w:val="left"/>
    </w:pPr>
    <w:rPr>
      <w:rFonts w:ascii="宋体" w:hAnsi="宋体" w:cs="宋体"/>
      <w:kern w:val="0"/>
      <w:sz w:val="24"/>
      <w:szCs w:val="24"/>
    </w:rPr>
  </w:style>
  <w:style w:type="paragraph" w:customStyle="1" w:styleId="206">
    <w:name w:val="xl2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kern w:val="0"/>
      <w:szCs w:val="21"/>
      <w:lang w:eastAsia="en-US"/>
    </w:rPr>
  </w:style>
  <w:style w:type="paragraph" w:customStyle="1" w:styleId="207">
    <w:name w:val="xl301"/>
    <w:basedOn w:val="1"/>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left"/>
      <w:textAlignment w:val="top"/>
    </w:pPr>
    <w:rPr>
      <w:rFonts w:hint="eastAsia" w:ascii="宋体" w:hAnsi="宋体" w:cs="Arial Unicode MS"/>
      <w:kern w:val="0"/>
      <w:sz w:val="22"/>
      <w:szCs w:val="22"/>
      <w:lang w:eastAsia="en-US"/>
    </w:rPr>
  </w:style>
  <w:style w:type="paragraph" w:customStyle="1" w:styleId="208">
    <w:name w:val="Char2"/>
    <w:basedOn w:val="1"/>
    <w:qFormat/>
    <w:uiPriority w:val="0"/>
    <w:rPr>
      <w:sz w:val="30"/>
      <w:szCs w:val="24"/>
    </w:rPr>
  </w:style>
  <w:style w:type="paragraph" w:customStyle="1" w:styleId="209">
    <w:name w:val="发文落款1"/>
    <w:basedOn w:val="103"/>
    <w:qFormat/>
    <w:uiPriority w:val="0"/>
    <w:pPr>
      <w:ind w:left="4094" w:right="607" w:firstLine="0"/>
      <w:jc w:val="center"/>
    </w:pPr>
  </w:style>
  <w:style w:type="paragraph" w:customStyle="1" w:styleId="210">
    <w:name w:val="章节二"/>
    <w:basedOn w:val="95"/>
    <w:next w:val="95"/>
    <w:qFormat/>
    <w:uiPriority w:val="0"/>
    <w:pPr>
      <w:spacing w:beforeLines="50" w:afterLines="50" w:line="240" w:lineRule="auto"/>
      <w:ind w:firstLine="0" w:firstLineChars="0"/>
      <w:jc w:val="center"/>
      <w:outlineLvl w:val="1"/>
    </w:pPr>
    <w:rPr>
      <w:rFonts w:eastAsia="黑体"/>
      <w:b/>
      <w:sz w:val="30"/>
      <w:szCs w:val="30"/>
    </w:rPr>
  </w:style>
  <w:style w:type="paragraph" w:customStyle="1" w:styleId="211">
    <w:name w:val="xl33"/>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left"/>
      <w:textAlignment w:val="top"/>
    </w:pPr>
    <w:rPr>
      <w:rFonts w:hint="eastAsia" w:ascii="宋体" w:hAnsi="宋体" w:cs="Arial Unicode MS"/>
      <w:kern w:val="0"/>
      <w:sz w:val="22"/>
      <w:szCs w:val="22"/>
      <w:lang w:eastAsia="en-US"/>
    </w:rPr>
  </w:style>
  <w:style w:type="character" w:customStyle="1" w:styleId="212">
    <w:name w:val="批注框文本 Char"/>
    <w:basedOn w:val="48"/>
    <w:qFormat/>
    <w:uiPriority w:val="0"/>
    <w:rPr>
      <w:rFonts w:eastAsia="宋体"/>
      <w:kern w:val="2"/>
      <w:sz w:val="18"/>
      <w:szCs w:val="18"/>
      <w:lang w:val="en-US" w:eastAsia="zh-CN" w:bidi="ar-SA"/>
    </w:rPr>
  </w:style>
  <w:style w:type="paragraph" w:customStyle="1" w:styleId="213">
    <w:name w:val="xl5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w:hAnsi="Arial" w:eastAsia="Arial Unicode MS" w:cs="Arial"/>
      <w:kern w:val="0"/>
      <w:sz w:val="22"/>
      <w:szCs w:val="22"/>
      <w:lang w:eastAsia="en-US"/>
    </w:rPr>
  </w:style>
  <w:style w:type="character" w:customStyle="1" w:styleId="214">
    <w:name w:val="标题 8 Char1"/>
    <w:link w:val="14"/>
    <w:qFormat/>
    <w:uiPriority w:val="0"/>
    <w:rPr>
      <w:rFonts w:ascii="Arial" w:hAnsi="Arial" w:eastAsia="黑体"/>
      <w:kern w:val="2"/>
      <w:sz w:val="24"/>
    </w:rPr>
  </w:style>
  <w:style w:type="paragraph" w:customStyle="1" w:styleId="215">
    <w:name w:val="Char"/>
    <w:basedOn w:val="1"/>
    <w:qFormat/>
    <w:uiPriority w:val="0"/>
    <w:rPr>
      <w:rFonts w:ascii="Tahoma" w:hAnsi="Tahoma"/>
      <w:sz w:val="24"/>
    </w:rPr>
  </w:style>
  <w:style w:type="paragraph" w:customStyle="1" w:styleId="216">
    <w:name w:val="Blockquote1"/>
    <w:basedOn w:val="1"/>
    <w:qFormat/>
    <w:uiPriority w:val="0"/>
    <w:pPr>
      <w:autoSpaceDE w:val="0"/>
      <w:autoSpaceDN w:val="0"/>
      <w:adjustRightInd w:val="0"/>
      <w:spacing w:before="100" w:after="100"/>
      <w:ind w:left="360" w:right="360"/>
      <w:jc w:val="left"/>
    </w:pPr>
    <w:rPr>
      <w:kern w:val="0"/>
      <w:sz w:val="24"/>
    </w:rPr>
  </w:style>
  <w:style w:type="paragraph" w:customStyle="1" w:styleId="217">
    <w:name w:val="xl81"/>
    <w:basedOn w:val="1"/>
    <w:qFormat/>
    <w:uiPriority w:val="0"/>
    <w:pPr>
      <w:widowControl/>
      <w:pBdr>
        <w:right w:val="single" w:color="auto" w:sz="4" w:space="0"/>
      </w:pBdr>
      <w:spacing w:before="100" w:beforeAutospacing="1" w:after="100" w:afterAutospacing="1"/>
      <w:jc w:val="left"/>
    </w:pPr>
    <w:rPr>
      <w:rFonts w:ascii="宋体" w:hAnsi="宋体" w:cs="宋体"/>
      <w:kern w:val="0"/>
      <w:sz w:val="24"/>
      <w:szCs w:val="24"/>
    </w:rPr>
  </w:style>
  <w:style w:type="paragraph" w:customStyle="1" w:styleId="218">
    <w:name w:val="Char21"/>
    <w:basedOn w:val="1"/>
    <w:qFormat/>
    <w:uiPriority w:val="0"/>
    <w:rPr>
      <w:sz w:val="30"/>
      <w:szCs w:val="24"/>
    </w:rPr>
  </w:style>
  <w:style w:type="paragraph" w:customStyle="1" w:styleId="219">
    <w:name w:val="xl5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szCs w:val="22"/>
      <w:lang w:eastAsia="en-US"/>
    </w:rPr>
  </w:style>
  <w:style w:type="paragraph" w:styleId="220">
    <w:name w:val="List Paragraph"/>
    <w:basedOn w:val="1"/>
    <w:unhideWhenUsed/>
    <w:qFormat/>
    <w:uiPriority w:val="34"/>
    <w:pPr>
      <w:ind w:firstLine="420" w:firstLineChars="200"/>
    </w:pPr>
  </w:style>
  <w:style w:type="paragraph" w:customStyle="1" w:styleId="2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22">
    <w:name w:val="xl36"/>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22"/>
      <w:szCs w:val="22"/>
      <w:lang w:eastAsia="en-US"/>
    </w:rPr>
  </w:style>
  <w:style w:type="paragraph" w:customStyle="1" w:styleId="223">
    <w:name w:val="font81"/>
    <w:basedOn w:val="1"/>
    <w:qFormat/>
    <w:uiPriority w:val="0"/>
    <w:pPr>
      <w:widowControl/>
      <w:spacing w:before="100" w:beforeAutospacing="1" w:after="100" w:afterAutospacing="1"/>
      <w:jc w:val="left"/>
    </w:pPr>
    <w:rPr>
      <w:rFonts w:eastAsia="Arial Unicode MS"/>
      <w:kern w:val="0"/>
      <w:sz w:val="22"/>
      <w:szCs w:val="22"/>
      <w:lang w:eastAsia="en-US"/>
    </w:rPr>
  </w:style>
  <w:style w:type="paragraph" w:customStyle="1" w:styleId="224">
    <w:name w:val="章节二1"/>
    <w:basedOn w:val="62"/>
    <w:next w:val="62"/>
    <w:qFormat/>
    <w:uiPriority w:val="0"/>
    <w:pPr>
      <w:spacing w:beforeLines="50" w:afterLines="50" w:line="240" w:lineRule="auto"/>
      <w:ind w:firstLine="0" w:firstLineChars="0"/>
      <w:jc w:val="center"/>
      <w:outlineLvl w:val="1"/>
    </w:pPr>
    <w:rPr>
      <w:rFonts w:eastAsia="黑体"/>
      <w:b/>
      <w:sz w:val="30"/>
      <w:szCs w:val="30"/>
    </w:rPr>
  </w:style>
  <w:style w:type="paragraph" w:customStyle="1" w:styleId="225">
    <w:name w:val="xl32"/>
    <w:basedOn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jc w:val="left"/>
      <w:textAlignment w:val="top"/>
    </w:pPr>
    <w:rPr>
      <w:rFonts w:hint="eastAsia" w:ascii="宋体" w:hAnsi="宋体" w:cs="Arial Unicode MS"/>
      <w:kern w:val="0"/>
      <w:sz w:val="22"/>
      <w:szCs w:val="22"/>
      <w:lang w:eastAsia="en-US"/>
    </w:rPr>
  </w:style>
  <w:style w:type="paragraph" w:customStyle="1" w:styleId="226">
    <w:name w:val="11"/>
    <w:basedOn w:val="1"/>
    <w:next w:val="9"/>
    <w:qFormat/>
    <w:uiPriority w:val="0"/>
    <w:pPr>
      <w:ind w:firstLine="420"/>
    </w:pPr>
  </w:style>
  <w:style w:type="paragraph" w:customStyle="1" w:styleId="227">
    <w:name w:val="文二"/>
    <w:basedOn w:val="1"/>
    <w:qFormat/>
    <w:uiPriority w:val="0"/>
    <w:pPr>
      <w:jc w:val="left"/>
    </w:pPr>
    <w:rPr>
      <w:rFonts w:ascii="宋体" w:hAnsi="宋体"/>
      <w:szCs w:val="21"/>
    </w:rPr>
  </w:style>
  <w:style w:type="character" w:customStyle="1" w:styleId="228">
    <w:name w:val="正文文本缩进 2 Char"/>
    <w:qFormat/>
    <w:uiPriority w:val="0"/>
    <w:rPr>
      <w:color w:val="000000"/>
      <w:kern w:val="2"/>
      <w:sz w:val="24"/>
    </w:rPr>
  </w:style>
  <w:style w:type="paragraph" w:customStyle="1" w:styleId="229">
    <w:name w:val="封二1"/>
    <w:basedOn w:val="62"/>
    <w:next w:val="62"/>
    <w:qFormat/>
    <w:uiPriority w:val="0"/>
    <w:pPr>
      <w:ind w:firstLine="0" w:firstLineChars="0"/>
      <w:jc w:val="center"/>
    </w:pPr>
    <w:rPr>
      <w:rFonts w:eastAsia="黑体"/>
      <w:b/>
      <w:sz w:val="36"/>
      <w:szCs w:val="36"/>
    </w:rPr>
  </w:style>
  <w:style w:type="paragraph" w:customStyle="1" w:styleId="230">
    <w:name w:val="Table Paragraph"/>
    <w:basedOn w:val="1"/>
    <w:qFormat/>
    <w:uiPriority w:val="1"/>
    <w:pPr>
      <w:autoSpaceDE w:val="0"/>
      <w:autoSpaceDN w:val="0"/>
      <w:adjustRightInd w:val="0"/>
      <w:jc w:val="left"/>
    </w:pPr>
    <w:rPr>
      <w:rFonts w:ascii="Calibri" w:hAnsi="Calibri"/>
      <w:kern w:val="0"/>
      <w:sz w:val="24"/>
      <w:szCs w:val="24"/>
    </w:rPr>
  </w:style>
  <w:style w:type="paragraph" w:customStyle="1" w:styleId="231">
    <w:name w:val="_Style 20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32">
    <w:name w:val="样式 标题 5 + 小四 行距: 1.5 倍行距1"/>
    <w:basedOn w:val="11"/>
    <w:qFormat/>
    <w:uiPriority w:val="0"/>
    <w:pPr>
      <w:numPr>
        <w:ilvl w:val="0"/>
        <w:numId w:val="0"/>
      </w:numPr>
      <w:adjustRightInd w:val="0"/>
      <w:spacing w:line="360" w:lineRule="auto"/>
      <w:jc w:val="left"/>
      <w:textAlignment w:val="baseline"/>
    </w:pPr>
    <w:rPr>
      <w:rFonts w:ascii="Times New Roman" w:hAnsi="Times New Roman" w:eastAsia="黑体"/>
      <w:bCs/>
      <w:color w:val="000000"/>
      <w:kern w:val="0"/>
      <w:szCs w:val="28"/>
    </w:rPr>
  </w:style>
  <w:style w:type="paragraph" w:customStyle="1" w:styleId="233">
    <w:name w:val="xl34"/>
    <w:basedOn w:val="1"/>
    <w:qFormat/>
    <w:uiPriority w:val="0"/>
    <w:pPr>
      <w:widowControl/>
      <w:pBdr>
        <w:top w:val="single" w:color="000000" w:sz="4" w:space="0"/>
        <w:left w:val="single" w:color="000000" w:sz="4" w:space="0"/>
        <w:bottom w:val="single" w:color="000000" w:sz="8" w:space="0"/>
        <w:right w:val="single" w:color="000000" w:sz="8" w:space="0"/>
      </w:pBdr>
      <w:spacing w:before="100" w:beforeAutospacing="1" w:after="100" w:afterAutospacing="1"/>
      <w:jc w:val="left"/>
      <w:textAlignment w:val="top"/>
    </w:pPr>
    <w:rPr>
      <w:rFonts w:hint="eastAsia" w:ascii="宋体" w:hAnsi="宋体" w:cs="Arial Unicode MS"/>
      <w:kern w:val="0"/>
      <w:sz w:val="22"/>
      <w:szCs w:val="22"/>
      <w:lang w:eastAsia="en-US"/>
    </w:rPr>
  </w:style>
  <w:style w:type="paragraph" w:customStyle="1" w:styleId="234">
    <w:name w:val="表头1"/>
    <w:basedOn w:val="1"/>
    <w:qFormat/>
    <w:uiPriority w:val="0"/>
    <w:pPr>
      <w:spacing w:line="360" w:lineRule="auto"/>
      <w:jc w:val="center"/>
    </w:pPr>
    <w:rPr>
      <w:rFonts w:ascii="黑体" w:eastAsia="黑体"/>
      <w:kern w:val="0"/>
      <w:sz w:val="24"/>
    </w:rPr>
  </w:style>
  <w:style w:type="paragraph" w:customStyle="1" w:styleId="235">
    <w:name w:val="正方框图1"/>
    <w:basedOn w:val="1"/>
    <w:qFormat/>
    <w:uiPriority w:val="0"/>
    <w:pPr>
      <w:snapToGrid w:val="0"/>
      <w:jc w:val="center"/>
    </w:pPr>
    <w:rPr>
      <w:sz w:val="24"/>
    </w:rPr>
  </w:style>
  <w:style w:type="character" w:customStyle="1" w:styleId="236">
    <w:name w:val="无间隔 Char"/>
    <w:link w:val="237"/>
    <w:qFormat/>
    <w:uiPriority w:val="0"/>
    <w:rPr>
      <w:kern w:val="2"/>
      <w:sz w:val="21"/>
      <w:szCs w:val="24"/>
    </w:rPr>
  </w:style>
  <w:style w:type="paragraph" w:customStyle="1" w:styleId="237">
    <w:name w:val="无间隔1"/>
    <w:link w:val="2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xl58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w:hAnsi="Arial" w:eastAsia="Arial Unicode MS" w:cs="Arial"/>
      <w:kern w:val="0"/>
      <w:sz w:val="22"/>
      <w:szCs w:val="22"/>
      <w:lang w:eastAsia="en-US"/>
    </w:rPr>
  </w:style>
  <w:style w:type="paragraph" w:customStyle="1" w:styleId="239">
    <w:name w:val="小正题"/>
    <w:basedOn w:val="1"/>
    <w:qFormat/>
    <w:uiPriority w:val="0"/>
    <w:pPr>
      <w:topLinePunct/>
      <w:adjustRightInd w:val="0"/>
      <w:snapToGrid w:val="0"/>
      <w:spacing w:line="360" w:lineRule="auto"/>
      <w:jc w:val="center"/>
    </w:pPr>
    <w:rPr>
      <w:rFonts w:eastAsia="黑体"/>
      <w:b/>
      <w:snapToGrid w:val="0"/>
      <w:spacing w:val="4"/>
      <w:kern w:val="0"/>
      <w:sz w:val="28"/>
      <w:szCs w:val="36"/>
    </w:rPr>
  </w:style>
  <w:style w:type="character" w:customStyle="1" w:styleId="240">
    <w:name w:val="无间隔 Char1"/>
    <w:link w:val="241"/>
    <w:qFormat/>
    <w:uiPriority w:val="0"/>
    <w:rPr>
      <w:kern w:val="2"/>
      <w:sz w:val="21"/>
      <w:szCs w:val="24"/>
    </w:rPr>
  </w:style>
  <w:style w:type="paragraph" w:customStyle="1" w:styleId="241">
    <w:name w:val="无间隔11"/>
    <w:link w:val="24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2"/>
    <w:basedOn w:val="1"/>
    <w:next w:val="9"/>
    <w:qFormat/>
    <w:uiPriority w:val="0"/>
    <w:pPr>
      <w:ind w:firstLine="420"/>
    </w:pPr>
  </w:style>
  <w:style w:type="character" w:customStyle="1" w:styleId="243">
    <w:name w:val="正文首行缩进 Char1"/>
    <w:basedOn w:val="48"/>
    <w:qFormat/>
    <w:uiPriority w:val="0"/>
    <w:rPr>
      <w:rFonts w:eastAsia="宋体"/>
      <w:kern w:val="2"/>
      <w:sz w:val="21"/>
      <w:lang w:val="en-US" w:eastAsia="zh-CN" w:bidi="ar-SA"/>
    </w:rPr>
  </w:style>
  <w:style w:type="paragraph" w:customStyle="1" w:styleId="244">
    <w:name w:val="font91"/>
    <w:basedOn w:val="1"/>
    <w:qFormat/>
    <w:uiPriority w:val="0"/>
    <w:pPr>
      <w:widowControl/>
      <w:spacing w:before="100" w:beforeAutospacing="1" w:after="100" w:afterAutospacing="1"/>
      <w:jc w:val="left"/>
    </w:pPr>
    <w:rPr>
      <w:rFonts w:eastAsia="Arial Unicode MS"/>
      <w:kern w:val="0"/>
      <w:sz w:val="18"/>
      <w:szCs w:val="18"/>
      <w:lang w:eastAsia="en-US"/>
    </w:rPr>
  </w:style>
  <w:style w:type="paragraph" w:customStyle="1" w:styleId="2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246">
    <w:name w:val="修订31"/>
    <w:hidden/>
    <w:semiHidden/>
    <w:qFormat/>
    <w:uiPriority w:val="99"/>
    <w:rPr>
      <w:rFonts w:ascii="Times New Roman" w:hAnsi="Times New Roman" w:eastAsia="宋体" w:cs="Times New Roman"/>
      <w:kern w:val="2"/>
      <w:sz w:val="21"/>
      <w:lang w:val="en-US" w:eastAsia="zh-CN" w:bidi="ar-SA"/>
    </w:rPr>
  </w:style>
  <w:style w:type="character" w:customStyle="1" w:styleId="247">
    <w:name w:val="标题 3 Char"/>
    <w:link w:val="8"/>
    <w:qFormat/>
    <w:uiPriority w:val="0"/>
    <w:rPr>
      <w:b/>
      <w:kern w:val="2"/>
      <w:sz w:val="24"/>
      <w:szCs w:val="24"/>
    </w:rPr>
  </w:style>
  <w:style w:type="paragraph" w:customStyle="1" w:styleId="248">
    <w:name w:val="Char3"/>
    <w:basedOn w:val="1"/>
    <w:qFormat/>
    <w:uiPriority w:val="0"/>
    <w:rPr>
      <w:rFonts w:ascii="Tahoma" w:hAnsi="Tahoma"/>
      <w:sz w:val="24"/>
    </w:rPr>
  </w:style>
  <w:style w:type="paragraph" w:customStyle="1" w:styleId="249">
    <w:name w:val="font51"/>
    <w:basedOn w:val="1"/>
    <w:qFormat/>
    <w:uiPriority w:val="0"/>
    <w:pPr>
      <w:widowControl/>
      <w:spacing w:before="100" w:beforeAutospacing="1" w:after="100" w:afterAutospacing="1"/>
      <w:jc w:val="left"/>
    </w:pPr>
    <w:rPr>
      <w:rFonts w:hint="eastAsia" w:ascii="宋体" w:hAnsi="宋体" w:cs="Arial Unicode MS"/>
      <w:kern w:val="0"/>
      <w:sz w:val="18"/>
      <w:szCs w:val="18"/>
      <w:lang w:eastAsia="en-US"/>
    </w:rPr>
  </w:style>
  <w:style w:type="paragraph" w:customStyle="1" w:styleId="250">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2"/>
      <w:szCs w:val="22"/>
      <w:lang w:eastAsia="en-US"/>
    </w:rPr>
  </w:style>
  <w:style w:type="paragraph" w:customStyle="1" w:styleId="251">
    <w:name w:val="xl5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b/>
      <w:bCs/>
      <w:kern w:val="0"/>
      <w:sz w:val="22"/>
      <w:szCs w:val="22"/>
      <w:u w:val="single"/>
      <w:lang w:eastAsia="en-US"/>
    </w:rPr>
  </w:style>
  <w:style w:type="paragraph" w:customStyle="1" w:styleId="252">
    <w:name w:val="xl811"/>
    <w:basedOn w:val="1"/>
    <w:qFormat/>
    <w:uiPriority w:val="0"/>
    <w:pPr>
      <w:widowControl/>
      <w:pBdr>
        <w:right w:val="single" w:color="auto" w:sz="4" w:space="0"/>
      </w:pBdr>
      <w:spacing w:before="100" w:beforeAutospacing="1" w:after="100" w:afterAutospacing="1"/>
      <w:jc w:val="left"/>
    </w:pPr>
    <w:rPr>
      <w:rFonts w:ascii="宋体" w:hAnsi="宋体" w:cs="宋体"/>
      <w:kern w:val="0"/>
      <w:sz w:val="24"/>
      <w:szCs w:val="24"/>
    </w:rPr>
  </w:style>
  <w:style w:type="paragraph" w:customStyle="1" w:styleId="253">
    <w:name w:val="xl7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character" w:customStyle="1" w:styleId="254">
    <w:name w:val="正文文本缩进 Char1"/>
    <w:link w:val="20"/>
    <w:qFormat/>
    <w:uiPriority w:val="0"/>
    <w:rPr>
      <w:kern w:val="2"/>
      <w:sz w:val="28"/>
    </w:rPr>
  </w:style>
  <w:style w:type="paragraph" w:customStyle="1" w:styleId="255">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6">
    <w:name w:val="Char Char1 Char1"/>
    <w:basedOn w:val="1"/>
    <w:qFormat/>
    <w:uiPriority w:val="0"/>
    <w:pPr>
      <w:tabs>
        <w:tab w:val="left" w:pos="1080"/>
      </w:tabs>
      <w:ind w:left="1080" w:hanging="1080"/>
    </w:pPr>
    <w:rPr>
      <w:sz w:val="24"/>
      <w:szCs w:val="24"/>
    </w:rPr>
  </w:style>
  <w:style w:type="paragraph" w:customStyle="1" w:styleId="257">
    <w:name w:val="_Style 11"/>
    <w:basedOn w:val="1"/>
    <w:qFormat/>
    <w:uiPriority w:val="0"/>
    <w:rPr>
      <w:sz w:val="30"/>
      <w:szCs w:val="24"/>
    </w:rPr>
  </w:style>
  <w:style w:type="paragraph" w:customStyle="1" w:styleId="258">
    <w:name w:val="Table Paragraph1"/>
    <w:basedOn w:val="1"/>
    <w:qFormat/>
    <w:uiPriority w:val="1"/>
    <w:pPr>
      <w:autoSpaceDE w:val="0"/>
      <w:autoSpaceDN w:val="0"/>
      <w:adjustRightInd w:val="0"/>
      <w:jc w:val="left"/>
    </w:pPr>
    <w:rPr>
      <w:rFonts w:ascii="Calibri" w:hAnsi="Calibri"/>
      <w:kern w:val="0"/>
      <w:sz w:val="24"/>
      <w:szCs w:val="24"/>
    </w:rPr>
  </w:style>
  <w:style w:type="character" w:customStyle="1" w:styleId="259">
    <w:name w:val="正文文本缩进 2 Char1"/>
    <w:link w:val="28"/>
    <w:qFormat/>
    <w:uiPriority w:val="0"/>
    <w:rPr>
      <w:color w:val="000000"/>
      <w:kern w:val="2"/>
      <w:sz w:val="24"/>
    </w:rPr>
  </w:style>
  <w:style w:type="character" w:customStyle="1" w:styleId="260">
    <w:name w:val="标题 3 Char11"/>
    <w:qFormat/>
    <w:uiPriority w:val="0"/>
    <w:rPr>
      <w:rFonts w:ascii="Calibri" w:hAnsi="Calibri" w:eastAsia="宋体"/>
      <w:b/>
      <w:bCs/>
      <w:kern w:val="2"/>
      <w:sz w:val="32"/>
      <w:szCs w:val="32"/>
      <w:lang w:val="en-US" w:eastAsia="zh-CN"/>
    </w:rPr>
  </w:style>
  <w:style w:type="paragraph" w:customStyle="1" w:styleId="261">
    <w:name w:val="cjk3"/>
    <w:basedOn w:val="1"/>
    <w:qFormat/>
    <w:uiPriority w:val="0"/>
    <w:pPr>
      <w:widowControl/>
      <w:spacing w:before="284" w:after="100" w:afterAutospacing="1" w:line="360" w:lineRule="auto"/>
      <w:jc w:val="left"/>
    </w:pPr>
    <w:rPr>
      <w:rFonts w:ascii="宋体" w:hAnsi="宋体" w:cs="宋体"/>
      <w:kern w:val="0"/>
      <w:sz w:val="22"/>
      <w:szCs w:val="22"/>
    </w:rPr>
  </w:style>
  <w:style w:type="paragraph" w:customStyle="1" w:styleId="262">
    <w:name w:val="Char11"/>
    <w:basedOn w:val="1"/>
    <w:qFormat/>
    <w:uiPriority w:val="0"/>
    <w:pPr>
      <w:ind w:left="567" w:hanging="279"/>
    </w:pPr>
    <w:rPr>
      <w:sz w:val="24"/>
      <w:szCs w:val="24"/>
    </w:rPr>
  </w:style>
  <w:style w:type="paragraph" w:customStyle="1" w:styleId="263">
    <w:name w:val="xl26"/>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left"/>
      <w:textAlignment w:val="top"/>
    </w:pPr>
    <w:rPr>
      <w:rFonts w:hint="eastAsia" w:ascii="宋体" w:hAnsi="宋体" w:cs="Arial Unicode MS"/>
      <w:kern w:val="0"/>
      <w:sz w:val="22"/>
      <w:szCs w:val="22"/>
      <w:lang w:eastAsia="en-US"/>
    </w:rPr>
  </w:style>
  <w:style w:type="paragraph" w:customStyle="1" w:styleId="264">
    <w:name w:val="公文标题"/>
    <w:basedOn w:val="8"/>
    <w:qFormat/>
    <w:uiPriority w:val="0"/>
    <w:pPr>
      <w:spacing w:beforeLines="0" w:afterLines="0" w:line="240" w:lineRule="auto"/>
      <w:ind w:left="1469" w:right="1542"/>
    </w:pPr>
    <w:rPr>
      <w:sz w:val="44"/>
    </w:rPr>
  </w:style>
  <w:style w:type="character" w:customStyle="1" w:styleId="265">
    <w:name w:val="页眉 Char"/>
    <w:qFormat/>
    <w:uiPriority w:val="0"/>
    <w:rPr>
      <w:kern w:val="2"/>
      <w:sz w:val="18"/>
    </w:rPr>
  </w:style>
  <w:style w:type="paragraph" w:customStyle="1" w:styleId="266">
    <w:name w:val="xl261"/>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left"/>
      <w:textAlignment w:val="top"/>
    </w:pPr>
    <w:rPr>
      <w:rFonts w:hint="eastAsia" w:ascii="宋体" w:hAnsi="宋体" w:cs="Arial Unicode MS"/>
      <w:kern w:val="0"/>
      <w:sz w:val="22"/>
      <w:szCs w:val="22"/>
      <w:lang w:eastAsia="en-US"/>
    </w:rPr>
  </w:style>
  <w:style w:type="paragraph" w:customStyle="1" w:styleId="26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268">
    <w:name w:val="列出段落11"/>
    <w:basedOn w:val="1"/>
    <w:qFormat/>
    <w:uiPriority w:val="0"/>
    <w:pPr>
      <w:ind w:firstLine="420" w:firstLineChars="200"/>
    </w:pPr>
    <w:rPr>
      <w:rFonts w:ascii="Calibri" w:hAnsi="Calibri" w:cs="Calibri"/>
      <w:szCs w:val="21"/>
    </w:rPr>
  </w:style>
  <w:style w:type="character" w:customStyle="1" w:styleId="269">
    <w:name w:val="标题 7 Char1"/>
    <w:qFormat/>
    <w:uiPriority w:val="0"/>
    <w:rPr>
      <w:b/>
      <w:kern w:val="2"/>
      <w:sz w:val="24"/>
    </w:rPr>
  </w:style>
  <w:style w:type="character" w:customStyle="1" w:styleId="270">
    <w:name w:val="标题 3 Char2"/>
    <w:qFormat/>
    <w:uiPriority w:val="0"/>
    <w:rPr>
      <w:b/>
      <w:kern w:val="2"/>
      <w:sz w:val="24"/>
      <w:szCs w:val="24"/>
    </w:rPr>
  </w:style>
  <w:style w:type="paragraph" w:customStyle="1" w:styleId="271">
    <w:name w:val="章节三"/>
    <w:basedOn w:val="62"/>
    <w:next w:val="62"/>
    <w:qFormat/>
    <w:uiPriority w:val="0"/>
    <w:pPr>
      <w:spacing w:beforeLines="50" w:afterLines="50" w:line="240" w:lineRule="auto"/>
      <w:ind w:firstLine="0" w:firstLineChars="0"/>
      <w:jc w:val="left"/>
      <w:outlineLvl w:val="2"/>
    </w:pPr>
    <w:rPr>
      <w:rFonts w:ascii="黑体" w:hAnsi="宋体" w:eastAsia="黑体"/>
      <w:b/>
    </w:rPr>
  </w:style>
  <w:style w:type="paragraph" w:customStyle="1" w:styleId="272">
    <w:name w:val="xl7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4"/>
      <w:szCs w:val="24"/>
    </w:rPr>
  </w:style>
  <w:style w:type="paragraph" w:customStyle="1" w:styleId="273">
    <w:name w:val="xl68"/>
    <w:basedOn w:val="1"/>
    <w:qFormat/>
    <w:uiPriority w:val="0"/>
    <w:pPr>
      <w:widowControl/>
      <w:pBdr>
        <w:left w:val="single" w:color="FF0000" w:sz="4" w:space="0"/>
        <w:right w:val="single" w:color="FF0000" w:sz="4" w:space="0"/>
      </w:pBdr>
      <w:spacing w:before="100" w:beforeAutospacing="1" w:after="100" w:afterAutospacing="1"/>
      <w:jc w:val="left"/>
    </w:pPr>
    <w:rPr>
      <w:rFonts w:ascii="宋体" w:hAnsi="宋体" w:cs="宋体"/>
      <w:kern w:val="0"/>
      <w:sz w:val="24"/>
      <w:szCs w:val="24"/>
    </w:rPr>
  </w:style>
  <w:style w:type="character" w:customStyle="1" w:styleId="274">
    <w:name w:val="脚注文本 Char"/>
    <w:basedOn w:val="48"/>
    <w:qFormat/>
    <w:uiPriority w:val="0"/>
    <w:rPr>
      <w:rFonts w:ascii="宋体" w:hAnsi="宋体"/>
      <w:sz w:val="18"/>
      <w:szCs w:val="18"/>
      <w:lang w:val="zh-CN" w:eastAsia="zh-CN"/>
    </w:rPr>
  </w:style>
  <w:style w:type="paragraph" w:customStyle="1" w:styleId="275">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76">
    <w:name w:val="xl5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2"/>
      <w:szCs w:val="22"/>
      <w:lang w:eastAsia="en-US"/>
    </w:rPr>
  </w:style>
  <w:style w:type="character" w:customStyle="1" w:styleId="277">
    <w:name w:val="正文文本 2 Char1"/>
    <w:link w:val="41"/>
    <w:qFormat/>
    <w:uiPriority w:val="0"/>
    <w:rPr>
      <w:rFonts w:ascii="宋体" w:hAnsi="宋体"/>
      <w:kern w:val="2"/>
      <w:sz w:val="21"/>
      <w:szCs w:val="24"/>
      <w:u w:val="single"/>
    </w:rPr>
  </w:style>
  <w:style w:type="character" w:customStyle="1" w:styleId="278">
    <w:name w:val="文一 Char1"/>
    <w:basedOn w:val="48"/>
    <w:link w:val="95"/>
    <w:qFormat/>
    <w:uiPriority w:val="0"/>
    <w:rPr>
      <w:rFonts w:eastAsia="宋体"/>
      <w:snapToGrid w:val="0"/>
      <w:spacing w:val="4"/>
      <w:sz w:val="24"/>
      <w:szCs w:val="24"/>
      <w:lang w:val="en-US" w:eastAsia="zh-CN" w:bidi="ar-SA"/>
    </w:rPr>
  </w:style>
  <w:style w:type="character" w:customStyle="1" w:styleId="279">
    <w:name w:val="标题 9 Char"/>
    <w:qFormat/>
    <w:uiPriority w:val="0"/>
    <w:rPr>
      <w:rFonts w:ascii="Arial" w:hAnsi="Arial" w:eastAsia="黑体"/>
      <w:kern w:val="2"/>
      <w:sz w:val="21"/>
    </w:rPr>
  </w:style>
  <w:style w:type="character" w:customStyle="1" w:styleId="280">
    <w:name w:val="批注主题 Char"/>
    <w:qFormat/>
    <w:uiPriority w:val="0"/>
    <w:rPr>
      <w:b/>
      <w:bCs/>
      <w:kern w:val="2"/>
      <w:sz w:val="21"/>
    </w:rPr>
  </w:style>
  <w:style w:type="paragraph" w:customStyle="1" w:styleId="281">
    <w:name w:val="封四1"/>
    <w:basedOn w:val="95"/>
    <w:next w:val="95"/>
    <w:qFormat/>
    <w:uiPriority w:val="0"/>
    <w:pPr>
      <w:jc w:val="left"/>
    </w:pPr>
    <w:rPr>
      <w:sz w:val="30"/>
      <w:szCs w:val="30"/>
    </w:rPr>
  </w:style>
  <w:style w:type="paragraph" w:customStyle="1" w:styleId="282">
    <w:name w:val="xl2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16"/>
      <w:szCs w:val="16"/>
      <w:lang w:eastAsia="en-US"/>
    </w:rPr>
  </w:style>
  <w:style w:type="character" w:customStyle="1" w:styleId="283">
    <w:name w:val="Char Char1"/>
    <w:basedOn w:val="48"/>
    <w:qFormat/>
    <w:uiPriority w:val="0"/>
    <w:rPr>
      <w:rFonts w:ascii="Arial" w:hAnsi="Arial" w:eastAsia="宋体" w:cs="Arial"/>
      <w:b/>
      <w:bCs/>
      <w:kern w:val="2"/>
      <w:sz w:val="32"/>
      <w:szCs w:val="32"/>
      <w:lang w:val="en-US" w:eastAsia="zh-CN" w:bidi="ar-SA"/>
    </w:rPr>
  </w:style>
  <w:style w:type="paragraph" w:customStyle="1" w:styleId="284">
    <w:name w:val="Char Char Char Char1"/>
    <w:basedOn w:val="1"/>
    <w:qFormat/>
    <w:uiPriority w:val="0"/>
    <w:rPr>
      <w:sz w:val="30"/>
      <w:szCs w:val="24"/>
    </w:rPr>
  </w:style>
  <w:style w:type="character" w:customStyle="1" w:styleId="285">
    <w:name w:val="标题 6 Char1"/>
    <w:qFormat/>
    <w:uiPriority w:val="0"/>
    <w:rPr>
      <w:rFonts w:ascii="Arial" w:hAnsi="Arial" w:eastAsia="黑体"/>
      <w:b/>
      <w:bCs/>
      <w:kern w:val="2"/>
      <w:sz w:val="24"/>
      <w:szCs w:val="24"/>
    </w:rPr>
  </w:style>
  <w:style w:type="paragraph" w:customStyle="1" w:styleId="286">
    <w:name w:val="xl7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287">
    <w:name w:val="xl341"/>
    <w:basedOn w:val="1"/>
    <w:qFormat/>
    <w:uiPriority w:val="0"/>
    <w:pPr>
      <w:widowControl/>
      <w:pBdr>
        <w:top w:val="single" w:color="000000" w:sz="4" w:space="0"/>
        <w:left w:val="single" w:color="000000" w:sz="4" w:space="0"/>
        <w:bottom w:val="single" w:color="000000" w:sz="8" w:space="0"/>
        <w:right w:val="single" w:color="000000" w:sz="8" w:space="0"/>
      </w:pBdr>
      <w:spacing w:before="100" w:beforeAutospacing="1" w:after="100" w:afterAutospacing="1"/>
      <w:jc w:val="left"/>
      <w:textAlignment w:val="top"/>
    </w:pPr>
    <w:rPr>
      <w:rFonts w:hint="eastAsia" w:ascii="宋体" w:hAnsi="宋体" w:cs="Arial Unicode MS"/>
      <w:kern w:val="0"/>
      <w:sz w:val="22"/>
      <w:szCs w:val="22"/>
      <w:lang w:eastAsia="en-US"/>
    </w:rPr>
  </w:style>
  <w:style w:type="paragraph" w:customStyle="1" w:styleId="288">
    <w:name w:val="xl391"/>
    <w:basedOn w:val="1"/>
    <w:qFormat/>
    <w:uiPriority w:val="0"/>
    <w:pPr>
      <w:widowControl/>
      <w:pBdr>
        <w:top w:val="single" w:color="000000" w:sz="8" w:space="0"/>
        <w:left w:val="single" w:color="000000" w:sz="4" w:space="0"/>
        <w:bottom w:val="single" w:color="000000" w:sz="4" w:space="0"/>
        <w:right w:val="single" w:color="000000" w:sz="8" w:space="0"/>
      </w:pBdr>
      <w:spacing w:before="100" w:beforeAutospacing="1" w:after="100" w:afterAutospacing="1"/>
      <w:jc w:val="center"/>
    </w:pPr>
    <w:rPr>
      <w:rFonts w:hint="eastAsia" w:ascii="宋体" w:hAnsi="宋体" w:cs="Arial Unicode MS"/>
      <w:kern w:val="0"/>
      <w:sz w:val="22"/>
      <w:szCs w:val="22"/>
      <w:lang w:eastAsia="en-US"/>
    </w:rPr>
  </w:style>
  <w:style w:type="character" w:customStyle="1" w:styleId="289">
    <w:name w:val="批注文字 字符1"/>
    <w:qFormat/>
    <w:uiPriority w:val="0"/>
    <w:rPr>
      <w:rFonts w:ascii="Calibri" w:hAnsi="Calibri" w:eastAsia="宋体" w:cs="Times New Roman"/>
    </w:rPr>
  </w:style>
  <w:style w:type="paragraph" w:customStyle="1" w:styleId="290">
    <w:name w:val="正题"/>
    <w:basedOn w:val="62"/>
    <w:next w:val="62"/>
    <w:qFormat/>
    <w:uiPriority w:val="0"/>
    <w:pPr>
      <w:ind w:firstLine="0" w:firstLineChars="0"/>
      <w:jc w:val="center"/>
    </w:pPr>
    <w:rPr>
      <w:rFonts w:eastAsia="黑体"/>
      <w:b/>
      <w:sz w:val="36"/>
      <w:szCs w:val="36"/>
    </w:rPr>
  </w:style>
  <w:style w:type="character" w:customStyle="1" w:styleId="291">
    <w:name w:val="页码11"/>
    <w:qFormat/>
    <w:uiPriority w:val="0"/>
  </w:style>
  <w:style w:type="character" w:customStyle="1" w:styleId="292">
    <w:name w:val="脚注文本 Char1"/>
    <w:basedOn w:val="48"/>
    <w:link w:val="36"/>
    <w:qFormat/>
    <w:uiPriority w:val="0"/>
    <w:rPr>
      <w:rFonts w:ascii="宋体" w:hAnsi="宋体"/>
      <w:sz w:val="18"/>
      <w:szCs w:val="18"/>
      <w:lang w:val="zh-CN" w:eastAsia="zh-CN"/>
    </w:rPr>
  </w:style>
  <w:style w:type="character" w:customStyle="1" w:styleId="293">
    <w:name w:val="页眉 Char1"/>
    <w:link w:val="32"/>
    <w:qFormat/>
    <w:uiPriority w:val="0"/>
    <w:rPr>
      <w:kern w:val="2"/>
      <w:sz w:val="18"/>
    </w:rPr>
  </w:style>
  <w:style w:type="paragraph" w:customStyle="1" w:styleId="294">
    <w:name w:val="xl2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eastAsia="Arial Unicode MS"/>
      <w:kern w:val="0"/>
      <w:szCs w:val="21"/>
      <w:lang w:eastAsia="en-US"/>
    </w:rPr>
  </w:style>
  <w:style w:type="paragraph" w:customStyle="1" w:styleId="295">
    <w:name w:val="小正题1"/>
    <w:basedOn w:val="1"/>
    <w:qFormat/>
    <w:uiPriority w:val="0"/>
    <w:pPr>
      <w:topLinePunct/>
      <w:adjustRightInd w:val="0"/>
      <w:snapToGrid w:val="0"/>
      <w:spacing w:line="360" w:lineRule="auto"/>
      <w:jc w:val="center"/>
    </w:pPr>
    <w:rPr>
      <w:rFonts w:eastAsia="黑体"/>
      <w:b/>
      <w:snapToGrid w:val="0"/>
      <w:spacing w:val="4"/>
      <w:kern w:val="0"/>
      <w:sz w:val="28"/>
      <w:szCs w:val="36"/>
    </w:rPr>
  </w:style>
  <w:style w:type="paragraph" w:customStyle="1" w:styleId="296">
    <w:name w:val="xl49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lang w:eastAsia="en-US"/>
    </w:rPr>
  </w:style>
  <w:style w:type="paragraph" w:customStyle="1" w:styleId="297">
    <w:name w:val="文二1"/>
    <w:basedOn w:val="1"/>
    <w:qFormat/>
    <w:uiPriority w:val="0"/>
    <w:pPr>
      <w:jc w:val="left"/>
    </w:pPr>
    <w:rPr>
      <w:rFonts w:ascii="宋体" w:hAnsi="宋体"/>
      <w:szCs w:val="21"/>
    </w:rPr>
  </w:style>
  <w:style w:type="paragraph" w:customStyle="1" w:styleId="298">
    <w:name w:val="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99">
    <w:name w:val="批注框文本 Char1"/>
    <w:basedOn w:val="48"/>
    <w:link w:val="30"/>
    <w:qFormat/>
    <w:uiPriority w:val="0"/>
    <w:rPr>
      <w:rFonts w:eastAsia="宋体"/>
      <w:kern w:val="2"/>
      <w:sz w:val="18"/>
      <w:szCs w:val="18"/>
      <w:lang w:val="en-US" w:eastAsia="zh-CN" w:bidi="ar-SA"/>
    </w:rPr>
  </w:style>
  <w:style w:type="paragraph" w:customStyle="1" w:styleId="300">
    <w:name w:val="xl6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01">
    <w:name w:val="xl651"/>
    <w:basedOn w:val="1"/>
    <w:qFormat/>
    <w:uiPriority w:val="0"/>
    <w:pPr>
      <w:widowControl/>
      <w:spacing w:before="100" w:beforeAutospacing="1" w:after="100" w:afterAutospacing="1"/>
      <w:jc w:val="center"/>
    </w:pPr>
    <w:rPr>
      <w:rFonts w:ascii="宋体" w:hAnsi="宋体" w:cs="宋体"/>
      <w:kern w:val="0"/>
      <w:sz w:val="24"/>
      <w:szCs w:val="24"/>
    </w:rPr>
  </w:style>
  <w:style w:type="character" w:customStyle="1" w:styleId="302">
    <w:name w:val="文一 Char Char1"/>
    <w:qFormat/>
    <w:locked/>
    <w:uiPriority w:val="0"/>
    <w:rPr>
      <w:rFonts w:eastAsia="Times New Roman"/>
      <w:snapToGrid w:val="0"/>
      <w:spacing w:val="4"/>
      <w:sz w:val="24"/>
      <w:lang w:val="en-US" w:eastAsia="zh-CN"/>
    </w:rPr>
  </w:style>
  <w:style w:type="paragraph" w:customStyle="1" w:styleId="303">
    <w:name w:val="reader-word-layer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4">
    <w:name w:val="封三1"/>
    <w:basedOn w:val="95"/>
    <w:next w:val="95"/>
    <w:qFormat/>
    <w:uiPriority w:val="0"/>
    <w:pPr>
      <w:ind w:firstLine="0" w:firstLineChars="0"/>
      <w:jc w:val="center"/>
    </w:pPr>
    <w:rPr>
      <w:sz w:val="30"/>
    </w:rPr>
  </w:style>
  <w:style w:type="paragraph" w:customStyle="1" w:styleId="305">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306">
    <w:name w:val="xl361"/>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22"/>
      <w:szCs w:val="22"/>
      <w:lang w:eastAsia="en-US"/>
    </w:rPr>
  </w:style>
  <w:style w:type="paragraph" w:customStyle="1" w:styleId="307">
    <w:name w:val="xl41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textAlignment w:val="top"/>
    </w:pPr>
    <w:rPr>
      <w:rFonts w:hint="eastAsia" w:ascii="宋体" w:hAnsi="宋体" w:cs="Arial Unicode MS"/>
      <w:kern w:val="0"/>
      <w:sz w:val="22"/>
      <w:szCs w:val="22"/>
      <w:lang w:eastAsia="en-US"/>
    </w:rPr>
  </w:style>
  <w:style w:type="paragraph" w:customStyle="1" w:styleId="308">
    <w:name w:val="章节三1"/>
    <w:basedOn w:val="95"/>
    <w:next w:val="95"/>
    <w:qFormat/>
    <w:uiPriority w:val="0"/>
    <w:pPr>
      <w:spacing w:beforeLines="50" w:afterLines="50" w:line="240" w:lineRule="auto"/>
      <w:ind w:firstLine="0" w:firstLineChars="0"/>
      <w:jc w:val="left"/>
      <w:outlineLvl w:val="2"/>
    </w:pPr>
    <w:rPr>
      <w:rFonts w:ascii="黑体" w:hAnsi="宋体" w:eastAsia="黑体"/>
      <w:b/>
    </w:rPr>
  </w:style>
  <w:style w:type="paragraph" w:customStyle="1" w:styleId="30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character" w:customStyle="1" w:styleId="310">
    <w:name w:val="标题 4 Char1"/>
    <w:link w:val="10"/>
    <w:qFormat/>
    <w:uiPriority w:val="0"/>
    <w:rPr>
      <w:rFonts w:ascii="Arial" w:hAnsi="Arial"/>
      <w:b/>
      <w:kern w:val="2"/>
      <w:sz w:val="24"/>
      <w:szCs w:val="24"/>
    </w:rPr>
  </w:style>
  <w:style w:type="paragraph" w:customStyle="1" w:styleId="311">
    <w:name w:val="列出段落21"/>
    <w:basedOn w:val="1"/>
    <w:qFormat/>
    <w:uiPriority w:val="0"/>
    <w:pPr>
      <w:ind w:firstLine="420" w:firstLineChars="200"/>
    </w:pPr>
    <w:rPr>
      <w:rFonts w:ascii="Calibri" w:hAnsi="Calibri"/>
      <w:szCs w:val="22"/>
    </w:rPr>
  </w:style>
  <w:style w:type="paragraph" w:customStyle="1" w:styleId="312">
    <w:name w:val="修订21"/>
    <w:unhideWhenUsed/>
    <w:qFormat/>
    <w:uiPriority w:val="99"/>
    <w:rPr>
      <w:rFonts w:ascii="Calibri" w:hAnsi="Calibri" w:eastAsia="宋体" w:cs="Times New Roman"/>
      <w:kern w:val="2"/>
      <w:sz w:val="21"/>
      <w:lang w:val="en-US" w:eastAsia="zh-CN" w:bidi="ar-SA"/>
    </w:rPr>
  </w:style>
  <w:style w:type="paragraph" w:customStyle="1" w:styleId="313">
    <w:name w:val="_Style 111"/>
    <w:basedOn w:val="1"/>
    <w:qFormat/>
    <w:uiPriority w:val="0"/>
    <w:rPr>
      <w:sz w:val="30"/>
      <w:szCs w:val="24"/>
    </w:rPr>
  </w:style>
  <w:style w:type="paragraph" w:customStyle="1" w:styleId="314">
    <w:name w:val="xl5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2"/>
      <w:szCs w:val="22"/>
      <w:lang w:eastAsia="en-US"/>
    </w:rPr>
  </w:style>
  <w:style w:type="paragraph" w:customStyle="1" w:styleId="315">
    <w:name w:val="xl59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b/>
      <w:bCs/>
      <w:kern w:val="0"/>
      <w:sz w:val="22"/>
      <w:szCs w:val="22"/>
      <w:u w:val="single"/>
      <w:lang w:eastAsia="en-US"/>
    </w:rPr>
  </w:style>
  <w:style w:type="character" w:customStyle="1" w:styleId="316">
    <w:name w:val="文档结构图 Char1"/>
    <w:link w:val="18"/>
    <w:qFormat/>
    <w:uiPriority w:val="0"/>
    <w:rPr>
      <w:kern w:val="2"/>
      <w:sz w:val="21"/>
      <w:shd w:val="clear" w:color="auto" w:fill="000080"/>
    </w:rPr>
  </w:style>
  <w:style w:type="character" w:customStyle="1" w:styleId="317">
    <w:name w:val="批注主题 Char1"/>
    <w:link w:val="45"/>
    <w:qFormat/>
    <w:uiPriority w:val="0"/>
    <w:rPr>
      <w:b/>
      <w:bCs/>
      <w:kern w:val="2"/>
      <w:sz w:val="21"/>
    </w:rPr>
  </w:style>
  <w:style w:type="character" w:customStyle="1" w:styleId="318">
    <w:name w:val="标题 字符"/>
    <w:qFormat/>
    <w:uiPriority w:val="10"/>
    <w:rPr>
      <w:rFonts w:ascii="等线 Light" w:hAnsi="等线 Light" w:eastAsia="等线 Light" w:cs="Times New Roman"/>
      <w:b/>
      <w:bCs/>
      <w:sz w:val="32"/>
      <w:szCs w:val="32"/>
    </w:rPr>
  </w:style>
  <w:style w:type="paragraph" w:customStyle="1" w:styleId="31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2"/>
      <w:szCs w:val="22"/>
      <w:lang w:eastAsia="en-US"/>
    </w:rPr>
  </w:style>
  <w:style w:type="character" w:customStyle="1" w:styleId="320">
    <w:name w:val="纯文本 Char1"/>
    <w:basedOn w:val="48"/>
    <w:link w:val="25"/>
    <w:qFormat/>
    <w:locked/>
    <w:uiPriority w:val="0"/>
    <w:rPr>
      <w:rFonts w:ascii="宋体" w:hAnsi="Courier New" w:eastAsia="宋体"/>
      <w:kern w:val="2"/>
      <w:sz w:val="21"/>
      <w:lang w:val="en-US" w:eastAsia="zh-CN" w:bidi="ar-SA"/>
    </w:rPr>
  </w:style>
  <w:style w:type="paragraph" w:customStyle="1" w:styleId="321">
    <w:name w:val="font61"/>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322">
    <w:name w:val="xl661"/>
    <w:basedOn w:val="1"/>
    <w:qFormat/>
    <w:uiPriority w:val="0"/>
    <w:pPr>
      <w:widowControl/>
      <w:pBdr>
        <w:top w:val="single" w:color="FF0000" w:sz="4" w:space="0"/>
        <w:left w:val="single" w:color="FF0000" w:sz="4" w:space="0"/>
        <w:bottom w:val="single" w:color="FF0000" w:sz="4" w:space="0"/>
        <w:right w:val="single" w:color="FF0000" w:sz="4" w:space="0"/>
      </w:pBdr>
      <w:shd w:val="clear" w:color="000000" w:fill="FFFF00"/>
      <w:spacing w:before="100" w:beforeAutospacing="1" w:after="100" w:afterAutospacing="1"/>
      <w:jc w:val="center"/>
    </w:pPr>
    <w:rPr>
      <w:rFonts w:ascii="宋体" w:hAnsi="宋体" w:cs="宋体"/>
      <w:b/>
      <w:bCs/>
      <w:kern w:val="0"/>
      <w:sz w:val="24"/>
      <w:szCs w:val="24"/>
    </w:rPr>
  </w:style>
  <w:style w:type="paragraph" w:customStyle="1" w:styleId="323">
    <w:name w:val="xl4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kern w:val="0"/>
      <w:sz w:val="22"/>
      <w:szCs w:val="22"/>
      <w:lang w:eastAsia="en-US"/>
    </w:rPr>
  </w:style>
  <w:style w:type="paragraph" w:customStyle="1" w:styleId="324">
    <w:name w:val="xl43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hint="eastAsia" w:ascii="宋体" w:hAnsi="宋体" w:cs="Arial Unicode MS"/>
      <w:kern w:val="0"/>
      <w:sz w:val="22"/>
      <w:szCs w:val="22"/>
      <w:lang w:eastAsia="en-US"/>
    </w:rPr>
  </w:style>
  <w:style w:type="paragraph" w:customStyle="1" w:styleId="325">
    <w:name w:val="_Style 200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26">
    <w:name w:val="默认段落字体 Para Char1"/>
    <w:basedOn w:val="1"/>
    <w:qFormat/>
    <w:uiPriority w:val="0"/>
    <w:rPr>
      <w:sz w:val="30"/>
      <w:szCs w:val="24"/>
    </w:rPr>
  </w:style>
  <w:style w:type="paragraph" w:customStyle="1" w:styleId="32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328">
    <w:name w:val="标题 5 Char1"/>
    <w:link w:val="11"/>
    <w:qFormat/>
    <w:uiPriority w:val="0"/>
    <w:rPr>
      <w:rFonts w:ascii="Arial" w:hAnsi="Arial"/>
      <w:b/>
      <w:kern w:val="2"/>
      <w:sz w:val="24"/>
      <w:szCs w:val="24"/>
    </w:rPr>
  </w:style>
  <w:style w:type="paragraph" w:customStyle="1" w:styleId="329">
    <w:name w:val="普通(Web)11"/>
    <w:basedOn w:val="1"/>
    <w:qFormat/>
    <w:uiPriority w:val="0"/>
    <w:pPr>
      <w:widowControl/>
      <w:spacing w:before="284" w:line="360" w:lineRule="auto"/>
      <w:jc w:val="left"/>
    </w:pPr>
    <w:rPr>
      <w:rFonts w:ascii="宋体" w:hAnsi="宋体"/>
      <w:kern w:val="0"/>
      <w:sz w:val="24"/>
      <w:szCs w:val="24"/>
    </w:rPr>
  </w:style>
  <w:style w:type="character" w:customStyle="1" w:styleId="330">
    <w:name w:val="标题 9 Char1"/>
    <w:link w:val="15"/>
    <w:qFormat/>
    <w:uiPriority w:val="0"/>
    <w:rPr>
      <w:rFonts w:ascii="Arial" w:hAnsi="Arial" w:eastAsia="黑体"/>
      <w:kern w:val="2"/>
      <w:sz w:val="21"/>
    </w:rPr>
  </w:style>
  <w:style w:type="paragraph" w:customStyle="1" w:styleId="331">
    <w:name w:val="xl681"/>
    <w:basedOn w:val="1"/>
    <w:qFormat/>
    <w:uiPriority w:val="0"/>
    <w:pPr>
      <w:widowControl/>
      <w:pBdr>
        <w:left w:val="single" w:color="FF0000" w:sz="4" w:space="0"/>
        <w:right w:val="single" w:color="FF0000" w:sz="4" w:space="0"/>
      </w:pBdr>
      <w:spacing w:before="100" w:beforeAutospacing="1" w:after="100" w:afterAutospacing="1"/>
      <w:jc w:val="left"/>
    </w:pPr>
    <w:rPr>
      <w:rFonts w:ascii="宋体" w:hAnsi="宋体" w:cs="宋体"/>
      <w:kern w:val="0"/>
      <w:sz w:val="24"/>
      <w:szCs w:val="24"/>
    </w:rPr>
  </w:style>
  <w:style w:type="paragraph" w:customStyle="1" w:styleId="332">
    <w:name w:val="正题1"/>
    <w:basedOn w:val="95"/>
    <w:next w:val="95"/>
    <w:qFormat/>
    <w:uiPriority w:val="0"/>
    <w:pPr>
      <w:ind w:firstLine="0" w:firstLineChars="0"/>
      <w:jc w:val="center"/>
    </w:pPr>
    <w:rPr>
      <w:rFonts w:eastAsia="黑体"/>
      <w:b/>
      <w:sz w:val="36"/>
      <w:szCs w:val="36"/>
    </w:rPr>
  </w:style>
  <w:style w:type="paragraph" w:customStyle="1" w:styleId="333">
    <w:name w:val="xl7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334">
    <w:name w:val="正文文本 Char11"/>
    <w:qFormat/>
    <w:uiPriority w:val="0"/>
    <w:rPr>
      <w:kern w:val="2"/>
      <w:sz w:val="21"/>
      <w:szCs w:val="24"/>
    </w:rPr>
  </w:style>
  <w:style w:type="paragraph" w:customStyle="1" w:styleId="335">
    <w:name w:val="xl331"/>
    <w:basedOn w:val="1"/>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left"/>
      <w:textAlignment w:val="top"/>
    </w:pPr>
    <w:rPr>
      <w:rFonts w:hint="eastAsia" w:ascii="宋体" w:hAnsi="宋体" w:cs="Arial Unicode MS"/>
      <w:kern w:val="0"/>
      <w:sz w:val="22"/>
      <w:szCs w:val="22"/>
      <w:lang w:eastAsia="en-US"/>
    </w:rPr>
  </w:style>
  <w:style w:type="paragraph" w:customStyle="1" w:styleId="336">
    <w:name w:val="xl7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character" w:customStyle="1" w:styleId="337">
    <w:name w:val="Char Char11"/>
    <w:basedOn w:val="48"/>
    <w:qFormat/>
    <w:uiPriority w:val="0"/>
    <w:rPr>
      <w:rFonts w:ascii="Arial" w:hAnsi="Arial" w:eastAsia="宋体" w:cs="Arial"/>
      <w:b/>
      <w:bCs/>
      <w:kern w:val="2"/>
      <w:sz w:val="32"/>
      <w:szCs w:val="32"/>
      <w:lang w:val="en-US" w:eastAsia="zh-CN" w:bidi="ar-SA"/>
    </w:rPr>
  </w:style>
  <w:style w:type="character" w:customStyle="1" w:styleId="338">
    <w:name w:val="标题 字符1"/>
    <w:qFormat/>
    <w:uiPriority w:val="10"/>
    <w:rPr>
      <w:rFonts w:ascii="等线 Light" w:hAnsi="等线 Light" w:eastAsia="等线 Light" w:cs="Times New Roman"/>
      <w:b/>
      <w:bCs/>
      <w:sz w:val="32"/>
      <w:szCs w:val="32"/>
    </w:rPr>
  </w:style>
  <w:style w:type="paragraph" w:customStyle="1" w:styleId="339">
    <w:name w:val="Char Char Char Char Char Char Char Char Char Char Char Char Char Char Char Char1"/>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340">
    <w:name w:val="xl5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2"/>
      <w:szCs w:val="22"/>
      <w:lang w:eastAsia="en-US"/>
    </w:rPr>
  </w:style>
  <w:style w:type="paragraph" w:customStyle="1" w:styleId="341">
    <w:name w:val="公文标题1"/>
    <w:basedOn w:val="8"/>
    <w:qFormat/>
    <w:uiPriority w:val="0"/>
    <w:pPr>
      <w:spacing w:beforeLines="0" w:afterLines="0" w:line="240" w:lineRule="auto"/>
      <w:ind w:left="1469" w:right="1542"/>
    </w:pPr>
    <w:rPr>
      <w:sz w:val="44"/>
    </w:rPr>
  </w:style>
  <w:style w:type="paragraph" w:customStyle="1" w:styleId="342">
    <w:name w:val="xl7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szCs w:val="24"/>
    </w:rPr>
  </w:style>
  <w:style w:type="character" w:customStyle="1" w:styleId="343">
    <w:name w:val="尾注文本 Char1"/>
    <w:basedOn w:val="48"/>
    <w:link w:val="29"/>
    <w:qFormat/>
    <w:uiPriority w:val="0"/>
    <w:rPr>
      <w:lang w:val="zh-CN" w:eastAsia="zh-CN"/>
    </w:rPr>
  </w:style>
  <w:style w:type="character" w:customStyle="1" w:styleId="344">
    <w:name w:val="页脚 Char"/>
    <w:basedOn w:val="48"/>
    <w:qFormat/>
    <w:uiPriority w:val="0"/>
    <w:rPr>
      <w:kern w:val="2"/>
      <w:sz w:val="18"/>
    </w:rPr>
  </w:style>
  <w:style w:type="paragraph" w:customStyle="1" w:styleId="345">
    <w:name w:val="xl7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character" w:customStyle="1" w:styleId="346">
    <w:name w:val="批注文字 Char1"/>
    <w:basedOn w:val="48"/>
    <w:link w:val="19"/>
    <w:qFormat/>
    <w:uiPriority w:val="0"/>
    <w:rPr>
      <w:kern w:val="2"/>
      <w:sz w:val="21"/>
    </w:rPr>
  </w:style>
  <w:style w:type="paragraph" w:customStyle="1" w:styleId="347">
    <w:name w:val="xl44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hint="eastAsia" w:ascii="宋体" w:hAnsi="宋体" w:cs="Arial Unicode MS"/>
      <w:kern w:val="0"/>
      <w:sz w:val="22"/>
      <w:szCs w:val="22"/>
      <w:lang w:eastAsia="en-US"/>
    </w:rPr>
  </w:style>
  <w:style w:type="paragraph" w:customStyle="1" w:styleId="348">
    <w:name w:val="21"/>
    <w:basedOn w:val="1"/>
    <w:next w:val="9"/>
    <w:qFormat/>
    <w:uiPriority w:val="0"/>
    <w:pPr>
      <w:ind w:firstLine="420"/>
    </w:pPr>
  </w:style>
  <w:style w:type="paragraph" w:customStyle="1" w:styleId="349">
    <w:name w:val="xl321"/>
    <w:basedOn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jc w:val="left"/>
      <w:textAlignment w:val="top"/>
    </w:pPr>
    <w:rPr>
      <w:rFonts w:hint="eastAsia" w:ascii="宋体" w:hAnsi="宋体" w:cs="Arial Unicode MS"/>
      <w:kern w:val="0"/>
      <w:sz w:val="22"/>
      <w:szCs w:val="22"/>
      <w:lang w:eastAsia="en-US"/>
    </w:rPr>
  </w:style>
  <w:style w:type="paragraph" w:customStyle="1" w:styleId="350">
    <w:name w:val="Char Char Char1 Char1"/>
    <w:basedOn w:val="18"/>
    <w:qFormat/>
    <w:uiPriority w:val="0"/>
    <w:rPr>
      <w:rFonts w:ascii="Tahoma" w:hAnsi="Tahoma"/>
      <w:sz w:val="24"/>
      <w:szCs w:val="24"/>
    </w:rPr>
  </w:style>
  <w:style w:type="paragraph" w:customStyle="1" w:styleId="351">
    <w:name w:val="xl3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22"/>
      <w:szCs w:val="22"/>
      <w:lang w:eastAsia="en-US"/>
    </w:rPr>
  </w:style>
  <w:style w:type="paragraph" w:customStyle="1" w:styleId="352">
    <w:name w:val="xl6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53">
    <w:name w:val="xl791"/>
    <w:basedOn w:val="1"/>
    <w:qFormat/>
    <w:uiPriority w:val="0"/>
    <w:pPr>
      <w:widowControl/>
      <w:pBdr>
        <w:left w:val="single" w:color="FF0000" w:sz="4" w:space="0"/>
        <w:right w:val="single" w:color="FF0000" w:sz="4" w:space="0"/>
      </w:pBdr>
      <w:spacing w:before="100" w:beforeAutospacing="1" w:after="100" w:afterAutospacing="1"/>
      <w:jc w:val="center"/>
    </w:pPr>
    <w:rPr>
      <w:rFonts w:ascii="宋体" w:hAnsi="宋体" w:cs="宋体"/>
      <w:b/>
      <w:bCs/>
      <w:kern w:val="0"/>
      <w:sz w:val="24"/>
      <w:szCs w:val="24"/>
    </w:rPr>
  </w:style>
  <w:style w:type="character" w:customStyle="1" w:styleId="354">
    <w:name w:val="页脚 Char1"/>
    <w:basedOn w:val="48"/>
    <w:link w:val="31"/>
    <w:qFormat/>
    <w:uiPriority w:val="0"/>
    <w:rPr>
      <w:kern w:val="2"/>
      <w:sz w:val="18"/>
    </w:rPr>
  </w:style>
  <w:style w:type="paragraph" w:customStyle="1" w:styleId="355">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183</Pages>
  <Words>4308</Words>
  <Characters>4363</Characters>
  <Lines>919</Lines>
  <Paragraphs>258</Paragraphs>
  <TotalTime>14</TotalTime>
  <ScaleCrop>false</ScaleCrop>
  <LinksUpToDate>false</LinksUpToDate>
  <CharactersWithSpaces>4409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2024-10-22T07:38:00Z</dcterms:created>
  <dc:creator>admin</dc:creator>
  <cp:lastModifiedBy>USER</cp:lastModifiedBy>
  <dcterms:modified xsi:type="dcterms:W3CDTF">2024-11-19T06:37:27Z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25732950972148C1BF93B5E1D48D5D71_13</vt:lpwstr>
  </property>
</Properties>
</file>