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57002">
      <w:pPr>
        <w:spacing w:line="360" w:lineRule="auto"/>
        <w:rPr>
          <w:rFonts w:ascii="黑体" w:eastAsia="黑体"/>
          <w:color w:val="auto"/>
          <w:sz w:val="32"/>
          <w:szCs w:val="32"/>
          <w:highlight w:val="none"/>
        </w:rPr>
      </w:pPr>
    </w:p>
    <w:p w14:paraId="0F96B0A8">
      <w:pPr>
        <w:pStyle w:val="11"/>
        <w:ind w:left="0" w:leftChars="0"/>
        <w:rPr>
          <w:color w:val="auto"/>
          <w:highlight w:val="none"/>
        </w:rPr>
      </w:pPr>
    </w:p>
    <w:p w14:paraId="2303CBCA">
      <w:pPr>
        <w:rPr>
          <w:color w:val="auto"/>
          <w:highlight w:val="none"/>
        </w:rPr>
      </w:pPr>
    </w:p>
    <w:p w14:paraId="63ADC50B">
      <w:pPr>
        <w:pStyle w:val="11"/>
        <w:ind w:left="199" w:leftChars="95"/>
        <w:rPr>
          <w:color w:val="auto"/>
          <w:highlight w:val="none"/>
        </w:rPr>
      </w:pPr>
    </w:p>
    <w:p w14:paraId="1C6D2DD6">
      <w:pPr>
        <w:wordWrap w:val="0"/>
        <w:spacing w:line="360" w:lineRule="auto"/>
        <w:jc w:val="center"/>
        <w:rPr>
          <w:rFonts w:ascii="宋体" w:cs="黑体"/>
          <w:color w:val="auto"/>
          <w:sz w:val="40"/>
          <w:szCs w:val="40"/>
          <w:highlight w:val="none"/>
        </w:rPr>
      </w:pPr>
      <w:r>
        <w:rPr>
          <w:rFonts w:hint="eastAsia" w:ascii="宋体" w:cs="黑体"/>
          <w:b/>
          <w:bCs/>
          <w:color w:val="auto"/>
          <w:sz w:val="72"/>
          <w:szCs w:val="72"/>
          <w:highlight w:val="none"/>
        </w:rPr>
        <w:t>智都空港商业中心(一期)项目监理服务</w:t>
      </w:r>
    </w:p>
    <w:p w14:paraId="2384215E">
      <w:pPr>
        <w:spacing w:line="360" w:lineRule="auto"/>
        <w:rPr>
          <w:rFonts w:ascii="宋体" w:cs="黑体"/>
          <w:color w:val="auto"/>
          <w:sz w:val="36"/>
          <w:szCs w:val="36"/>
          <w:highlight w:val="none"/>
        </w:rPr>
      </w:pPr>
    </w:p>
    <w:p w14:paraId="7E34FE3F">
      <w:pPr>
        <w:rPr>
          <w:color w:val="auto"/>
          <w:highlight w:val="none"/>
        </w:rPr>
      </w:pPr>
    </w:p>
    <w:p w14:paraId="156634D0">
      <w:pPr>
        <w:pStyle w:val="11"/>
        <w:ind w:left="420"/>
        <w:rPr>
          <w:color w:val="auto"/>
          <w:highlight w:val="none"/>
        </w:rPr>
      </w:pPr>
    </w:p>
    <w:p w14:paraId="520ABB36">
      <w:pPr>
        <w:pStyle w:val="11"/>
        <w:ind w:left="0" w:leftChars="0"/>
        <w:rPr>
          <w:color w:val="auto"/>
          <w:highlight w:val="none"/>
        </w:rPr>
      </w:pPr>
    </w:p>
    <w:p w14:paraId="00BCD812">
      <w:pPr>
        <w:rPr>
          <w:color w:val="auto"/>
          <w:highlight w:val="none"/>
        </w:rPr>
      </w:pPr>
    </w:p>
    <w:p w14:paraId="67B9C8A8">
      <w:pPr>
        <w:rPr>
          <w:color w:val="auto"/>
          <w:highlight w:val="none"/>
        </w:rPr>
      </w:pPr>
      <w:bookmarkStart w:id="0" w:name="_资格预审文件"/>
      <w:bookmarkEnd w:id="0"/>
      <w:bookmarkStart w:id="1" w:name="_Toc5875285"/>
      <w:bookmarkStart w:id="2" w:name="_Toc536411629"/>
    </w:p>
    <w:p w14:paraId="5D53D5FC">
      <w:pPr>
        <w:pStyle w:val="11"/>
        <w:ind w:left="0" w:leftChars="0"/>
        <w:rPr>
          <w:color w:val="auto"/>
          <w:highlight w:val="none"/>
        </w:rPr>
      </w:pPr>
    </w:p>
    <w:p w14:paraId="7444FAA3">
      <w:pPr>
        <w:rPr>
          <w:color w:val="auto"/>
          <w:highlight w:val="none"/>
        </w:rPr>
      </w:pPr>
    </w:p>
    <w:p w14:paraId="1550341B">
      <w:pPr>
        <w:spacing w:line="360" w:lineRule="auto"/>
        <w:jc w:val="center"/>
        <w:rPr>
          <w:rFonts w:ascii="宋体" w:cs="黑体"/>
          <w:color w:val="auto"/>
          <w:sz w:val="96"/>
          <w:szCs w:val="96"/>
          <w:highlight w:val="none"/>
        </w:rPr>
      </w:pPr>
      <w:r>
        <w:rPr>
          <w:rStyle w:val="19"/>
          <w:rFonts w:hint="eastAsia" w:ascii="宋体" w:cs="黑体"/>
          <w:b/>
          <w:i w:val="0"/>
          <w:color w:val="auto"/>
          <w:sz w:val="96"/>
          <w:szCs w:val="96"/>
          <w:highlight w:val="none"/>
        </w:rPr>
        <w:t>招标公告</w:t>
      </w:r>
      <w:bookmarkEnd w:id="1"/>
      <w:bookmarkEnd w:id="2"/>
    </w:p>
    <w:p w14:paraId="40EBB112">
      <w:pPr>
        <w:spacing w:line="360" w:lineRule="auto"/>
        <w:rPr>
          <w:rFonts w:ascii="宋体" w:cs="黑体"/>
          <w:b/>
          <w:color w:val="auto"/>
          <w:sz w:val="32"/>
          <w:highlight w:val="none"/>
        </w:rPr>
      </w:pPr>
    </w:p>
    <w:p w14:paraId="2CF4E166">
      <w:pPr>
        <w:spacing w:line="360" w:lineRule="auto"/>
        <w:rPr>
          <w:rFonts w:ascii="宋体" w:cs="黑体"/>
          <w:b/>
          <w:color w:val="auto"/>
          <w:sz w:val="32"/>
          <w:highlight w:val="none"/>
        </w:rPr>
      </w:pPr>
    </w:p>
    <w:p w14:paraId="125D1957">
      <w:pPr>
        <w:snapToGrid w:val="0"/>
        <w:spacing w:line="360" w:lineRule="auto"/>
        <w:rPr>
          <w:rFonts w:ascii="宋体" w:cs="黑体"/>
          <w:b/>
          <w:color w:val="auto"/>
          <w:sz w:val="28"/>
          <w:highlight w:val="none"/>
        </w:rPr>
      </w:pPr>
    </w:p>
    <w:p w14:paraId="18A1C832">
      <w:pPr>
        <w:snapToGrid w:val="0"/>
        <w:spacing w:line="360" w:lineRule="auto"/>
        <w:rPr>
          <w:rFonts w:ascii="宋体" w:cs="黑体"/>
          <w:b/>
          <w:color w:val="auto"/>
          <w:sz w:val="28"/>
          <w:highlight w:val="none"/>
        </w:rPr>
      </w:pPr>
    </w:p>
    <w:p w14:paraId="1189D260">
      <w:pPr>
        <w:snapToGrid w:val="0"/>
        <w:spacing w:line="360" w:lineRule="auto"/>
        <w:ind w:firstLine="1606" w:firstLineChars="500"/>
        <w:rPr>
          <w:rFonts w:ascii="宋体" w:cs="黑体"/>
          <w:b/>
          <w:color w:val="auto"/>
          <w:sz w:val="32"/>
          <w:szCs w:val="32"/>
          <w:highlight w:val="none"/>
        </w:rPr>
      </w:pPr>
      <w:r>
        <w:rPr>
          <w:rFonts w:hint="eastAsia" w:ascii="宋体" w:cs="黑体"/>
          <w:b/>
          <w:color w:val="auto"/>
          <w:sz w:val="32"/>
          <w:szCs w:val="32"/>
          <w:highlight w:val="none"/>
        </w:rPr>
        <w:t>招标人：广州智都悦港商业投资有限公司</w:t>
      </w:r>
    </w:p>
    <w:p w14:paraId="6F5866CB">
      <w:pPr>
        <w:snapToGrid w:val="0"/>
        <w:spacing w:line="360" w:lineRule="auto"/>
        <w:ind w:firstLine="1606" w:firstLineChars="500"/>
        <w:rPr>
          <w:rFonts w:ascii="宋体" w:cs="黑体"/>
          <w:b/>
          <w:color w:val="auto"/>
          <w:sz w:val="32"/>
          <w:szCs w:val="32"/>
          <w:highlight w:val="none"/>
        </w:rPr>
      </w:pPr>
      <w:r>
        <w:rPr>
          <w:rFonts w:hint="eastAsia" w:ascii="宋体" w:cs="黑体"/>
          <w:b/>
          <w:color w:val="auto"/>
          <w:sz w:val="32"/>
          <w:szCs w:val="32"/>
          <w:highlight w:val="none"/>
        </w:rPr>
        <w:t>招标代理机构：采联国际招标采购集团有限公司</w:t>
      </w:r>
    </w:p>
    <w:p w14:paraId="2D6C633F">
      <w:pPr>
        <w:snapToGrid w:val="0"/>
        <w:spacing w:line="360" w:lineRule="auto"/>
        <w:ind w:firstLine="1606" w:firstLineChars="500"/>
        <w:rPr>
          <w:rFonts w:ascii="宋体" w:cs="黑体"/>
          <w:b/>
          <w:color w:val="auto"/>
          <w:sz w:val="32"/>
          <w:szCs w:val="32"/>
          <w:highlight w:val="none"/>
        </w:rPr>
      </w:pPr>
      <w:r>
        <w:rPr>
          <w:rFonts w:hint="eastAsia" w:ascii="宋体" w:cs="黑体"/>
          <w:b/>
          <w:color w:val="auto"/>
          <w:sz w:val="32"/>
          <w:szCs w:val="32"/>
          <w:highlight w:val="none"/>
        </w:rPr>
        <w:t>编制日期：202</w:t>
      </w:r>
      <w:r>
        <w:rPr>
          <w:rFonts w:ascii="宋体" w:cs="黑体"/>
          <w:b/>
          <w:color w:val="auto"/>
          <w:sz w:val="32"/>
          <w:szCs w:val="32"/>
          <w:highlight w:val="none"/>
        </w:rPr>
        <w:t>4</w:t>
      </w:r>
      <w:r>
        <w:rPr>
          <w:rFonts w:hint="eastAsia" w:ascii="宋体" w:cs="黑体"/>
          <w:b/>
          <w:color w:val="auto"/>
          <w:sz w:val="32"/>
          <w:szCs w:val="32"/>
          <w:highlight w:val="none"/>
        </w:rPr>
        <w:t>年</w:t>
      </w:r>
    </w:p>
    <w:p w14:paraId="32283823">
      <w:pPr>
        <w:rPr>
          <w:rFonts w:ascii="宋体" w:cs="黑体"/>
          <w:b/>
          <w:color w:val="auto"/>
          <w:sz w:val="28"/>
          <w:highlight w:val="none"/>
        </w:rPr>
      </w:pPr>
      <w:r>
        <w:rPr>
          <w:rFonts w:hint="eastAsia" w:ascii="宋体" w:cs="黑体"/>
          <w:b/>
          <w:color w:val="auto"/>
          <w:sz w:val="28"/>
          <w:highlight w:val="none"/>
        </w:rPr>
        <w:br w:type="page"/>
      </w:r>
    </w:p>
    <w:p w14:paraId="4BFE5ECC">
      <w:pPr>
        <w:pStyle w:val="4"/>
        <w:spacing w:before="0" w:after="0" w:line="360" w:lineRule="auto"/>
        <w:jc w:val="center"/>
        <w:rPr>
          <w:rFonts w:hint="eastAsia" w:ascii="宋体" w:hAnsi="宋体" w:cs="宋体"/>
          <w:bCs/>
          <w:color w:val="auto"/>
          <w:kern w:val="2"/>
          <w:sz w:val="36"/>
          <w:szCs w:val="36"/>
          <w:highlight w:val="none"/>
          <w:u w:val="single"/>
        </w:rPr>
      </w:pPr>
      <w:bookmarkStart w:id="3" w:name="_Toc4659642"/>
      <w:bookmarkStart w:id="4" w:name="_Toc535938695"/>
      <w:bookmarkStart w:id="5" w:name="_Toc511557025"/>
      <w:bookmarkStart w:id="6" w:name="_Toc529196504"/>
      <w:r>
        <w:rPr>
          <w:rFonts w:hint="eastAsia" w:ascii="宋体" w:hAnsi="宋体" w:cs="宋体"/>
          <w:bCs/>
          <w:color w:val="auto"/>
          <w:kern w:val="2"/>
          <w:sz w:val="36"/>
          <w:szCs w:val="36"/>
          <w:highlight w:val="none"/>
          <w:u w:val="single"/>
        </w:rPr>
        <w:t>智都空港商业中心(一期)项目监理服务招标公告</w:t>
      </w:r>
      <w:bookmarkEnd w:id="3"/>
    </w:p>
    <w:p w14:paraId="788787E8">
      <w:pPr>
        <w:spacing w:before="156" w:beforeLines="50" w:after="156" w:afterLines="50"/>
        <w:jc w:val="left"/>
        <w:textAlignment w:val="center"/>
        <w:outlineLvl w:val="1"/>
        <w:rPr>
          <w:rFonts w:hint="eastAsia" w:ascii="宋体" w:hAnsi="宋体"/>
          <w:b/>
          <w:bCs/>
          <w:color w:val="auto"/>
          <w:kern w:val="0"/>
          <w:sz w:val="36"/>
          <w:szCs w:val="32"/>
          <w:highlight w:val="none"/>
        </w:rPr>
      </w:pPr>
      <w:r>
        <w:rPr>
          <w:rFonts w:ascii="宋体" w:hAnsi="宋体"/>
          <w:b/>
          <w:bCs/>
          <w:color w:val="auto"/>
          <w:kern w:val="0"/>
          <w:sz w:val="36"/>
          <w:szCs w:val="32"/>
          <w:highlight w:val="none"/>
        </w:rPr>
        <w:t>1.</w:t>
      </w:r>
      <w:r>
        <w:rPr>
          <w:rFonts w:hint="eastAsia" w:ascii="宋体" w:hAnsi="宋体"/>
          <w:b/>
          <w:bCs/>
          <w:color w:val="auto"/>
          <w:kern w:val="0"/>
          <w:sz w:val="36"/>
          <w:szCs w:val="32"/>
          <w:highlight w:val="none"/>
        </w:rPr>
        <w:t>招标条件</w:t>
      </w:r>
      <w:bookmarkEnd w:id="4"/>
      <w:bookmarkEnd w:id="5"/>
      <w:bookmarkEnd w:id="6"/>
    </w:p>
    <w:p w14:paraId="0275BA48">
      <w:pPr>
        <w:spacing w:line="360" w:lineRule="auto"/>
        <w:ind w:firstLine="480" w:firstLineChars="200"/>
        <w:rPr>
          <w:rFonts w:hint="eastAsia" w:ascii="宋体" w:hAnsi="宋体"/>
          <w:color w:val="auto"/>
          <w:sz w:val="24"/>
          <w:highlight w:val="none"/>
          <w:u w:val="single"/>
        </w:rPr>
      </w:pPr>
      <w:bookmarkStart w:id="7" w:name="_Toc511557026"/>
      <w:bookmarkStart w:id="8" w:name="_Toc529196505"/>
      <w:bookmarkStart w:id="9" w:name="_Toc535938696"/>
      <w:r>
        <w:rPr>
          <w:rFonts w:hint="eastAsia" w:ascii="宋体" w:hAnsi="宋体" w:cs="宋体"/>
          <w:color w:val="auto"/>
          <w:sz w:val="24"/>
          <w:szCs w:val="24"/>
          <w:highlight w:val="none"/>
        </w:rPr>
        <w:t>本招标项目</w:t>
      </w:r>
      <w:r>
        <w:rPr>
          <w:rFonts w:hint="eastAsia" w:ascii="宋体" w:hAnsi="宋体" w:cs="宋体"/>
          <w:color w:val="auto"/>
          <w:sz w:val="24"/>
          <w:szCs w:val="24"/>
          <w:highlight w:val="none"/>
          <w:u w:val="single"/>
          <w:lang w:eastAsia="zh-CN"/>
        </w:rPr>
        <w:t>智都空港商业中心（一期）</w:t>
      </w:r>
      <w:r>
        <w:rPr>
          <w:rFonts w:hint="eastAsia" w:ascii="宋体" w:hAnsi="宋体" w:cs="宋体"/>
          <w:color w:val="auto"/>
          <w:sz w:val="24"/>
          <w:szCs w:val="24"/>
          <w:highlight w:val="none"/>
        </w:rPr>
        <w:t>已由</w:t>
      </w:r>
      <w:r>
        <w:rPr>
          <w:rFonts w:hint="eastAsia" w:ascii="宋体" w:hAnsi="宋体" w:cs="宋体"/>
          <w:color w:val="auto"/>
          <w:sz w:val="24"/>
          <w:highlight w:val="none"/>
          <w:u w:val="single"/>
        </w:rPr>
        <w:t>广州市花都区发展和改革局</w:t>
      </w:r>
      <w:r>
        <w:rPr>
          <w:rFonts w:hint="eastAsia" w:ascii="宋体" w:hAnsi="宋体"/>
          <w:color w:val="auto"/>
          <w:sz w:val="24"/>
          <w:highlight w:val="none"/>
        </w:rPr>
        <w:t>以</w:t>
      </w:r>
      <w:r>
        <w:rPr>
          <w:rFonts w:hint="eastAsia" w:ascii="宋体" w:hAnsi="宋体"/>
          <w:color w:val="auto"/>
          <w:sz w:val="24"/>
          <w:highlight w:val="none"/>
          <w:u w:val="single"/>
        </w:rPr>
        <w:t>广东省企业投资项目备案证【</w:t>
      </w:r>
      <w:r>
        <w:rPr>
          <w:rFonts w:hint="eastAsia" w:ascii="宋体" w:hAnsi="宋体"/>
          <w:color w:val="auto"/>
          <w:sz w:val="24"/>
          <w:highlight w:val="none"/>
          <w:u w:val="single"/>
          <w:lang w:eastAsia="zh-CN"/>
        </w:rPr>
        <w:t>2408-440114-04-01-226706</w:t>
      </w:r>
      <w:r>
        <w:rPr>
          <w:rFonts w:hint="eastAsia" w:ascii="宋体" w:hAnsi="宋体"/>
          <w:color w:val="auto"/>
          <w:sz w:val="24"/>
          <w:highlight w:val="none"/>
          <w:u w:val="single"/>
        </w:rPr>
        <w:t>】</w:t>
      </w:r>
      <w:r>
        <w:rPr>
          <w:rFonts w:hint="eastAsia" w:ascii="宋体" w:hAnsi="宋体" w:cs="宋体"/>
          <w:color w:val="auto"/>
          <w:sz w:val="24"/>
          <w:szCs w:val="24"/>
          <w:highlight w:val="none"/>
        </w:rPr>
        <w:t>批准建设，</w:t>
      </w:r>
      <w:r>
        <w:rPr>
          <w:rFonts w:ascii="宋体" w:hAnsi="宋体"/>
          <w:color w:val="auto"/>
          <w:sz w:val="24"/>
          <w:highlight w:val="none"/>
        </w:rPr>
        <w:t>项目业主为</w:t>
      </w:r>
      <w:r>
        <w:rPr>
          <w:rFonts w:hint="eastAsia" w:ascii="宋体" w:hAnsi="宋体"/>
          <w:color w:val="auto"/>
          <w:sz w:val="24"/>
          <w:highlight w:val="none"/>
          <w:u w:val="single"/>
        </w:rPr>
        <w:t>广州智都悦港商业投资有限公司</w:t>
      </w:r>
      <w:r>
        <w:rPr>
          <w:rFonts w:ascii="宋体" w:hAnsi="宋体"/>
          <w:color w:val="auto"/>
          <w:sz w:val="24"/>
          <w:highlight w:val="none"/>
        </w:rPr>
        <w:t>，</w:t>
      </w:r>
      <w:r>
        <w:rPr>
          <w:rFonts w:hint="eastAsia" w:ascii="宋体" w:hAnsi="宋体" w:cs="宋体"/>
          <w:color w:val="auto"/>
          <w:sz w:val="24"/>
          <w:szCs w:val="24"/>
          <w:highlight w:val="none"/>
        </w:rPr>
        <w:t>项目资金为</w:t>
      </w:r>
      <w:r>
        <w:rPr>
          <w:rFonts w:hint="eastAsia" w:ascii="宋体" w:hAnsi="宋体" w:cs="宋体"/>
          <w:color w:val="auto"/>
          <w:sz w:val="24"/>
          <w:szCs w:val="24"/>
          <w:highlight w:val="none"/>
          <w:u w:val="single"/>
        </w:rPr>
        <w:t>自筹资金100%</w:t>
      </w:r>
      <w:r>
        <w:rPr>
          <w:rFonts w:hint="eastAsia" w:ascii="宋体" w:hAnsi="宋体" w:cs="宋体"/>
          <w:color w:val="auto"/>
          <w:sz w:val="24"/>
          <w:szCs w:val="24"/>
          <w:highlight w:val="none"/>
        </w:rPr>
        <w:t>。招标人为</w:t>
      </w:r>
      <w:r>
        <w:rPr>
          <w:rFonts w:hint="eastAsia" w:ascii="宋体" w:hAnsi="宋体" w:cs="宋体"/>
          <w:color w:val="auto"/>
          <w:sz w:val="24"/>
          <w:szCs w:val="24"/>
          <w:highlight w:val="none"/>
          <w:u w:val="single"/>
        </w:rPr>
        <w:t>广州智都悦港商业投资有限公司</w:t>
      </w:r>
      <w:r>
        <w:rPr>
          <w:rFonts w:hint="eastAsia" w:ascii="宋体" w:hAnsi="宋体" w:cs="宋体"/>
          <w:color w:val="auto"/>
          <w:sz w:val="24"/>
          <w:szCs w:val="24"/>
          <w:highlight w:val="none"/>
        </w:rPr>
        <w:t>。项目已具备招标条件，现对该项目的</w:t>
      </w:r>
      <w:r>
        <w:rPr>
          <w:rFonts w:hint="eastAsia" w:ascii="宋体" w:hAnsi="宋体" w:cs="宋体"/>
          <w:color w:val="auto"/>
          <w:sz w:val="24"/>
          <w:szCs w:val="24"/>
          <w:highlight w:val="none"/>
          <w:u w:val="single"/>
        </w:rPr>
        <w:t>监理</w:t>
      </w:r>
      <w:r>
        <w:rPr>
          <w:rFonts w:hint="eastAsia" w:ascii="宋体" w:hAnsi="宋体" w:cs="宋体"/>
          <w:color w:val="auto"/>
          <w:sz w:val="24"/>
          <w:szCs w:val="24"/>
          <w:highlight w:val="none"/>
        </w:rPr>
        <w:t>进行公开招标。</w:t>
      </w:r>
    </w:p>
    <w:p w14:paraId="79781E51">
      <w:pPr>
        <w:spacing w:before="156" w:beforeLines="50" w:after="156" w:afterLines="50"/>
        <w:jc w:val="left"/>
        <w:textAlignment w:val="center"/>
        <w:outlineLvl w:val="1"/>
        <w:rPr>
          <w:rFonts w:hint="eastAsia" w:ascii="宋体" w:hAnsi="宋体"/>
          <w:b/>
          <w:bCs/>
          <w:color w:val="auto"/>
          <w:kern w:val="0"/>
          <w:sz w:val="36"/>
          <w:szCs w:val="32"/>
          <w:highlight w:val="none"/>
        </w:rPr>
      </w:pPr>
      <w:r>
        <w:rPr>
          <w:rFonts w:ascii="宋体" w:hAnsi="宋体"/>
          <w:b/>
          <w:bCs/>
          <w:color w:val="auto"/>
          <w:kern w:val="0"/>
          <w:sz w:val="36"/>
          <w:szCs w:val="32"/>
          <w:highlight w:val="none"/>
        </w:rPr>
        <w:t>2.</w:t>
      </w:r>
      <w:r>
        <w:rPr>
          <w:rFonts w:hint="eastAsia" w:ascii="宋体" w:hAnsi="宋体"/>
          <w:b/>
          <w:bCs/>
          <w:color w:val="auto"/>
          <w:kern w:val="0"/>
          <w:sz w:val="36"/>
          <w:szCs w:val="32"/>
          <w:highlight w:val="none"/>
        </w:rPr>
        <w:t>项目概况与招标范围</w:t>
      </w:r>
      <w:bookmarkEnd w:id="7"/>
      <w:bookmarkEnd w:id="8"/>
      <w:bookmarkEnd w:id="9"/>
    </w:p>
    <w:p w14:paraId="102FF22E">
      <w:pPr>
        <w:tabs>
          <w:tab w:val="left" w:pos="7513"/>
        </w:tabs>
        <w:adjustRightInd w:val="0"/>
        <w:spacing w:line="360" w:lineRule="auto"/>
        <w:ind w:firstLine="482" w:firstLineChars="200"/>
        <w:rPr>
          <w:rFonts w:hint="eastAsia" w:ascii="宋体" w:hAnsi="宋体"/>
          <w:b/>
          <w:color w:val="auto"/>
          <w:sz w:val="24"/>
          <w:szCs w:val="24"/>
          <w:highlight w:val="none"/>
        </w:rPr>
      </w:pPr>
      <w:r>
        <w:rPr>
          <w:rFonts w:ascii="宋体" w:hAnsi="宋体"/>
          <w:b/>
          <w:color w:val="auto"/>
          <w:sz w:val="24"/>
          <w:szCs w:val="24"/>
          <w:highlight w:val="none"/>
        </w:rPr>
        <w:t>2.1招标项目概况</w:t>
      </w:r>
    </w:p>
    <w:p w14:paraId="1A6A96B8">
      <w:pPr>
        <w:tabs>
          <w:tab w:val="left" w:pos="7513"/>
        </w:tabs>
        <w:adjustRightInd w:val="0"/>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2.1.1</w:t>
      </w:r>
      <w:r>
        <w:rPr>
          <w:rFonts w:hint="eastAsia" w:ascii="宋体" w:hAnsi="宋体"/>
          <w:color w:val="auto"/>
          <w:sz w:val="24"/>
          <w:szCs w:val="24"/>
          <w:highlight w:val="none"/>
        </w:rPr>
        <w:t>招标</w:t>
      </w:r>
      <w:r>
        <w:rPr>
          <w:rFonts w:ascii="宋体" w:hAnsi="宋体"/>
          <w:color w:val="auto"/>
          <w:sz w:val="24"/>
          <w:szCs w:val="24"/>
          <w:highlight w:val="none"/>
        </w:rPr>
        <w:t>项目名称：</w:t>
      </w:r>
      <w:r>
        <w:rPr>
          <w:rFonts w:hint="eastAsia" w:ascii="宋体" w:hAnsi="宋体" w:cs="宋体"/>
          <w:color w:val="auto"/>
          <w:sz w:val="24"/>
          <w:szCs w:val="24"/>
          <w:highlight w:val="none"/>
          <w:u w:val="single"/>
        </w:rPr>
        <w:t>智都空港商业中心(一期)项目监理服务</w:t>
      </w:r>
    </w:p>
    <w:p w14:paraId="0624D9AE">
      <w:pPr>
        <w:tabs>
          <w:tab w:val="left" w:pos="7513"/>
        </w:tabs>
        <w:adjustRightInd w:val="0"/>
        <w:spacing w:line="360" w:lineRule="auto"/>
        <w:ind w:firstLine="480" w:firstLineChars="200"/>
        <w:rPr>
          <w:rFonts w:hint="eastAsia" w:ascii="宋体" w:hAnsi="宋体"/>
          <w:color w:val="auto"/>
          <w:sz w:val="24"/>
          <w:szCs w:val="24"/>
          <w:highlight w:val="none"/>
          <w:u w:val="single"/>
        </w:rPr>
      </w:pPr>
      <w:bookmarkStart w:id="10" w:name="_Hlk81225705"/>
      <w:r>
        <w:rPr>
          <w:rFonts w:ascii="宋体" w:hAnsi="宋体"/>
          <w:color w:val="auto"/>
          <w:sz w:val="24"/>
          <w:szCs w:val="24"/>
          <w:highlight w:val="none"/>
        </w:rPr>
        <w:t>2.1.2工程建设规模：</w:t>
      </w:r>
      <w:r>
        <w:rPr>
          <w:rFonts w:hint="eastAsia" w:ascii="宋体" w:hAnsi="宋体"/>
          <w:color w:val="auto"/>
          <w:sz w:val="24"/>
          <w:szCs w:val="24"/>
          <w:highlight w:val="none"/>
          <w:u w:val="single"/>
        </w:rPr>
        <w:t>项目位于花都区金谷南路以东、花北路以北，总占地面积9238.64平方米，总投资约3.71亿元，总计容建筑面积约27715平方米，定位为集产、商、住多元业态产品为一体的高品质综合配套中心。现进行一期商业开发，一期投资约2.41亿元，计容建面约17700平方米，新建商业、停车场等配套设施，构建联动片区产业融合的服务平台及高端服务产业链，建立区域商务商业发展集合点，刷新片区价值认知，促进传统产业升级提档，塑造新特色消费体验区。最大单体建筑面积约19532平方米，最大单跨跨度约11米，建筑高度约23.95米。（具体项目以初步设计审查和相关政府部门审查确定的建设项目、建设规模、建设标准等为准）</w:t>
      </w:r>
    </w:p>
    <w:p w14:paraId="4EBF8A9A">
      <w:pPr>
        <w:pStyle w:val="2"/>
        <w:adjustRightInd w:val="0"/>
        <w:ind w:firstLine="480" w:firstLineChars="200"/>
        <w:rPr>
          <w:rFonts w:hint="eastAsia" w:ascii="宋体" w:hAnsi="宋体"/>
          <w:color w:val="auto"/>
          <w:sz w:val="24"/>
          <w:highlight w:val="none"/>
          <w:u w:val="single"/>
        </w:rPr>
      </w:pPr>
      <w:r>
        <w:rPr>
          <w:rFonts w:ascii="宋体" w:hAnsi="宋体"/>
          <w:color w:val="auto"/>
          <w:sz w:val="24"/>
          <w:highlight w:val="none"/>
        </w:rPr>
        <w:t>2.1.3</w:t>
      </w:r>
      <w:r>
        <w:rPr>
          <w:rFonts w:hint="eastAsia" w:ascii="宋体" w:hAnsi="宋体"/>
          <w:color w:val="auto"/>
          <w:sz w:val="24"/>
          <w:highlight w:val="none"/>
        </w:rPr>
        <w:t>工程建设地点：</w:t>
      </w:r>
      <w:r>
        <w:rPr>
          <w:rFonts w:hint="eastAsia" w:ascii="宋体" w:hAnsi="宋体"/>
          <w:color w:val="auto"/>
          <w:sz w:val="24"/>
          <w:highlight w:val="none"/>
          <w:u w:val="single"/>
        </w:rPr>
        <w:t>广州市花都区花东镇先科一路以北、高信一路以东</w:t>
      </w:r>
    </w:p>
    <w:p w14:paraId="25351E19">
      <w:pPr>
        <w:tabs>
          <w:tab w:val="left" w:pos="7513"/>
        </w:tabs>
        <w:adjustRightInd w:val="0"/>
        <w:spacing w:line="360" w:lineRule="auto"/>
        <w:ind w:firstLine="480" w:firstLineChars="200"/>
        <w:rPr>
          <w:rFonts w:hint="eastAsia" w:ascii="宋体" w:hAnsi="宋体" w:cs="宋体"/>
          <w:color w:val="auto"/>
          <w:sz w:val="24"/>
          <w:highlight w:val="none"/>
          <w:u w:val="single"/>
        </w:rPr>
      </w:pPr>
      <w:r>
        <w:rPr>
          <w:rFonts w:ascii="宋体" w:hAnsi="宋体"/>
          <w:color w:val="auto"/>
          <w:sz w:val="24"/>
          <w:szCs w:val="24"/>
          <w:highlight w:val="none"/>
        </w:rPr>
        <w:t>2.1.4建筑安装工程费：</w:t>
      </w:r>
      <w:r>
        <w:rPr>
          <w:rFonts w:hint="eastAsia" w:ascii="宋体" w:hAnsi="宋体" w:cs="宋体"/>
          <w:color w:val="auto"/>
          <w:sz w:val="24"/>
          <w:szCs w:val="24"/>
          <w:highlight w:val="none"/>
          <w:u w:val="single"/>
        </w:rPr>
        <w:t>暂定为人民币80043360.21元。</w:t>
      </w:r>
    </w:p>
    <w:bookmarkEnd w:id="10"/>
    <w:p w14:paraId="01D06AFF">
      <w:pPr>
        <w:tabs>
          <w:tab w:val="left" w:pos="7513"/>
        </w:tabs>
        <w:adjustRightInd w:val="0"/>
        <w:spacing w:line="360" w:lineRule="auto"/>
        <w:ind w:firstLine="482" w:firstLineChars="200"/>
        <w:rPr>
          <w:rFonts w:hint="eastAsia" w:ascii="宋体" w:hAnsi="宋体"/>
          <w:b/>
          <w:color w:val="auto"/>
          <w:sz w:val="24"/>
          <w:szCs w:val="24"/>
          <w:highlight w:val="none"/>
        </w:rPr>
      </w:pPr>
      <w:r>
        <w:rPr>
          <w:rFonts w:ascii="宋体" w:hAnsi="宋体"/>
          <w:b/>
          <w:color w:val="auto"/>
          <w:sz w:val="24"/>
          <w:szCs w:val="24"/>
          <w:highlight w:val="none"/>
        </w:rPr>
        <w:t>2.2招标范围</w:t>
      </w:r>
    </w:p>
    <w:p w14:paraId="33A557CF">
      <w:pPr>
        <w:tabs>
          <w:tab w:val="left" w:pos="7513"/>
        </w:tabs>
        <w:adjustRightInd w:val="0"/>
        <w:snapToGrid w:val="0"/>
        <w:spacing w:line="360" w:lineRule="auto"/>
        <w:ind w:firstLine="480" w:firstLineChars="200"/>
        <w:rPr>
          <w:rFonts w:hint="eastAsia" w:ascii="宋体" w:hAnsi="宋体" w:cs="宋体"/>
          <w:color w:val="auto"/>
          <w:sz w:val="24"/>
          <w:szCs w:val="24"/>
          <w:highlight w:val="none"/>
        </w:rPr>
      </w:pPr>
      <w:r>
        <w:rPr>
          <w:rFonts w:ascii="宋体" w:hAnsi="宋体"/>
          <w:color w:val="auto"/>
          <w:sz w:val="24"/>
          <w:szCs w:val="24"/>
          <w:highlight w:val="none"/>
        </w:rPr>
        <w:t>2.2.1</w:t>
      </w:r>
      <w:r>
        <w:rPr>
          <w:rFonts w:hint="eastAsia" w:ascii="宋体" w:hAnsi="宋体"/>
          <w:bCs/>
          <w:color w:val="auto"/>
          <w:sz w:val="24"/>
          <w:highlight w:val="none"/>
        </w:rPr>
        <w:t>标段划分：</w:t>
      </w:r>
      <w:r>
        <w:rPr>
          <w:rFonts w:hint="eastAsia" w:ascii="宋体" w:hAnsi="宋体"/>
          <w:color w:val="auto"/>
          <w:sz w:val="24"/>
          <w:highlight w:val="none"/>
          <w:u w:val="single"/>
        </w:rPr>
        <w:t>本项目设1个标段。</w:t>
      </w:r>
    </w:p>
    <w:p w14:paraId="412FB6C3">
      <w:pPr>
        <w:adjustRightInd w:val="0"/>
        <w:snapToGrid w:val="0"/>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2.2.2</w:t>
      </w:r>
      <w:r>
        <w:rPr>
          <w:rFonts w:ascii="宋体" w:hAnsi="宋体"/>
          <w:color w:val="auto"/>
          <w:sz w:val="24"/>
          <w:szCs w:val="24"/>
          <w:highlight w:val="none"/>
        </w:rPr>
        <w:t>招标范围：</w:t>
      </w:r>
    </w:p>
    <w:p w14:paraId="2880C4F7">
      <w:pPr>
        <w:adjustRightInd w:val="0"/>
        <w:snapToGrid w:val="0"/>
        <w:spacing w:line="360" w:lineRule="auto"/>
        <w:ind w:firstLine="480" w:firstLineChars="200"/>
        <w:jc w:val="left"/>
        <w:rPr>
          <w:rFonts w:hint="eastAsia" w:ascii="宋体" w:hAnsi="宋体"/>
          <w:color w:val="auto"/>
          <w:sz w:val="24"/>
          <w:szCs w:val="24"/>
          <w:highlight w:val="none"/>
          <w:u w:val="single"/>
        </w:rPr>
      </w:pPr>
      <w:r>
        <w:rPr>
          <w:rFonts w:hint="eastAsia" w:ascii="宋体" w:hAnsi="宋体"/>
          <w:color w:val="auto"/>
          <w:sz w:val="24"/>
          <w:szCs w:val="24"/>
          <w:highlight w:val="none"/>
          <w:u w:val="single"/>
        </w:rPr>
        <w:t>本项目立项及可研批复的所有工程（总承包、专业分包及专业采购）、服务内容的监理，包括临时用水、临时用电、围墙、管线迁改等前期工程的施工监理，具体以实际实施的监理范围为准。本项目</w:t>
      </w:r>
      <w:r>
        <w:rPr>
          <w:rFonts w:hint="eastAsia" w:ascii="宋体" w:hAnsi="宋体"/>
          <w:color w:val="auto"/>
          <w:sz w:val="24"/>
          <w:szCs w:val="24"/>
          <w:highlight w:val="none"/>
          <w:u w:val="single"/>
          <w:lang w:val="en-US" w:eastAsia="zh-CN"/>
        </w:rPr>
        <w:t>设计阶段、</w:t>
      </w:r>
      <w:r>
        <w:rPr>
          <w:rFonts w:hint="eastAsia" w:ascii="宋体" w:hAnsi="宋体"/>
          <w:color w:val="auto"/>
          <w:sz w:val="24"/>
          <w:szCs w:val="24"/>
          <w:highlight w:val="none"/>
          <w:u w:val="single"/>
        </w:rPr>
        <w:t>施工准备阶段、施工阶段、工程收尾阶段（包括竣工验收及资料移交城建档案、整改、工程移交及实物移交、工程结算、竣工备案、决算等）及工程质量保修阶段的全过程监理服务。含监理服务期内的质量控制、职业健康安全及环境监督管理、投资控制、进度控制、安全生产监督管理、合同管理、信息管理、组织协调等监理工作。具体详见合同条款约定。</w:t>
      </w:r>
    </w:p>
    <w:p w14:paraId="126F9184">
      <w:pPr>
        <w:tabs>
          <w:tab w:val="left" w:pos="7513"/>
        </w:tabs>
        <w:adjustRightInd w:val="0"/>
        <w:snapToGrid w:val="0"/>
        <w:spacing w:line="360" w:lineRule="auto"/>
        <w:ind w:firstLine="480" w:firstLineChars="200"/>
        <w:rPr>
          <w:rFonts w:hint="eastAsia" w:ascii="宋体" w:hAnsi="宋体"/>
          <w:color w:val="auto"/>
          <w:sz w:val="24"/>
          <w:szCs w:val="24"/>
          <w:highlight w:val="none"/>
          <w:lang w:val="en-US" w:eastAsia="zh-CN"/>
        </w:rPr>
      </w:pPr>
      <w:r>
        <w:rPr>
          <w:rFonts w:ascii="宋体" w:hAnsi="宋体"/>
          <w:color w:val="auto"/>
          <w:sz w:val="24"/>
          <w:szCs w:val="24"/>
          <w:highlight w:val="none"/>
        </w:rPr>
        <w:t>2.2.3</w:t>
      </w:r>
      <w:r>
        <w:rPr>
          <w:rFonts w:hint="eastAsia" w:ascii="宋体" w:hAnsi="宋体"/>
          <w:color w:val="auto"/>
          <w:sz w:val="24"/>
          <w:szCs w:val="24"/>
          <w:highlight w:val="none"/>
        </w:rPr>
        <w:t>监理</w:t>
      </w:r>
      <w:r>
        <w:rPr>
          <w:rFonts w:ascii="宋体" w:hAnsi="宋体"/>
          <w:color w:val="auto"/>
          <w:sz w:val="24"/>
          <w:szCs w:val="24"/>
          <w:highlight w:val="none"/>
        </w:rPr>
        <w:t>服务</w:t>
      </w:r>
      <w:r>
        <w:rPr>
          <w:rFonts w:hint="eastAsia" w:ascii="宋体" w:hAnsi="宋体"/>
          <w:color w:val="auto"/>
          <w:sz w:val="24"/>
          <w:szCs w:val="24"/>
          <w:highlight w:val="none"/>
        </w:rPr>
        <w:t>期限：</w:t>
      </w:r>
      <w:bookmarkStart w:id="36" w:name="_GoBack"/>
      <w:r>
        <w:rPr>
          <w:rFonts w:hint="eastAsia" w:ascii="宋体" w:hAnsi="宋体"/>
          <w:color w:val="auto"/>
          <w:sz w:val="24"/>
          <w:szCs w:val="24"/>
          <w:highlight w:val="none"/>
          <w:u w:val="single"/>
          <w:lang w:val="en-US" w:eastAsia="zh-CN"/>
        </w:rPr>
        <w:t>暂定</w:t>
      </w:r>
      <w:r>
        <w:rPr>
          <w:rFonts w:hint="eastAsia" w:ascii="宋体" w:hAnsi="宋体"/>
          <w:color w:val="auto"/>
          <w:sz w:val="24"/>
          <w:szCs w:val="24"/>
          <w:highlight w:val="none"/>
          <w:u w:val="single"/>
          <w:lang w:eastAsia="zh-CN"/>
        </w:rPr>
        <w:t>841</w:t>
      </w:r>
      <w:r>
        <w:rPr>
          <w:rFonts w:hint="eastAsia" w:ascii="宋体" w:hAnsi="宋体"/>
          <w:color w:val="auto"/>
          <w:sz w:val="24"/>
          <w:szCs w:val="24"/>
          <w:highlight w:val="none"/>
          <w:u w:val="single"/>
          <w:lang w:val="en-US" w:eastAsia="zh-CN"/>
        </w:rPr>
        <w:t>个日历</w:t>
      </w:r>
      <w:r>
        <w:rPr>
          <w:rFonts w:hint="eastAsia" w:ascii="宋体" w:hAnsi="宋体"/>
          <w:color w:val="auto"/>
          <w:sz w:val="24"/>
          <w:szCs w:val="24"/>
          <w:highlight w:val="none"/>
          <w:u w:val="single"/>
          <w:lang w:eastAsia="zh-CN"/>
        </w:rPr>
        <w:t>天，从2024年12月10日开始(具体以发包人书面通知为准)至2027年3月31日</w:t>
      </w:r>
      <w:r>
        <w:rPr>
          <w:rFonts w:hint="eastAsia" w:ascii="宋体" w:hAnsi="宋体"/>
          <w:color w:val="auto"/>
          <w:sz w:val="24"/>
          <w:szCs w:val="24"/>
          <w:highlight w:val="none"/>
          <w:u w:val="single"/>
          <w:lang w:val="en-US" w:eastAsia="zh-CN"/>
        </w:rPr>
        <w:t>止</w:t>
      </w:r>
      <w:r>
        <w:rPr>
          <w:rFonts w:hint="eastAsia" w:ascii="宋体" w:hAnsi="宋体"/>
          <w:color w:val="auto"/>
          <w:sz w:val="24"/>
          <w:szCs w:val="24"/>
          <w:highlight w:val="none"/>
          <w:u w:val="single"/>
          <w:lang w:eastAsia="zh-CN"/>
        </w:rPr>
        <w:t>。</w:t>
      </w:r>
      <w:bookmarkEnd w:id="36"/>
    </w:p>
    <w:p w14:paraId="5D2E3CCF">
      <w:pPr>
        <w:tabs>
          <w:tab w:val="left" w:pos="7513"/>
        </w:tabs>
        <w:adjustRightInd w:val="0"/>
        <w:snapToGrid w:val="0"/>
        <w:spacing w:line="360" w:lineRule="auto"/>
        <w:ind w:firstLine="482" w:firstLineChars="200"/>
        <w:rPr>
          <w:rFonts w:hint="eastAsia" w:ascii="宋体" w:hAnsi="宋体"/>
          <w:b/>
          <w:bCs/>
          <w:color w:val="auto"/>
          <w:sz w:val="24"/>
          <w:szCs w:val="24"/>
          <w:highlight w:val="none"/>
        </w:rPr>
      </w:pPr>
      <w:r>
        <w:rPr>
          <w:rFonts w:ascii="宋体" w:hAnsi="宋体"/>
          <w:b/>
          <w:bCs/>
          <w:color w:val="auto"/>
          <w:sz w:val="24"/>
          <w:szCs w:val="24"/>
          <w:highlight w:val="none"/>
        </w:rPr>
        <w:t>2.</w:t>
      </w:r>
      <w:r>
        <w:rPr>
          <w:rFonts w:hint="eastAsia" w:ascii="宋体" w:hAnsi="宋体"/>
          <w:b/>
          <w:bCs/>
          <w:color w:val="auto"/>
          <w:sz w:val="24"/>
          <w:szCs w:val="24"/>
          <w:highlight w:val="none"/>
        </w:rPr>
        <w:t>3</w:t>
      </w:r>
      <w:r>
        <w:rPr>
          <w:rFonts w:ascii="宋体" w:hAnsi="宋体"/>
          <w:b/>
          <w:bCs/>
          <w:color w:val="auto"/>
          <w:sz w:val="24"/>
          <w:szCs w:val="24"/>
          <w:highlight w:val="none"/>
        </w:rPr>
        <w:t>最高投标限价：</w:t>
      </w:r>
      <w:r>
        <w:rPr>
          <w:rFonts w:hint="eastAsia" w:ascii="宋体" w:hAnsi="宋体"/>
          <w:b/>
          <w:bCs/>
          <w:color w:val="auto"/>
          <w:sz w:val="24"/>
          <w:szCs w:val="24"/>
          <w:highlight w:val="none"/>
          <w:u w:val="single"/>
          <w:lang w:eastAsia="zh-CN"/>
        </w:rPr>
        <w:t>1770000.00</w:t>
      </w:r>
      <w:r>
        <w:rPr>
          <w:rFonts w:hint="eastAsia" w:ascii="宋体" w:hAnsi="宋体"/>
          <w:b/>
          <w:bCs/>
          <w:color w:val="auto"/>
          <w:sz w:val="24"/>
          <w:szCs w:val="24"/>
          <w:highlight w:val="none"/>
          <w:u w:val="single"/>
        </w:rPr>
        <w:t>元。</w:t>
      </w:r>
    </w:p>
    <w:p w14:paraId="51DFBDF5">
      <w:pPr>
        <w:jc w:val="left"/>
        <w:textAlignment w:val="center"/>
        <w:outlineLvl w:val="1"/>
        <w:rPr>
          <w:rFonts w:hint="eastAsia" w:ascii="宋体" w:hAnsi="宋体"/>
          <w:b/>
          <w:bCs/>
          <w:color w:val="auto"/>
          <w:kern w:val="0"/>
          <w:sz w:val="36"/>
          <w:szCs w:val="32"/>
          <w:highlight w:val="none"/>
        </w:rPr>
      </w:pPr>
      <w:bookmarkStart w:id="11" w:name="_Toc535938697"/>
      <w:bookmarkStart w:id="12" w:name="_Toc511557027"/>
      <w:bookmarkStart w:id="13" w:name="_Toc529196506"/>
      <w:r>
        <w:rPr>
          <w:rFonts w:ascii="宋体" w:hAnsi="宋体"/>
          <w:b/>
          <w:bCs/>
          <w:color w:val="auto"/>
          <w:kern w:val="0"/>
          <w:sz w:val="36"/>
          <w:szCs w:val="32"/>
          <w:highlight w:val="none"/>
        </w:rPr>
        <w:t>3.</w:t>
      </w:r>
      <w:r>
        <w:rPr>
          <w:rFonts w:hint="eastAsia" w:ascii="宋体" w:hAnsi="宋体"/>
          <w:b/>
          <w:bCs/>
          <w:color w:val="auto"/>
          <w:kern w:val="0"/>
          <w:sz w:val="36"/>
          <w:szCs w:val="32"/>
          <w:highlight w:val="none"/>
        </w:rPr>
        <w:t>投标人资格要求</w:t>
      </w:r>
      <w:bookmarkEnd w:id="11"/>
      <w:bookmarkEnd w:id="12"/>
      <w:bookmarkEnd w:id="13"/>
    </w:p>
    <w:p w14:paraId="0F873F9E">
      <w:pPr>
        <w:adjustRightInd w:val="0"/>
        <w:spacing w:line="360" w:lineRule="auto"/>
        <w:ind w:firstLine="482" w:firstLineChars="200"/>
        <w:rPr>
          <w:rFonts w:hint="eastAsia" w:ascii="宋体" w:hAnsi="宋体" w:cs="宋体"/>
          <w:b/>
          <w:bCs/>
          <w:color w:val="auto"/>
          <w:sz w:val="24"/>
          <w:highlight w:val="none"/>
          <w:u w:val="single"/>
        </w:rPr>
      </w:pPr>
      <w:r>
        <w:rPr>
          <w:rFonts w:ascii="宋体" w:hAnsi="宋体" w:cs="楷体"/>
          <w:b/>
          <w:bCs/>
          <w:color w:val="auto"/>
          <w:sz w:val="24"/>
          <w:szCs w:val="24"/>
          <w:highlight w:val="none"/>
        </w:rPr>
        <w:t>3.1</w:t>
      </w:r>
      <w:r>
        <w:rPr>
          <w:rFonts w:hint="eastAsia" w:ascii="宋体" w:hAnsi="宋体" w:cs="楷体"/>
          <w:b/>
          <w:bCs/>
          <w:color w:val="auto"/>
          <w:sz w:val="24"/>
          <w:szCs w:val="24"/>
          <w:highlight w:val="none"/>
          <w:u w:val="single"/>
        </w:rPr>
        <w:t>投标人须具备建设行政主管部门颁发的工程监理综合资质或房屋建筑工程监理专业乙级（或以上）级别资质；香港企业参加投标的，须在广东省住房和城乡建设主管部门备案且备案的业务范围满足本项目资质要求。</w:t>
      </w:r>
    </w:p>
    <w:p w14:paraId="52A03B2F">
      <w:pPr>
        <w:adjustRightInd w:val="0"/>
        <w:spacing w:line="360" w:lineRule="auto"/>
        <w:ind w:firstLine="482" w:firstLineChars="200"/>
        <w:rPr>
          <w:rFonts w:hint="eastAsia" w:ascii="宋体" w:hAnsi="宋体" w:cs="宋体"/>
          <w:b/>
          <w:bCs/>
          <w:color w:val="auto"/>
          <w:sz w:val="24"/>
          <w:highlight w:val="none"/>
          <w:u w:val="single"/>
        </w:rPr>
      </w:pPr>
      <w:r>
        <w:rPr>
          <w:rFonts w:ascii="宋体" w:hAnsi="宋体" w:cs="楷体"/>
          <w:b/>
          <w:bCs/>
          <w:color w:val="auto"/>
          <w:sz w:val="24"/>
          <w:szCs w:val="24"/>
          <w:highlight w:val="none"/>
        </w:rPr>
        <w:t>3.2</w:t>
      </w:r>
      <w:r>
        <w:rPr>
          <w:rFonts w:hint="eastAsia" w:ascii="宋体" w:hAnsi="宋体" w:cs="楷体"/>
          <w:b/>
          <w:bCs/>
          <w:color w:val="auto"/>
          <w:sz w:val="24"/>
          <w:szCs w:val="24"/>
          <w:highlight w:val="none"/>
          <w:u w:val="single"/>
        </w:rPr>
        <w:t>拟派项目总监理工程师须具有建设部</w:t>
      </w:r>
      <w:r>
        <w:rPr>
          <w:rFonts w:ascii="宋体" w:hAnsi="宋体" w:cs="楷体"/>
          <w:b/>
          <w:bCs/>
          <w:color w:val="auto"/>
          <w:sz w:val="24"/>
          <w:szCs w:val="24"/>
          <w:highlight w:val="none"/>
          <w:u w:val="single"/>
        </w:rPr>
        <w:t>2006年4月1日后颁发的中华人民共和国注册监理工程师注册执业证书，且其注册证书专业为房屋建筑工程</w:t>
      </w:r>
      <w:r>
        <w:rPr>
          <w:rFonts w:hint="eastAsia" w:ascii="宋体" w:hAnsi="宋体" w:cs="楷体"/>
          <w:b/>
          <w:bCs/>
          <w:color w:val="auto"/>
          <w:sz w:val="24"/>
          <w:szCs w:val="24"/>
          <w:highlight w:val="none"/>
          <w:u w:val="single"/>
        </w:rPr>
        <w:t>，注册执业单位为本公司，并具备本科或以上学历。</w:t>
      </w:r>
      <w:r>
        <w:rPr>
          <w:rFonts w:hint="eastAsia" w:ascii="宋体" w:hAnsi="宋体" w:cs="宋体"/>
          <w:b/>
          <w:bCs/>
          <w:color w:val="auto"/>
          <w:sz w:val="24"/>
          <w:highlight w:val="none"/>
          <w:u w:val="single"/>
        </w:rPr>
        <w:t>或已在广东省住房和城乡建设主管部门备案且备案的资格满足本项目总监理工程师的资格要求的香港专业人士</w:t>
      </w:r>
      <w:r>
        <w:rPr>
          <w:rFonts w:ascii="宋体" w:hAnsi="宋体" w:cs="宋体"/>
          <w:b/>
          <w:bCs/>
          <w:color w:val="auto"/>
          <w:sz w:val="24"/>
          <w:highlight w:val="none"/>
          <w:u w:val="single"/>
        </w:rPr>
        <w:t>。</w:t>
      </w:r>
    </w:p>
    <w:p w14:paraId="680B490C">
      <w:pPr>
        <w:adjustRightInd w:val="0"/>
        <w:spacing w:line="360" w:lineRule="auto"/>
        <w:ind w:firstLine="480" w:firstLineChars="200"/>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注：①工程监理企业资质证书有效期按《住房和城乡建设部办公厅关于建设工程企业资质延续有关事项的通知》（建办市函〔2020〕334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w:t>
      </w:r>
      <w:r>
        <w:rPr>
          <w:rFonts w:hint="eastAsia" w:ascii="宋体" w:hAnsi="宋体" w:cs="宋体"/>
          <w:color w:val="auto"/>
          <w:sz w:val="24"/>
          <w:highlight w:val="none"/>
        </w:rPr>
        <w:t>《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13FE3C6F">
      <w:pPr>
        <w:adjustRightInd w:val="0"/>
        <w:spacing w:line="360" w:lineRule="auto"/>
        <w:ind w:firstLine="480" w:firstLineChars="200"/>
        <w:rPr>
          <w:rFonts w:hint="eastAsia"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②依据《广东省住房和城乡建设厅关于印发香港工程建设咨询企业和专业人士在粤港澳大湾区内地城市开业执业试点管理暂行办法的通知》（粤建规范〔2020〕1号，详见链接：http://zfcxjst.gd.gov.cn/xxgk/wjtz/content/post_3137220.html），自2021年1月1日起，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p>
    <w:p w14:paraId="7B9941C4">
      <w:pPr>
        <w:adjustRightInd w:val="0"/>
        <w:spacing w:line="360" w:lineRule="auto"/>
        <w:ind w:firstLine="482" w:firstLineChars="200"/>
        <w:rPr>
          <w:rFonts w:hint="eastAsia" w:ascii="宋体" w:hAnsi="宋体" w:cs="楷体"/>
          <w:b/>
          <w:bCs/>
          <w:color w:val="auto"/>
          <w:sz w:val="24"/>
          <w:szCs w:val="24"/>
          <w:highlight w:val="none"/>
        </w:rPr>
      </w:pPr>
      <w:r>
        <w:rPr>
          <w:rFonts w:hint="eastAsia" w:ascii="宋体" w:hAnsi="宋体" w:cs="楷体"/>
          <w:b/>
          <w:bCs/>
          <w:color w:val="auto"/>
          <w:sz w:val="24"/>
          <w:szCs w:val="24"/>
          <w:highlight w:val="none"/>
        </w:rPr>
        <w:t>3</w:t>
      </w:r>
      <w:r>
        <w:rPr>
          <w:rFonts w:ascii="宋体" w:hAnsi="宋体" w:cs="楷体"/>
          <w:b/>
          <w:bCs/>
          <w:color w:val="auto"/>
          <w:sz w:val="24"/>
          <w:szCs w:val="24"/>
          <w:highlight w:val="none"/>
        </w:rPr>
        <w:t>.3其他要求：</w:t>
      </w:r>
    </w:p>
    <w:p w14:paraId="417CFA3C">
      <w:pPr>
        <w:adjustRightInd w:val="0"/>
        <w:spacing w:line="360" w:lineRule="auto"/>
        <w:ind w:firstLine="482" w:firstLineChars="200"/>
        <w:rPr>
          <w:rFonts w:hint="eastAsia" w:ascii="宋体" w:hAnsi="宋体" w:cs="楷体"/>
          <w:b/>
          <w:bCs/>
          <w:color w:val="auto"/>
          <w:sz w:val="24"/>
          <w:szCs w:val="24"/>
          <w:highlight w:val="none"/>
          <w:u w:val="single"/>
        </w:rPr>
      </w:pPr>
      <w:bookmarkStart w:id="14" w:name="_Toc511557028"/>
      <w:bookmarkStart w:id="15" w:name="_Toc529196507"/>
      <w:r>
        <w:rPr>
          <w:rFonts w:hint="eastAsia" w:ascii="宋体" w:hAnsi="宋体" w:cs="楷体"/>
          <w:b/>
          <w:bCs/>
          <w:color w:val="auto"/>
          <w:sz w:val="24"/>
          <w:szCs w:val="24"/>
          <w:highlight w:val="none"/>
          <w:u w:val="single"/>
        </w:rPr>
        <w:t>①投标人参加投标的意思表达清楚，投标人代表被授权有效。</w:t>
      </w:r>
    </w:p>
    <w:p w14:paraId="7298975A">
      <w:pPr>
        <w:adjustRightInd w:val="0"/>
        <w:spacing w:line="360" w:lineRule="auto"/>
        <w:ind w:firstLine="482" w:firstLineChars="200"/>
        <w:rPr>
          <w:rFonts w:hint="eastAsia" w:ascii="宋体" w:hAnsi="宋体" w:cs="楷体"/>
          <w:b/>
          <w:bCs/>
          <w:color w:val="auto"/>
          <w:sz w:val="24"/>
          <w:szCs w:val="24"/>
          <w:highlight w:val="none"/>
          <w:u w:val="single"/>
        </w:rPr>
      </w:pPr>
      <w:r>
        <w:rPr>
          <w:rFonts w:hint="eastAsia" w:ascii="宋体" w:hAnsi="宋体" w:cs="楷体"/>
          <w:b/>
          <w:bCs/>
          <w:color w:val="auto"/>
          <w:sz w:val="24"/>
          <w:szCs w:val="24"/>
          <w:highlight w:val="none"/>
          <w:u w:val="single"/>
        </w:rPr>
        <w:t>②投标人均具有独立法人资格，持有工商行政（或市场监管）管理部门核发的法人营业执照，按国家法律经营。</w:t>
      </w:r>
    </w:p>
    <w:p w14:paraId="62F34371">
      <w:pPr>
        <w:adjustRightInd w:val="0"/>
        <w:spacing w:line="360" w:lineRule="auto"/>
        <w:ind w:firstLine="482" w:firstLineChars="200"/>
        <w:rPr>
          <w:rFonts w:hint="eastAsia" w:ascii="宋体" w:hAnsi="宋体" w:cs="楷体"/>
          <w:b/>
          <w:bCs/>
          <w:color w:val="auto"/>
          <w:sz w:val="24"/>
          <w:szCs w:val="24"/>
          <w:highlight w:val="none"/>
          <w:u w:val="single"/>
        </w:rPr>
      </w:pPr>
      <w:r>
        <w:rPr>
          <w:rFonts w:hint="eastAsia" w:ascii="宋体" w:hAnsi="宋体" w:cs="楷体"/>
          <w:b/>
          <w:bCs/>
          <w:color w:val="auto"/>
          <w:sz w:val="24"/>
          <w:szCs w:val="24"/>
          <w:highlight w:val="none"/>
          <w:u w:val="single"/>
        </w:rPr>
        <w:t>③投标人已按规定格式签名盖章《投标人声明》（详见附件一）。</w:t>
      </w:r>
    </w:p>
    <w:p w14:paraId="296F27AF">
      <w:pPr>
        <w:adjustRightInd w:val="0"/>
        <w:spacing w:line="360" w:lineRule="auto"/>
        <w:ind w:firstLine="482" w:firstLineChars="200"/>
        <w:rPr>
          <w:rFonts w:hint="eastAsia" w:ascii="宋体" w:hAnsi="宋体" w:cs="楷体"/>
          <w:b/>
          <w:bCs/>
          <w:color w:val="auto"/>
          <w:sz w:val="24"/>
          <w:szCs w:val="24"/>
          <w:highlight w:val="none"/>
          <w:u w:val="single"/>
        </w:rPr>
      </w:pPr>
      <w:r>
        <w:rPr>
          <w:rFonts w:hint="eastAsia" w:ascii="宋体" w:hAnsi="宋体" w:cs="楷体"/>
          <w:b/>
          <w:bCs/>
          <w:color w:val="auto"/>
          <w:sz w:val="24"/>
          <w:szCs w:val="24"/>
          <w:highlight w:val="none"/>
          <w:u w:val="single"/>
        </w:rPr>
        <w:t>④投标人在广州市住房和城乡建设局建立了企业信用档案，且拟担任本项目的总监理工程师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监理企业信息录入指引》</w:t>
      </w:r>
    </w:p>
    <w:p w14:paraId="2852320D">
      <w:pPr>
        <w:adjustRightInd w:val="0"/>
        <w:spacing w:line="360" w:lineRule="auto"/>
        <w:ind w:firstLine="482" w:firstLineChars="200"/>
        <w:rPr>
          <w:rFonts w:hint="eastAsia" w:ascii="宋体" w:hAnsi="宋体" w:cs="楷体"/>
          <w:b/>
          <w:bCs/>
          <w:color w:val="auto"/>
          <w:sz w:val="24"/>
          <w:szCs w:val="24"/>
          <w:highlight w:val="none"/>
          <w:u w:val="single"/>
        </w:rPr>
      </w:pPr>
      <w:r>
        <w:rPr>
          <w:rFonts w:hint="eastAsia" w:ascii="宋体" w:hAnsi="宋体" w:cs="楷体"/>
          <w:b/>
          <w:bCs/>
          <w:color w:val="auto"/>
          <w:sz w:val="24"/>
          <w:szCs w:val="24"/>
          <w:highlight w:val="none"/>
          <w:u w:val="single"/>
        </w:rPr>
        <w:t>http://zfcj.gz.gov.cn/zwgk/zsdwxxgkzl/gzsjzyglfwzx/bszy/content/post_8073953.html）</w:t>
      </w:r>
    </w:p>
    <w:p w14:paraId="7456EF84">
      <w:pPr>
        <w:adjustRightInd w:val="0"/>
        <w:spacing w:line="360" w:lineRule="auto"/>
        <w:ind w:firstLine="482" w:firstLineChars="200"/>
        <w:rPr>
          <w:rFonts w:hint="eastAsia" w:ascii="宋体" w:hAnsi="宋体" w:cs="楷体"/>
          <w:b/>
          <w:bCs/>
          <w:color w:val="auto"/>
          <w:sz w:val="24"/>
          <w:szCs w:val="24"/>
          <w:highlight w:val="none"/>
          <w:u w:val="single"/>
        </w:rPr>
      </w:pPr>
      <w:r>
        <w:rPr>
          <w:rFonts w:hint="eastAsia" w:ascii="宋体" w:hAnsi="宋体" w:cs="楷体"/>
          <w:b/>
          <w:bCs/>
          <w:color w:val="auto"/>
          <w:sz w:val="24"/>
          <w:szCs w:val="24"/>
          <w:highlight w:val="none"/>
          <w:u w:val="single"/>
        </w:rPr>
        <w:t>⑤投标人未出现以下情形：与其它投标人的单位负责人为同一人或者存在控股、管理关系的（按投标人提供的《投标人声明》第六条内容进行评审）。如不同投标申请人出现单位负责人为同一人或者存在控股、管理关系的情形，则相关投标均无效。</w:t>
      </w:r>
    </w:p>
    <w:p w14:paraId="462F9024">
      <w:pPr>
        <w:adjustRightInd w:val="0"/>
        <w:spacing w:line="360" w:lineRule="auto"/>
        <w:ind w:firstLine="482" w:firstLineChars="200"/>
        <w:rPr>
          <w:rFonts w:hint="eastAsia" w:ascii="宋体" w:hAnsi="宋体" w:cs="楷体"/>
          <w:b/>
          <w:bCs/>
          <w:color w:val="auto"/>
          <w:sz w:val="24"/>
          <w:szCs w:val="24"/>
          <w:highlight w:val="none"/>
          <w:u w:val="single"/>
        </w:rPr>
      </w:pPr>
      <w:r>
        <w:rPr>
          <w:rFonts w:hint="eastAsia" w:ascii="宋体" w:hAnsi="宋体" w:cs="楷体"/>
          <w:b/>
          <w:bCs/>
          <w:color w:val="auto"/>
          <w:sz w:val="24"/>
          <w:szCs w:val="24"/>
          <w:highlight w:val="none"/>
          <w:u w:val="single"/>
        </w:rPr>
        <w:t>⑥投标人未被列入拖欠农民工工资失信联合惩戒对象名单。（按广州公共资源交易中心交易系统比对结果进行评审。）</w:t>
      </w:r>
    </w:p>
    <w:p w14:paraId="29B99237">
      <w:pPr>
        <w:adjustRightInd w:val="0"/>
        <w:spacing w:line="360" w:lineRule="auto"/>
        <w:ind w:firstLine="482" w:firstLineChars="200"/>
        <w:rPr>
          <w:rFonts w:hint="eastAsia" w:ascii="宋体" w:hAnsi="宋体" w:cs="楷体"/>
          <w:b/>
          <w:bCs/>
          <w:color w:val="auto"/>
          <w:sz w:val="24"/>
          <w:szCs w:val="24"/>
          <w:highlight w:val="none"/>
        </w:rPr>
      </w:pPr>
      <w:r>
        <w:rPr>
          <w:rFonts w:ascii="宋体" w:hAnsi="宋体" w:cs="楷体"/>
          <w:b/>
          <w:bCs/>
          <w:color w:val="auto"/>
          <w:sz w:val="24"/>
          <w:szCs w:val="24"/>
          <w:highlight w:val="none"/>
        </w:rPr>
        <w:t>3.</w:t>
      </w:r>
      <w:r>
        <w:rPr>
          <w:rFonts w:hint="eastAsia" w:ascii="宋体" w:hAnsi="宋体" w:cs="楷体"/>
          <w:b/>
          <w:bCs/>
          <w:color w:val="auto"/>
          <w:sz w:val="24"/>
          <w:szCs w:val="24"/>
          <w:highlight w:val="none"/>
        </w:rPr>
        <w:t>4</w:t>
      </w:r>
      <w:r>
        <w:rPr>
          <w:rFonts w:hint="eastAsia" w:ascii="宋体" w:hAnsi="宋体" w:cs="宋体"/>
          <w:b/>
          <w:bCs/>
          <w:color w:val="auto"/>
          <w:sz w:val="24"/>
          <w:highlight w:val="none"/>
          <w:u w:val="single"/>
        </w:rPr>
        <w:t>关于联合体投标：本项目不接受联合体投标。</w:t>
      </w:r>
    </w:p>
    <w:p w14:paraId="4F2B195A">
      <w:pPr>
        <w:spacing w:after="156" w:afterLines="50"/>
        <w:jc w:val="left"/>
        <w:textAlignment w:val="center"/>
        <w:outlineLvl w:val="1"/>
        <w:rPr>
          <w:rFonts w:hint="eastAsia" w:ascii="宋体" w:hAnsi="宋体"/>
          <w:b/>
          <w:bCs/>
          <w:color w:val="auto"/>
          <w:kern w:val="0"/>
          <w:sz w:val="36"/>
          <w:szCs w:val="32"/>
          <w:highlight w:val="none"/>
        </w:rPr>
      </w:pPr>
      <w:bookmarkStart w:id="16" w:name="_Toc535938698"/>
      <w:r>
        <w:rPr>
          <w:rFonts w:ascii="宋体" w:hAnsi="宋体"/>
          <w:b/>
          <w:bCs/>
          <w:color w:val="auto"/>
          <w:kern w:val="0"/>
          <w:sz w:val="36"/>
          <w:szCs w:val="32"/>
          <w:highlight w:val="none"/>
        </w:rPr>
        <w:t>4.</w:t>
      </w:r>
      <w:bookmarkEnd w:id="16"/>
      <w:r>
        <w:rPr>
          <w:rFonts w:hint="eastAsia" w:ascii="宋体" w:hAnsi="宋体"/>
          <w:b/>
          <w:bCs/>
          <w:color w:val="auto"/>
          <w:kern w:val="0"/>
          <w:sz w:val="36"/>
          <w:szCs w:val="32"/>
          <w:highlight w:val="none"/>
        </w:rPr>
        <w:t>招标文件的获取</w:t>
      </w:r>
    </w:p>
    <w:p w14:paraId="43787593">
      <w:pPr>
        <w:adjustRightInd w:val="0"/>
        <w:snapToGrid w:val="0"/>
        <w:spacing w:line="360" w:lineRule="auto"/>
        <w:ind w:firstLine="480" w:firstLineChars="200"/>
        <w:rPr>
          <w:rFonts w:hint="eastAsia" w:ascii="宋体" w:hAnsi="宋体"/>
          <w:color w:val="auto"/>
          <w:sz w:val="24"/>
          <w:szCs w:val="24"/>
          <w:highlight w:val="none"/>
        </w:rPr>
      </w:pPr>
      <w:bookmarkStart w:id="17" w:name="_Toc535938699"/>
      <w:r>
        <w:rPr>
          <w:rFonts w:ascii="宋体" w:hAnsi="宋体"/>
          <w:color w:val="auto"/>
          <w:sz w:val="24"/>
          <w:szCs w:val="24"/>
          <w:highlight w:val="none"/>
        </w:rPr>
        <w:t xml:space="preserve">4.1 </w:t>
      </w:r>
      <w:r>
        <w:rPr>
          <w:rFonts w:hint="eastAsia" w:ascii="宋体" w:hAnsi="宋体"/>
          <w:color w:val="auto"/>
          <w:sz w:val="24"/>
          <w:szCs w:val="24"/>
          <w:highlight w:val="none"/>
        </w:rPr>
        <w:t>凡有意参加投标者，请于</w:t>
      </w:r>
      <w:r>
        <w:rPr>
          <w:rFonts w:ascii="宋体" w:hAnsi="宋体"/>
          <w:color w:val="auto"/>
          <w:sz w:val="24"/>
          <w:szCs w:val="24"/>
          <w:highlight w:val="none"/>
          <w:u w:val="single"/>
        </w:rPr>
        <w:t>2024年</w:t>
      </w:r>
      <w:r>
        <w:rPr>
          <w:rFonts w:hint="eastAsia" w:ascii="宋体" w:hAnsi="宋体"/>
          <w:color w:val="auto"/>
          <w:sz w:val="24"/>
          <w:szCs w:val="24"/>
          <w:highlight w:val="none"/>
          <w:u w:val="single"/>
        </w:rPr>
        <w:t xml:space="preserve">  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00时00分至2024年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日  时分</w:t>
      </w:r>
      <w:r>
        <w:rPr>
          <w:rFonts w:ascii="宋体" w:hAnsi="宋体"/>
          <w:color w:val="auto"/>
          <w:sz w:val="24"/>
          <w:szCs w:val="24"/>
          <w:highlight w:val="none"/>
        </w:rPr>
        <w:t>(北京时间，下同)，登录广州公共资源交易中心网站（http://www.gzggzy.cn）（电子招标投标交易平台）下载电子招标文件。</w:t>
      </w:r>
    </w:p>
    <w:p w14:paraId="7F43671C">
      <w:pPr>
        <w:adjustRightInd w:val="0"/>
        <w:spacing w:line="360" w:lineRule="auto"/>
        <w:ind w:firstLine="480" w:firstLineChars="200"/>
        <w:rPr>
          <w:rFonts w:ascii="宋体" w:cs="宋体"/>
          <w:color w:val="auto"/>
          <w:sz w:val="24"/>
          <w:szCs w:val="24"/>
          <w:highlight w:val="none"/>
        </w:rPr>
      </w:pPr>
      <w:r>
        <w:rPr>
          <w:rFonts w:ascii="宋体" w:cs="宋体"/>
          <w:color w:val="auto"/>
          <w:sz w:val="24"/>
          <w:szCs w:val="24"/>
          <w:highlight w:val="none"/>
        </w:rPr>
        <w:t xml:space="preserve">4.2 </w:t>
      </w:r>
      <w:r>
        <w:rPr>
          <w:rFonts w:hint="eastAsia" w:ascii="宋体" w:cs="宋体"/>
          <w:color w:val="auto"/>
          <w:sz w:val="24"/>
          <w:szCs w:val="24"/>
          <w:highlight w:val="none"/>
        </w:rPr>
        <w:t>发布招标公告时间（含本日）：</w:t>
      </w:r>
      <w:r>
        <w:rPr>
          <w:rFonts w:ascii="宋体" w:hAnsi="宋体"/>
          <w:color w:val="auto"/>
          <w:sz w:val="24"/>
          <w:szCs w:val="24"/>
          <w:highlight w:val="none"/>
          <w:u w:val="single"/>
        </w:rPr>
        <w:t>2024年</w:t>
      </w:r>
      <w:r>
        <w:rPr>
          <w:rFonts w:hint="eastAsia" w:ascii="宋体" w:hAnsi="宋体"/>
          <w:color w:val="auto"/>
          <w:sz w:val="24"/>
          <w:szCs w:val="24"/>
          <w:highlight w:val="none"/>
          <w:u w:val="single"/>
        </w:rPr>
        <w:t xml:space="preserve">  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00时00分至2024年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日  时</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分</w:t>
      </w:r>
    </w:p>
    <w:p w14:paraId="57D78DCA">
      <w:pPr>
        <w:adjustRightInd w:val="0"/>
        <w:spacing w:line="360" w:lineRule="auto"/>
        <w:ind w:firstLine="480" w:firstLineChars="200"/>
        <w:rPr>
          <w:rFonts w:ascii="宋体" w:cs="宋体"/>
          <w:color w:val="auto"/>
          <w:sz w:val="24"/>
          <w:szCs w:val="24"/>
          <w:highlight w:val="none"/>
        </w:rPr>
      </w:pPr>
      <w:r>
        <w:rPr>
          <w:rFonts w:hint="eastAsia" w:ascii="宋体" w:cs="宋体"/>
          <w:color w:val="auto"/>
          <w:sz w:val="24"/>
          <w:szCs w:val="24"/>
          <w:highlight w:val="none"/>
        </w:rPr>
        <w:t>注：</w:t>
      </w:r>
      <w:r>
        <w:rPr>
          <w:rFonts w:hint="eastAsia" w:ascii="宋体" w:hAnsi="宋体"/>
          <w:color w:val="auto"/>
          <w:sz w:val="24"/>
          <w:szCs w:val="24"/>
          <w:highlight w:val="none"/>
          <w:u w:val="single"/>
        </w:rPr>
        <w:t>本公告发布之日起开始发布招标文件，发布招标公告的时间为招标公告发出之日起至递交投标文件截止时间止</w:t>
      </w:r>
      <w:r>
        <w:rPr>
          <w:rFonts w:ascii="宋体" w:hAnsi="宋体"/>
          <w:color w:val="auto"/>
          <w:sz w:val="24"/>
          <w:szCs w:val="24"/>
          <w:highlight w:val="none"/>
          <w:u w:val="single"/>
        </w:rPr>
        <w:t>,并从招标公告发布之日起开始</w:t>
      </w:r>
      <w:r>
        <w:rPr>
          <w:rFonts w:hint="eastAsia" w:ascii="宋体" w:hAnsi="宋体"/>
          <w:color w:val="auto"/>
          <w:sz w:val="24"/>
          <w:szCs w:val="24"/>
          <w:highlight w:val="none"/>
          <w:u w:val="single"/>
        </w:rPr>
        <w:t>计算备标时间。</w:t>
      </w:r>
    </w:p>
    <w:p w14:paraId="03675887">
      <w:pPr>
        <w:adjustRightInd w:val="0"/>
        <w:spacing w:line="360" w:lineRule="auto"/>
        <w:ind w:firstLine="480" w:firstLineChars="200"/>
        <w:rPr>
          <w:rFonts w:ascii="宋体" w:cs="宋体"/>
          <w:color w:val="auto"/>
          <w:sz w:val="24"/>
          <w:szCs w:val="24"/>
          <w:highlight w:val="none"/>
        </w:rPr>
      </w:pPr>
      <w:r>
        <w:rPr>
          <w:rFonts w:hint="eastAsia" w:ascii="宋体" w:cs="宋体"/>
          <w:color w:val="auto"/>
          <w:sz w:val="24"/>
          <w:szCs w:val="24"/>
          <w:highlight w:val="none"/>
          <w:lang w:bidi="ar"/>
        </w:rPr>
        <w:t xml:space="preserve">4.2.1投标人通过广州公共资源交易中心交易平台递交电子投标文件。投标人应在递交投标文件截止时间前，登录广州公共资源交易中心交易平台网站办理网上投标登记手续。按照交易平台关于全流程电子化项目的相关指南进行操作。详见：广州公共资源交易中心网站。 </w:t>
      </w:r>
    </w:p>
    <w:p w14:paraId="2EBBD3DD">
      <w:pPr>
        <w:adjustRightInd w:val="0"/>
        <w:spacing w:line="360" w:lineRule="auto"/>
        <w:ind w:firstLine="480" w:firstLineChars="200"/>
        <w:rPr>
          <w:rFonts w:ascii="宋体" w:cs="宋体"/>
          <w:color w:val="auto"/>
          <w:sz w:val="24"/>
          <w:szCs w:val="24"/>
          <w:highlight w:val="none"/>
        </w:rPr>
      </w:pPr>
      <w:r>
        <w:rPr>
          <w:rFonts w:hint="eastAsia" w:ascii="宋体" w:cs="宋体"/>
          <w:color w:val="auto"/>
          <w:sz w:val="24"/>
          <w:szCs w:val="24"/>
          <w:highlight w:val="none"/>
          <w:lang w:bidi="ar"/>
        </w:rPr>
        <w:t>4.2.2开标时间：</w:t>
      </w:r>
      <w:r>
        <w:rPr>
          <w:rFonts w:ascii="宋体" w:hAnsi="宋体"/>
          <w:color w:val="auto"/>
          <w:sz w:val="24"/>
          <w:szCs w:val="24"/>
          <w:highlight w:val="none"/>
          <w:u w:val="single"/>
        </w:rPr>
        <w:t xml:space="preserve">2024年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日  时</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分</w:t>
      </w:r>
      <w:r>
        <w:rPr>
          <w:rFonts w:hint="eastAsia" w:ascii="宋体" w:cs="宋体"/>
          <w:color w:val="auto"/>
          <w:sz w:val="24"/>
          <w:szCs w:val="24"/>
          <w:highlight w:val="none"/>
          <w:lang w:bidi="ar"/>
        </w:rPr>
        <w:t>。</w:t>
      </w:r>
    </w:p>
    <w:p w14:paraId="76BB8E30">
      <w:pPr>
        <w:adjustRightInd w:val="0"/>
        <w:spacing w:line="360" w:lineRule="auto"/>
        <w:ind w:firstLine="480" w:firstLineChars="200"/>
        <w:rPr>
          <w:rFonts w:ascii="宋体" w:cs="宋体"/>
          <w:color w:val="auto"/>
          <w:sz w:val="24"/>
          <w:szCs w:val="24"/>
          <w:highlight w:val="none"/>
          <w:lang w:bidi="ar"/>
        </w:rPr>
      </w:pPr>
      <w:r>
        <w:rPr>
          <w:rFonts w:ascii="宋体" w:cs="宋体"/>
          <w:color w:val="auto"/>
          <w:sz w:val="24"/>
          <w:szCs w:val="24"/>
          <w:highlight w:val="none"/>
          <w:lang w:bidi="ar"/>
        </w:rPr>
        <w:t>4.3本项目采用资格后审方式。</w:t>
      </w:r>
    </w:p>
    <w:p w14:paraId="144ABD87">
      <w:pPr>
        <w:adjustRightInd w:val="0"/>
        <w:spacing w:line="360" w:lineRule="auto"/>
        <w:ind w:firstLine="480" w:firstLineChars="200"/>
        <w:rPr>
          <w:rFonts w:ascii="宋体" w:cs="宋体"/>
          <w:color w:val="auto"/>
          <w:sz w:val="24"/>
          <w:szCs w:val="24"/>
          <w:highlight w:val="none"/>
          <w:lang w:bidi="ar"/>
        </w:rPr>
      </w:pPr>
      <w:r>
        <w:rPr>
          <w:rFonts w:hint="eastAsia" w:ascii="宋体" w:cs="宋体"/>
          <w:color w:val="auto"/>
          <w:sz w:val="24"/>
          <w:szCs w:val="24"/>
          <w:highlight w:val="none"/>
          <w:lang w:bidi="ar"/>
        </w:rPr>
        <w:t>4.4 潜在投标人或利害关系人对本招标公告及招标文件有异议的，应当在投标截止时间10日前向招标人书面提出。</w:t>
      </w:r>
    </w:p>
    <w:p w14:paraId="1255A1B6">
      <w:pPr>
        <w:adjustRightInd w:val="0"/>
        <w:spacing w:line="360" w:lineRule="auto"/>
        <w:ind w:firstLine="480" w:firstLineChars="200"/>
        <w:jc w:val="left"/>
        <w:textAlignment w:val="center"/>
        <w:rPr>
          <w:rFonts w:ascii="宋体" w:cs="宋体"/>
          <w:color w:val="auto"/>
          <w:sz w:val="24"/>
          <w:szCs w:val="24"/>
          <w:highlight w:val="none"/>
          <w:lang w:bidi="ar"/>
        </w:rPr>
      </w:pPr>
      <w:r>
        <w:rPr>
          <w:rFonts w:hint="eastAsia" w:ascii="宋体" w:cs="宋体"/>
          <w:color w:val="auto"/>
          <w:sz w:val="24"/>
          <w:szCs w:val="24"/>
          <w:highlight w:val="none"/>
          <w:lang w:bidi="ar"/>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A298966">
      <w:pPr>
        <w:spacing w:after="156" w:afterLines="50"/>
        <w:jc w:val="left"/>
        <w:textAlignment w:val="center"/>
        <w:outlineLvl w:val="1"/>
        <w:rPr>
          <w:rFonts w:hint="eastAsia" w:ascii="宋体" w:hAnsi="宋体"/>
          <w:b/>
          <w:bCs/>
          <w:color w:val="auto"/>
          <w:kern w:val="0"/>
          <w:sz w:val="36"/>
          <w:szCs w:val="32"/>
          <w:highlight w:val="none"/>
        </w:rPr>
      </w:pPr>
      <w:r>
        <w:rPr>
          <w:rFonts w:ascii="宋体" w:hAnsi="宋体"/>
          <w:b/>
          <w:bCs/>
          <w:color w:val="auto"/>
          <w:kern w:val="0"/>
          <w:sz w:val="36"/>
          <w:szCs w:val="32"/>
          <w:highlight w:val="none"/>
        </w:rPr>
        <w:t>5.</w:t>
      </w:r>
      <w:r>
        <w:rPr>
          <w:rFonts w:hint="eastAsia" w:ascii="宋体" w:hAnsi="宋体"/>
          <w:b/>
          <w:bCs/>
          <w:color w:val="auto"/>
          <w:kern w:val="0"/>
          <w:sz w:val="36"/>
          <w:szCs w:val="32"/>
          <w:highlight w:val="none"/>
        </w:rPr>
        <w:t>投标文件的递交</w:t>
      </w:r>
      <w:bookmarkEnd w:id="17"/>
    </w:p>
    <w:p w14:paraId="2688F66F">
      <w:pPr>
        <w:adjustRightInd w:val="0"/>
        <w:snapToGrid w:val="0"/>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5.1 </w:t>
      </w:r>
      <w:r>
        <w:rPr>
          <w:rFonts w:hint="eastAsia" w:ascii="宋体" w:hAnsi="宋体"/>
          <w:color w:val="auto"/>
          <w:sz w:val="24"/>
          <w:szCs w:val="24"/>
          <w:highlight w:val="none"/>
        </w:rPr>
        <w:t>投标文件递交的截止时间（投标截止时间，下同）为</w:t>
      </w:r>
      <w:r>
        <w:rPr>
          <w:rFonts w:ascii="宋体" w:hAnsi="宋体"/>
          <w:color w:val="auto"/>
          <w:sz w:val="24"/>
          <w:szCs w:val="24"/>
          <w:highlight w:val="none"/>
          <w:u w:val="single"/>
        </w:rPr>
        <w:t xml:space="preserve">2024年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日  时00分</w:t>
      </w:r>
      <w:r>
        <w:rPr>
          <w:rFonts w:hint="eastAsia" w:ascii="宋体" w:hAnsi="宋体"/>
          <w:color w:val="auto"/>
          <w:sz w:val="24"/>
          <w:szCs w:val="24"/>
          <w:highlight w:val="none"/>
        </w:rPr>
        <w:t>，投标人应在截止时间前通过广州公共资源交易中心数字交易平台（</w:t>
      </w:r>
      <w:r>
        <w:rPr>
          <w:rFonts w:ascii="宋体" w:hAnsi="宋体"/>
          <w:color w:val="auto"/>
          <w:sz w:val="24"/>
          <w:szCs w:val="24"/>
          <w:highlight w:val="none"/>
        </w:rPr>
        <w:t>http://www.gzggzy.cn）递交电子投标文件。</w:t>
      </w:r>
    </w:p>
    <w:p w14:paraId="6F62B4D9">
      <w:pPr>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递交备用投标文件电子光盘的规定：时间为：</w:t>
      </w:r>
      <w:r>
        <w:rPr>
          <w:rFonts w:ascii="宋体" w:hAnsi="宋体"/>
          <w:color w:val="auto"/>
          <w:sz w:val="24"/>
          <w:szCs w:val="24"/>
          <w:highlight w:val="none"/>
          <w:u w:val="single"/>
        </w:rPr>
        <w:t xml:space="preserve">2024年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日  时  分至2024年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日  时  分</w:t>
      </w:r>
      <w:r>
        <w:rPr>
          <w:rFonts w:hint="eastAsia" w:ascii="宋体" w:hAnsi="宋体"/>
          <w:color w:val="auto"/>
          <w:sz w:val="24"/>
          <w:szCs w:val="24"/>
          <w:highlight w:val="none"/>
        </w:rPr>
        <w:t>；地点：</w:t>
      </w:r>
      <w:r>
        <w:rPr>
          <w:rFonts w:hint="eastAsia" w:ascii="宋体" w:hAnsi="宋体"/>
          <w:b/>
          <w:color w:val="auto"/>
          <w:sz w:val="24"/>
          <w:szCs w:val="24"/>
          <w:highlight w:val="none"/>
        </w:rPr>
        <w:t>广州公共资源交易中心花都交易部</w:t>
      </w:r>
      <w:r>
        <w:rPr>
          <w:rFonts w:hint="eastAsia" w:ascii="宋体" w:hAnsi="宋体"/>
          <w:b/>
          <w:color w:val="auto"/>
          <w:sz w:val="24"/>
          <w:szCs w:val="24"/>
          <w:highlight w:val="none"/>
          <w:u w:val="single"/>
        </w:rPr>
        <w:t>第</w:t>
      </w:r>
      <w:r>
        <w:rPr>
          <w:rFonts w:ascii="宋体" w:hAnsi="宋体"/>
          <w:b/>
          <w:color w:val="auto"/>
          <w:sz w:val="24"/>
          <w:szCs w:val="24"/>
          <w:highlight w:val="none"/>
          <w:u w:val="single"/>
        </w:rPr>
        <w:t xml:space="preserve">  </w:t>
      </w:r>
      <w:r>
        <w:rPr>
          <w:rFonts w:hint="eastAsia" w:ascii="宋体" w:hAnsi="宋体"/>
          <w:b/>
          <w:color w:val="auto"/>
          <w:sz w:val="24"/>
          <w:szCs w:val="24"/>
          <w:highlight w:val="none"/>
          <w:u w:val="single"/>
        </w:rPr>
        <w:t>开标室</w:t>
      </w:r>
      <w:r>
        <w:rPr>
          <w:rFonts w:hint="eastAsia" w:ascii="宋体" w:hAnsi="宋体"/>
          <w:color w:val="auto"/>
          <w:sz w:val="24"/>
          <w:szCs w:val="24"/>
          <w:highlight w:val="none"/>
        </w:rPr>
        <w:t>。（电子光盘需按规定封装，投标人将数据刻录到光盘之后，投标前自行检查文件是否可以读取。）</w:t>
      </w:r>
    </w:p>
    <w:p w14:paraId="38C0CF56">
      <w:pPr>
        <w:adjustRightInd w:val="0"/>
        <w:snapToGrid w:val="0"/>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5.2 </w:t>
      </w:r>
      <w:r>
        <w:rPr>
          <w:rFonts w:hint="eastAsia" w:ascii="宋体" w:hAnsi="宋体"/>
          <w:color w:val="auto"/>
          <w:sz w:val="24"/>
          <w:szCs w:val="24"/>
          <w:highlight w:val="none"/>
        </w:rPr>
        <w:t>逾期送达的投标文件，电子招标投标交易平台将予以拒收。</w:t>
      </w:r>
    </w:p>
    <w:p w14:paraId="57DEDC4D">
      <w:pPr>
        <w:spacing w:after="156" w:afterLines="50"/>
        <w:jc w:val="left"/>
        <w:textAlignment w:val="center"/>
        <w:outlineLvl w:val="1"/>
        <w:rPr>
          <w:rFonts w:hint="eastAsia" w:ascii="宋体" w:hAnsi="宋体"/>
          <w:b/>
          <w:bCs/>
          <w:color w:val="auto"/>
          <w:kern w:val="0"/>
          <w:sz w:val="36"/>
          <w:szCs w:val="32"/>
          <w:highlight w:val="none"/>
        </w:rPr>
      </w:pPr>
      <w:bookmarkStart w:id="18" w:name="_Toc535938700"/>
      <w:r>
        <w:rPr>
          <w:rFonts w:ascii="宋体" w:hAnsi="宋体"/>
          <w:b/>
          <w:bCs/>
          <w:color w:val="auto"/>
          <w:kern w:val="0"/>
          <w:sz w:val="36"/>
          <w:szCs w:val="32"/>
          <w:highlight w:val="none"/>
        </w:rPr>
        <w:t>6.</w:t>
      </w:r>
      <w:bookmarkEnd w:id="18"/>
      <w:bookmarkStart w:id="19" w:name="_Toc535938701"/>
      <w:r>
        <w:rPr>
          <w:rFonts w:hint="eastAsia" w:ascii="宋体" w:hAnsi="宋体"/>
          <w:b/>
          <w:bCs/>
          <w:color w:val="auto"/>
          <w:kern w:val="0"/>
          <w:sz w:val="36"/>
          <w:szCs w:val="32"/>
          <w:highlight w:val="none"/>
        </w:rPr>
        <w:t>发布公告的媒介</w:t>
      </w:r>
      <w:bookmarkEnd w:id="19"/>
    </w:p>
    <w:p w14:paraId="1BB6497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本次招标公告同时在</w:t>
      </w:r>
      <w:r>
        <w:rPr>
          <w:rFonts w:ascii="宋体" w:hAnsi="宋体"/>
          <w:color w:val="auto"/>
          <w:sz w:val="24"/>
          <w:szCs w:val="24"/>
          <w:highlight w:val="none"/>
          <w:u w:val="single"/>
        </w:rPr>
        <w:t>广州公共资源交易中心网（</w:t>
      </w:r>
      <w:r>
        <w:rPr>
          <w:rFonts w:hint="eastAsia" w:ascii="宋体" w:hAnsi="宋体"/>
          <w:color w:val="auto"/>
          <w:sz w:val="24"/>
          <w:szCs w:val="24"/>
          <w:highlight w:val="none"/>
          <w:u w:val="single"/>
        </w:rPr>
        <w:t>网址：</w:t>
      </w:r>
      <w:r>
        <w:rPr>
          <w:rFonts w:ascii="宋体" w:hAnsi="宋体"/>
          <w:color w:val="auto"/>
          <w:sz w:val="24"/>
          <w:szCs w:val="24"/>
          <w:highlight w:val="none"/>
          <w:u w:val="single"/>
        </w:rPr>
        <w:t>http://www.gzggzy.cn）、广东省招标投标监管网（</w:t>
      </w:r>
      <w:r>
        <w:rPr>
          <w:rFonts w:hint="eastAsia" w:ascii="宋体" w:hAnsi="宋体"/>
          <w:color w:val="auto"/>
          <w:sz w:val="24"/>
          <w:szCs w:val="24"/>
          <w:highlight w:val="none"/>
          <w:u w:val="single"/>
        </w:rPr>
        <w:t>网址：</w:t>
      </w:r>
      <w:r>
        <w:rPr>
          <w:rFonts w:ascii="宋体" w:hAnsi="宋体"/>
          <w:color w:val="auto"/>
          <w:sz w:val="24"/>
          <w:szCs w:val="24"/>
          <w:highlight w:val="none"/>
          <w:u w:val="single"/>
        </w:rPr>
        <w:t>http://zbtb.gd.gov.cn/）和中国招标投标公共服务平台（</w:t>
      </w:r>
      <w:r>
        <w:rPr>
          <w:rFonts w:hint="eastAsia" w:ascii="宋体" w:hAnsi="宋体"/>
          <w:color w:val="auto"/>
          <w:sz w:val="24"/>
          <w:szCs w:val="24"/>
          <w:highlight w:val="none"/>
          <w:u w:val="single"/>
        </w:rPr>
        <w:t>网址：</w:t>
      </w:r>
      <w:r>
        <w:rPr>
          <w:rFonts w:ascii="宋体" w:hAnsi="宋体"/>
          <w:color w:val="auto"/>
          <w:sz w:val="24"/>
          <w:szCs w:val="24"/>
          <w:highlight w:val="none"/>
          <w:u w:val="single"/>
        </w:rPr>
        <w:t>http：//www.cebpubservice.com/）等媒体</w:t>
      </w:r>
      <w:r>
        <w:rPr>
          <w:rFonts w:ascii="宋体" w:hAnsi="宋体"/>
          <w:color w:val="auto"/>
          <w:sz w:val="24"/>
          <w:szCs w:val="24"/>
          <w:highlight w:val="none"/>
        </w:rPr>
        <w:t>上发布</w:t>
      </w:r>
      <w:r>
        <w:rPr>
          <w:rFonts w:ascii="宋体" w:hAnsi="宋体"/>
          <w:color w:val="auto"/>
          <w:sz w:val="24"/>
          <w:szCs w:val="24"/>
          <w:highlight w:val="none"/>
          <w:u w:val="single"/>
        </w:rPr>
        <w:t>，本公告的修改、补充，在广州公共资源交易中心网站</w:t>
      </w:r>
      <w:r>
        <w:rPr>
          <w:rFonts w:ascii="宋体" w:hAnsi="宋体"/>
          <w:color w:val="auto"/>
          <w:sz w:val="24"/>
          <w:szCs w:val="24"/>
          <w:highlight w:val="none"/>
        </w:rPr>
        <w:t>上发布。</w:t>
      </w:r>
    </w:p>
    <w:p w14:paraId="3B2C5B3A">
      <w:pPr>
        <w:pStyle w:val="11"/>
        <w:ind w:left="420"/>
        <w:rPr>
          <w:color w:val="auto"/>
          <w:highlight w:val="none"/>
        </w:rPr>
      </w:pPr>
    </w:p>
    <w:bookmarkEnd w:id="14"/>
    <w:bookmarkEnd w:id="15"/>
    <w:p w14:paraId="2FB49E7B">
      <w:pPr>
        <w:spacing w:after="156" w:afterLines="50"/>
        <w:jc w:val="left"/>
        <w:textAlignment w:val="center"/>
        <w:outlineLvl w:val="1"/>
        <w:rPr>
          <w:rFonts w:hint="eastAsia" w:ascii="宋体" w:hAnsi="宋体"/>
          <w:b/>
          <w:bCs/>
          <w:color w:val="auto"/>
          <w:kern w:val="0"/>
          <w:sz w:val="36"/>
          <w:szCs w:val="32"/>
          <w:highlight w:val="none"/>
        </w:rPr>
      </w:pPr>
      <w:bookmarkStart w:id="20" w:name="_Toc535938702"/>
      <w:bookmarkStart w:id="21" w:name="_Toc511557031"/>
      <w:bookmarkStart w:id="22" w:name="_Toc516170523"/>
      <w:bookmarkStart w:id="23" w:name="_Toc529196510"/>
      <w:bookmarkStart w:id="24" w:name="_Toc247513936"/>
      <w:bookmarkStart w:id="25" w:name="_Toc152042290"/>
      <w:bookmarkStart w:id="26" w:name="_Toc152045514"/>
      <w:bookmarkStart w:id="27" w:name="_Toc369531499"/>
      <w:bookmarkStart w:id="28" w:name="_Toc144974482"/>
      <w:bookmarkStart w:id="29" w:name="_Toc300834931"/>
      <w:bookmarkStart w:id="30" w:name="_Toc384308189"/>
      <w:bookmarkStart w:id="31" w:name="_Toc361508564"/>
      <w:bookmarkStart w:id="32" w:name="_Toc352691457"/>
      <w:bookmarkStart w:id="33" w:name="_Toc247527537"/>
      <w:bookmarkStart w:id="34" w:name="_Toc2312"/>
      <w:r>
        <w:rPr>
          <w:rFonts w:ascii="宋体" w:hAnsi="宋体"/>
          <w:b/>
          <w:bCs/>
          <w:color w:val="auto"/>
          <w:kern w:val="0"/>
          <w:sz w:val="36"/>
          <w:szCs w:val="32"/>
          <w:highlight w:val="none"/>
        </w:rPr>
        <w:t>7.</w:t>
      </w:r>
      <w:r>
        <w:rPr>
          <w:rFonts w:hint="eastAsia" w:ascii="宋体" w:hAnsi="宋体"/>
          <w:b/>
          <w:bCs/>
          <w:color w:val="auto"/>
          <w:kern w:val="0"/>
          <w:sz w:val="36"/>
          <w:szCs w:val="32"/>
          <w:highlight w:val="none"/>
        </w:rPr>
        <w:t>联系方式</w:t>
      </w:r>
      <w:bookmarkEnd w:id="20"/>
      <w:bookmarkEnd w:id="21"/>
      <w:bookmarkEnd w:id="22"/>
      <w:bookmarkEnd w:id="23"/>
    </w:p>
    <w:bookmarkEnd w:id="24"/>
    <w:bookmarkEnd w:id="25"/>
    <w:bookmarkEnd w:id="26"/>
    <w:bookmarkEnd w:id="27"/>
    <w:bookmarkEnd w:id="28"/>
    <w:bookmarkEnd w:id="29"/>
    <w:bookmarkEnd w:id="30"/>
    <w:bookmarkEnd w:id="31"/>
    <w:bookmarkEnd w:id="32"/>
    <w:bookmarkEnd w:id="33"/>
    <w:bookmarkEnd w:id="34"/>
    <w:p w14:paraId="3F30A96E">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招   标   人：</w:t>
      </w:r>
      <w:r>
        <w:rPr>
          <w:rFonts w:hint="eastAsia" w:ascii="宋体" w:hAnsi="宋体" w:cs="宋体"/>
          <w:color w:val="auto"/>
          <w:sz w:val="24"/>
          <w:szCs w:val="24"/>
          <w:highlight w:val="none"/>
          <w:u w:val="single"/>
        </w:rPr>
        <w:t>广州智都悦港商业投资有限公司</w:t>
      </w:r>
    </w:p>
    <w:p w14:paraId="48E0A52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广州市花都区花城街迎宾大道95号交通局大楼17楼1709室</w:t>
      </w:r>
    </w:p>
    <w:p w14:paraId="6D2C6184">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u w:val="single"/>
        </w:rPr>
        <w:t>尹先生</w:t>
      </w: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020-62996169</w:t>
      </w:r>
    </w:p>
    <w:p w14:paraId="5AA6066E">
      <w:pPr>
        <w:pStyle w:val="11"/>
        <w:ind w:left="420"/>
        <w:rPr>
          <w:color w:val="auto"/>
          <w:highlight w:val="none"/>
        </w:rPr>
      </w:pPr>
    </w:p>
    <w:p w14:paraId="2E517F0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招标代理机构：</w:t>
      </w:r>
      <w:r>
        <w:rPr>
          <w:rFonts w:hint="eastAsia" w:ascii="宋体" w:hAnsi="宋体" w:cs="宋体"/>
          <w:color w:val="auto"/>
          <w:sz w:val="24"/>
          <w:highlight w:val="none"/>
          <w:u w:val="single"/>
        </w:rPr>
        <w:t>采联国际招标采购集团有限公司</w:t>
      </w:r>
    </w:p>
    <w:p w14:paraId="0782296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szCs w:val="24"/>
          <w:highlight w:val="none"/>
          <w:u w:val="single"/>
        </w:rPr>
        <w:t>广州市越秀区环市东路472号粤海大厦23楼</w:t>
      </w:r>
    </w:p>
    <w:p w14:paraId="277BE8D5">
      <w:pPr>
        <w:snapToGrid w:val="0"/>
        <w:spacing w:line="360" w:lineRule="auto"/>
        <w:ind w:firstLine="480" w:firstLineChars="200"/>
        <w:rPr>
          <w:rFonts w:hint="eastAsia" w:ascii="宋体" w:hAnsi="宋体"/>
          <w:color w:val="auto"/>
          <w:sz w:val="24"/>
          <w:highlight w:val="none"/>
          <w:u w:val="single"/>
        </w:rPr>
      </w:pPr>
      <w:r>
        <w:rPr>
          <w:rFonts w:hint="eastAsia" w:ascii="宋体" w:hAnsi="宋体" w:cs="宋体"/>
          <w:color w:val="auto"/>
          <w:sz w:val="24"/>
          <w:highlight w:val="none"/>
        </w:rPr>
        <w:t>联   系   人：</w:t>
      </w:r>
      <w:r>
        <w:rPr>
          <w:rFonts w:hint="eastAsia" w:ascii="宋体" w:hAnsi="宋体" w:cs="宋体"/>
          <w:color w:val="auto"/>
          <w:sz w:val="24"/>
          <w:szCs w:val="24"/>
          <w:highlight w:val="none"/>
          <w:u w:val="single"/>
        </w:rPr>
        <w:t>冯工</w:t>
      </w:r>
      <w:r>
        <w:rPr>
          <w:rFonts w:hint="eastAsia" w:ascii="宋体" w:hAnsi="宋体" w:cs="宋体"/>
          <w:color w:val="auto"/>
          <w:sz w:val="24"/>
          <w:highlight w:val="none"/>
        </w:rPr>
        <w:t xml:space="preserve">   电话：</w:t>
      </w:r>
      <w:r>
        <w:rPr>
          <w:rFonts w:ascii="宋体" w:hAnsi="宋体" w:cs="宋体"/>
          <w:bCs/>
          <w:color w:val="auto"/>
          <w:sz w:val="24"/>
          <w:szCs w:val="24"/>
          <w:highlight w:val="none"/>
          <w:u w:val="single"/>
        </w:rPr>
        <w:t>020-</w:t>
      </w:r>
      <w:r>
        <w:rPr>
          <w:rFonts w:hint="eastAsia" w:ascii="宋体" w:hAnsi="宋体" w:cs="宋体"/>
          <w:bCs/>
          <w:color w:val="auto"/>
          <w:sz w:val="24"/>
          <w:szCs w:val="24"/>
          <w:highlight w:val="none"/>
          <w:u w:val="single"/>
        </w:rPr>
        <w:t>87651688-173</w:t>
      </w:r>
    </w:p>
    <w:p w14:paraId="579FE9A0">
      <w:pPr>
        <w:pStyle w:val="11"/>
        <w:ind w:left="420"/>
        <w:rPr>
          <w:color w:val="auto"/>
          <w:highlight w:val="none"/>
        </w:rPr>
      </w:pPr>
    </w:p>
    <w:p w14:paraId="2CD28C7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异议受理部门：</w:t>
      </w:r>
      <w:r>
        <w:rPr>
          <w:rFonts w:hint="eastAsia" w:ascii="宋体" w:hAnsi="宋体" w:cs="宋体"/>
          <w:color w:val="auto"/>
          <w:sz w:val="24"/>
          <w:szCs w:val="24"/>
          <w:highlight w:val="none"/>
          <w:u w:val="single"/>
        </w:rPr>
        <w:t>广州智都悦港商业投资有限公司</w:t>
      </w:r>
    </w:p>
    <w:p w14:paraId="2462CBC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szCs w:val="24"/>
          <w:highlight w:val="none"/>
          <w:u w:val="single"/>
        </w:rPr>
        <w:t>广州市花都区花城街迎宾大道95号交通局大楼17楼1709室</w:t>
      </w:r>
    </w:p>
    <w:p w14:paraId="0D53E3EF">
      <w:pPr>
        <w:snapToGrid w:val="0"/>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联   系   人：</w:t>
      </w:r>
      <w:r>
        <w:rPr>
          <w:rFonts w:hint="eastAsia" w:ascii="宋体" w:hAnsi="宋体" w:cs="宋体"/>
          <w:color w:val="auto"/>
          <w:sz w:val="24"/>
          <w:szCs w:val="24"/>
          <w:highlight w:val="none"/>
          <w:u w:val="single"/>
        </w:rPr>
        <w:t>尹先生</w:t>
      </w:r>
      <w:r>
        <w:rPr>
          <w:rFonts w:hint="eastAsia" w:ascii="宋体" w:hAnsi="宋体" w:cs="宋体"/>
          <w:color w:val="auto"/>
          <w:sz w:val="24"/>
          <w:szCs w:val="24"/>
          <w:highlight w:val="none"/>
        </w:rPr>
        <w:t xml:space="preserve">  电话：</w:t>
      </w:r>
      <w:r>
        <w:rPr>
          <w:rFonts w:hint="eastAsia" w:ascii="宋体" w:hAnsi="宋体" w:cs="宋体"/>
          <w:color w:val="auto"/>
          <w:sz w:val="24"/>
          <w:szCs w:val="24"/>
          <w:highlight w:val="none"/>
          <w:u w:val="single"/>
        </w:rPr>
        <w:t>020-62996169</w:t>
      </w:r>
    </w:p>
    <w:p w14:paraId="45E10525">
      <w:pPr>
        <w:pStyle w:val="11"/>
        <w:ind w:left="420"/>
        <w:rPr>
          <w:rFonts w:hint="eastAsia" w:ascii="宋体" w:hAnsi="宋体" w:cs="宋体"/>
          <w:color w:val="auto"/>
          <w:sz w:val="24"/>
          <w:szCs w:val="24"/>
          <w:highlight w:val="none"/>
          <w:u w:val="single"/>
        </w:rPr>
      </w:pPr>
    </w:p>
    <w:p w14:paraId="648F2D4A">
      <w:pPr>
        <w:rPr>
          <w:color w:val="auto"/>
          <w:highlight w:val="none"/>
        </w:rPr>
      </w:pPr>
    </w:p>
    <w:p w14:paraId="63C9495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rPr>
        <w:t>广州市花都区建设工程招标和造价管理中心</w:t>
      </w:r>
    </w:p>
    <w:p w14:paraId="3C0FB08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监  督 电 话：</w:t>
      </w:r>
      <w:r>
        <w:rPr>
          <w:rFonts w:ascii="宋体" w:hAnsi="宋体" w:cs="宋体"/>
          <w:bCs/>
          <w:color w:val="auto"/>
          <w:sz w:val="24"/>
          <w:szCs w:val="24"/>
          <w:highlight w:val="none"/>
          <w:u w:val="single"/>
        </w:rPr>
        <w:t>020-36897092</w:t>
      </w:r>
    </w:p>
    <w:p w14:paraId="40F3F2AD">
      <w:pPr>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sz w:val="24"/>
          <w:highlight w:val="none"/>
        </w:rPr>
        <w:t>地        址：</w:t>
      </w:r>
      <w:r>
        <w:rPr>
          <w:rFonts w:hint="eastAsia" w:ascii="宋体" w:hAnsi="宋体" w:cs="宋体"/>
          <w:bCs/>
          <w:color w:val="auto"/>
          <w:sz w:val="24"/>
          <w:szCs w:val="24"/>
          <w:highlight w:val="none"/>
          <w:u w:val="single"/>
        </w:rPr>
        <w:t>广州市花都区新华街公益大道39号</w:t>
      </w:r>
    </w:p>
    <w:p w14:paraId="5ECEB8E3">
      <w:pPr>
        <w:pageBreakBefore/>
        <w:widowControl/>
        <w:adjustRightInd w:val="0"/>
        <w:snapToGrid w:val="0"/>
        <w:spacing w:line="360" w:lineRule="auto"/>
        <w:outlineLvl w:val="1"/>
        <w:rPr>
          <w:rFonts w:hint="eastAsia" w:ascii="宋体" w:hAnsi="宋体" w:cs="宋体"/>
          <w:bCs/>
          <w:color w:val="auto"/>
          <w:kern w:val="0"/>
          <w:sz w:val="28"/>
          <w:szCs w:val="28"/>
          <w:highlight w:val="none"/>
        </w:rPr>
      </w:pPr>
      <w:bookmarkStart w:id="35" w:name="_Toc535938704"/>
      <w:r>
        <w:rPr>
          <w:rFonts w:hint="eastAsia" w:ascii="宋体" w:hAnsi="宋体" w:cs="宋体"/>
          <w:bCs/>
          <w:color w:val="auto"/>
          <w:kern w:val="0"/>
          <w:sz w:val="28"/>
          <w:szCs w:val="28"/>
          <w:highlight w:val="none"/>
        </w:rPr>
        <w:t>附件一</w:t>
      </w:r>
      <w:r>
        <w:rPr>
          <w:rFonts w:ascii="宋体" w:hAnsi="宋体" w:cs="宋体"/>
          <w:bCs/>
          <w:color w:val="auto"/>
          <w:kern w:val="0"/>
          <w:sz w:val="28"/>
          <w:szCs w:val="28"/>
          <w:highlight w:val="none"/>
        </w:rPr>
        <w:t>：</w:t>
      </w:r>
      <w:r>
        <w:rPr>
          <w:rFonts w:hint="eastAsia" w:ascii="宋体" w:hAnsi="宋体" w:cs="宋体"/>
          <w:bCs/>
          <w:color w:val="auto"/>
          <w:kern w:val="0"/>
          <w:sz w:val="28"/>
          <w:szCs w:val="28"/>
          <w:highlight w:val="none"/>
        </w:rPr>
        <w:t>投标人声明</w:t>
      </w:r>
    </w:p>
    <w:bookmarkEnd w:id="35"/>
    <w:p w14:paraId="3B97C2BE">
      <w:pPr>
        <w:widowControl/>
        <w:snapToGrid w:val="0"/>
        <w:spacing w:before="260" w:after="260"/>
        <w:ind w:right="386"/>
        <w:jc w:val="center"/>
        <w:rPr>
          <w:rFonts w:hint="eastAsia"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投标人声明</w:t>
      </w:r>
    </w:p>
    <w:p w14:paraId="4816CA8A">
      <w:pPr>
        <w:pStyle w:val="40"/>
        <w:spacing w:after="156" w:afterLines="50"/>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广州市住房和城乡建设局、本招标项目招标人及招标监管机构：</w:t>
      </w:r>
    </w:p>
    <w:p w14:paraId="2D64EFF8">
      <w:pPr>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本公司就参加</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项目投标工作，作出郑重声明：</w:t>
      </w:r>
    </w:p>
    <w:p w14:paraId="1456BCC9">
      <w:pPr>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一、本公司保证投标登记材料及其后提供的一切材料都是真实的。如我司成为本项目中标候选人，我司同意并授权招标人将我司投标文件商务部分的人员、业绩、奖项等资料进行公开。</w:t>
      </w:r>
    </w:p>
    <w:p w14:paraId="5E952DA1">
      <w:pPr>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不与其他单位串通投标或以行贿手段谋取中标，不出借资质、转包或违法分包监理业务。</w:t>
      </w:r>
    </w:p>
    <w:p w14:paraId="1C0465B0">
      <w:pPr>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三、本公司不存在招标文件第二章投标人须知第1.4.3项所规定的任何一种情形。</w:t>
      </w:r>
    </w:p>
    <w:p w14:paraId="6FBDCF80">
      <w:pPr>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四、本公司及其有隶属关系的机构，没有参加本项目招标文件的编写工作；本公司与本次招标的招标代理机构没有隶属关系或其他利害关系；</w:t>
      </w:r>
    </w:p>
    <w:p w14:paraId="5FCE550A">
      <w:pPr>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五、本公司承诺，中标后严格执行安全生产相关管理规定。</w:t>
      </w:r>
    </w:p>
    <w:p w14:paraId="09A13E12">
      <w:pPr>
        <w:snapToGrid w:val="0"/>
        <w:spacing w:line="360" w:lineRule="auto"/>
        <w:ind w:firstLine="480" w:firstLineChars="200"/>
        <w:jc w:val="left"/>
        <w:rPr>
          <w:color w:val="auto"/>
          <w:sz w:val="24"/>
          <w:szCs w:val="24"/>
          <w:highlight w:val="none"/>
        </w:rPr>
      </w:pPr>
      <w:r>
        <w:rPr>
          <w:rFonts w:hint="eastAsia" w:ascii="宋体" w:hAnsi="宋体" w:cs="宋体"/>
          <w:color w:val="auto"/>
          <w:kern w:val="0"/>
          <w:sz w:val="24"/>
          <w:szCs w:val="24"/>
          <w:highlight w:val="none"/>
        </w:rPr>
        <w:t>六、与本公司单位负责人为同一人或者与本公司存在控股、管理关系的其他单位包括：</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。（注：本条由投标人如实填写，如有，应列出全部满足招标公告资质要求的相关单位的名称；如无，则填写“无”。）</w:t>
      </w:r>
    </w:p>
    <w:p w14:paraId="09D6FF6D">
      <w:pPr>
        <w:widowControl/>
        <w:shd w:val="clear" w:color="auto" w:fill="FFFFFF"/>
        <w:spacing w:line="360" w:lineRule="auto"/>
        <w:ind w:firstLine="482" w:firstLineChars="200"/>
        <w:jc w:val="left"/>
        <w:rPr>
          <w:rFonts w:hint="eastAsia" w:ascii="宋体" w:hAnsi="宋体" w:cs="宋体"/>
          <w:b/>
          <w:bCs/>
          <w:color w:val="auto"/>
          <w:kern w:val="0"/>
          <w:sz w:val="24"/>
          <w:szCs w:val="24"/>
          <w:highlight w:val="none"/>
          <w:u w:val="single"/>
        </w:rPr>
      </w:pPr>
      <w:r>
        <w:rPr>
          <w:rFonts w:hint="eastAsia" w:ascii="宋体" w:hAnsi="宋体" w:cs="宋体"/>
          <w:b/>
          <w:bCs/>
          <w:color w:val="auto"/>
          <w:kern w:val="0"/>
          <w:sz w:val="24"/>
          <w:szCs w:val="24"/>
          <w:highlight w:val="none"/>
          <w:u w:val="single"/>
          <w:lang w:bidi="ar"/>
        </w:rPr>
        <w:t>本公司违反上述承诺，或本声明陈述与事实不符，经查实，本公司愿意接受公开通报，愿意按照《广州市建筑市场信用管理办法》（穗建规字﹝2019﹞16号）的规定被记录为失信信息，</w:t>
      </w:r>
      <w:r>
        <w:rPr>
          <w:rFonts w:hint="eastAsia" w:ascii="宋体" w:hAnsi="宋体" w:cs="宋体"/>
          <w:b/>
          <w:bCs/>
          <w:color w:val="auto"/>
          <w:kern w:val="0"/>
          <w:sz w:val="24"/>
          <w:szCs w:val="24"/>
          <w:highlight w:val="none"/>
          <w:u w:val="single"/>
        </w:rPr>
        <w:t>本公司对失信行为产生的一切后果已知悉。承担由此带来的法律后果。</w:t>
      </w:r>
    </w:p>
    <w:p w14:paraId="1811A5A2">
      <w:pPr>
        <w:widowControl/>
        <w:shd w:val="clear" w:color="auto" w:fill="FFFFFF"/>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特此声明。</w:t>
      </w:r>
    </w:p>
    <w:p w14:paraId="780BF1B1">
      <w:pPr>
        <w:pStyle w:val="11"/>
        <w:ind w:left="420"/>
        <w:rPr>
          <w:color w:val="auto"/>
          <w:sz w:val="24"/>
          <w:szCs w:val="24"/>
          <w:highlight w:val="none"/>
        </w:rPr>
      </w:pPr>
    </w:p>
    <w:p w14:paraId="7D441C31">
      <w:pPr>
        <w:snapToGrid w:val="0"/>
        <w:spacing w:line="360" w:lineRule="auto"/>
        <w:ind w:firstLine="4320" w:firstLineChars="18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声明企业：            (企业公章)</w:t>
      </w:r>
    </w:p>
    <w:p w14:paraId="38FA7E9C">
      <w:pPr>
        <w:snapToGrid w:val="0"/>
        <w:spacing w:line="360" w:lineRule="auto"/>
        <w:ind w:firstLine="4320" w:firstLineChars="18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总监理工程师（签字）：         </w:t>
      </w:r>
    </w:p>
    <w:p w14:paraId="7CD7F56B">
      <w:pPr>
        <w:snapToGrid w:val="0"/>
        <w:spacing w:line="360" w:lineRule="auto"/>
        <w:ind w:firstLine="4320" w:firstLineChars="18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法定代表人签字或盖章：</w:t>
      </w:r>
    </w:p>
    <w:p w14:paraId="28AE1F4A">
      <w:pPr>
        <w:snapToGrid w:val="0"/>
        <w:spacing w:line="360" w:lineRule="auto"/>
        <w:ind w:firstLine="4320" w:firstLineChars="18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日期：2</w:t>
      </w:r>
      <w:r>
        <w:rPr>
          <w:rFonts w:ascii="宋体" w:hAnsi="宋体" w:cs="宋体"/>
          <w:color w:val="auto"/>
          <w:kern w:val="0"/>
          <w:sz w:val="24"/>
          <w:szCs w:val="24"/>
          <w:highlight w:val="none"/>
        </w:rPr>
        <w:t>024</w:t>
      </w:r>
      <w:r>
        <w:rPr>
          <w:rFonts w:hint="eastAsia" w:ascii="宋体" w:hAnsi="宋体" w:cs="宋体"/>
          <w:color w:val="auto"/>
          <w:kern w:val="0"/>
          <w:sz w:val="24"/>
          <w:szCs w:val="24"/>
          <w:highlight w:val="none"/>
        </w:rPr>
        <w:t xml:space="preserve">年 </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 xml:space="preserve">月 </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p>
    <w:p w14:paraId="03EF0668">
      <w:pPr>
        <w:widowControl/>
        <w:jc w:val="left"/>
        <w:rPr>
          <w:rFonts w:hint="eastAsia" w:ascii="宋体" w:hAnsi="宋体" w:cs="宋体"/>
          <w:color w:val="auto"/>
          <w:kern w:val="0"/>
          <w:sz w:val="24"/>
          <w:highlight w:val="none"/>
        </w:rPr>
      </w:pP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8EAFC">
    <w:pPr>
      <w:pStyle w:val="9"/>
      <w:jc w:val="center"/>
    </w:pPr>
    <w:r>
      <w:fldChar w:fldCharType="begin"/>
    </w:r>
    <w:r>
      <w:instrText xml:space="preserve">PAGE   \* MERGEFORMAT</w:instrText>
    </w:r>
    <w:r>
      <w:fldChar w:fldCharType="separate"/>
    </w:r>
    <w:r>
      <w:rPr>
        <w:lang w:val="zh-CN"/>
      </w:rPr>
      <w:t>3</w:t>
    </w:r>
    <w:r>
      <w:fldChar w:fldCharType="end"/>
    </w:r>
  </w:p>
  <w:p w14:paraId="4F2BAAC6">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mMTc2MGYwMWQyMTFhMzY2M2Y4MmI4MzdhYzU4YjQifQ=="/>
    <w:docVar w:name="KSO_WPS_MARK_KEY" w:val="ffdf2147-9200-4754-9610-898babdc535f"/>
  </w:docVars>
  <w:rsids>
    <w:rsidRoot w:val="00880AD3"/>
    <w:rsid w:val="00004CE5"/>
    <w:rsid w:val="000215F5"/>
    <w:rsid w:val="000237F7"/>
    <w:rsid w:val="000246D2"/>
    <w:rsid w:val="00026001"/>
    <w:rsid w:val="0003000B"/>
    <w:rsid w:val="00042552"/>
    <w:rsid w:val="000462F3"/>
    <w:rsid w:val="00054B59"/>
    <w:rsid w:val="000555EC"/>
    <w:rsid w:val="00067594"/>
    <w:rsid w:val="00071288"/>
    <w:rsid w:val="00077748"/>
    <w:rsid w:val="00086926"/>
    <w:rsid w:val="00090647"/>
    <w:rsid w:val="00096009"/>
    <w:rsid w:val="000A0D56"/>
    <w:rsid w:val="000A1A3E"/>
    <w:rsid w:val="000B7C56"/>
    <w:rsid w:val="000B7F73"/>
    <w:rsid w:val="000D4631"/>
    <w:rsid w:val="000E395B"/>
    <w:rsid w:val="000E5815"/>
    <w:rsid w:val="000E7FA2"/>
    <w:rsid w:val="000F0204"/>
    <w:rsid w:val="000F0DA5"/>
    <w:rsid w:val="000F307F"/>
    <w:rsid w:val="000F6E76"/>
    <w:rsid w:val="001100E6"/>
    <w:rsid w:val="001102BB"/>
    <w:rsid w:val="00110C3C"/>
    <w:rsid w:val="001146B9"/>
    <w:rsid w:val="00117033"/>
    <w:rsid w:val="001266DA"/>
    <w:rsid w:val="00127469"/>
    <w:rsid w:val="00131F14"/>
    <w:rsid w:val="00135F53"/>
    <w:rsid w:val="00140697"/>
    <w:rsid w:val="001442DB"/>
    <w:rsid w:val="001506E8"/>
    <w:rsid w:val="00163110"/>
    <w:rsid w:val="00170DD3"/>
    <w:rsid w:val="00175B83"/>
    <w:rsid w:val="00177D4C"/>
    <w:rsid w:val="00180B98"/>
    <w:rsid w:val="00184201"/>
    <w:rsid w:val="0018446B"/>
    <w:rsid w:val="001A5B4B"/>
    <w:rsid w:val="001A60E3"/>
    <w:rsid w:val="001A64B9"/>
    <w:rsid w:val="001B6C22"/>
    <w:rsid w:val="001B7974"/>
    <w:rsid w:val="001C47EE"/>
    <w:rsid w:val="001D10F7"/>
    <w:rsid w:val="001D6A27"/>
    <w:rsid w:val="001E5BBA"/>
    <w:rsid w:val="001E62ED"/>
    <w:rsid w:val="001F1C35"/>
    <w:rsid w:val="001F689B"/>
    <w:rsid w:val="002004DC"/>
    <w:rsid w:val="002073E5"/>
    <w:rsid w:val="00212652"/>
    <w:rsid w:val="00217FA7"/>
    <w:rsid w:val="00220976"/>
    <w:rsid w:val="0022414A"/>
    <w:rsid w:val="00227C0C"/>
    <w:rsid w:val="00232F6C"/>
    <w:rsid w:val="00233174"/>
    <w:rsid w:val="002359C8"/>
    <w:rsid w:val="00236DF1"/>
    <w:rsid w:val="00240BC5"/>
    <w:rsid w:val="00242D06"/>
    <w:rsid w:val="00243416"/>
    <w:rsid w:val="0024582E"/>
    <w:rsid w:val="00250226"/>
    <w:rsid w:val="002507A8"/>
    <w:rsid w:val="00250DE9"/>
    <w:rsid w:val="00252830"/>
    <w:rsid w:val="00254399"/>
    <w:rsid w:val="00255DAC"/>
    <w:rsid w:val="0026409C"/>
    <w:rsid w:val="00273900"/>
    <w:rsid w:val="00280481"/>
    <w:rsid w:val="0029720B"/>
    <w:rsid w:val="002A09B1"/>
    <w:rsid w:val="002A3432"/>
    <w:rsid w:val="002B2F28"/>
    <w:rsid w:val="002B5508"/>
    <w:rsid w:val="002C567F"/>
    <w:rsid w:val="002C63EA"/>
    <w:rsid w:val="002D0096"/>
    <w:rsid w:val="002E3DC2"/>
    <w:rsid w:val="002E60F5"/>
    <w:rsid w:val="002F38F1"/>
    <w:rsid w:val="002F41C9"/>
    <w:rsid w:val="003113D4"/>
    <w:rsid w:val="0033543C"/>
    <w:rsid w:val="00340B91"/>
    <w:rsid w:val="00346601"/>
    <w:rsid w:val="003667D5"/>
    <w:rsid w:val="00373686"/>
    <w:rsid w:val="0038037A"/>
    <w:rsid w:val="00381444"/>
    <w:rsid w:val="00383C6D"/>
    <w:rsid w:val="0039134F"/>
    <w:rsid w:val="003A63EB"/>
    <w:rsid w:val="003C5D28"/>
    <w:rsid w:val="003F3438"/>
    <w:rsid w:val="003F4767"/>
    <w:rsid w:val="00401892"/>
    <w:rsid w:val="00401D15"/>
    <w:rsid w:val="00410314"/>
    <w:rsid w:val="00425DC5"/>
    <w:rsid w:val="004348CE"/>
    <w:rsid w:val="004409A3"/>
    <w:rsid w:val="00465888"/>
    <w:rsid w:val="00486C51"/>
    <w:rsid w:val="00494773"/>
    <w:rsid w:val="004963C8"/>
    <w:rsid w:val="00497C24"/>
    <w:rsid w:val="004B2E6F"/>
    <w:rsid w:val="004C5446"/>
    <w:rsid w:val="004E7351"/>
    <w:rsid w:val="004F166C"/>
    <w:rsid w:val="00503AD5"/>
    <w:rsid w:val="00506411"/>
    <w:rsid w:val="00515387"/>
    <w:rsid w:val="00530A7D"/>
    <w:rsid w:val="00537283"/>
    <w:rsid w:val="005463BA"/>
    <w:rsid w:val="0054690C"/>
    <w:rsid w:val="00551168"/>
    <w:rsid w:val="0055757C"/>
    <w:rsid w:val="00571D26"/>
    <w:rsid w:val="00584953"/>
    <w:rsid w:val="005864C3"/>
    <w:rsid w:val="00586F7A"/>
    <w:rsid w:val="005956AF"/>
    <w:rsid w:val="005A3423"/>
    <w:rsid w:val="005A644C"/>
    <w:rsid w:val="005B493F"/>
    <w:rsid w:val="005E106C"/>
    <w:rsid w:val="005F60F5"/>
    <w:rsid w:val="006103C2"/>
    <w:rsid w:val="00610F4B"/>
    <w:rsid w:val="00624491"/>
    <w:rsid w:val="006277A7"/>
    <w:rsid w:val="006360CA"/>
    <w:rsid w:val="006379B7"/>
    <w:rsid w:val="00637CB0"/>
    <w:rsid w:val="00646F08"/>
    <w:rsid w:val="006528F4"/>
    <w:rsid w:val="00660DE2"/>
    <w:rsid w:val="0066342D"/>
    <w:rsid w:val="00670F1D"/>
    <w:rsid w:val="0067589F"/>
    <w:rsid w:val="006858E2"/>
    <w:rsid w:val="0069444B"/>
    <w:rsid w:val="006A606A"/>
    <w:rsid w:val="006B6C75"/>
    <w:rsid w:val="006C6A84"/>
    <w:rsid w:val="006E0F1D"/>
    <w:rsid w:val="006E66C5"/>
    <w:rsid w:val="006F227F"/>
    <w:rsid w:val="006F2B52"/>
    <w:rsid w:val="006F5E13"/>
    <w:rsid w:val="007259C0"/>
    <w:rsid w:val="00736330"/>
    <w:rsid w:val="0074545E"/>
    <w:rsid w:val="00745B4C"/>
    <w:rsid w:val="00747566"/>
    <w:rsid w:val="00747DDA"/>
    <w:rsid w:val="007552FE"/>
    <w:rsid w:val="00757935"/>
    <w:rsid w:val="00764028"/>
    <w:rsid w:val="007658FB"/>
    <w:rsid w:val="00766C00"/>
    <w:rsid w:val="007811D1"/>
    <w:rsid w:val="00793008"/>
    <w:rsid w:val="00793D00"/>
    <w:rsid w:val="007946F1"/>
    <w:rsid w:val="00795BD7"/>
    <w:rsid w:val="007B39C3"/>
    <w:rsid w:val="007B3F2E"/>
    <w:rsid w:val="007C4623"/>
    <w:rsid w:val="007C65E5"/>
    <w:rsid w:val="007D2502"/>
    <w:rsid w:val="007D5658"/>
    <w:rsid w:val="007D5DD8"/>
    <w:rsid w:val="007E0A67"/>
    <w:rsid w:val="007F0273"/>
    <w:rsid w:val="007F2B81"/>
    <w:rsid w:val="00803105"/>
    <w:rsid w:val="00810F31"/>
    <w:rsid w:val="00814BAF"/>
    <w:rsid w:val="008166E0"/>
    <w:rsid w:val="008226BC"/>
    <w:rsid w:val="00822E89"/>
    <w:rsid w:val="008366B6"/>
    <w:rsid w:val="00836DDB"/>
    <w:rsid w:val="00840C4E"/>
    <w:rsid w:val="00847185"/>
    <w:rsid w:val="00847A46"/>
    <w:rsid w:val="00852EA1"/>
    <w:rsid w:val="008552A6"/>
    <w:rsid w:val="00861E34"/>
    <w:rsid w:val="008620E8"/>
    <w:rsid w:val="00862C6E"/>
    <w:rsid w:val="0086738D"/>
    <w:rsid w:val="008736A2"/>
    <w:rsid w:val="00873E3B"/>
    <w:rsid w:val="00875410"/>
    <w:rsid w:val="00880AD3"/>
    <w:rsid w:val="008A0A8D"/>
    <w:rsid w:val="008A5423"/>
    <w:rsid w:val="008C685C"/>
    <w:rsid w:val="008C7991"/>
    <w:rsid w:val="008D20C9"/>
    <w:rsid w:val="008D2F67"/>
    <w:rsid w:val="008E4828"/>
    <w:rsid w:val="008F007C"/>
    <w:rsid w:val="008F1471"/>
    <w:rsid w:val="008F2BAD"/>
    <w:rsid w:val="00900DFF"/>
    <w:rsid w:val="00901353"/>
    <w:rsid w:val="00901AA4"/>
    <w:rsid w:val="009038A4"/>
    <w:rsid w:val="0090635F"/>
    <w:rsid w:val="00914D8A"/>
    <w:rsid w:val="00915AF9"/>
    <w:rsid w:val="00925F95"/>
    <w:rsid w:val="00926676"/>
    <w:rsid w:val="00933B76"/>
    <w:rsid w:val="00933E76"/>
    <w:rsid w:val="00940887"/>
    <w:rsid w:val="00941BDC"/>
    <w:rsid w:val="00943354"/>
    <w:rsid w:val="0094453B"/>
    <w:rsid w:val="00951BA7"/>
    <w:rsid w:val="00956477"/>
    <w:rsid w:val="009609E8"/>
    <w:rsid w:val="00976128"/>
    <w:rsid w:val="00996DF4"/>
    <w:rsid w:val="009A3F49"/>
    <w:rsid w:val="009A7D34"/>
    <w:rsid w:val="009B5EBB"/>
    <w:rsid w:val="009B7CBC"/>
    <w:rsid w:val="009C2CEF"/>
    <w:rsid w:val="009D1E7A"/>
    <w:rsid w:val="009D2C24"/>
    <w:rsid w:val="009D6104"/>
    <w:rsid w:val="009E684D"/>
    <w:rsid w:val="009F0921"/>
    <w:rsid w:val="009F56F6"/>
    <w:rsid w:val="00A00814"/>
    <w:rsid w:val="00A03CBD"/>
    <w:rsid w:val="00A24353"/>
    <w:rsid w:val="00A27F37"/>
    <w:rsid w:val="00A34741"/>
    <w:rsid w:val="00A428A1"/>
    <w:rsid w:val="00A5170E"/>
    <w:rsid w:val="00A6372C"/>
    <w:rsid w:val="00A7136F"/>
    <w:rsid w:val="00A86621"/>
    <w:rsid w:val="00A87119"/>
    <w:rsid w:val="00A873D0"/>
    <w:rsid w:val="00A91980"/>
    <w:rsid w:val="00A94F7A"/>
    <w:rsid w:val="00AA0B8E"/>
    <w:rsid w:val="00AB0304"/>
    <w:rsid w:val="00AB227B"/>
    <w:rsid w:val="00AB3249"/>
    <w:rsid w:val="00AB774C"/>
    <w:rsid w:val="00AC3376"/>
    <w:rsid w:val="00AC54DC"/>
    <w:rsid w:val="00AC7B32"/>
    <w:rsid w:val="00AD0897"/>
    <w:rsid w:val="00AD1E73"/>
    <w:rsid w:val="00AD1FEA"/>
    <w:rsid w:val="00AE083D"/>
    <w:rsid w:val="00AE2901"/>
    <w:rsid w:val="00AE326A"/>
    <w:rsid w:val="00B02588"/>
    <w:rsid w:val="00B102FD"/>
    <w:rsid w:val="00B31D3D"/>
    <w:rsid w:val="00B46328"/>
    <w:rsid w:val="00B47086"/>
    <w:rsid w:val="00B511B6"/>
    <w:rsid w:val="00B51819"/>
    <w:rsid w:val="00B7153B"/>
    <w:rsid w:val="00B84545"/>
    <w:rsid w:val="00B85217"/>
    <w:rsid w:val="00B9077F"/>
    <w:rsid w:val="00B93811"/>
    <w:rsid w:val="00BA3C64"/>
    <w:rsid w:val="00BB3E12"/>
    <w:rsid w:val="00BB568A"/>
    <w:rsid w:val="00BB6CE7"/>
    <w:rsid w:val="00BC3B20"/>
    <w:rsid w:val="00BD138A"/>
    <w:rsid w:val="00BD45A8"/>
    <w:rsid w:val="00BD4C2D"/>
    <w:rsid w:val="00BE4292"/>
    <w:rsid w:val="00BE5564"/>
    <w:rsid w:val="00BE6061"/>
    <w:rsid w:val="00BF2831"/>
    <w:rsid w:val="00C013E1"/>
    <w:rsid w:val="00C067D3"/>
    <w:rsid w:val="00C1357C"/>
    <w:rsid w:val="00C17710"/>
    <w:rsid w:val="00C249F3"/>
    <w:rsid w:val="00C30C6C"/>
    <w:rsid w:val="00C310F7"/>
    <w:rsid w:val="00C47AC8"/>
    <w:rsid w:val="00C6556D"/>
    <w:rsid w:val="00C87B88"/>
    <w:rsid w:val="00CA3AD3"/>
    <w:rsid w:val="00CA578E"/>
    <w:rsid w:val="00CB2630"/>
    <w:rsid w:val="00CC2C3B"/>
    <w:rsid w:val="00CD263F"/>
    <w:rsid w:val="00D00458"/>
    <w:rsid w:val="00D02DCB"/>
    <w:rsid w:val="00D10F86"/>
    <w:rsid w:val="00D12CA5"/>
    <w:rsid w:val="00D20DC3"/>
    <w:rsid w:val="00D2208B"/>
    <w:rsid w:val="00D303BD"/>
    <w:rsid w:val="00D42F7C"/>
    <w:rsid w:val="00D44769"/>
    <w:rsid w:val="00D45992"/>
    <w:rsid w:val="00D55726"/>
    <w:rsid w:val="00D63B87"/>
    <w:rsid w:val="00D71DA4"/>
    <w:rsid w:val="00D7516E"/>
    <w:rsid w:val="00D8398D"/>
    <w:rsid w:val="00D85D71"/>
    <w:rsid w:val="00DA2D88"/>
    <w:rsid w:val="00DA3885"/>
    <w:rsid w:val="00DA41E9"/>
    <w:rsid w:val="00DC67A1"/>
    <w:rsid w:val="00DC7360"/>
    <w:rsid w:val="00DD02A8"/>
    <w:rsid w:val="00DD3085"/>
    <w:rsid w:val="00DE1C76"/>
    <w:rsid w:val="00DE3150"/>
    <w:rsid w:val="00E05D02"/>
    <w:rsid w:val="00E17DC3"/>
    <w:rsid w:val="00E2591A"/>
    <w:rsid w:val="00E32628"/>
    <w:rsid w:val="00E35740"/>
    <w:rsid w:val="00E368E7"/>
    <w:rsid w:val="00E47B37"/>
    <w:rsid w:val="00E60ABB"/>
    <w:rsid w:val="00E6479F"/>
    <w:rsid w:val="00E65BBA"/>
    <w:rsid w:val="00E70E80"/>
    <w:rsid w:val="00E71D14"/>
    <w:rsid w:val="00E7432A"/>
    <w:rsid w:val="00E77C91"/>
    <w:rsid w:val="00E82320"/>
    <w:rsid w:val="00E93BDA"/>
    <w:rsid w:val="00E96594"/>
    <w:rsid w:val="00EB186E"/>
    <w:rsid w:val="00EB52B6"/>
    <w:rsid w:val="00EC59D2"/>
    <w:rsid w:val="00EC7547"/>
    <w:rsid w:val="00ED3353"/>
    <w:rsid w:val="00ED55BC"/>
    <w:rsid w:val="00ED7543"/>
    <w:rsid w:val="00EF32A5"/>
    <w:rsid w:val="00EF7EE5"/>
    <w:rsid w:val="00F01023"/>
    <w:rsid w:val="00F04788"/>
    <w:rsid w:val="00F13319"/>
    <w:rsid w:val="00F30F00"/>
    <w:rsid w:val="00F37C37"/>
    <w:rsid w:val="00F41AE8"/>
    <w:rsid w:val="00F47739"/>
    <w:rsid w:val="00F503BD"/>
    <w:rsid w:val="00F509A5"/>
    <w:rsid w:val="00F57DDE"/>
    <w:rsid w:val="00F6659B"/>
    <w:rsid w:val="00F80B0B"/>
    <w:rsid w:val="00F90BCB"/>
    <w:rsid w:val="00F91A65"/>
    <w:rsid w:val="00FA1503"/>
    <w:rsid w:val="00FA5C89"/>
    <w:rsid w:val="00FA7D28"/>
    <w:rsid w:val="00FB05EE"/>
    <w:rsid w:val="00FC0BA2"/>
    <w:rsid w:val="00FC32F8"/>
    <w:rsid w:val="00FC4BD4"/>
    <w:rsid w:val="00FD1AC7"/>
    <w:rsid w:val="00FE75E1"/>
    <w:rsid w:val="00FF0EF2"/>
    <w:rsid w:val="01A56261"/>
    <w:rsid w:val="01DD3C4D"/>
    <w:rsid w:val="0211121D"/>
    <w:rsid w:val="039C47F6"/>
    <w:rsid w:val="04F15693"/>
    <w:rsid w:val="053242B0"/>
    <w:rsid w:val="05F61781"/>
    <w:rsid w:val="06862B05"/>
    <w:rsid w:val="06A44D39"/>
    <w:rsid w:val="06DA7D3A"/>
    <w:rsid w:val="070954E4"/>
    <w:rsid w:val="08000695"/>
    <w:rsid w:val="089B13E5"/>
    <w:rsid w:val="08DC5FE2"/>
    <w:rsid w:val="09242161"/>
    <w:rsid w:val="0B0E131B"/>
    <w:rsid w:val="0B325496"/>
    <w:rsid w:val="0C543047"/>
    <w:rsid w:val="0D6945E7"/>
    <w:rsid w:val="0DB93D54"/>
    <w:rsid w:val="0E511E55"/>
    <w:rsid w:val="0F7A34CA"/>
    <w:rsid w:val="104A6951"/>
    <w:rsid w:val="11867E5D"/>
    <w:rsid w:val="13A740BB"/>
    <w:rsid w:val="1457180F"/>
    <w:rsid w:val="148368D6"/>
    <w:rsid w:val="14A979BF"/>
    <w:rsid w:val="15A563D8"/>
    <w:rsid w:val="15AC2C46"/>
    <w:rsid w:val="1606331B"/>
    <w:rsid w:val="163A1216"/>
    <w:rsid w:val="178B7E49"/>
    <w:rsid w:val="17F90C5D"/>
    <w:rsid w:val="18026517"/>
    <w:rsid w:val="19011B0B"/>
    <w:rsid w:val="1904051B"/>
    <w:rsid w:val="19076575"/>
    <w:rsid w:val="19E64CFB"/>
    <w:rsid w:val="1B1A3483"/>
    <w:rsid w:val="1C9C4620"/>
    <w:rsid w:val="1E18008F"/>
    <w:rsid w:val="1E376F15"/>
    <w:rsid w:val="1E854A34"/>
    <w:rsid w:val="1EFF2FFD"/>
    <w:rsid w:val="21447C5E"/>
    <w:rsid w:val="228B3DA1"/>
    <w:rsid w:val="23B67B73"/>
    <w:rsid w:val="23CB7951"/>
    <w:rsid w:val="240A49D7"/>
    <w:rsid w:val="25C12DBA"/>
    <w:rsid w:val="263704F8"/>
    <w:rsid w:val="282E6701"/>
    <w:rsid w:val="284F0A5D"/>
    <w:rsid w:val="28DB23E5"/>
    <w:rsid w:val="296248B4"/>
    <w:rsid w:val="297B4C80"/>
    <w:rsid w:val="29971DC4"/>
    <w:rsid w:val="2B7E03EA"/>
    <w:rsid w:val="2BC5763C"/>
    <w:rsid w:val="2D7921AF"/>
    <w:rsid w:val="2F8310E0"/>
    <w:rsid w:val="2FF96CCD"/>
    <w:rsid w:val="30BD4AC6"/>
    <w:rsid w:val="30C63D1C"/>
    <w:rsid w:val="326C0551"/>
    <w:rsid w:val="327801FD"/>
    <w:rsid w:val="332D4F22"/>
    <w:rsid w:val="333746BC"/>
    <w:rsid w:val="336C4FD0"/>
    <w:rsid w:val="33D47C77"/>
    <w:rsid w:val="341D6461"/>
    <w:rsid w:val="353F4470"/>
    <w:rsid w:val="35494B7A"/>
    <w:rsid w:val="357A58FB"/>
    <w:rsid w:val="358C723F"/>
    <w:rsid w:val="377234FF"/>
    <w:rsid w:val="39F74BA5"/>
    <w:rsid w:val="3A0745A6"/>
    <w:rsid w:val="3B4E14F1"/>
    <w:rsid w:val="3B693880"/>
    <w:rsid w:val="3C98596E"/>
    <w:rsid w:val="3CCA034E"/>
    <w:rsid w:val="3D145A6E"/>
    <w:rsid w:val="3E611186"/>
    <w:rsid w:val="3E8E17D8"/>
    <w:rsid w:val="3E986A7D"/>
    <w:rsid w:val="408D6415"/>
    <w:rsid w:val="40A9299F"/>
    <w:rsid w:val="41586871"/>
    <w:rsid w:val="41E81277"/>
    <w:rsid w:val="442E6A6D"/>
    <w:rsid w:val="449851D6"/>
    <w:rsid w:val="449F6565"/>
    <w:rsid w:val="44AE0556"/>
    <w:rsid w:val="458C6DDB"/>
    <w:rsid w:val="46054AED"/>
    <w:rsid w:val="462978B7"/>
    <w:rsid w:val="47971427"/>
    <w:rsid w:val="47F23E71"/>
    <w:rsid w:val="48A549E5"/>
    <w:rsid w:val="48BD345D"/>
    <w:rsid w:val="49447DF9"/>
    <w:rsid w:val="498A0A2B"/>
    <w:rsid w:val="49F32C4B"/>
    <w:rsid w:val="4A993078"/>
    <w:rsid w:val="4ACB2D32"/>
    <w:rsid w:val="4C4F5248"/>
    <w:rsid w:val="4CFC5539"/>
    <w:rsid w:val="4D317F76"/>
    <w:rsid w:val="4E470D7B"/>
    <w:rsid w:val="4E8D44D9"/>
    <w:rsid w:val="4EB817E0"/>
    <w:rsid w:val="4F043894"/>
    <w:rsid w:val="50E9746F"/>
    <w:rsid w:val="519B3EB1"/>
    <w:rsid w:val="523A5B1F"/>
    <w:rsid w:val="53476377"/>
    <w:rsid w:val="535449BE"/>
    <w:rsid w:val="54FA6E96"/>
    <w:rsid w:val="55621614"/>
    <w:rsid w:val="558A4532"/>
    <w:rsid w:val="561623FF"/>
    <w:rsid w:val="56552F27"/>
    <w:rsid w:val="578810DA"/>
    <w:rsid w:val="578C2978"/>
    <w:rsid w:val="584A6390"/>
    <w:rsid w:val="589556CE"/>
    <w:rsid w:val="58C52D74"/>
    <w:rsid w:val="59B513E3"/>
    <w:rsid w:val="5A0A5DD6"/>
    <w:rsid w:val="5A655EE1"/>
    <w:rsid w:val="5B7B268D"/>
    <w:rsid w:val="5B946DCF"/>
    <w:rsid w:val="5BAF4E87"/>
    <w:rsid w:val="5BC1223A"/>
    <w:rsid w:val="5BE56AFB"/>
    <w:rsid w:val="5C6B084A"/>
    <w:rsid w:val="5C896A6F"/>
    <w:rsid w:val="5D325D70"/>
    <w:rsid w:val="5D827B4B"/>
    <w:rsid w:val="5D9C768D"/>
    <w:rsid w:val="5E5107E6"/>
    <w:rsid w:val="5FD72BFF"/>
    <w:rsid w:val="5FF2798A"/>
    <w:rsid w:val="6090231D"/>
    <w:rsid w:val="60DD5AE7"/>
    <w:rsid w:val="6162474A"/>
    <w:rsid w:val="61A74776"/>
    <w:rsid w:val="61A76EE1"/>
    <w:rsid w:val="61BA1242"/>
    <w:rsid w:val="62411CB2"/>
    <w:rsid w:val="626020C0"/>
    <w:rsid w:val="62DE63CC"/>
    <w:rsid w:val="633D5F50"/>
    <w:rsid w:val="639C3F43"/>
    <w:rsid w:val="640146EE"/>
    <w:rsid w:val="641F6922"/>
    <w:rsid w:val="64D9502B"/>
    <w:rsid w:val="64E8140A"/>
    <w:rsid w:val="64F91685"/>
    <w:rsid w:val="657A6506"/>
    <w:rsid w:val="66772A46"/>
    <w:rsid w:val="67C0660D"/>
    <w:rsid w:val="68C163BE"/>
    <w:rsid w:val="68D45F2D"/>
    <w:rsid w:val="6A8B6AC0"/>
    <w:rsid w:val="6B182A49"/>
    <w:rsid w:val="6E715191"/>
    <w:rsid w:val="6EC6456A"/>
    <w:rsid w:val="6F360591"/>
    <w:rsid w:val="6F4418E5"/>
    <w:rsid w:val="72037925"/>
    <w:rsid w:val="73702231"/>
    <w:rsid w:val="73750DB6"/>
    <w:rsid w:val="73C4688D"/>
    <w:rsid w:val="73CC1EDF"/>
    <w:rsid w:val="73D7275B"/>
    <w:rsid w:val="752C0E9F"/>
    <w:rsid w:val="75FF5079"/>
    <w:rsid w:val="76CD298F"/>
    <w:rsid w:val="77161E07"/>
    <w:rsid w:val="776106B5"/>
    <w:rsid w:val="77D10092"/>
    <w:rsid w:val="79224D91"/>
    <w:rsid w:val="7997722F"/>
    <w:rsid w:val="7A375C65"/>
    <w:rsid w:val="7A7E219D"/>
    <w:rsid w:val="7BBF6C87"/>
    <w:rsid w:val="7C626EB0"/>
    <w:rsid w:val="7C7E6484"/>
    <w:rsid w:val="7D084409"/>
    <w:rsid w:val="7D86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szCs w:val="20"/>
    </w:rPr>
  </w:style>
  <w:style w:type="paragraph" w:styleId="5">
    <w:name w:val="heading 2"/>
    <w:basedOn w:val="1"/>
    <w:next w:val="1"/>
    <w:qFormat/>
    <w:uiPriority w:val="0"/>
    <w:pPr>
      <w:keepNext/>
      <w:keepLines/>
      <w:spacing w:before="260" w:after="260" w:line="410" w:lineRule="auto"/>
      <w:outlineLvl w:val="1"/>
    </w:pPr>
    <w:rPr>
      <w:rFonts w:ascii="Arial" w:hAnsi="Arial" w:eastAsia="黑体"/>
      <w:b/>
      <w:kern w:val="0"/>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28"/>
    <w:qFormat/>
    <w:uiPriority w:val="0"/>
    <w:pPr>
      <w:spacing w:line="312" w:lineRule="auto"/>
      <w:ind w:firstLine="420"/>
    </w:pPr>
    <w:rPr>
      <w:rFonts w:ascii="Times New Roman" w:hAnsi="Times New Roman"/>
      <w:kern w:val="0"/>
      <w:szCs w:val="24"/>
    </w:rPr>
  </w:style>
  <w:style w:type="paragraph" w:styleId="3">
    <w:name w:val="Body Text"/>
    <w:basedOn w:val="1"/>
    <w:next w:val="1"/>
    <w:link w:val="23"/>
    <w:unhideWhenUsed/>
    <w:qFormat/>
    <w:uiPriority w:val="99"/>
    <w:pPr>
      <w:spacing w:after="120"/>
    </w:pPr>
  </w:style>
  <w:style w:type="paragraph" w:styleId="6">
    <w:name w:val="Normal Indent"/>
    <w:basedOn w:val="1"/>
    <w:next w:val="1"/>
    <w:qFormat/>
    <w:uiPriority w:val="0"/>
    <w:pPr>
      <w:ind w:firstLine="420"/>
    </w:pPr>
    <w:rPr>
      <w:rFonts w:ascii="Times New Roman" w:hAnsi="Times New Roman"/>
      <w:szCs w:val="20"/>
    </w:rPr>
  </w:style>
  <w:style w:type="paragraph" w:styleId="7">
    <w:name w:val="annotation text"/>
    <w:basedOn w:val="1"/>
    <w:link w:val="22"/>
    <w:unhideWhenUsed/>
    <w:qFormat/>
    <w:uiPriority w:val="0"/>
    <w:pPr>
      <w:jc w:val="left"/>
    </w:pPr>
    <w:rPr>
      <w:rFonts w:ascii="Times New Roman" w:hAnsi="Times New Roman"/>
    </w:rPr>
  </w:style>
  <w:style w:type="paragraph" w:styleId="8">
    <w:name w:val="Balloon Text"/>
    <w:basedOn w:val="1"/>
    <w:link w:val="24"/>
    <w:unhideWhenUsed/>
    <w:qFormat/>
    <w:uiPriority w:val="99"/>
    <w:rPr>
      <w:rFonts w:ascii="Times New Roman" w:hAnsi="Times New Roman"/>
      <w:sz w:val="18"/>
      <w:szCs w:val="18"/>
    </w:rPr>
  </w:style>
  <w:style w:type="paragraph" w:styleId="9">
    <w:name w:val="footer"/>
    <w:basedOn w:val="1"/>
    <w:link w:val="25"/>
    <w:unhideWhenUsed/>
    <w:qFormat/>
    <w:uiPriority w:val="99"/>
    <w:pPr>
      <w:tabs>
        <w:tab w:val="center" w:pos="4153"/>
        <w:tab w:val="right" w:pos="8306"/>
      </w:tabs>
      <w:snapToGrid w:val="0"/>
      <w:jc w:val="left"/>
    </w:pPr>
    <w:rPr>
      <w:rFonts w:ascii="Times New Roman" w:hAnsi="Times New Roman"/>
      <w:kern w:val="0"/>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1">
    <w:name w:val="toc 2"/>
    <w:basedOn w:val="1"/>
    <w:next w:val="1"/>
    <w:qFormat/>
    <w:uiPriority w:val="0"/>
    <w:pPr>
      <w:ind w:left="200" w:leftChars="200"/>
    </w:p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annotation subject"/>
    <w:basedOn w:val="7"/>
    <w:next w:val="7"/>
    <w:link w:val="27"/>
    <w:unhideWhenUsed/>
    <w:qFormat/>
    <w:uiPriority w:val="0"/>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rPr>
  </w:style>
  <w:style w:type="character" w:styleId="18">
    <w:name w:val="FollowedHyperlink"/>
    <w:unhideWhenUsed/>
    <w:qFormat/>
    <w:uiPriority w:val="99"/>
    <w:rPr>
      <w:color w:val="000000"/>
      <w:u w:val="none"/>
    </w:rPr>
  </w:style>
  <w:style w:type="character" w:styleId="19">
    <w:name w:val="Emphasis"/>
    <w:qFormat/>
    <w:uiPriority w:val="0"/>
    <w:rPr>
      <w:i/>
    </w:rPr>
  </w:style>
  <w:style w:type="character" w:styleId="20">
    <w:name w:val="Hyperlink"/>
    <w:unhideWhenUsed/>
    <w:qFormat/>
    <w:uiPriority w:val="99"/>
    <w:rPr>
      <w:color w:val="000000"/>
      <w:u w:val="none"/>
    </w:rPr>
  </w:style>
  <w:style w:type="character" w:styleId="21">
    <w:name w:val="annotation reference"/>
    <w:unhideWhenUsed/>
    <w:qFormat/>
    <w:uiPriority w:val="99"/>
    <w:rPr>
      <w:sz w:val="21"/>
      <w:szCs w:val="21"/>
    </w:rPr>
  </w:style>
  <w:style w:type="character" w:customStyle="1" w:styleId="22">
    <w:name w:val="批注文字 字符"/>
    <w:link w:val="7"/>
    <w:semiHidden/>
    <w:qFormat/>
    <w:uiPriority w:val="99"/>
    <w:rPr>
      <w:kern w:val="2"/>
      <w:sz w:val="21"/>
      <w:szCs w:val="22"/>
    </w:rPr>
  </w:style>
  <w:style w:type="character" w:customStyle="1" w:styleId="23">
    <w:name w:val="正文文本 字符"/>
    <w:link w:val="3"/>
    <w:semiHidden/>
    <w:qFormat/>
    <w:uiPriority w:val="99"/>
    <w:rPr>
      <w:rFonts w:ascii="Calibri" w:hAnsi="Calibri"/>
      <w:kern w:val="2"/>
      <w:sz w:val="21"/>
      <w:szCs w:val="22"/>
    </w:rPr>
  </w:style>
  <w:style w:type="character" w:customStyle="1" w:styleId="24">
    <w:name w:val="批注框文本 字符"/>
    <w:link w:val="8"/>
    <w:semiHidden/>
    <w:qFormat/>
    <w:uiPriority w:val="99"/>
    <w:rPr>
      <w:kern w:val="2"/>
      <w:sz w:val="18"/>
      <w:szCs w:val="18"/>
    </w:rPr>
  </w:style>
  <w:style w:type="character" w:customStyle="1" w:styleId="25">
    <w:name w:val="页脚 字符"/>
    <w:link w:val="9"/>
    <w:qFormat/>
    <w:uiPriority w:val="99"/>
    <w:rPr>
      <w:sz w:val="18"/>
      <w:szCs w:val="18"/>
    </w:rPr>
  </w:style>
  <w:style w:type="character" w:customStyle="1" w:styleId="26">
    <w:name w:val="页眉 字符"/>
    <w:link w:val="10"/>
    <w:qFormat/>
    <w:uiPriority w:val="99"/>
    <w:rPr>
      <w:sz w:val="18"/>
      <w:szCs w:val="18"/>
    </w:rPr>
  </w:style>
  <w:style w:type="character" w:customStyle="1" w:styleId="27">
    <w:name w:val="批注主题 字符"/>
    <w:link w:val="13"/>
    <w:qFormat/>
    <w:uiPriority w:val="0"/>
    <w:rPr>
      <w:kern w:val="2"/>
      <w:sz w:val="21"/>
      <w:szCs w:val="22"/>
    </w:rPr>
  </w:style>
  <w:style w:type="character" w:customStyle="1" w:styleId="28">
    <w:name w:val="正文文本首行缩进 字符"/>
    <w:link w:val="2"/>
    <w:qFormat/>
    <w:uiPriority w:val="0"/>
    <w:rPr>
      <w:sz w:val="21"/>
      <w:szCs w:val="24"/>
    </w:rPr>
  </w:style>
  <w:style w:type="character" w:customStyle="1" w:styleId="29">
    <w:name w:val="times1"/>
    <w:qFormat/>
    <w:uiPriority w:val="0"/>
    <w:rPr>
      <w:color w:val="3399FF"/>
      <w:bdr w:val="single" w:color="D1EDF8" w:sz="6" w:space="0"/>
      <w:shd w:val="clear" w:color="auto" w:fill="EAF9FF"/>
    </w:rPr>
  </w:style>
  <w:style w:type="character" w:customStyle="1" w:styleId="30">
    <w:name w:val="正文首行缩进 Char1"/>
    <w:semiHidden/>
    <w:qFormat/>
    <w:uiPriority w:val="99"/>
    <w:rPr>
      <w:rFonts w:ascii="Calibri" w:hAnsi="Calibri"/>
      <w:kern w:val="2"/>
      <w:sz w:val="21"/>
      <w:szCs w:val="22"/>
    </w:rPr>
  </w:style>
  <w:style w:type="character" w:customStyle="1" w:styleId="31">
    <w:name w:val="hover42"/>
    <w:qFormat/>
    <w:uiPriority w:val="0"/>
  </w:style>
  <w:style w:type="character" w:customStyle="1" w:styleId="32">
    <w:name w:val="文一 Char"/>
    <w:link w:val="33"/>
    <w:qFormat/>
    <w:uiPriority w:val="0"/>
    <w:rPr>
      <w:snapToGrid/>
      <w:spacing w:val="4"/>
      <w:sz w:val="24"/>
      <w:szCs w:val="24"/>
    </w:rPr>
  </w:style>
  <w:style w:type="paragraph" w:customStyle="1" w:styleId="33">
    <w:name w:val="文一"/>
    <w:basedOn w:val="1"/>
    <w:link w:val="32"/>
    <w:qFormat/>
    <w:uiPriority w:val="0"/>
    <w:pPr>
      <w:topLinePunct/>
      <w:adjustRightInd w:val="0"/>
      <w:snapToGrid w:val="0"/>
      <w:spacing w:line="360" w:lineRule="auto"/>
      <w:ind w:firstLine="200" w:firstLineChars="200"/>
    </w:pPr>
    <w:rPr>
      <w:rFonts w:ascii="Times New Roman" w:hAnsi="Times New Roman"/>
      <w:spacing w:val="4"/>
      <w:kern w:val="0"/>
      <w:sz w:val="24"/>
      <w:szCs w:val="24"/>
    </w:rPr>
  </w:style>
  <w:style w:type="character" w:customStyle="1" w:styleId="34">
    <w:name w:val="times"/>
    <w:qFormat/>
    <w:uiPriority w:val="0"/>
    <w:rPr>
      <w:color w:val="CDCDCD"/>
      <w:bdr w:val="single" w:color="CDCDCD" w:sz="6" w:space="0"/>
      <w:shd w:val="clear" w:color="auto" w:fill="EFEFEF"/>
    </w:rPr>
  </w:style>
  <w:style w:type="character" w:customStyle="1" w:styleId="35">
    <w:name w:val="hover40"/>
    <w:qFormat/>
    <w:uiPriority w:val="0"/>
  </w:style>
  <w:style w:type="paragraph" w:customStyle="1" w:styleId="36">
    <w:name w:val="_Style 30"/>
    <w:unhideWhenUsed/>
    <w:qFormat/>
    <w:uiPriority w:val="99"/>
    <w:rPr>
      <w:rFonts w:ascii="Calibri" w:hAnsi="Calibri" w:eastAsia="宋体" w:cs="Times New Roman"/>
      <w:kern w:val="2"/>
      <w:sz w:val="21"/>
      <w:szCs w:val="22"/>
      <w:lang w:val="en-US" w:eastAsia="zh-CN" w:bidi="ar-SA"/>
    </w:rPr>
  </w:style>
  <w:style w:type="paragraph" w:styleId="37">
    <w:name w:val="List Paragraph"/>
    <w:basedOn w:val="1"/>
    <w:qFormat/>
    <w:uiPriority w:val="99"/>
    <w:pPr>
      <w:ind w:firstLine="420" w:firstLineChars="200"/>
    </w:pPr>
  </w:style>
  <w:style w:type="paragraph" w:customStyle="1" w:styleId="38">
    <w:name w:val="样式 宋体 行距: 1.5 倍行距"/>
    <w:basedOn w:val="1"/>
    <w:qFormat/>
    <w:uiPriority w:val="0"/>
    <w:pPr>
      <w:jc w:val="center"/>
    </w:pPr>
    <w:rPr>
      <w:rFonts w:ascii="Times New Roman" w:hAnsi="Times New Roman" w:eastAsia="等线"/>
      <w:b/>
    </w:rPr>
  </w:style>
  <w:style w:type="character" w:customStyle="1" w:styleId="39">
    <w:name w:val="批注文字 Char1"/>
    <w:qFormat/>
    <w:uiPriority w:val="0"/>
    <w:rPr>
      <w:szCs w:val="24"/>
    </w:rPr>
  </w:style>
  <w:style w:type="paragraph" w:customStyle="1" w:styleId="40">
    <w:name w:val="公文正文"/>
    <w:qFormat/>
    <w:uiPriority w:val="0"/>
    <w:pPr>
      <w:widowControl w:val="0"/>
      <w:spacing w:line="360" w:lineRule="auto"/>
      <w:ind w:firstLine="629"/>
      <w:jc w:val="both"/>
    </w:pPr>
    <w:rPr>
      <w:rFonts w:ascii="仿宋_GB2312" w:hAnsi="Calisto MT" w:eastAsia="仿宋_GB2312" w:cs="Calibri"/>
      <w:color w:val="000000"/>
      <w:sz w:val="32"/>
      <w:lang w:val="en-US" w:eastAsia="zh-CN" w:bidi="ar-SA"/>
    </w:rPr>
  </w:style>
  <w:style w:type="paragraph" w:customStyle="1" w:styleId="41">
    <w:name w:val="修订1"/>
    <w:hidden/>
    <w:unhideWhenUsed/>
    <w:qFormat/>
    <w:uiPriority w:val="99"/>
    <w:rPr>
      <w:rFonts w:ascii="Calibri" w:hAnsi="Calibri" w:eastAsia="宋体" w:cs="Times New Roman"/>
      <w:kern w:val="2"/>
      <w:sz w:val="21"/>
      <w:szCs w:val="22"/>
      <w:lang w:val="en-US" w:eastAsia="zh-CN" w:bidi="ar-SA"/>
    </w:rPr>
  </w:style>
  <w:style w:type="paragraph" w:customStyle="1" w:styleId="42">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3861</Words>
  <Characters>4402</Characters>
  <Lines>35</Lines>
  <Paragraphs>9</Paragraphs>
  <TotalTime>20</TotalTime>
  <ScaleCrop>false</ScaleCrop>
  <LinksUpToDate>false</LinksUpToDate>
  <CharactersWithSpaces>4590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2024-01-04T02:02:00Z</dcterms:created>
  <dc:creator>北京中交负责人</dc:creator>
  <cp:lastModifiedBy>工程事业部</cp:lastModifiedBy>
  <cp:lastPrinted>2022-01-07T09:54:00Z</cp:lastPrinted>
  <dcterms:modified xsi:type="dcterms:W3CDTF">2024-11-08T09:17:32Z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629F3D4553F8437F951F30CCCE13A1DA_13</vt:lpwstr>
  </property>
</Properties>
</file>