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9181D">
      <w:pPr>
        <w:ind w:firstLine="880"/>
        <w:jc w:val="center"/>
        <w:rPr>
          <w:rFonts w:ascii="宋体" w:hAnsi="宋体" w:eastAsia="宋体"/>
          <w:color w:val="auto"/>
          <w:sz w:val="44"/>
          <w:szCs w:val="44"/>
          <w:highlight w:val="none"/>
        </w:rPr>
      </w:pPr>
      <w:bookmarkStart w:id="0" w:name="_Hlk53133821"/>
    </w:p>
    <w:p w14:paraId="205462BD">
      <w:pPr>
        <w:ind w:firstLine="880"/>
        <w:jc w:val="center"/>
        <w:rPr>
          <w:rFonts w:ascii="宋体" w:hAnsi="宋体" w:eastAsia="宋体"/>
          <w:color w:val="auto"/>
          <w:sz w:val="44"/>
          <w:szCs w:val="44"/>
          <w:highlight w:val="none"/>
        </w:rPr>
      </w:pPr>
    </w:p>
    <w:bookmarkEnd w:id="0"/>
    <w:p w14:paraId="7482CD21">
      <w:pPr>
        <w:spacing w:line="480" w:lineRule="auto"/>
        <w:ind w:firstLine="0"/>
        <w:jc w:val="center"/>
        <w:rPr>
          <w:rFonts w:hint="eastAsia" w:ascii="Calibri" w:hAnsi="Calibri" w:eastAsia="宋体" w:cs="Times New Roman"/>
          <w:b/>
          <w:color w:val="auto"/>
          <w:sz w:val="36"/>
          <w:szCs w:val="22"/>
          <w:highlight w:val="none"/>
          <w:lang w:eastAsia="zh-CN"/>
        </w:rPr>
      </w:pPr>
      <w:r>
        <w:rPr>
          <w:rFonts w:hint="eastAsia" w:ascii="Calibri" w:hAnsi="Calibri" w:eastAsia="宋体" w:cs="Times New Roman"/>
          <w:b/>
          <w:color w:val="auto"/>
          <w:sz w:val="36"/>
          <w:szCs w:val="22"/>
          <w:highlight w:val="none"/>
          <w:lang w:eastAsia="zh-CN"/>
        </w:rPr>
        <w:t>天河区柯木塱村城中村改造项目（北片区）更新单元详细规划及相关专项</w:t>
      </w:r>
    </w:p>
    <w:p w14:paraId="785D21A0">
      <w:pPr>
        <w:ind w:firstLine="883"/>
        <w:jc w:val="center"/>
        <w:rPr>
          <w:rFonts w:ascii="宋体" w:hAnsi="宋体" w:eastAsia="宋体"/>
          <w:b/>
          <w:color w:val="auto"/>
          <w:sz w:val="44"/>
          <w:szCs w:val="44"/>
          <w:highlight w:val="none"/>
        </w:rPr>
      </w:pPr>
    </w:p>
    <w:p w14:paraId="3741D0AF">
      <w:pPr>
        <w:ind w:firstLine="883"/>
        <w:jc w:val="center"/>
        <w:rPr>
          <w:rFonts w:ascii="宋体" w:hAnsi="宋体" w:eastAsia="宋体"/>
          <w:b/>
          <w:color w:val="auto"/>
          <w:sz w:val="44"/>
          <w:szCs w:val="44"/>
          <w:highlight w:val="none"/>
        </w:rPr>
      </w:pPr>
    </w:p>
    <w:p w14:paraId="099AAA2E">
      <w:pPr>
        <w:ind w:firstLine="883"/>
        <w:jc w:val="center"/>
        <w:rPr>
          <w:rFonts w:ascii="宋体" w:hAnsi="宋体" w:eastAsia="宋体"/>
          <w:b/>
          <w:color w:val="auto"/>
          <w:sz w:val="44"/>
          <w:szCs w:val="44"/>
          <w:highlight w:val="none"/>
        </w:rPr>
      </w:pPr>
    </w:p>
    <w:p w14:paraId="35EEF826">
      <w:pPr>
        <w:ind w:firstLine="883"/>
        <w:jc w:val="center"/>
        <w:rPr>
          <w:rFonts w:ascii="宋体" w:hAnsi="宋体" w:eastAsia="宋体"/>
          <w:b/>
          <w:color w:val="auto"/>
          <w:sz w:val="44"/>
          <w:szCs w:val="44"/>
          <w:highlight w:val="none"/>
        </w:rPr>
      </w:pPr>
    </w:p>
    <w:p w14:paraId="7AA8FBB5">
      <w:pPr>
        <w:ind w:firstLine="883"/>
        <w:jc w:val="center"/>
        <w:rPr>
          <w:rFonts w:ascii="宋体" w:hAnsi="宋体" w:eastAsia="宋体"/>
          <w:b/>
          <w:color w:val="auto"/>
          <w:sz w:val="44"/>
          <w:szCs w:val="44"/>
          <w:highlight w:val="none"/>
        </w:rPr>
      </w:pPr>
    </w:p>
    <w:p w14:paraId="37771490">
      <w:pPr>
        <w:ind w:firstLine="883"/>
        <w:jc w:val="center"/>
        <w:rPr>
          <w:rFonts w:ascii="宋体" w:hAnsi="宋体" w:eastAsia="宋体"/>
          <w:b/>
          <w:color w:val="auto"/>
          <w:sz w:val="44"/>
          <w:szCs w:val="44"/>
          <w:highlight w:val="none"/>
        </w:rPr>
      </w:pPr>
    </w:p>
    <w:p w14:paraId="01F60A27">
      <w:pPr>
        <w:ind w:firstLine="2313"/>
        <w:rPr>
          <w:rFonts w:ascii="宋体" w:hAnsi="宋体" w:eastAsia="宋体" w:cs="宋体"/>
          <w:b/>
          <w:bCs/>
          <w:color w:val="auto"/>
          <w:spacing w:val="26"/>
          <w:sz w:val="110"/>
          <w:szCs w:val="110"/>
          <w:highlight w:val="none"/>
        </w:rPr>
      </w:pPr>
      <w:r>
        <w:rPr>
          <w:rFonts w:hint="eastAsia" w:ascii="宋体" w:hAnsi="宋体" w:eastAsia="宋体" w:cs="宋体"/>
          <w:b/>
          <w:bCs/>
          <w:color w:val="auto"/>
          <w:spacing w:val="26"/>
          <w:sz w:val="110"/>
          <w:szCs w:val="110"/>
          <w:highlight w:val="none"/>
        </w:rPr>
        <w:t>招标文件</w:t>
      </w:r>
    </w:p>
    <w:p w14:paraId="691A0AAC">
      <w:pPr>
        <w:spacing w:line="360" w:lineRule="auto"/>
        <w:ind w:firstLine="640"/>
        <w:jc w:val="center"/>
        <w:rPr>
          <w:rFonts w:ascii="宋体" w:hAnsi="宋体" w:eastAsia="宋体" w:cs="宋体"/>
          <w:color w:val="auto"/>
          <w:sz w:val="32"/>
          <w:szCs w:val="32"/>
          <w:highlight w:val="none"/>
        </w:rPr>
      </w:pPr>
    </w:p>
    <w:p w14:paraId="2D7636F6">
      <w:pPr>
        <w:spacing w:line="360" w:lineRule="auto"/>
        <w:ind w:firstLine="640"/>
        <w:jc w:val="center"/>
        <w:rPr>
          <w:rFonts w:ascii="宋体" w:hAnsi="宋体" w:eastAsia="宋体" w:cs="宋体"/>
          <w:color w:val="auto"/>
          <w:sz w:val="32"/>
          <w:szCs w:val="32"/>
          <w:highlight w:val="none"/>
        </w:rPr>
      </w:pPr>
    </w:p>
    <w:p w14:paraId="552ADEF8">
      <w:pPr>
        <w:spacing w:line="360" w:lineRule="auto"/>
        <w:ind w:firstLine="640"/>
        <w:jc w:val="center"/>
        <w:rPr>
          <w:rFonts w:ascii="宋体" w:hAnsi="宋体" w:eastAsia="宋体" w:cs="宋体"/>
          <w:color w:val="auto"/>
          <w:sz w:val="32"/>
          <w:szCs w:val="32"/>
          <w:highlight w:val="none"/>
        </w:rPr>
      </w:pPr>
    </w:p>
    <w:p w14:paraId="0C193E7B">
      <w:pPr>
        <w:spacing w:line="360" w:lineRule="auto"/>
        <w:ind w:firstLine="640"/>
        <w:jc w:val="center"/>
        <w:rPr>
          <w:rFonts w:ascii="宋体" w:hAnsi="宋体" w:eastAsia="宋体" w:cs="宋体"/>
          <w:color w:val="auto"/>
          <w:sz w:val="32"/>
          <w:szCs w:val="32"/>
          <w:highlight w:val="none"/>
        </w:rPr>
      </w:pPr>
    </w:p>
    <w:p w14:paraId="4DF6C9CB">
      <w:pPr>
        <w:spacing w:line="360" w:lineRule="auto"/>
        <w:ind w:firstLine="2560" w:firstLineChars="800"/>
        <w:rPr>
          <w:rFonts w:ascii="宋体" w:hAnsi="宋体" w:eastAsia="宋体" w:cs="宋体"/>
          <w:color w:val="auto"/>
          <w:sz w:val="32"/>
          <w:szCs w:val="32"/>
          <w:highlight w:val="none"/>
        </w:rPr>
      </w:pPr>
    </w:p>
    <w:p w14:paraId="68B252EE">
      <w:pPr>
        <w:spacing w:line="360" w:lineRule="auto"/>
        <w:ind w:firstLine="592"/>
        <w:jc w:val="center"/>
        <w:rPr>
          <w:rFonts w:ascii="宋体" w:hAnsi="宋体" w:eastAsia="宋体" w:cs="宋体"/>
          <w:color w:val="auto"/>
          <w:spacing w:val="-2"/>
          <w:sz w:val="30"/>
          <w:szCs w:val="30"/>
          <w:highlight w:val="none"/>
        </w:rPr>
      </w:pPr>
    </w:p>
    <w:p w14:paraId="45DE6CE4">
      <w:pPr>
        <w:spacing w:line="360" w:lineRule="auto"/>
        <w:ind w:firstLine="1724" w:firstLineChars="580"/>
        <w:jc w:val="left"/>
        <w:rPr>
          <w:rFonts w:ascii="宋体" w:hAnsi="宋体" w:eastAsia="宋体" w:cs="宋体"/>
          <w:b/>
          <w:bCs/>
          <w:color w:val="auto"/>
          <w:spacing w:val="-2"/>
          <w:sz w:val="30"/>
          <w:szCs w:val="30"/>
          <w:highlight w:val="none"/>
        </w:rPr>
      </w:pPr>
      <w:r>
        <w:rPr>
          <w:rFonts w:hint="eastAsia" w:ascii="宋体" w:hAnsi="宋体" w:eastAsia="宋体" w:cs="宋体"/>
          <w:b/>
          <w:bCs/>
          <w:color w:val="auto"/>
          <w:spacing w:val="-2"/>
          <w:sz w:val="30"/>
          <w:szCs w:val="30"/>
          <w:highlight w:val="none"/>
        </w:rPr>
        <w:t>招标人：广州市天投城市更新有限公司</w:t>
      </w:r>
    </w:p>
    <w:p w14:paraId="6651B3FB">
      <w:pPr>
        <w:spacing w:line="360" w:lineRule="auto"/>
        <w:ind w:firstLine="1724" w:firstLineChars="580"/>
        <w:jc w:val="left"/>
        <w:rPr>
          <w:rFonts w:hint="eastAsia" w:ascii="宋体" w:hAnsi="宋体" w:eastAsia="宋体" w:cs="宋体"/>
          <w:b/>
          <w:bCs/>
          <w:color w:val="auto"/>
          <w:spacing w:val="-2"/>
          <w:sz w:val="30"/>
          <w:szCs w:val="30"/>
          <w:highlight w:val="none"/>
          <w:lang w:eastAsia="zh-CN"/>
        </w:rPr>
      </w:pPr>
      <w:r>
        <w:rPr>
          <w:rFonts w:hint="eastAsia" w:ascii="宋体" w:hAnsi="宋体" w:eastAsia="宋体" w:cs="宋体"/>
          <w:b/>
          <w:bCs/>
          <w:color w:val="auto"/>
          <w:spacing w:val="-2"/>
          <w:sz w:val="30"/>
          <w:szCs w:val="30"/>
          <w:highlight w:val="none"/>
        </w:rPr>
        <w:t>招标代理机构：</w:t>
      </w:r>
      <w:r>
        <w:rPr>
          <w:rFonts w:hint="eastAsia" w:ascii="宋体" w:hAnsi="宋体" w:eastAsia="宋体" w:cs="宋体"/>
          <w:b/>
          <w:bCs/>
          <w:color w:val="auto"/>
          <w:spacing w:val="-2"/>
          <w:sz w:val="30"/>
          <w:szCs w:val="30"/>
          <w:highlight w:val="none"/>
          <w:lang w:eastAsia="zh-CN"/>
        </w:rPr>
        <w:t>广州市市政工程监理有限公司</w:t>
      </w:r>
    </w:p>
    <w:p w14:paraId="4CDD58A4">
      <w:pPr>
        <w:spacing w:line="360" w:lineRule="auto"/>
        <w:ind w:firstLine="1724" w:firstLineChars="580"/>
        <w:jc w:val="left"/>
        <w:rPr>
          <w:rFonts w:ascii="宋体" w:hAnsi="宋体" w:eastAsia="宋体" w:cs="宋体"/>
          <w:b/>
          <w:bCs/>
          <w:color w:val="auto"/>
          <w:spacing w:val="-2"/>
          <w:sz w:val="30"/>
          <w:szCs w:val="30"/>
          <w:highlight w:val="none"/>
        </w:rPr>
      </w:pPr>
      <w:r>
        <w:rPr>
          <w:rFonts w:hint="eastAsia" w:ascii="宋体" w:hAnsi="宋体" w:eastAsia="宋体" w:cs="宋体"/>
          <w:b/>
          <w:bCs/>
          <w:color w:val="auto"/>
          <w:spacing w:val="-2"/>
          <w:sz w:val="30"/>
          <w:szCs w:val="30"/>
          <w:highlight w:val="none"/>
        </w:rPr>
        <w:t>日期：</w:t>
      </w:r>
      <w:r>
        <w:rPr>
          <w:rFonts w:ascii="宋体" w:hAnsi="宋体" w:eastAsia="宋体" w:cs="宋体"/>
          <w:b/>
          <w:bCs/>
          <w:color w:val="auto"/>
          <w:spacing w:val="-2"/>
          <w:sz w:val="30"/>
          <w:szCs w:val="30"/>
          <w:highlight w:val="none"/>
        </w:rPr>
        <w:t>202</w:t>
      </w:r>
      <w:r>
        <w:rPr>
          <w:rFonts w:hint="eastAsia" w:ascii="宋体" w:hAnsi="宋体" w:eastAsia="宋体" w:cs="宋体"/>
          <w:b/>
          <w:bCs/>
          <w:color w:val="auto"/>
          <w:spacing w:val="-2"/>
          <w:sz w:val="30"/>
          <w:szCs w:val="30"/>
          <w:highlight w:val="none"/>
          <w:u w:val="none"/>
        </w:rPr>
        <w:t>4</w:t>
      </w:r>
      <w:r>
        <w:rPr>
          <w:rFonts w:ascii="宋体" w:hAnsi="宋体" w:eastAsia="宋体" w:cs="宋体"/>
          <w:b/>
          <w:bCs/>
          <w:color w:val="auto"/>
          <w:spacing w:val="-2"/>
          <w:sz w:val="30"/>
          <w:szCs w:val="30"/>
          <w:highlight w:val="none"/>
          <w:u w:val="none"/>
        </w:rPr>
        <w:t>年</w:t>
      </w:r>
      <w:r>
        <w:rPr>
          <w:rFonts w:hint="eastAsia" w:ascii="宋体" w:hAnsi="宋体" w:eastAsia="宋体" w:cs="宋体"/>
          <w:b/>
          <w:bCs/>
          <w:color w:val="auto"/>
          <w:spacing w:val="-2"/>
          <w:sz w:val="30"/>
          <w:szCs w:val="30"/>
          <w:highlight w:val="none"/>
          <w:u w:val="none"/>
          <w:lang w:val="en-US" w:eastAsia="zh-CN"/>
        </w:rPr>
        <w:t xml:space="preserve"> 11 </w:t>
      </w:r>
      <w:r>
        <w:rPr>
          <w:rFonts w:hint="eastAsia" w:ascii="宋体" w:hAnsi="宋体" w:eastAsia="宋体" w:cs="宋体"/>
          <w:b/>
          <w:bCs/>
          <w:color w:val="auto"/>
          <w:spacing w:val="-2"/>
          <w:sz w:val="30"/>
          <w:szCs w:val="30"/>
          <w:highlight w:val="none"/>
          <w:u w:val="none"/>
        </w:rPr>
        <w:t>月</w:t>
      </w:r>
    </w:p>
    <w:p w14:paraId="318129A6">
      <w:pPr>
        <w:widowControl/>
        <w:ind w:firstLine="594"/>
        <w:jc w:val="left"/>
        <w:rPr>
          <w:rFonts w:ascii="宋体" w:hAnsi="宋体" w:eastAsia="宋体" w:cs="宋体"/>
          <w:b/>
          <w:bCs/>
          <w:color w:val="auto"/>
          <w:spacing w:val="-2"/>
          <w:sz w:val="30"/>
          <w:szCs w:val="30"/>
          <w:highlight w:val="none"/>
        </w:rPr>
      </w:pPr>
      <w:r>
        <w:rPr>
          <w:rFonts w:ascii="宋体" w:hAnsi="宋体" w:eastAsia="宋体" w:cs="宋体"/>
          <w:b/>
          <w:bCs/>
          <w:color w:val="auto"/>
          <w:spacing w:val="-2"/>
          <w:sz w:val="30"/>
          <w:szCs w:val="30"/>
          <w:highlight w:val="none"/>
        </w:rPr>
        <w:br w:type="page"/>
      </w:r>
    </w:p>
    <w:p w14:paraId="56221AF3">
      <w:pPr>
        <w:pageBreakBefore/>
        <w:spacing w:line="360" w:lineRule="auto"/>
        <w:jc w:val="center"/>
        <w:rPr>
          <w:rFonts w:ascii="宋体" w:hAnsi="宋体" w:eastAsia="宋体"/>
          <w:color w:val="auto"/>
          <w:highlight w:val="none"/>
        </w:rPr>
      </w:pPr>
      <w:r>
        <w:rPr>
          <w:rFonts w:hint="eastAsia" w:ascii="宋体" w:hAnsi="宋体" w:eastAsia="宋体"/>
          <w:color w:val="auto"/>
          <w:highlight w:val="none"/>
        </w:rPr>
        <w:t>目录</w:t>
      </w:r>
    </w:p>
    <w:p w14:paraId="08B156C9">
      <w:pPr>
        <w:pStyle w:val="21"/>
        <w:tabs>
          <w:tab w:val="right" w:leader="dot" w:pos="8630"/>
        </w:tabs>
        <w:jc w:val="center"/>
        <w:rPr>
          <w:rFonts w:ascii="宋体" w:hAnsi="宋体"/>
          <w:color w:val="auto"/>
          <w:szCs w:val="21"/>
          <w:highlight w:val="none"/>
        </w:rPr>
      </w:pPr>
    </w:p>
    <w:p w14:paraId="668D3E37">
      <w:pPr>
        <w:pStyle w:val="21"/>
        <w:tabs>
          <w:tab w:val="right" w:leader="dot" w:pos="8867"/>
        </w:tabs>
      </w:pPr>
      <w:r>
        <w:rPr>
          <w:rFonts w:hint="eastAsia" w:ascii="宋体" w:hAnsi="宋体"/>
          <w:color w:val="auto"/>
          <w:szCs w:val="21"/>
          <w:highlight w:val="none"/>
        </w:rPr>
        <w:fldChar w:fldCharType="begin"/>
      </w:r>
      <w:r>
        <w:rPr>
          <w:rFonts w:ascii="宋体" w:hAnsi="宋体"/>
          <w:color w:val="auto"/>
          <w:szCs w:val="21"/>
          <w:highlight w:val="none"/>
        </w:rPr>
        <w:instrText xml:space="preserve"> TOC \o "1-3" \h \z \u </w:instrText>
      </w:r>
      <w:r>
        <w:rPr>
          <w:rFonts w:hint="eastAsia" w:ascii="宋体" w:hAnsi="宋体"/>
          <w:color w:val="auto"/>
          <w:szCs w:val="21"/>
          <w:highlight w:val="none"/>
        </w:rPr>
        <w:fldChar w:fldCharType="separate"/>
      </w:r>
      <w:r>
        <w:rPr>
          <w:rFonts w:hint="eastAsia" w:ascii="宋体" w:hAnsi="宋体" w:eastAsia="宋体"/>
          <w:color w:val="auto"/>
          <w:szCs w:val="21"/>
          <w:highlight w:val="none"/>
        </w:rPr>
        <w:fldChar w:fldCharType="begin"/>
      </w:r>
      <w:r>
        <w:rPr>
          <w:rFonts w:hint="eastAsia" w:ascii="宋体" w:hAnsi="宋体" w:eastAsia="宋体"/>
          <w:szCs w:val="21"/>
          <w:highlight w:val="none"/>
        </w:rPr>
        <w:instrText xml:space="preserve"> HYPERLINK \l _Toc1625 </w:instrText>
      </w:r>
      <w:r>
        <w:rPr>
          <w:rFonts w:hint="eastAsia" w:ascii="宋体" w:hAnsi="宋体" w:eastAsia="宋体"/>
          <w:szCs w:val="21"/>
          <w:highlight w:val="none"/>
        </w:rPr>
        <w:fldChar w:fldCharType="separate"/>
      </w:r>
      <w:r>
        <w:rPr>
          <w:rFonts w:hint="eastAsia"/>
          <w:highlight w:val="none"/>
        </w:rPr>
        <w:t>第一章招标公告</w:t>
      </w:r>
      <w:r>
        <w:tab/>
      </w:r>
      <w:r>
        <w:fldChar w:fldCharType="begin"/>
      </w:r>
      <w:r>
        <w:instrText xml:space="preserve"> PAGEREF _Toc1625 \h </w:instrText>
      </w:r>
      <w:r>
        <w:fldChar w:fldCharType="separate"/>
      </w:r>
      <w:r>
        <w:t>4</w:t>
      </w:r>
      <w:r>
        <w:fldChar w:fldCharType="end"/>
      </w:r>
      <w:r>
        <w:rPr>
          <w:rFonts w:hint="eastAsia" w:ascii="宋体" w:hAnsi="宋体" w:eastAsia="宋体"/>
          <w:color w:val="auto"/>
          <w:szCs w:val="21"/>
          <w:highlight w:val="none"/>
        </w:rPr>
        <w:fldChar w:fldCharType="end"/>
      </w:r>
    </w:p>
    <w:p w14:paraId="53D5912A">
      <w:pPr>
        <w:pStyle w:val="21"/>
        <w:tabs>
          <w:tab w:val="right" w:leader="dot" w:pos="8867"/>
        </w:tabs>
      </w:pPr>
      <w:r>
        <w:rPr>
          <w:rFonts w:hint="eastAsia" w:ascii="宋体" w:hAnsi="宋体" w:eastAsia="宋体"/>
          <w:color w:val="auto"/>
          <w:szCs w:val="21"/>
          <w:highlight w:val="none"/>
        </w:rPr>
        <w:fldChar w:fldCharType="begin"/>
      </w:r>
      <w:r>
        <w:rPr>
          <w:rFonts w:hint="eastAsia" w:ascii="宋体" w:hAnsi="宋体" w:eastAsia="宋体"/>
          <w:szCs w:val="21"/>
          <w:highlight w:val="none"/>
        </w:rPr>
        <w:instrText xml:space="preserve"> HYPERLINK \l _Toc8579 </w:instrText>
      </w:r>
      <w:r>
        <w:rPr>
          <w:rFonts w:hint="eastAsia" w:ascii="宋体" w:hAnsi="宋体" w:eastAsia="宋体"/>
          <w:szCs w:val="21"/>
          <w:highlight w:val="none"/>
        </w:rPr>
        <w:fldChar w:fldCharType="separate"/>
      </w:r>
      <w:r>
        <w:rPr>
          <w:rFonts w:hint="eastAsia"/>
          <w:highlight w:val="none"/>
        </w:rPr>
        <w:t>第二章投标人须知</w:t>
      </w:r>
      <w:r>
        <w:tab/>
      </w:r>
      <w:r>
        <w:fldChar w:fldCharType="begin"/>
      </w:r>
      <w:r>
        <w:instrText xml:space="preserve"> PAGEREF _Toc8579 \h </w:instrText>
      </w:r>
      <w:r>
        <w:fldChar w:fldCharType="separate"/>
      </w:r>
      <w:r>
        <w:t>5</w:t>
      </w:r>
      <w:r>
        <w:fldChar w:fldCharType="end"/>
      </w:r>
      <w:r>
        <w:rPr>
          <w:rFonts w:hint="eastAsia" w:ascii="宋体" w:hAnsi="宋体" w:eastAsia="宋体"/>
          <w:color w:val="auto"/>
          <w:szCs w:val="21"/>
          <w:highlight w:val="none"/>
        </w:rPr>
        <w:fldChar w:fldCharType="end"/>
      </w:r>
    </w:p>
    <w:p w14:paraId="3B051153">
      <w:pPr>
        <w:pStyle w:val="24"/>
        <w:tabs>
          <w:tab w:val="right" w:leader="dot" w:pos="8867"/>
        </w:tabs>
      </w:pPr>
      <w:r>
        <w:rPr>
          <w:rFonts w:hint="eastAsia" w:ascii="宋体" w:hAnsi="宋体" w:eastAsia="宋体"/>
          <w:color w:val="auto"/>
          <w:szCs w:val="21"/>
          <w:highlight w:val="none"/>
        </w:rPr>
        <w:fldChar w:fldCharType="begin"/>
      </w:r>
      <w:r>
        <w:rPr>
          <w:rFonts w:hint="eastAsia" w:ascii="宋体" w:hAnsi="宋体" w:eastAsia="宋体"/>
          <w:szCs w:val="21"/>
          <w:highlight w:val="none"/>
        </w:rPr>
        <w:instrText xml:space="preserve"> HYPERLINK \l _Toc240 </w:instrText>
      </w:r>
      <w:r>
        <w:rPr>
          <w:rFonts w:hint="eastAsia" w:ascii="宋体" w:hAnsi="宋体" w:eastAsia="宋体"/>
          <w:szCs w:val="21"/>
          <w:highlight w:val="none"/>
        </w:rPr>
        <w:fldChar w:fldCharType="separate"/>
      </w:r>
      <w:r>
        <w:rPr>
          <w:rFonts w:hint="eastAsia"/>
          <w:highlight w:val="none"/>
        </w:rPr>
        <w:t>投标人须知前附表</w:t>
      </w:r>
      <w:r>
        <w:tab/>
      </w:r>
      <w:r>
        <w:fldChar w:fldCharType="begin"/>
      </w:r>
      <w:r>
        <w:instrText xml:space="preserve"> PAGEREF _Toc240 \h </w:instrText>
      </w:r>
      <w:r>
        <w:fldChar w:fldCharType="separate"/>
      </w:r>
      <w:r>
        <w:t>5</w:t>
      </w:r>
      <w:r>
        <w:fldChar w:fldCharType="end"/>
      </w:r>
      <w:r>
        <w:rPr>
          <w:rFonts w:hint="eastAsia" w:ascii="宋体" w:hAnsi="宋体" w:eastAsia="宋体"/>
          <w:color w:val="auto"/>
          <w:szCs w:val="21"/>
          <w:highlight w:val="none"/>
        </w:rPr>
        <w:fldChar w:fldCharType="end"/>
      </w:r>
    </w:p>
    <w:p w14:paraId="14BB8AFD">
      <w:pPr>
        <w:pStyle w:val="24"/>
        <w:tabs>
          <w:tab w:val="right" w:leader="dot" w:pos="8867"/>
        </w:tabs>
      </w:pPr>
      <w:r>
        <w:rPr>
          <w:rFonts w:hint="eastAsia" w:ascii="宋体" w:hAnsi="宋体" w:eastAsia="宋体"/>
          <w:color w:val="auto"/>
          <w:szCs w:val="21"/>
          <w:highlight w:val="none"/>
        </w:rPr>
        <w:fldChar w:fldCharType="begin"/>
      </w:r>
      <w:r>
        <w:rPr>
          <w:rFonts w:hint="eastAsia" w:ascii="宋体" w:hAnsi="宋体" w:eastAsia="宋体"/>
          <w:szCs w:val="21"/>
          <w:highlight w:val="none"/>
        </w:rPr>
        <w:instrText xml:space="preserve"> HYPERLINK \l _Toc10650 </w:instrText>
      </w:r>
      <w:r>
        <w:rPr>
          <w:rFonts w:hint="eastAsia" w:ascii="宋体" w:hAnsi="宋体" w:eastAsia="宋体"/>
          <w:szCs w:val="21"/>
          <w:highlight w:val="none"/>
        </w:rPr>
        <w:fldChar w:fldCharType="separate"/>
      </w:r>
      <w:r>
        <w:rPr>
          <w:szCs w:val="28"/>
          <w:highlight w:val="none"/>
        </w:rPr>
        <w:t>1.总则</w:t>
      </w:r>
      <w:r>
        <w:tab/>
      </w:r>
      <w:r>
        <w:fldChar w:fldCharType="begin"/>
      </w:r>
      <w:r>
        <w:instrText xml:space="preserve"> PAGEREF _Toc10650 \h </w:instrText>
      </w:r>
      <w:r>
        <w:fldChar w:fldCharType="separate"/>
      </w:r>
      <w:r>
        <w:t>11</w:t>
      </w:r>
      <w:r>
        <w:fldChar w:fldCharType="end"/>
      </w:r>
      <w:r>
        <w:rPr>
          <w:rFonts w:hint="eastAsia" w:ascii="宋体" w:hAnsi="宋体" w:eastAsia="宋体"/>
          <w:color w:val="auto"/>
          <w:szCs w:val="21"/>
          <w:highlight w:val="none"/>
        </w:rPr>
        <w:fldChar w:fldCharType="end"/>
      </w:r>
    </w:p>
    <w:p w14:paraId="0BCDCCFB">
      <w:pPr>
        <w:pStyle w:val="24"/>
        <w:tabs>
          <w:tab w:val="right" w:leader="dot" w:pos="8867"/>
        </w:tabs>
      </w:pPr>
      <w:r>
        <w:rPr>
          <w:rFonts w:hint="eastAsia" w:ascii="宋体" w:hAnsi="宋体" w:eastAsia="宋体"/>
          <w:color w:val="auto"/>
          <w:szCs w:val="21"/>
          <w:highlight w:val="none"/>
        </w:rPr>
        <w:fldChar w:fldCharType="begin"/>
      </w:r>
      <w:r>
        <w:rPr>
          <w:rFonts w:hint="eastAsia" w:ascii="宋体" w:hAnsi="宋体" w:eastAsia="宋体"/>
          <w:szCs w:val="21"/>
          <w:highlight w:val="none"/>
        </w:rPr>
        <w:instrText xml:space="preserve"> HYPERLINK \l _Toc32128 </w:instrText>
      </w:r>
      <w:r>
        <w:rPr>
          <w:rFonts w:hint="eastAsia" w:ascii="宋体" w:hAnsi="宋体" w:eastAsia="宋体"/>
          <w:szCs w:val="21"/>
          <w:highlight w:val="none"/>
        </w:rPr>
        <w:fldChar w:fldCharType="separate"/>
      </w:r>
      <w:r>
        <w:rPr>
          <w:highlight w:val="none"/>
        </w:rPr>
        <w:t>2.招标文件</w:t>
      </w:r>
      <w:r>
        <w:tab/>
      </w:r>
      <w:r>
        <w:fldChar w:fldCharType="begin"/>
      </w:r>
      <w:r>
        <w:instrText xml:space="preserve"> PAGEREF _Toc32128 \h </w:instrText>
      </w:r>
      <w:r>
        <w:fldChar w:fldCharType="separate"/>
      </w:r>
      <w:r>
        <w:t>14</w:t>
      </w:r>
      <w:r>
        <w:fldChar w:fldCharType="end"/>
      </w:r>
      <w:r>
        <w:rPr>
          <w:rFonts w:hint="eastAsia" w:ascii="宋体" w:hAnsi="宋体" w:eastAsia="宋体"/>
          <w:color w:val="auto"/>
          <w:szCs w:val="21"/>
          <w:highlight w:val="none"/>
        </w:rPr>
        <w:fldChar w:fldCharType="end"/>
      </w:r>
    </w:p>
    <w:p w14:paraId="18445D36">
      <w:pPr>
        <w:pStyle w:val="24"/>
        <w:tabs>
          <w:tab w:val="right" w:leader="dot" w:pos="8867"/>
        </w:tabs>
      </w:pPr>
      <w:r>
        <w:rPr>
          <w:rFonts w:hint="eastAsia" w:ascii="宋体" w:hAnsi="宋体" w:eastAsia="宋体"/>
          <w:color w:val="auto"/>
          <w:szCs w:val="21"/>
          <w:highlight w:val="none"/>
        </w:rPr>
        <w:fldChar w:fldCharType="begin"/>
      </w:r>
      <w:r>
        <w:rPr>
          <w:rFonts w:hint="eastAsia" w:ascii="宋体" w:hAnsi="宋体" w:eastAsia="宋体"/>
          <w:szCs w:val="21"/>
          <w:highlight w:val="none"/>
        </w:rPr>
        <w:instrText xml:space="preserve"> HYPERLINK \l _Toc24937 </w:instrText>
      </w:r>
      <w:r>
        <w:rPr>
          <w:rFonts w:hint="eastAsia" w:ascii="宋体" w:hAnsi="宋体" w:eastAsia="宋体"/>
          <w:szCs w:val="21"/>
          <w:highlight w:val="none"/>
        </w:rPr>
        <w:fldChar w:fldCharType="separate"/>
      </w:r>
      <w:r>
        <w:rPr>
          <w:highlight w:val="none"/>
        </w:rPr>
        <w:t xml:space="preserve">3. </w:t>
      </w:r>
      <w:r>
        <w:rPr>
          <w:rFonts w:hint="eastAsia"/>
          <w:highlight w:val="none"/>
        </w:rPr>
        <w:t>投标文件</w:t>
      </w:r>
      <w:r>
        <w:tab/>
      </w:r>
      <w:r>
        <w:fldChar w:fldCharType="begin"/>
      </w:r>
      <w:r>
        <w:instrText xml:space="preserve"> PAGEREF _Toc24937 \h </w:instrText>
      </w:r>
      <w:r>
        <w:fldChar w:fldCharType="separate"/>
      </w:r>
      <w:r>
        <w:t>15</w:t>
      </w:r>
      <w:r>
        <w:fldChar w:fldCharType="end"/>
      </w:r>
      <w:r>
        <w:rPr>
          <w:rFonts w:hint="eastAsia" w:ascii="宋体" w:hAnsi="宋体" w:eastAsia="宋体"/>
          <w:color w:val="auto"/>
          <w:szCs w:val="21"/>
          <w:highlight w:val="none"/>
        </w:rPr>
        <w:fldChar w:fldCharType="end"/>
      </w:r>
    </w:p>
    <w:p w14:paraId="4F52CB8C">
      <w:pPr>
        <w:pStyle w:val="24"/>
        <w:tabs>
          <w:tab w:val="right" w:leader="dot" w:pos="8867"/>
        </w:tabs>
      </w:pPr>
      <w:r>
        <w:rPr>
          <w:rFonts w:hint="eastAsia" w:ascii="宋体" w:hAnsi="宋体" w:eastAsia="宋体"/>
          <w:color w:val="auto"/>
          <w:szCs w:val="21"/>
          <w:highlight w:val="none"/>
        </w:rPr>
        <w:fldChar w:fldCharType="begin"/>
      </w:r>
      <w:r>
        <w:rPr>
          <w:rFonts w:hint="eastAsia" w:ascii="宋体" w:hAnsi="宋体" w:eastAsia="宋体"/>
          <w:szCs w:val="21"/>
          <w:highlight w:val="none"/>
        </w:rPr>
        <w:instrText xml:space="preserve"> HYPERLINK \l _Toc14192 </w:instrText>
      </w:r>
      <w:r>
        <w:rPr>
          <w:rFonts w:hint="eastAsia" w:ascii="宋体" w:hAnsi="宋体" w:eastAsia="宋体"/>
          <w:szCs w:val="21"/>
          <w:highlight w:val="none"/>
        </w:rPr>
        <w:fldChar w:fldCharType="separate"/>
      </w:r>
      <w:r>
        <w:rPr>
          <w:highlight w:val="none"/>
        </w:rPr>
        <w:t>4.投标</w:t>
      </w:r>
      <w:r>
        <w:tab/>
      </w:r>
      <w:r>
        <w:fldChar w:fldCharType="begin"/>
      </w:r>
      <w:r>
        <w:instrText xml:space="preserve"> PAGEREF _Toc14192 \h </w:instrText>
      </w:r>
      <w:r>
        <w:fldChar w:fldCharType="separate"/>
      </w:r>
      <w:r>
        <w:t>17</w:t>
      </w:r>
      <w:r>
        <w:fldChar w:fldCharType="end"/>
      </w:r>
      <w:r>
        <w:rPr>
          <w:rFonts w:hint="eastAsia" w:ascii="宋体" w:hAnsi="宋体" w:eastAsia="宋体"/>
          <w:color w:val="auto"/>
          <w:szCs w:val="21"/>
          <w:highlight w:val="none"/>
        </w:rPr>
        <w:fldChar w:fldCharType="end"/>
      </w:r>
    </w:p>
    <w:p w14:paraId="2D2908B8">
      <w:pPr>
        <w:pStyle w:val="24"/>
        <w:tabs>
          <w:tab w:val="right" w:leader="dot" w:pos="8867"/>
        </w:tabs>
      </w:pPr>
      <w:r>
        <w:rPr>
          <w:rFonts w:hint="eastAsia" w:ascii="宋体" w:hAnsi="宋体" w:eastAsia="宋体"/>
          <w:color w:val="auto"/>
          <w:szCs w:val="21"/>
          <w:highlight w:val="none"/>
        </w:rPr>
        <w:fldChar w:fldCharType="begin"/>
      </w:r>
      <w:r>
        <w:rPr>
          <w:rFonts w:hint="eastAsia" w:ascii="宋体" w:hAnsi="宋体" w:eastAsia="宋体"/>
          <w:szCs w:val="21"/>
          <w:highlight w:val="none"/>
        </w:rPr>
        <w:instrText xml:space="preserve"> HYPERLINK \l _Toc23358 </w:instrText>
      </w:r>
      <w:r>
        <w:rPr>
          <w:rFonts w:hint="eastAsia" w:ascii="宋体" w:hAnsi="宋体" w:eastAsia="宋体"/>
          <w:szCs w:val="21"/>
          <w:highlight w:val="none"/>
        </w:rPr>
        <w:fldChar w:fldCharType="separate"/>
      </w:r>
      <w:r>
        <w:rPr>
          <w:highlight w:val="none"/>
        </w:rPr>
        <w:t xml:space="preserve">5. </w:t>
      </w:r>
      <w:r>
        <w:rPr>
          <w:rFonts w:hint="eastAsia"/>
          <w:highlight w:val="none"/>
        </w:rPr>
        <w:t>开标</w:t>
      </w:r>
      <w:r>
        <w:tab/>
      </w:r>
      <w:r>
        <w:fldChar w:fldCharType="begin"/>
      </w:r>
      <w:r>
        <w:instrText xml:space="preserve"> PAGEREF _Toc23358 \h </w:instrText>
      </w:r>
      <w:r>
        <w:fldChar w:fldCharType="separate"/>
      </w:r>
      <w:r>
        <w:t>18</w:t>
      </w:r>
      <w:r>
        <w:fldChar w:fldCharType="end"/>
      </w:r>
      <w:r>
        <w:rPr>
          <w:rFonts w:hint="eastAsia" w:ascii="宋体" w:hAnsi="宋体" w:eastAsia="宋体"/>
          <w:color w:val="auto"/>
          <w:szCs w:val="21"/>
          <w:highlight w:val="none"/>
        </w:rPr>
        <w:fldChar w:fldCharType="end"/>
      </w:r>
    </w:p>
    <w:p w14:paraId="3CD8C4D2">
      <w:pPr>
        <w:pStyle w:val="24"/>
        <w:tabs>
          <w:tab w:val="right" w:leader="dot" w:pos="8867"/>
        </w:tabs>
      </w:pPr>
      <w:r>
        <w:rPr>
          <w:rFonts w:hint="eastAsia" w:ascii="宋体" w:hAnsi="宋体" w:eastAsia="宋体"/>
          <w:color w:val="auto"/>
          <w:szCs w:val="21"/>
          <w:highlight w:val="none"/>
        </w:rPr>
        <w:fldChar w:fldCharType="begin"/>
      </w:r>
      <w:r>
        <w:rPr>
          <w:rFonts w:hint="eastAsia" w:ascii="宋体" w:hAnsi="宋体" w:eastAsia="宋体"/>
          <w:szCs w:val="21"/>
          <w:highlight w:val="none"/>
        </w:rPr>
        <w:instrText xml:space="preserve"> HYPERLINK \l _Toc26550 </w:instrText>
      </w:r>
      <w:r>
        <w:rPr>
          <w:rFonts w:hint="eastAsia" w:ascii="宋体" w:hAnsi="宋体" w:eastAsia="宋体"/>
          <w:szCs w:val="21"/>
          <w:highlight w:val="none"/>
        </w:rPr>
        <w:fldChar w:fldCharType="separate"/>
      </w:r>
      <w:r>
        <w:rPr>
          <w:highlight w:val="none"/>
        </w:rPr>
        <w:t>6.评标</w:t>
      </w:r>
      <w:r>
        <w:tab/>
      </w:r>
      <w:r>
        <w:fldChar w:fldCharType="begin"/>
      </w:r>
      <w:r>
        <w:instrText xml:space="preserve"> PAGEREF _Toc26550 \h </w:instrText>
      </w:r>
      <w:r>
        <w:fldChar w:fldCharType="separate"/>
      </w:r>
      <w:r>
        <w:t>19</w:t>
      </w:r>
      <w:r>
        <w:fldChar w:fldCharType="end"/>
      </w:r>
      <w:r>
        <w:rPr>
          <w:rFonts w:hint="eastAsia" w:ascii="宋体" w:hAnsi="宋体" w:eastAsia="宋体"/>
          <w:color w:val="auto"/>
          <w:szCs w:val="21"/>
          <w:highlight w:val="none"/>
        </w:rPr>
        <w:fldChar w:fldCharType="end"/>
      </w:r>
    </w:p>
    <w:p w14:paraId="7FE033EA">
      <w:pPr>
        <w:pStyle w:val="24"/>
        <w:tabs>
          <w:tab w:val="right" w:leader="dot" w:pos="8867"/>
        </w:tabs>
      </w:pPr>
      <w:r>
        <w:rPr>
          <w:rFonts w:hint="eastAsia" w:ascii="宋体" w:hAnsi="宋体" w:eastAsia="宋体"/>
          <w:color w:val="auto"/>
          <w:szCs w:val="21"/>
          <w:highlight w:val="none"/>
        </w:rPr>
        <w:fldChar w:fldCharType="begin"/>
      </w:r>
      <w:r>
        <w:rPr>
          <w:rFonts w:hint="eastAsia" w:ascii="宋体" w:hAnsi="宋体" w:eastAsia="宋体"/>
          <w:szCs w:val="21"/>
          <w:highlight w:val="none"/>
        </w:rPr>
        <w:instrText xml:space="preserve"> HYPERLINK \l _Toc7477 </w:instrText>
      </w:r>
      <w:r>
        <w:rPr>
          <w:rFonts w:hint="eastAsia" w:ascii="宋体" w:hAnsi="宋体" w:eastAsia="宋体"/>
          <w:szCs w:val="21"/>
          <w:highlight w:val="none"/>
        </w:rPr>
        <w:fldChar w:fldCharType="separate"/>
      </w:r>
      <w:r>
        <w:rPr>
          <w:highlight w:val="none"/>
        </w:rPr>
        <w:t>7.合同授予</w:t>
      </w:r>
      <w:r>
        <w:tab/>
      </w:r>
      <w:r>
        <w:fldChar w:fldCharType="begin"/>
      </w:r>
      <w:r>
        <w:instrText xml:space="preserve"> PAGEREF _Toc7477 \h </w:instrText>
      </w:r>
      <w:r>
        <w:fldChar w:fldCharType="separate"/>
      </w:r>
      <w:r>
        <w:t>19</w:t>
      </w:r>
      <w:r>
        <w:fldChar w:fldCharType="end"/>
      </w:r>
      <w:r>
        <w:rPr>
          <w:rFonts w:hint="eastAsia" w:ascii="宋体" w:hAnsi="宋体" w:eastAsia="宋体"/>
          <w:color w:val="auto"/>
          <w:szCs w:val="21"/>
          <w:highlight w:val="none"/>
        </w:rPr>
        <w:fldChar w:fldCharType="end"/>
      </w:r>
    </w:p>
    <w:p w14:paraId="4AC2B283">
      <w:pPr>
        <w:pStyle w:val="24"/>
        <w:tabs>
          <w:tab w:val="right" w:leader="dot" w:pos="8867"/>
        </w:tabs>
      </w:pPr>
      <w:r>
        <w:rPr>
          <w:rFonts w:hint="eastAsia" w:ascii="宋体" w:hAnsi="宋体" w:eastAsia="宋体"/>
          <w:color w:val="auto"/>
          <w:szCs w:val="21"/>
          <w:highlight w:val="none"/>
        </w:rPr>
        <w:fldChar w:fldCharType="begin"/>
      </w:r>
      <w:r>
        <w:rPr>
          <w:rFonts w:hint="eastAsia" w:ascii="宋体" w:hAnsi="宋体" w:eastAsia="宋体"/>
          <w:szCs w:val="21"/>
          <w:highlight w:val="none"/>
        </w:rPr>
        <w:instrText xml:space="preserve"> HYPERLINK \l _Toc8282 </w:instrText>
      </w:r>
      <w:r>
        <w:rPr>
          <w:rFonts w:hint="eastAsia" w:ascii="宋体" w:hAnsi="宋体" w:eastAsia="宋体"/>
          <w:szCs w:val="21"/>
          <w:highlight w:val="none"/>
        </w:rPr>
        <w:fldChar w:fldCharType="separate"/>
      </w:r>
      <w:r>
        <w:rPr>
          <w:highlight w:val="none"/>
        </w:rPr>
        <w:t>8.纪律和监督</w:t>
      </w:r>
      <w:r>
        <w:tab/>
      </w:r>
      <w:r>
        <w:fldChar w:fldCharType="begin"/>
      </w:r>
      <w:r>
        <w:instrText xml:space="preserve"> PAGEREF _Toc8282 \h </w:instrText>
      </w:r>
      <w:r>
        <w:fldChar w:fldCharType="separate"/>
      </w:r>
      <w:r>
        <w:t>21</w:t>
      </w:r>
      <w:r>
        <w:fldChar w:fldCharType="end"/>
      </w:r>
      <w:r>
        <w:rPr>
          <w:rFonts w:hint="eastAsia" w:ascii="宋体" w:hAnsi="宋体" w:eastAsia="宋体"/>
          <w:color w:val="auto"/>
          <w:szCs w:val="21"/>
          <w:highlight w:val="none"/>
        </w:rPr>
        <w:fldChar w:fldCharType="end"/>
      </w:r>
    </w:p>
    <w:p w14:paraId="6D6A1DA8">
      <w:pPr>
        <w:pStyle w:val="24"/>
        <w:tabs>
          <w:tab w:val="right" w:leader="dot" w:pos="8867"/>
        </w:tabs>
      </w:pPr>
      <w:r>
        <w:rPr>
          <w:rFonts w:hint="eastAsia" w:ascii="宋体" w:hAnsi="宋体" w:eastAsia="宋体"/>
          <w:color w:val="auto"/>
          <w:szCs w:val="21"/>
          <w:highlight w:val="none"/>
        </w:rPr>
        <w:fldChar w:fldCharType="begin"/>
      </w:r>
      <w:r>
        <w:rPr>
          <w:rFonts w:hint="eastAsia" w:ascii="宋体" w:hAnsi="宋体" w:eastAsia="宋体"/>
          <w:szCs w:val="21"/>
          <w:highlight w:val="none"/>
        </w:rPr>
        <w:instrText xml:space="preserve"> HYPERLINK \l _Toc15873 </w:instrText>
      </w:r>
      <w:r>
        <w:rPr>
          <w:rFonts w:hint="eastAsia" w:ascii="宋体" w:hAnsi="宋体" w:eastAsia="宋体"/>
          <w:szCs w:val="21"/>
          <w:highlight w:val="none"/>
        </w:rPr>
        <w:fldChar w:fldCharType="separate"/>
      </w:r>
      <w:r>
        <w:rPr>
          <w:highlight w:val="none"/>
        </w:rPr>
        <w:t xml:space="preserve">9. </w:t>
      </w:r>
      <w:r>
        <w:rPr>
          <w:rFonts w:hint="eastAsia"/>
          <w:highlight w:val="none"/>
        </w:rPr>
        <w:t>是否采用电子招标投标</w:t>
      </w:r>
      <w:r>
        <w:tab/>
      </w:r>
      <w:r>
        <w:fldChar w:fldCharType="begin"/>
      </w:r>
      <w:r>
        <w:instrText xml:space="preserve"> PAGEREF _Toc15873 \h </w:instrText>
      </w:r>
      <w:r>
        <w:fldChar w:fldCharType="separate"/>
      </w:r>
      <w:r>
        <w:t>22</w:t>
      </w:r>
      <w:r>
        <w:fldChar w:fldCharType="end"/>
      </w:r>
      <w:r>
        <w:rPr>
          <w:rFonts w:hint="eastAsia" w:ascii="宋体" w:hAnsi="宋体" w:eastAsia="宋体"/>
          <w:color w:val="auto"/>
          <w:szCs w:val="21"/>
          <w:highlight w:val="none"/>
        </w:rPr>
        <w:fldChar w:fldCharType="end"/>
      </w:r>
    </w:p>
    <w:p w14:paraId="1127E300">
      <w:pPr>
        <w:pStyle w:val="24"/>
        <w:tabs>
          <w:tab w:val="right" w:leader="dot" w:pos="8867"/>
        </w:tabs>
      </w:pPr>
      <w:r>
        <w:rPr>
          <w:rFonts w:hint="eastAsia" w:ascii="宋体" w:hAnsi="宋体" w:eastAsia="宋体"/>
          <w:color w:val="auto"/>
          <w:szCs w:val="21"/>
          <w:highlight w:val="none"/>
        </w:rPr>
        <w:fldChar w:fldCharType="begin"/>
      </w:r>
      <w:r>
        <w:rPr>
          <w:rFonts w:hint="eastAsia" w:ascii="宋体" w:hAnsi="宋体" w:eastAsia="宋体"/>
          <w:szCs w:val="21"/>
          <w:highlight w:val="none"/>
        </w:rPr>
        <w:instrText xml:space="preserve"> HYPERLINK \l _Toc7545 </w:instrText>
      </w:r>
      <w:r>
        <w:rPr>
          <w:rFonts w:hint="eastAsia" w:ascii="宋体" w:hAnsi="宋体" w:eastAsia="宋体"/>
          <w:szCs w:val="21"/>
          <w:highlight w:val="none"/>
        </w:rPr>
        <w:fldChar w:fldCharType="separate"/>
      </w:r>
      <w:r>
        <w:rPr>
          <w:highlight w:val="none"/>
        </w:rPr>
        <w:t xml:space="preserve">10. </w:t>
      </w:r>
      <w:r>
        <w:rPr>
          <w:rFonts w:hint="eastAsia"/>
          <w:highlight w:val="none"/>
        </w:rPr>
        <w:t>需要补充的其他内容</w:t>
      </w:r>
      <w:r>
        <w:tab/>
      </w:r>
      <w:r>
        <w:fldChar w:fldCharType="begin"/>
      </w:r>
      <w:r>
        <w:instrText xml:space="preserve"> PAGEREF _Toc7545 \h </w:instrText>
      </w:r>
      <w:r>
        <w:fldChar w:fldCharType="separate"/>
      </w:r>
      <w:r>
        <w:t>22</w:t>
      </w:r>
      <w:r>
        <w:fldChar w:fldCharType="end"/>
      </w:r>
      <w:r>
        <w:rPr>
          <w:rFonts w:hint="eastAsia" w:ascii="宋体" w:hAnsi="宋体" w:eastAsia="宋体"/>
          <w:color w:val="auto"/>
          <w:szCs w:val="21"/>
          <w:highlight w:val="none"/>
        </w:rPr>
        <w:fldChar w:fldCharType="end"/>
      </w:r>
    </w:p>
    <w:p w14:paraId="4DBD054A">
      <w:pPr>
        <w:pStyle w:val="24"/>
        <w:tabs>
          <w:tab w:val="right" w:leader="dot" w:pos="8867"/>
        </w:tabs>
      </w:pPr>
      <w:r>
        <w:rPr>
          <w:rFonts w:hint="eastAsia" w:ascii="宋体" w:hAnsi="宋体" w:eastAsia="宋体"/>
          <w:color w:val="auto"/>
          <w:szCs w:val="21"/>
          <w:highlight w:val="none"/>
        </w:rPr>
        <w:fldChar w:fldCharType="begin"/>
      </w:r>
      <w:r>
        <w:rPr>
          <w:rFonts w:hint="eastAsia" w:ascii="宋体" w:hAnsi="宋体" w:eastAsia="宋体"/>
          <w:szCs w:val="21"/>
          <w:highlight w:val="none"/>
        </w:rPr>
        <w:instrText xml:space="preserve"> HYPERLINK \l _Toc30294 </w:instrText>
      </w:r>
      <w:r>
        <w:rPr>
          <w:rFonts w:hint="eastAsia" w:ascii="宋体" w:hAnsi="宋体" w:eastAsia="宋体"/>
          <w:szCs w:val="21"/>
          <w:highlight w:val="none"/>
        </w:rPr>
        <w:fldChar w:fldCharType="separate"/>
      </w:r>
      <w:r>
        <w:rPr>
          <w:rFonts w:hint="eastAsia"/>
          <w:highlight w:val="none"/>
        </w:rPr>
        <w:t>附件一：开标记录表</w:t>
      </w:r>
      <w:r>
        <w:tab/>
      </w:r>
      <w:r>
        <w:fldChar w:fldCharType="begin"/>
      </w:r>
      <w:r>
        <w:instrText xml:space="preserve"> PAGEREF _Toc30294 \h </w:instrText>
      </w:r>
      <w:r>
        <w:fldChar w:fldCharType="separate"/>
      </w:r>
      <w:r>
        <w:t>23</w:t>
      </w:r>
      <w:r>
        <w:fldChar w:fldCharType="end"/>
      </w:r>
      <w:r>
        <w:rPr>
          <w:rFonts w:hint="eastAsia" w:ascii="宋体" w:hAnsi="宋体" w:eastAsia="宋体"/>
          <w:color w:val="auto"/>
          <w:szCs w:val="21"/>
          <w:highlight w:val="none"/>
        </w:rPr>
        <w:fldChar w:fldCharType="end"/>
      </w:r>
    </w:p>
    <w:p w14:paraId="7F5EBCDA">
      <w:pPr>
        <w:pStyle w:val="24"/>
        <w:tabs>
          <w:tab w:val="right" w:leader="dot" w:pos="8867"/>
        </w:tabs>
      </w:pPr>
      <w:r>
        <w:rPr>
          <w:rFonts w:hint="eastAsia" w:ascii="宋体" w:hAnsi="宋体" w:eastAsia="宋体"/>
          <w:color w:val="auto"/>
          <w:szCs w:val="21"/>
          <w:highlight w:val="none"/>
        </w:rPr>
        <w:fldChar w:fldCharType="begin"/>
      </w:r>
      <w:r>
        <w:rPr>
          <w:rFonts w:hint="eastAsia" w:ascii="宋体" w:hAnsi="宋体" w:eastAsia="宋体"/>
          <w:szCs w:val="21"/>
          <w:highlight w:val="none"/>
        </w:rPr>
        <w:instrText xml:space="preserve"> HYPERLINK \l _Toc22368 </w:instrText>
      </w:r>
      <w:r>
        <w:rPr>
          <w:rFonts w:hint="eastAsia" w:ascii="宋体" w:hAnsi="宋体" w:eastAsia="宋体"/>
          <w:szCs w:val="21"/>
          <w:highlight w:val="none"/>
        </w:rPr>
        <w:fldChar w:fldCharType="separate"/>
      </w:r>
      <w:r>
        <w:rPr>
          <w:rFonts w:hint="eastAsia" w:ascii="宋体" w:hAnsi="宋体" w:eastAsia="宋体" w:cs="宋体"/>
          <w:highlight w:val="none"/>
        </w:rPr>
        <w:t>附件二：问题澄清通知</w:t>
      </w:r>
      <w:r>
        <w:tab/>
      </w:r>
      <w:r>
        <w:fldChar w:fldCharType="begin"/>
      </w:r>
      <w:r>
        <w:instrText xml:space="preserve"> PAGEREF _Toc22368 \h </w:instrText>
      </w:r>
      <w:r>
        <w:fldChar w:fldCharType="separate"/>
      </w:r>
      <w:r>
        <w:t>24</w:t>
      </w:r>
      <w:r>
        <w:fldChar w:fldCharType="end"/>
      </w:r>
      <w:r>
        <w:rPr>
          <w:rFonts w:hint="eastAsia" w:ascii="宋体" w:hAnsi="宋体" w:eastAsia="宋体"/>
          <w:color w:val="auto"/>
          <w:szCs w:val="21"/>
          <w:highlight w:val="none"/>
        </w:rPr>
        <w:fldChar w:fldCharType="end"/>
      </w:r>
    </w:p>
    <w:p w14:paraId="7A2BBBFE">
      <w:pPr>
        <w:pStyle w:val="24"/>
        <w:tabs>
          <w:tab w:val="right" w:leader="dot" w:pos="8867"/>
        </w:tabs>
      </w:pPr>
      <w:r>
        <w:rPr>
          <w:rFonts w:hint="eastAsia" w:ascii="宋体" w:hAnsi="宋体" w:eastAsia="宋体"/>
          <w:color w:val="auto"/>
          <w:szCs w:val="21"/>
          <w:highlight w:val="none"/>
        </w:rPr>
        <w:fldChar w:fldCharType="begin"/>
      </w:r>
      <w:r>
        <w:rPr>
          <w:rFonts w:hint="eastAsia" w:ascii="宋体" w:hAnsi="宋体" w:eastAsia="宋体"/>
          <w:szCs w:val="21"/>
          <w:highlight w:val="none"/>
        </w:rPr>
        <w:instrText xml:space="preserve"> HYPERLINK \l _Toc15635 </w:instrText>
      </w:r>
      <w:r>
        <w:rPr>
          <w:rFonts w:hint="eastAsia" w:ascii="宋体" w:hAnsi="宋体" w:eastAsia="宋体"/>
          <w:szCs w:val="21"/>
          <w:highlight w:val="none"/>
        </w:rPr>
        <w:fldChar w:fldCharType="separate"/>
      </w:r>
      <w:r>
        <w:rPr>
          <w:rFonts w:hint="eastAsia" w:ascii="宋体" w:hAnsi="宋体" w:eastAsia="宋体" w:cs="宋体"/>
          <w:highlight w:val="none"/>
        </w:rPr>
        <w:t>附件三：问题的澄清</w:t>
      </w:r>
      <w:r>
        <w:tab/>
      </w:r>
      <w:r>
        <w:fldChar w:fldCharType="begin"/>
      </w:r>
      <w:r>
        <w:instrText xml:space="preserve"> PAGEREF _Toc15635 \h </w:instrText>
      </w:r>
      <w:r>
        <w:fldChar w:fldCharType="separate"/>
      </w:r>
      <w:r>
        <w:t>25</w:t>
      </w:r>
      <w:r>
        <w:fldChar w:fldCharType="end"/>
      </w:r>
      <w:r>
        <w:rPr>
          <w:rFonts w:hint="eastAsia" w:ascii="宋体" w:hAnsi="宋体" w:eastAsia="宋体"/>
          <w:color w:val="auto"/>
          <w:szCs w:val="21"/>
          <w:highlight w:val="none"/>
        </w:rPr>
        <w:fldChar w:fldCharType="end"/>
      </w:r>
    </w:p>
    <w:p w14:paraId="1EAD9015">
      <w:pPr>
        <w:pStyle w:val="24"/>
        <w:tabs>
          <w:tab w:val="right" w:leader="dot" w:pos="8867"/>
        </w:tabs>
      </w:pPr>
      <w:r>
        <w:rPr>
          <w:rFonts w:hint="eastAsia" w:ascii="宋体" w:hAnsi="宋体" w:eastAsia="宋体"/>
          <w:color w:val="auto"/>
          <w:szCs w:val="21"/>
          <w:highlight w:val="none"/>
        </w:rPr>
        <w:fldChar w:fldCharType="begin"/>
      </w:r>
      <w:r>
        <w:rPr>
          <w:rFonts w:hint="eastAsia" w:ascii="宋体" w:hAnsi="宋体" w:eastAsia="宋体"/>
          <w:szCs w:val="21"/>
          <w:highlight w:val="none"/>
        </w:rPr>
        <w:instrText xml:space="preserve"> HYPERLINK \l _Toc20084 </w:instrText>
      </w:r>
      <w:r>
        <w:rPr>
          <w:rFonts w:hint="eastAsia" w:ascii="宋体" w:hAnsi="宋体" w:eastAsia="宋体"/>
          <w:szCs w:val="21"/>
          <w:highlight w:val="none"/>
        </w:rPr>
        <w:fldChar w:fldCharType="separate"/>
      </w:r>
      <w:r>
        <w:rPr>
          <w:rFonts w:hint="eastAsia" w:ascii="宋体" w:hAnsi="宋体" w:eastAsia="宋体" w:cs="宋体"/>
          <w:highlight w:val="none"/>
        </w:rPr>
        <w:t>附件四：中标通知书</w:t>
      </w:r>
      <w:r>
        <w:tab/>
      </w:r>
      <w:r>
        <w:fldChar w:fldCharType="begin"/>
      </w:r>
      <w:r>
        <w:instrText xml:space="preserve"> PAGEREF _Toc20084 \h </w:instrText>
      </w:r>
      <w:r>
        <w:fldChar w:fldCharType="separate"/>
      </w:r>
      <w:r>
        <w:t>26</w:t>
      </w:r>
      <w:r>
        <w:fldChar w:fldCharType="end"/>
      </w:r>
      <w:r>
        <w:rPr>
          <w:rFonts w:hint="eastAsia" w:ascii="宋体" w:hAnsi="宋体" w:eastAsia="宋体"/>
          <w:color w:val="auto"/>
          <w:szCs w:val="21"/>
          <w:highlight w:val="none"/>
        </w:rPr>
        <w:fldChar w:fldCharType="end"/>
      </w:r>
    </w:p>
    <w:p w14:paraId="0D73CC6C">
      <w:pPr>
        <w:pStyle w:val="21"/>
        <w:tabs>
          <w:tab w:val="right" w:leader="dot" w:pos="8867"/>
        </w:tabs>
      </w:pPr>
      <w:r>
        <w:rPr>
          <w:rFonts w:hint="eastAsia" w:ascii="宋体" w:hAnsi="宋体" w:eastAsia="宋体"/>
          <w:color w:val="auto"/>
          <w:szCs w:val="21"/>
          <w:highlight w:val="none"/>
        </w:rPr>
        <w:fldChar w:fldCharType="begin"/>
      </w:r>
      <w:r>
        <w:rPr>
          <w:rFonts w:hint="eastAsia" w:ascii="宋体" w:hAnsi="宋体" w:eastAsia="宋体"/>
          <w:szCs w:val="21"/>
          <w:highlight w:val="none"/>
        </w:rPr>
        <w:instrText xml:space="preserve"> HYPERLINK \l _Toc31766 </w:instrText>
      </w:r>
      <w:r>
        <w:rPr>
          <w:rFonts w:hint="eastAsia" w:ascii="宋体" w:hAnsi="宋体" w:eastAsia="宋体"/>
          <w:szCs w:val="21"/>
          <w:highlight w:val="none"/>
        </w:rPr>
        <w:fldChar w:fldCharType="separate"/>
      </w:r>
      <w:r>
        <w:rPr>
          <w:rFonts w:hint="eastAsia" w:ascii="宋体" w:hAnsi="宋体" w:eastAsia="宋体" w:cs="宋体"/>
          <w:kern w:val="2"/>
          <w:szCs w:val="30"/>
          <w:highlight w:val="none"/>
          <w:lang w:val="en-US" w:eastAsia="zh-CN" w:bidi="ar-SA"/>
        </w:rPr>
        <w:t>第三章评标办法（综合评估法）</w:t>
      </w:r>
      <w:r>
        <w:tab/>
      </w:r>
      <w:r>
        <w:fldChar w:fldCharType="begin"/>
      </w:r>
      <w:r>
        <w:instrText xml:space="preserve"> PAGEREF _Toc31766 \h </w:instrText>
      </w:r>
      <w:r>
        <w:fldChar w:fldCharType="separate"/>
      </w:r>
      <w:r>
        <w:t>27</w:t>
      </w:r>
      <w:r>
        <w:fldChar w:fldCharType="end"/>
      </w:r>
      <w:r>
        <w:rPr>
          <w:rFonts w:hint="eastAsia" w:ascii="宋体" w:hAnsi="宋体" w:eastAsia="宋体"/>
          <w:color w:val="auto"/>
          <w:szCs w:val="21"/>
          <w:highlight w:val="none"/>
        </w:rPr>
        <w:fldChar w:fldCharType="end"/>
      </w:r>
    </w:p>
    <w:p w14:paraId="208DE975">
      <w:pPr>
        <w:pStyle w:val="24"/>
        <w:tabs>
          <w:tab w:val="right" w:leader="dot" w:pos="8867"/>
        </w:tabs>
      </w:pPr>
      <w:r>
        <w:rPr>
          <w:rFonts w:hint="eastAsia" w:ascii="宋体" w:hAnsi="宋体" w:eastAsia="宋体"/>
          <w:color w:val="auto"/>
          <w:szCs w:val="21"/>
          <w:highlight w:val="none"/>
        </w:rPr>
        <w:fldChar w:fldCharType="begin"/>
      </w:r>
      <w:r>
        <w:rPr>
          <w:rFonts w:hint="eastAsia" w:ascii="宋体" w:hAnsi="宋体" w:eastAsia="宋体"/>
          <w:szCs w:val="21"/>
          <w:highlight w:val="none"/>
        </w:rPr>
        <w:instrText xml:space="preserve"> HYPERLINK \l _Toc4686 </w:instrText>
      </w:r>
      <w:r>
        <w:rPr>
          <w:rFonts w:hint="eastAsia" w:ascii="宋体" w:hAnsi="宋体" w:eastAsia="宋体"/>
          <w:szCs w:val="21"/>
          <w:highlight w:val="none"/>
        </w:rPr>
        <w:fldChar w:fldCharType="separate"/>
      </w:r>
      <w:r>
        <w:rPr>
          <w:rFonts w:hint="eastAsia"/>
          <w:highlight w:val="none"/>
        </w:rPr>
        <w:t>评标办法前附表</w:t>
      </w:r>
      <w:r>
        <w:tab/>
      </w:r>
      <w:r>
        <w:fldChar w:fldCharType="begin"/>
      </w:r>
      <w:r>
        <w:instrText xml:space="preserve"> PAGEREF _Toc4686 \h </w:instrText>
      </w:r>
      <w:r>
        <w:fldChar w:fldCharType="separate"/>
      </w:r>
      <w:r>
        <w:t>27</w:t>
      </w:r>
      <w:r>
        <w:fldChar w:fldCharType="end"/>
      </w:r>
      <w:r>
        <w:rPr>
          <w:rFonts w:hint="eastAsia" w:ascii="宋体" w:hAnsi="宋体" w:eastAsia="宋体"/>
          <w:color w:val="auto"/>
          <w:szCs w:val="21"/>
          <w:highlight w:val="none"/>
        </w:rPr>
        <w:fldChar w:fldCharType="end"/>
      </w:r>
    </w:p>
    <w:p w14:paraId="31CF9F41">
      <w:pPr>
        <w:pStyle w:val="24"/>
        <w:tabs>
          <w:tab w:val="right" w:leader="dot" w:pos="8867"/>
        </w:tabs>
      </w:pPr>
      <w:r>
        <w:rPr>
          <w:rFonts w:hint="eastAsia" w:ascii="宋体" w:hAnsi="宋体" w:eastAsia="宋体"/>
          <w:color w:val="auto"/>
          <w:szCs w:val="21"/>
          <w:highlight w:val="none"/>
        </w:rPr>
        <w:fldChar w:fldCharType="begin"/>
      </w:r>
      <w:r>
        <w:rPr>
          <w:rFonts w:hint="eastAsia" w:ascii="宋体" w:hAnsi="宋体" w:eastAsia="宋体"/>
          <w:szCs w:val="21"/>
          <w:highlight w:val="none"/>
        </w:rPr>
        <w:instrText xml:space="preserve"> HYPERLINK \l _Toc25854 </w:instrText>
      </w:r>
      <w:r>
        <w:rPr>
          <w:rFonts w:hint="eastAsia" w:ascii="宋体" w:hAnsi="宋体" w:eastAsia="宋体"/>
          <w:szCs w:val="21"/>
          <w:highlight w:val="none"/>
        </w:rPr>
        <w:fldChar w:fldCharType="separate"/>
      </w:r>
      <w:r>
        <w:rPr>
          <w:highlight w:val="none"/>
        </w:rPr>
        <w:t xml:space="preserve">1. </w:t>
      </w:r>
      <w:r>
        <w:rPr>
          <w:rFonts w:hint="eastAsia"/>
          <w:highlight w:val="none"/>
        </w:rPr>
        <w:t>评标方法</w:t>
      </w:r>
      <w:r>
        <w:tab/>
      </w:r>
      <w:r>
        <w:fldChar w:fldCharType="begin"/>
      </w:r>
      <w:r>
        <w:instrText xml:space="preserve"> PAGEREF _Toc25854 \h </w:instrText>
      </w:r>
      <w:r>
        <w:fldChar w:fldCharType="separate"/>
      </w:r>
      <w:r>
        <w:t>31</w:t>
      </w:r>
      <w:r>
        <w:fldChar w:fldCharType="end"/>
      </w:r>
      <w:r>
        <w:rPr>
          <w:rFonts w:hint="eastAsia" w:ascii="宋体" w:hAnsi="宋体" w:eastAsia="宋体"/>
          <w:color w:val="auto"/>
          <w:szCs w:val="21"/>
          <w:highlight w:val="none"/>
        </w:rPr>
        <w:fldChar w:fldCharType="end"/>
      </w:r>
    </w:p>
    <w:p w14:paraId="133BA365">
      <w:pPr>
        <w:pStyle w:val="24"/>
        <w:tabs>
          <w:tab w:val="right" w:leader="dot" w:pos="8867"/>
        </w:tabs>
      </w:pPr>
      <w:r>
        <w:rPr>
          <w:rFonts w:hint="eastAsia" w:ascii="宋体" w:hAnsi="宋体" w:eastAsia="宋体"/>
          <w:color w:val="auto"/>
          <w:szCs w:val="21"/>
          <w:highlight w:val="none"/>
        </w:rPr>
        <w:fldChar w:fldCharType="begin"/>
      </w:r>
      <w:r>
        <w:rPr>
          <w:rFonts w:hint="eastAsia" w:ascii="宋体" w:hAnsi="宋体" w:eastAsia="宋体"/>
          <w:szCs w:val="21"/>
          <w:highlight w:val="none"/>
        </w:rPr>
        <w:instrText xml:space="preserve"> HYPERLINK \l _Toc5332 </w:instrText>
      </w:r>
      <w:r>
        <w:rPr>
          <w:rFonts w:hint="eastAsia" w:ascii="宋体" w:hAnsi="宋体" w:eastAsia="宋体"/>
          <w:szCs w:val="21"/>
          <w:highlight w:val="none"/>
        </w:rPr>
        <w:fldChar w:fldCharType="separate"/>
      </w:r>
      <w:r>
        <w:rPr>
          <w:highlight w:val="none"/>
        </w:rPr>
        <w:t xml:space="preserve">2. </w:t>
      </w:r>
      <w:r>
        <w:rPr>
          <w:rFonts w:hint="eastAsia"/>
          <w:highlight w:val="none"/>
        </w:rPr>
        <w:t>评审标准</w:t>
      </w:r>
      <w:r>
        <w:tab/>
      </w:r>
      <w:r>
        <w:fldChar w:fldCharType="begin"/>
      </w:r>
      <w:r>
        <w:instrText xml:space="preserve"> PAGEREF _Toc5332 \h </w:instrText>
      </w:r>
      <w:r>
        <w:fldChar w:fldCharType="separate"/>
      </w:r>
      <w:r>
        <w:t>31</w:t>
      </w:r>
      <w:r>
        <w:fldChar w:fldCharType="end"/>
      </w:r>
      <w:r>
        <w:rPr>
          <w:rFonts w:hint="eastAsia" w:ascii="宋体" w:hAnsi="宋体" w:eastAsia="宋体"/>
          <w:color w:val="auto"/>
          <w:szCs w:val="21"/>
          <w:highlight w:val="none"/>
        </w:rPr>
        <w:fldChar w:fldCharType="end"/>
      </w:r>
    </w:p>
    <w:p w14:paraId="2F1D5148">
      <w:pPr>
        <w:pStyle w:val="24"/>
        <w:tabs>
          <w:tab w:val="right" w:leader="dot" w:pos="8867"/>
        </w:tabs>
      </w:pPr>
      <w:r>
        <w:rPr>
          <w:rFonts w:hint="eastAsia" w:ascii="宋体" w:hAnsi="宋体" w:eastAsia="宋体"/>
          <w:color w:val="auto"/>
          <w:szCs w:val="21"/>
          <w:highlight w:val="none"/>
        </w:rPr>
        <w:fldChar w:fldCharType="begin"/>
      </w:r>
      <w:r>
        <w:rPr>
          <w:rFonts w:hint="eastAsia" w:ascii="宋体" w:hAnsi="宋体" w:eastAsia="宋体"/>
          <w:szCs w:val="21"/>
          <w:highlight w:val="none"/>
        </w:rPr>
        <w:instrText xml:space="preserve"> HYPERLINK \l _Toc6140 </w:instrText>
      </w:r>
      <w:r>
        <w:rPr>
          <w:rFonts w:hint="eastAsia" w:ascii="宋体" w:hAnsi="宋体" w:eastAsia="宋体"/>
          <w:szCs w:val="21"/>
          <w:highlight w:val="none"/>
        </w:rPr>
        <w:fldChar w:fldCharType="separate"/>
      </w:r>
      <w:r>
        <w:rPr>
          <w:highlight w:val="none"/>
        </w:rPr>
        <w:t xml:space="preserve">3. </w:t>
      </w:r>
      <w:r>
        <w:rPr>
          <w:rFonts w:hint="eastAsia"/>
          <w:highlight w:val="none"/>
        </w:rPr>
        <w:t>评标程序</w:t>
      </w:r>
      <w:r>
        <w:tab/>
      </w:r>
      <w:r>
        <w:fldChar w:fldCharType="begin"/>
      </w:r>
      <w:r>
        <w:instrText xml:space="preserve"> PAGEREF _Toc6140 \h </w:instrText>
      </w:r>
      <w:r>
        <w:fldChar w:fldCharType="separate"/>
      </w:r>
      <w:r>
        <w:t>31</w:t>
      </w:r>
      <w:r>
        <w:fldChar w:fldCharType="end"/>
      </w:r>
      <w:r>
        <w:rPr>
          <w:rFonts w:hint="eastAsia" w:ascii="宋体" w:hAnsi="宋体" w:eastAsia="宋体"/>
          <w:color w:val="auto"/>
          <w:szCs w:val="21"/>
          <w:highlight w:val="none"/>
        </w:rPr>
        <w:fldChar w:fldCharType="end"/>
      </w:r>
    </w:p>
    <w:p w14:paraId="349CD7EA">
      <w:pPr>
        <w:pStyle w:val="21"/>
        <w:tabs>
          <w:tab w:val="right" w:leader="dot" w:pos="8867"/>
        </w:tabs>
      </w:pPr>
      <w:r>
        <w:rPr>
          <w:rFonts w:hint="eastAsia" w:ascii="宋体" w:hAnsi="宋体" w:eastAsia="宋体"/>
          <w:color w:val="auto"/>
          <w:szCs w:val="21"/>
          <w:highlight w:val="none"/>
        </w:rPr>
        <w:fldChar w:fldCharType="begin"/>
      </w:r>
      <w:r>
        <w:rPr>
          <w:rFonts w:hint="eastAsia" w:ascii="宋体" w:hAnsi="宋体" w:eastAsia="宋体"/>
          <w:szCs w:val="21"/>
          <w:highlight w:val="none"/>
        </w:rPr>
        <w:instrText xml:space="preserve"> HYPERLINK \l _Toc14234 </w:instrText>
      </w:r>
      <w:r>
        <w:rPr>
          <w:rFonts w:hint="eastAsia" w:ascii="宋体" w:hAnsi="宋体" w:eastAsia="宋体"/>
          <w:szCs w:val="21"/>
          <w:highlight w:val="none"/>
        </w:rPr>
        <w:fldChar w:fldCharType="separate"/>
      </w:r>
      <w:r>
        <w:rPr>
          <w:rFonts w:hint="eastAsia"/>
        </w:rPr>
        <w:t>第四章合同条款及格式</w:t>
      </w:r>
      <w:r>
        <w:tab/>
      </w:r>
      <w:r>
        <w:fldChar w:fldCharType="begin"/>
      </w:r>
      <w:r>
        <w:instrText xml:space="preserve"> PAGEREF _Toc14234 \h </w:instrText>
      </w:r>
      <w:r>
        <w:fldChar w:fldCharType="separate"/>
      </w:r>
      <w:r>
        <w:t>34</w:t>
      </w:r>
      <w:r>
        <w:fldChar w:fldCharType="end"/>
      </w:r>
      <w:r>
        <w:rPr>
          <w:rFonts w:hint="eastAsia" w:ascii="宋体" w:hAnsi="宋体" w:eastAsia="宋体"/>
          <w:color w:val="auto"/>
          <w:szCs w:val="21"/>
          <w:highlight w:val="none"/>
        </w:rPr>
        <w:fldChar w:fldCharType="end"/>
      </w:r>
    </w:p>
    <w:p w14:paraId="04E46C80">
      <w:pPr>
        <w:pStyle w:val="21"/>
        <w:tabs>
          <w:tab w:val="right" w:leader="dot" w:pos="8867"/>
        </w:tabs>
      </w:pPr>
      <w:r>
        <w:rPr>
          <w:rFonts w:hint="eastAsia" w:ascii="宋体" w:hAnsi="宋体" w:eastAsia="宋体"/>
          <w:color w:val="auto"/>
          <w:szCs w:val="21"/>
          <w:highlight w:val="none"/>
        </w:rPr>
        <w:fldChar w:fldCharType="begin"/>
      </w:r>
      <w:r>
        <w:rPr>
          <w:rFonts w:hint="eastAsia" w:ascii="宋体" w:hAnsi="宋体" w:eastAsia="宋体"/>
          <w:szCs w:val="21"/>
          <w:highlight w:val="none"/>
        </w:rPr>
        <w:instrText xml:space="preserve"> HYPERLINK \l _Toc24836 </w:instrText>
      </w:r>
      <w:r>
        <w:rPr>
          <w:rFonts w:hint="eastAsia" w:ascii="宋体" w:hAnsi="宋体" w:eastAsia="宋体"/>
          <w:szCs w:val="21"/>
          <w:highlight w:val="none"/>
        </w:rPr>
        <w:fldChar w:fldCharType="separate"/>
      </w:r>
      <w:r>
        <w:rPr>
          <w:rFonts w:hint="eastAsia"/>
        </w:rPr>
        <w:t xml:space="preserve">第五章 </w:t>
      </w:r>
      <w:r>
        <w:rPr>
          <w:rFonts w:hint="eastAsia"/>
          <w:highlight w:val="none"/>
        </w:rPr>
        <w:t>委托人要求</w:t>
      </w:r>
      <w:r>
        <w:tab/>
      </w:r>
      <w:r>
        <w:fldChar w:fldCharType="begin"/>
      </w:r>
      <w:r>
        <w:instrText xml:space="preserve"> PAGEREF _Toc24836 \h </w:instrText>
      </w:r>
      <w:r>
        <w:fldChar w:fldCharType="separate"/>
      </w:r>
      <w:r>
        <w:t>35</w:t>
      </w:r>
      <w:r>
        <w:fldChar w:fldCharType="end"/>
      </w:r>
      <w:r>
        <w:rPr>
          <w:rFonts w:hint="eastAsia" w:ascii="宋体" w:hAnsi="宋体" w:eastAsia="宋体"/>
          <w:color w:val="auto"/>
          <w:szCs w:val="21"/>
          <w:highlight w:val="none"/>
        </w:rPr>
        <w:fldChar w:fldCharType="end"/>
      </w:r>
    </w:p>
    <w:p w14:paraId="3E1131B3">
      <w:pPr>
        <w:pStyle w:val="21"/>
        <w:tabs>
          <w:tab w:val="right" w:leader="dot" w:pos="8867"/>
        </w:tabs>
      </w:pPr>
      <w:r>
        <w:rPr>
          <w:rFonts w:hint="eastAsia" w:ascii="宋体" w:hAnsi="宋体" w:eastAsia="宋体"/>
          <w:color w:val="auto"/>
          <w:szCs w:val="21"/>
          <w:highlight w:val="none"/>
        </w:rPr>
        <w:fldChar w:fldCharType="begin"/>
      </w:r>
      <w:r>
        <w:rPr>
          <w:rFonts w:hint="eastAsia" w:ascii="宋体" w:hAnsi="宋体" w:eastAsia="宋体"/>
          <w:szCs w:val="21"/>
          <w:highlight w:val="none"/>
        </w:rPr>
        <w:instrText xml:space="preserve"> HYPERLINK \l _Toc32036 </w:instrText>
      </w:r>
      <w:r>
        <w:rPr>
          <w:rFonts w:hint="eastAsia" w:ascii="宋体" w:hAnsi="宋体" w:eastAsia="宋体"/>
          <w:szCs w:val="21"/>
          <w:highlight w:val="none"/>
        </w:rPr>
        <w:fldChar w:fldCharType="separate"/>
      </w:r>
      <w:r>
        <w:rPr>
          <w:rFonts w:hint="eastAsia"/>
          <w:highlight w:val="none"/>
        </w:rPr>
        <w:t>第六章投标文件格式</w:t>
      </w:r>
      <w:r>
        <w:tab/>
      </w:r>
      <w:r>
        <w:fldChar w:fldCharType="begin"/>
      </w:r>
      <w:r>
        <w:instrText xml:space="preserve"> PAGEREF _Toc32036 \h </w:instrText>
      </w:r>
      <w:r>
        <w:fldChar w:fldCharType="separate"/>
      </w:r>
      <w:r>
        <w:t>36</w:t>
      </w:r>
      <w:r>
        <w:fldChar w:fldCharType="end"/>
      </w:r>
      <w:r>
        <w:rPr>
          <w:rFonts w:hint="eastAsia" w:ascii="宋体" w:hAnsi="宋体" w:eastAsia="宋体"/>
          <w:color w:val="auto"/>
          <w:szCs w:val="21"/>
          <w:highlight w:val="none"/>
        </w:rPr>
        <w:fldChar w:fldCharType="end"/>
      </w:r>
    </w:p>
    <w:p w14:paraId="7BE72CDD">
      <w:pPr>
        <w:pStyle w:val="24"/>
        <w:tabs>
          <w:tab w:val="right" w:leader="dot" w:pos="8867"/>
        </w:tabs>
      </w:pPr>
      <w:r>
        <w:rPr>
          <w:rFonts w:hint="eastAsia" w:ascii="宋体" w:hAnsi="宋体" w:eastAsia="宋体"/>
          <w:color w:val="auto"/>
          <w:szCs w:val="21"/>
          <w:highlight w:val="none"/>
        </w:rPr>
        <w:fldChar w:fldCharType="begin"/>
      </w:r>
      <w:r>
        <w:rPr>
          <w:rFonts w:hint="eastAsia" w:ascii="宋体" w:hAnsi="宋体" w:eastAsia="宋体"/>
          <w:szCs w:val="21"/>
          <w:highlight w:val="none"/>
        </w:rPr>
        <w:instrText xml:space="preserve"> HYPERLINK \l _Toc26459 </w:instrText>
      </w:r>
      <w:r>
        <w:rPr>
          <w:rFonts w:hint="eastAsia" w:ascii="宋体" w:hAnsi="宋体" w:eastAsia="宋体"/>
          <w:szCs w:val="21"/>
          <w:highlight w:val="none"/>
        </w:rPr>
        <w:fldChar w:fldCharType="separate"/>
      </w:r>
      <w:r>
        <w:rPr>
          <w:rFonts w:hint="eastAsia"/>
          <w:highlight w:val="none"/>
        </w:rPr>
        <w:t>目录</w:t>
      </w:r>
      <w:r>
        <w:tab/>
      </w:r>
      <w:r>
        <w:fldChar w:fldCharType="begin"/>
      </w:r>
      <w:r>
        <w:instrText xml:space="preserve"> PAGEREF _Toc26459 \h </w:instrText>
      </w:r>
      <w:r>
        <w:fldChar w:fldCharType="separate"/>
      </w:r>
      <w:r>
        <w:t>38</w:t>
      </w:r>
      <w:r>
        <w:fldChar w:fldCharType="end"/>
      </w:r>
      <w:r>
        <w:rPr>
          <w:rFonts w:hint="eastAsia" w:ascii="宋体" w:hAnsi="宋体" w:eastAsia="宋体"/>
          <w:color w:val="auto"/>
          <w:szCs w:val="21"/>
          <w:highlight w:val="none"/>
        </w:rPr>
        <w:fldChar w:fldCharType="end"/>
      </w:r>
    </w:p>
    <w:p w14:paraId="69A45B05">
      <w:pPr>
        <w:pStyle w:val="24"/>
        <w:tabs>
          <w:tab w:val="right" w:leader="dot" w:pos="8867"/>
        </w:tabs>
      </w:pPr>
      <w:r>
        <w:rPr>
          <w:rFonts w:hint="eastAsia" w:ascii="宋体" w:hAnsi="宋体" w:eastAsia="宋体"/>
          <w:color w:val="auto"/>
          <w:szCs w:val="21"/>
          <w:highlight w:val="none"/>
        </w:rPr>
        <w:fldChar w:fldCharType="begin"/>
      </w:r>
      <w:r>
        <w:rPr>
          <w:rFonts w:hint="eastAsia" w:ascii="宋体" w:hAnsi="宋体" w:eastAsia="宋体"/>
          <w:szCs w:val="21"/>
          <w:highlight w:val="none"/>
        </w:rPr>
        <w:instrText xml:space="preserve"> HYPERLINK \l _Toc5604 </w:instrText>
      </w:r>
      <w:r>
        <w:rPr>
          <w:rFonts w:hint="eastAsia" w:ascii="宋体" w:hAnsi="宋体" w:eastAsia="宋体"/>
          <w:szCs w:val="21"/>
          <w:highlight w:val="none"/>
        </w:rPr>
        <w:fldChar w:fldCharType="separate"/>
      </w:r>
      <w:r>
        <w:rPr>
          <w:rFonts w:hint="eastAsia"/>
          <w:highlight w:val="none"/>
        </w:rPr>
        <w:t>一、投标函及附录</w:t>
      </w:r>
      <w:r>
        <w:tab/>
      </w:r>
      <w:r>
        <w:fldChar w:fldCharType="begin"/>
      </w:r>
      <w:r>
        <w:instrText xml:space="preserve"> PAGEREF _Toc5604 \h </w:instrText>
      </w:r>
      <w:r>
        <w:fldChar w:fldCharType="separate"/>
      </w:r>
      <w:r>
        <w:t>39</w:t>
      </w:r>
      <w:r>
        <w:fldChar w:fldCharType="end"/>
      </w:r>
      <w:r>
        <w:rPr>
          <w:rFonts w:hint="eastAsia" w:ascii="宋体" w:hAnsi="宋体" w:eastAsia="宋体"/>
          <w:color w:val="auto"/>
          <w:szCs w:val="21"/>
          <w:highlight w:val="none"/>
        </w:rPr>
        <w:fldChar w:fldCharType="end"/>
      </w:r>
    </w:p>
    <w:p w14:paraId="55CDEB1B">
      <w:pPr>
        <w:pStyle w:val="14"/>
        <w:tabs>
          <w:tab w:val="right" w:leader="dot" w:pos="8867"/>
        </w:tabs>
      </w:pPr>
      <w:r>
        <w:rPr>
          <w:rFonts w:hint="eastAsia" w:ascii="宋体" w:hAnsi="宋体" w:eastAsia="宋体"/>
          <w:color w:val="auto"/>
          <w:szCs w:val="21"/>
          <w:highlight w:val="none"/>
        </w:rPr>
        <w:fldChar w:fldCharType="begin"/>
      </w:r>
      <w:r>
        <w:rPr>
          <w:rFonts w:hint="eastAsia" w:ascii="宋体" w:hAnsi="宋体" w:eastAsia="宋体"/>
          <w:szCs w:val="21"/>
          <w:highlight w:val="none"/>
        </w:rPr>
        <w:instrText xml:space="preserve"> HYPERLINK \l _Toc2027 </w:instrText>
      </w:r>
      <w:r>
        <w:rPr>
          <w:rFonts w:hint="eastAsia" w:ascii="宋体" w:hAnsi="宋体" w:eastAsia="宋体"/>
          <w:szCs w:val="21"/>
          <w:highlight w:val="none"/>
        </w:rPr>
        <w:fldChar w:fldCharType="separate"/>
      </w:r>
      <w:r>
        <w:rPr>
          <w:rFonts w:hint="eastAsia" w:ascii="宋体" w:hAnsi="宋体" w:eastAsia="宋体"/>
          <w:highlight w:val="none"/>
        </w:rPr>
        <w:t>（一）投标函</w:t>
      </w:r>
      <w:r>
        <w:tab/>
      </w:r>
      <w:r>
        <w:fldChar w:fldCharType="begin"/>
      </w:r>
      <w:r>
        <w:instrText xml:space="preserve"> PAGEREF _Toc2027 \h </w:instrText>
      </w:r>
      <w:r>
        <w:fldChar w:fldCharType="separate"/>
      </w:r>
      <w:r>
        <w:t>39</w:t>
      </w:r>
      <w:r>
        <w:fldChar w:fldCharType="end"/>
      </w:r>
      <w:r>
        <w:rPr>
          <w:rFonts w:hint="eastAsia" w:ascii="宋体" w:hAnsi="宋体" w:eastAsia="宋体"/>
          <w:color w:val="auto"/>
          <w:szCs w:val="21"/>
          <w:highlight w:val="none"/>
        </w:rPr>
        <w:fldChar w:fldCharType="end"/>
      </w:r>
    </w:p>
    <w:p w14:paraId="2D2812E1">
      <w:pPr>
        <w:pStyle w:val="14"/>
        <w:tabs>
          <w:tab w:val="right" w:leader="dot" w:pos="8867"/>
        </w:tabs>
      </w:pPr>
      <w:r>
        <w:rPr>
          <w:rFonts w:hint="eastAsia" w:ascii="宋体" w:hAnsi="宋体" w:eastAsia="宋体"/>
          <w:color w:val="auto"/>
          <w:szCs w:val="21"/>
          <w:highlight w:val="none"/>
        </w:rPr>
        <w:fldChar w:fldCharType="begin"/>
      </w:r>
      <w:r>
        <w:rPr>
          <w:rFonts w:hint="eastAsia" w:ascii="宋体" w:hAnsi="宋体" w:eastAsia="宋体"/>
          <w:szCs w:val="21"/>
          <w:highlight w:val="none"/>
        </w:rPr>
        <w:instrText xml:space="preserve"> HYPERLINK \l _Toc10594 </w:instrText>
      </w:r>
      <w:r>
        <w:rPr>
          <w:rFonts w:hint="eastAsia" w:ascii="宋体" w:hAnsi="宋体" w:eastAsia="宋体"/>
          <w:szCs w:val="21"/>
          <w:highlight w:val="none"/>
        </w:rPr>
        <w:fldChar w:fldCharType="separate"/>
      </w:r>
      <w:r>
        <w:rPr>
          <w:rFonts w:hint="eastAsia" w:ascii="宋体" w:hAnsi="宋体" w:eastAsia="宋体"/>
          <w:highlight w:val="none"/>
        </w:rPr>
        <w:t>（二）投标函附录</w:t>
      </w:r>
      <w:r>
        <w:tab/>
      </w:r>
      <w:r>
        <w:fldChar w:fldCharType="begin"/>
      </w:r>
      <w:r>
        <w:instrText xml:space="preserve"> PAGEREF _Toc10594 \h </w:instrText>
      </w:r>
      <w:r>
        <w:fldChar w:fldCharType="separate"/>
      </w:r>
      <w:r>
        <w:t>40</w:t>
      </w:r>
      <w:r>
        <w:fldChar w:fldCharType="end"/>
      </w:r>
      <w:r>
        <w:rPr>
          <w:rFonts w:hint="eastAsia" w:ascii="宋体" w:hAnsi="宋体" w:eastAsia="宋体"/>
          <w:color w:val="auto"/>
          <w:szCs w:val="21"/>
          <w:highlight w:val="none"/>
        </w:rPr>
        <w:fldChar w:fldCharType="end"/>
      </w:r>
    </w:p>
    <w:p w14:paraId="7FAE09AB">
      <w:pPr>
        <w:pStyle w:val="24"/>
        <w:tabs>
          <w:tab w:val="right" w:leader="dot" w:pos="8867"/>
        </w:tabs>
      </w:pPr>
      <w:r>
        <w:rPr>
          <w:rFonts w:hint="eastAsia" w:ascii="宋体" w:hAnsi="宋体" w:eastAsia="宋体"/>
          <w:color w:val="auto"/>
          <w:szCs w:val="21"/>
          <w:highlight w:val="none"/>
        </w:rPr>
        <w:fldChar w:fldCharType="begin"/>
      </w:r>
      <w:r>
        <w:rPr>
          <w:rFonts w:hint="eastAsia" w:ascii="宋体" w:hAnsi="宋体" w:eastAsia="宋体"/>
          <w:szCs w:val="21"/>
          <w:highlight w:val="none"/>
        </w:rPr>
        <w:instrText xml:space="preserve"> HYPERLINK \l _Toc19720 </w:instrText>
      </w:r>
      <w:r>
        <w:rPr>
          <w:rFonts w:hint="eastAsia" w:ascii="宋体" w:hAnsi="宋体" w:eastAsia="宋体"/>
          <w:szCs w:val="21"/>
          <w:highlight w:val="none"/>
        </w:rPr>
        <w:fldChar w:fldCharType="separate"/>
      </w:r>
      <w:r>
        <w:rPr>
          <w:rFonts w:hint="eastAsia"/>
          <w:highlight w:val="none"/>
        </w:rPr>
        <w:t>二、法定代表人证明书及授权委托证明书</w:t>
      </w:r>
      <w:r>
        <w:tab/>
      </w:r>
      <w:r>
        <w:fldChar w:fldCharType="begin"/>
      </w:r>
      <w:r>
        <w:instrText xml:space="preserve"> PAGEREF _Toc19720 \h </w:instrText>
      </w:r>
      <w:r>
        <w:fldChar w:fldCharType="separate"/>
      </w:r>
      <w:r>
        <w:t>41</w:t>
      </w:r>
      <w:r>
        <w:fldChar w:fldCharType="end"/>
      </w:r>
      <w:r>
        <w:rPr>
          <w:rFonts w:hint="eastAsia" w:ascii="宋体" w:hAnsi="宋体" w:eastAsia="宋体"/>
          <w:color w:val="auto"/>
          <w:szCs w:val="21"/>
          <w:highlight w:val="none"/>
        </w:rPr>
        <w:fldChar w:fldCharType="end"/>
      </w:r>
    </w:p>
    <w:p w14:paraId="01678058">
      <w:pPr>
        <w:pStyle w:val="24"/>
        <w:tabs>
          <w:tab w:val="right" w:leader="dot" w:pos="8867"/>
        </w:tabs>
      </w:pPr>
      <w:r>
        <w:rPr>
          <w:rFonts w:hint="eastAsia" w:ascii="宋体" w:hAnsi="宋体" w:eastAsia="宋体"/>
          <w:color w:val="auto"/>
          <w:szCs w:val="21"/>
          <w:highlight w:val="none"/>
        </w:rPr>
        <w:fldChar w:fldCharType="begin"/>
      </w:r>
      <w:r>
        <w:rPr>
          <w:rFonts w:hint="eastAsia" w:ascii="宋体" w:hAnsi="宋体" w:eastAsia="宋体"/>
          <w:szCs w:val="21"/>
          <w:highlight w:val="none"/>
        </w:rPr>
        <w:instrText xml:space="preserve"> HYPERLINK \l _Toc15844 </w:instrText>
      </w:r>
      <w:r>
        <w:rPr>
          <w:rFonts w:hint="eastAsia" w:ascii="宋体" w:hAnsi="宋体" w:eastAsia="宋体"/>
          <w:szCs w:val="21"/>
          <w:highlight w:val="none"/>
        </w:rPr>
        <w:fldChar w:fldCharType="separate"/>
      </w:r>
      <w:r>
        <w:rPr>
          <w:rFonts w:hint="eastAsia"/>
          <w:highlight w:val="none"/>
          <w:lang w:val="en-US" w:eastAsia="zh-CN"/>
        </w:rPr>
        <w:t>三</w:t>
      </w:r>
      <w:r>
        <w:rPr>
          <w:rFonts w:hint="eastAsia"/>
          <w:highlight w:val="none"/>
        </w:rPr>
        <w:t>、投标报价</w:t>
      </w:r>
      <w:r>
        <w:rPr>
          <w:rFonts w:hint="eastAsia"/>
          <w:highlight w:val="none"/>
          <w:lang w:val="en-US" w:eastAsia="zh-CN"/>
        </w:rPr>
        <w:t>表</w:t>
      </w:r>
      <w:r>
        <w:tab/>
      </w:r>
      <w:r>
        <w:fldChar w:fldCharType="begin"/>
      </w:r>
      <w:r>
        <w:instrText xml:space="preserve"> PAGEREF _Toc15844 \h </w:instrText>
      </w:r>
      <w:r>
        <w:fldChar w:fldCharType="separate"/>
      </w:r>
      <w:r>
        <w:t>43</w:t>
      </w:r>
      <w:r>
        <w:fldChar w:fldCharType="end"/>
      </w:r>
      <w:r>
        <w:rPr>
          <w:rFonts w:hint="eastAsia" w:ascii="宋体" w:hAnsi="宋体" w:eastAsia="宋体"/>
          <w:color w:val="auto"/>
          <w:szCs w:val="21"/>
          <w:highlight w:val="none"/>
        </w:rPr>
        <w:fldChar w:fldCharType="end"/>
      </w:r>
    </w:p>
    <w:p w14:paraId="544ED0AD">
      <w:pPr>
        <w:pStyle w:val="24"/>
        <w:tabs>
          <w:tab w:val="right" w:leader="dot" w:pos="8867"/>
        </w:tabs>
      </w:pPr>
      <w:r>
        <w:rPr>
          <w:rFonts w:hint="eastAsia" w:ascii="宋体" w:hAnsi="宋体" w:eastAsia="宋体"/>
          <w:color w:val="auto"/>
          <w:szCs w:val="21"/>
          <w:highlight w:val="none"/>
        </w:rPr>
        <w:fldChar w:fldCharType="begin"/>
      </w:r>
      <w:r>
        <w:rPr>
          <w:rFonts w:hint="eastAsia" w:ascii="宋体" w:hAnsi="宋体" w:eastAsia="宋体"/>
          <w:szCs w:val="21"/>
          <w:highlight w:val="none"/>
        </w:rPr>
        <w:instrText xml:space="preserve"> HYPERLINK \l _Toc15389 </w:instrText>
      </w:r>
      <w:r>
        <w:rPr>
          <w:rFonts w:hint="eastAsia" w:ascii="宋体" w:hAnsi="宋体" w:eastAsia="宋体"/>
          <w:szCs w:val="21"/>
          <w:highlight w:val="none"/>
        </w:rPr>
        <w:fldChar w:fldCharType="separate"/>
      </w:r>
      <w:r>
        <w:rPr>
          <w:rFonts w:hint="eastAsia"/>
          <w:highlight w:val="none"/>
          <w:lang w:val="en-US" w:eastAsia="zh-CN"/>
        </w:rPr>
        <w:t>四</w:t>
      </w:r>
      <w:r>
        <w:rPr>
          <w:rFonts w:hint="eastAsia"/>
          <w:highlight w:val="none"/>
        </w:rPr>
        <w:t>、资格审查资料</w:t>
      </w:r>
      <w:r>
        <w:tab/>
      </w:r>
      <w:r>
        <w:fldChar w:fldCharType="begin"/>
      </w:r>
      <w:r>
        <w:instrText xml:space="preserve"> PAGEREF _Toc15389 \h </w:instrText>
      </w:r>
      <w:r>
        <w:fldChar w:fldCharType="separate"/>
      </w:r>
      <w:r>
        <w:t>44</w:t>
      </w:r>
      <w:r>
        <w:fldChar w:fldCharType="end"/>
      </w:r>
      <w:r>
        <w:rPr>
          <w:rFonts w:hint="eastAsia" w:ascii="宋体" w:hAnsi="宋体" w:eastAsia="宋体"/>
          <w:color w:val="auto"/>
          <w:szCs w:val="21"/>
          <w:highlight w:val="none"/>
        </w:rPr>
        <w:fldChar w:fldCharType="end"/>
      </w:r>
    </w:p>
    <w:p w14:paraId="32F31521">
      <w:pPr>
        <w:pStyle w:val="24"/>
        <w:tabs>
          <w:tab w:val="right" w:leader="dot" w:pos="8867"/>
        </w:tabs>
      </w:pPr>
      <w:r>
        <w:rPr>
          <w:rFonts w:hint="eastAsia" w:ascii="宋体" w:hAnsi="宋体" w:eastAsia="宋体"/>
          <w:color w:val="auto"/>
          <w:szCs w:val="21"/>
          <w:highlight w:val="none"/>
        </w:rPr>
        <w:fldChar w:fldCharType="begin"/>
      </w:r>
      <w:r>
        <w:rPr>
          <w:rFonts w:hint="eastAsia" w:ascii="宋体" w:hAnsi="宋体" w:eastAsia="宋体"/>
          <w:szCs w:val="21"/>
          <w:highlight w:val="none"/>
        </w:rPr>
        <w:instrText xml:space="preserve"> HYPERLINK \l _Toc25207 </w:instrText>
      </w:r>
      <w:r>
        <w:rPr>
          <w:rFonts w:hint="eastAsia" w:ascii="宋体" w:hAnsi="宋体" w:eastAsia="宋体"/>
          <w:szCs w:val="21"/>
          <w:highlight w:val="none"/>
        </w:rPr>
        <w:fldChar w:fldCharType="separate"/>
      </w:r>
      <w:r>
        <w:rPr>
          <w:rFonts w:hint="eastAsia"/>
          <w:highlight w:val="none"/>
          <w:lang w:val="en-US" w:eastAsia="zh-CN"/>
        </w:rPr>
        <w:t>五</w:t>
      </w:r>
      <w:r>
        <w:rPr>
          <w:rFonts w:hint="eastAsia"/>
          <w:highlight w:val="none"/>
        </w:rPr>
        <w:t>、投标人声明</w:t>
      </w:r>
      <w:r>
        <w:tab/>
      </w:r>
      <w:r>
        <w:fldChar w:fldCharType="begin"/>
      </w:r>
      <w:r>
        <w:instrText xml:space="preserve"> PAGEREF _Toc25207 \h </w:instrText>
      </w:r>
      <w:r>
        <w:fldChar w:fldCharType="separate"/>
      </w:r>
      <w:r>
        <w:t>45</w:t>
      </w:r>
      <w:r>
        <w:fldChar w:fldCharType="end"/>
      </w:r>
      <w:r>
        <w:rPr>
          <w:rFonts w:hint="eastAsia" w:ascii="宋体" w:hAnsi="宋体" w:eastAsia="宋体"/>
          <w:color w:val="auto"/>
          <w:szCs w:val="21"/>
          <w:highlight w:val="none"/>
        </w:rPr>
        <w:fldChar w:fldCharType="end"/>
      </w:r>
    </w:p>
    <w:p w14:paraId="37FAE82F">
      <w:pPr>
        <w:pStyle w:val="24"/>
        <w:tabs>
          <w:tab w:val="right" w:leader="dot" w:pos="8867"/>
        </w:tabs>
      </w:pPr>
      <w:r>
        <w:rPr>
          <w:rFonts w:hint="eastAsia" w:ascii="宋体" w:hAnsi="宋体" w:eastAsia="宋体"/>
          <w:color w:val="auto"/>
          <w:szCs w:val="21"/>
          <w:highlight w:val="none"/>
        </w:rPr>
        <w:fldChar w:fldCharType="begin"/>
      </w:r>
      <w:r>
        <w:rPr>
          <w:rFonts w:hint="eastAsia" w:ascii="宋体" w:hAnsi="宋体" w:eastAsia="宋体"/>
          <w:szCs w:val="21"/>
          <w:highlight w:val="none"/>
        </w:rPr>
        <w:instrText xml:space="preserve"> HYPERLINK \l _Toc4617 </w:instrText>
      </w:r>
      <w:r>
        <w:rPr>
          <w:rFonts w:hint="eastAsia" w:ascii="宋体" w:hAnsi="宋体" w:eastAsia="宋体"/>
          <w:szCs w:val="21"/>
          <w:highlight w:val="none"/>
        </w:rPr>
        <w:fldChar w:fldCharType="separate"/>
      </w:r>
      <w:r>
        <w:rPr>
          <w:rFonts w:hint="eastAsia"/>
          <w:highlight w:val="none"/>
          <w:lang w:val="en-US" w:eastAsia="zh-CN"/>
        </w:rPr>
        <w:t>六</w:t>
      </w:r>
      <w:r>
        <w:rPr>
          <w:rFonts w:hint="eastAsia"/>
          <w:highlight w:val="none"/>
        </w:rPr>
        <w:t>、联合体协议书（参考格式）</w:t>
      </w:r>
      <w:r>
        <w:tab/>
      </w:r>
      <w:r>
        <w:fldChar w:fldCharType="begin"/>
      </w:r>
      <w:r>
        <w:instrText xml:space="preserve"> PAGEREF _Toc4617 \h </w:instrText>
      </w:r>
      <w:r>
        <w:fldChar w:fldCharType="separate"/>
      </w:r>
      <w:r>
        <w:t>46</w:t>
      </w:r>
      <w:r>
        <w:fldChar w:fldCharType="end"/>
      </w:r>
      <w:r>
        <w:rPr>
          <w:rFonts w:hint="eastAsia" w:ascii="宋体" w:hAnsi="宋体" w:eastAsia="宋体"/>
          <w:color w:val="auto"/>
          <w:szCs w:val="21"/>
          <w:highlight w:val="none"/>
        </w:rPr>
        <w:fldChar w:fldCharType="end"/>
      </w:r>
    </w:p>
    <w:p w14:paraId="44A98A14">
      <w:pPr>
        <w:pStyle w:val="24"/>
        <w:tabs>
          <w:tab w:val="right" w:leader="dot" w:pos="8867"/>
        </w:tabs>
      </w:pPr>
      <w:r>
        <w:rPr>
          <w:rFonts w:hint="eastAsia" w:ascii="宋体" w:hAnsi="宋体" w:eastAsia="宋体"/>
          <w:color w:val="auto"/>
          <w:szCs w:val="21"/>
          <w:highlight w:val="none"/>
        </w:rPr>
        <w:fldChar w:fldCharType="begin"/>
      </w:r>
      <w:r>
        <w:rPr>
          <w:rFonts w:hint="eastAsia" w:ascii="宋体" w:hAnsi="宋体" w:eastAsia="宋体"/>
          <w:szCs w:val="21"/>
          <w:highlight w:val="none"/>
        </w:rPr>
        <w:instrText xml:space="preserve"> HYPERLINK \l _Toc19047 </w:instrText>
      </w:r>
      <w:r>
        <w:rPr>
          <w:rFonts w:hint="eastAsia" w:ascii="宋体" w:hAnsi="宋体" w:eastAsia="宋体"/>
          <w:szCs w:val="21"/>
          <w:highlight w:val="none"/>
        </w:rPr>
        <w:fldChar w:fldCharType="separate"/>
      </w:r>
      <w:r>
        <w:rPr>
          <w:rFonts w:hint="eastAsia"/>
          <w:highlight w:val="none"/>
          <w:lang w:val="en-US" w:eastAsia="zh-CN"/>
        </w:rPr>
        <w:t>七</w:t>
      </w:r>
      <w:r>
        <w:rPr>
          <w:rFonts w:hint="eastAsia"/>
          <w:highlight w:val="none"/>
        </w:rPr>
        <w:t>、商务部分证明材料</w:t>
      </w:r>
      <w:r>
        <w:tab/>
      </w:r>
      <w:r>
        <w:fldChar w:fldCharType="begin"/>
      </w:r>
      <w:r>
        <w:instrText xml:space="preserve"> PAGEREF _Toc19047 \h </w:instrText>
      </w:r>
      <w:r>
        <w:fldChar w:fldCharType="separate"/>
      </w:r>
      <w:r>
        <w:t>47</w:t>
      </w:r>
      <w:r>
        <w:fldChar w:fldCharType="end"/>
      </w:r>
      <w:r>
        <w:rPr>
          <w:rFonts w:hint="eastAsia" w:ascii="宋体" w:hAnsi="宋体" w:eastAsia="宋体"/>
          <w:color w:val="auto"/>
          <w:szCs w:val="21"/>
          <w:highlight w:val="none"/>
        </w:rPr>
        <w:fldChar w:fldCharType="end"/>
      </w:r>
    </w:p>
    <w:p w14:paraId="28009A9B">
      <w:pPr>
        <w:pStyle w:val="24"/>
        <w:tabs>
          <w:tab w:val="right" w:leader="dot" w:pos="8867"/>
        </w:tabs>
      </w:pPr>
      <w:r>
        <w:rPr>
          <w:rFonts w:hint="eastAsia" w:ascii="宋体" w:hAnsi="宋体" w:eastAsia="宋体"/>
          <w:color w:val="auto"/>
          <w:szCs w:val="21"/>
          <w:highlight w:val="none"/>
        </w:rPr>
        <w:fldChar w:fldCharType="begin"/>
      </w:r>
      <w:r>
        <w:rPr>
          <w:rFonts w:hint="eastAsia" w:ascii="宋体" w:hAnsi="宋体" w:eastAsia="宋体"/>
          <w:szCs w:val="21"/>
          <w:highlight w:val="none"/>
        </w:rPr>
        <w:instrText xml:space="preserve"> HYPERLINK \l _Toc32579 </w:instrText>
      </w:r>
      <w:r>
        <w:rPr>
          <w:rFonts w:hint="eastAsia" w:ascii="宋体" w:hAnsi="宋体" w:eastAsia="宋体"/>
          <w:szCs w:val="21"/>
          <w:highlight w:val="none"/>
        </w:rPr>
        <w:fldChar w:fldCharType="separate"/>
      </w:r>
      <w:r>
        <w:rPr>
          <w:rFonts w:hint="eastAsia"/>
          <w:highlight w:val="none"/>
          <w:lang w:val="en-US" w:eastAsia="zh-CN"/>
        </w:rPr>
        <w:t>八</w:t>
      </w:r>
      <w:r>
        <w:rPr>
          <w:rFonts w:hint="eastAsia"/>
          <w:highlight w:val="none"/>
        </w:rPr>
        <w:t>、</w:t>
      </w:r>
      <w:r>
        <w:rPr>
          <w:rFonts w:hint="eastAsia" w:ascii="宋体" w:hAnsi="宋体" w:eastAsia="宋体"/>
          <w:szCs w:val="30"/>
          <w:highlight w:val="none"/>
        </w:rPr>
        <w:t>技术服务方案部分</w:t>
      </w:r>
      <w:r>
        <w:tab/>
      </w:r>
      <w:r>
        <w:fldChar w:fldCharType="begin"/>
      </w:r>
      <w:r>
        <w:instrText xml:space="preserve"> PAGEREF _Toc32579 \h </w:instrText>
      </w:r>
      <w:r>
        <w:fldChar w:fldCharType="separate"/>
      </w:r>
      <w:r>
        <w:t>48</w:t>
      </w:r>
      <w:r>
        <w:fldChar w:fldCharType="end"/>
      </w:r>
      <w:r>
        <w:rPr>
          <w:rFonts w:hint="eastAsia" w:ascii="宋体" w:hAnsi="宋体" w:eastAsia="宋体"/>
          <w:color w:val="auto"/>
          <w:szCs w:val="21"/>
          <w:highlight w:val="none"/>
        </w:rPr>
        <w:fldChar w:fldCharType="end"/>
      </w:r>
    </w:p>
    <w:p w14:paraId="72BB22DB">
      <w:pPr>
        <w:pStyle w:val="24"/>
        <w:tabs>
          <w:tab w:val="right" w:leader="dot" w:pos="8867"/>
        </w:tabs>
      </w:pPr>
      <w:r>
        <w:rPr>
          <w:rFonts w:hint="eastAsia" w:ascii="宋体" w:hAnsi="宋体" w:eastAsia="宋体"/>
          <w:color w:val="auto"/>
          <w:szCs w:val="21"/>
          <w:highlight w:val="none"/>
        </w:rPr>
        <w:fldChar w:fldCharType="begin"/>
      </w:r>
      <w:r>
        <w:rPr>
          <w:rFonts w:hint="eastAsia" w:ascii="宋体" w:hAnsi="宋体" w:eastAsia="宋体"/>
          <w:szCs w:val="21"/>
          <w:highlight w:val="none"/>
        </w:rPr>
        <w:instrText xml:space="preserve"> HYPERLINK \l _Toc27960 </w:instrText>
      </w:r>
      <w:r>
        <w:rPr>
          <w:rFonts w:hint="eastAsia" w:ascii="宋体" w:hAnsi="宋体" w:eastAsia="宋体"/>
          <w:szCs w:val="21"/>
          <w:highlight w:val="none"/>
        </w:rPr>
        <w:fldChar w:fldCharType="separate"/>
      </w:r>
      <w:r>
        <w:rPr>
          <w:rFonts w:hint="eastAsia"/>
          <w:highlight w:val="none"/>
          <w:lang w:val="en-US" w:eastAsia="zh-CN"/>
        </w:rPr>
        <w:t>九</w:t>
      </w:r>
      <w:r>
        <w:rPr>
          <w:rFonts w:hint="eastAsia"/>
          <w:highlight w:val="none"/>
        </w:rPr>
        <w:t>、其他资料</w:t>
      </w:r>
      <w:r>
        <w:tab/>
      </w:r>
      <w:r>
        <w:fldChar w:fldCharType="begin"/>
      </w:r>
      <w:r>
        <w:instrText xml:space="preserve"> PAGEREF _Toc27960 \h </w:instrText>
      </w:r>
      <w:r>
        <w:fldChar w:fldCharType="separate"/>
      </w:r>
      <w:r>
        <w:t>49</w:t>
      </w:r>
      <w:r>
        <w:fldChar w:fldCharType="end"/>
      </w:r>
      <w:r>
        <w:rPr>
          <w:rFonts w:hint="eastAsia" w:ascii="宋体" w:hAnsi="宋体" w:eastAsia="宋体"/>
          <w:color w:val="auto"/>
          <w:szCs w:val="21"/>
          <w:highlight w:val="none"/>
        </w:rPr>
        <w:fldChar w:fldCharType="end"/>
      </w:r>
    </w:p>
    <w:p w14:paraId="42945334">
      <w:pPr>
        <w:rPr>
          <w:rFonts w:ascii="宋体" w:hAnsi="宋体" w:eastAsia="宋体"/>
          <w:color w:val="auto"/>
          <w:highlight w:val="none"/>
        </w:rPr>
        <w:sectPr>
          <w:footerReference r:id="rId3" w:type="default"/>
          <w:pgSz w:w="11906" w:h="16838"/>
          <w:pgMar w:top="1440" w:right="1633" w:bottom="1440" w:left="1406" w:header="720" w:footer="720" w:gutter="0"/>
          <w:pgNumType w:fmt="decimal" w:start="1"/>
          <w:cols w:space="720" w:num="1"/>
          <w:docGrid w:linePitch="285" w:charSpace="0"/>
        </w:sectPr>
      </w:pPr>
      <w:r>
        <w:rPr>
          <w:rFonts w:hint="eastAsia" w:ascii="宋体" w:hAnsi="宋体" w:eastAsia="宋体"/>
          <w:color w:val="auto"/>
          <w:szCs w:val="21"/>
          <w:highlight w:val="none"/>
        </w:rPr>
        <w:fldChar w:fldCharType="end"/>
      </w:r>
      <w:bookmarkStart w:id="450" w:name="_GoBack"/>
      <w:bookmarkEnd w:id="450"/>
    </w:p>
    <w:p w14:paraId="3FF384C8">
      <w:pPr>
        <w:pStyle w:val="2"/>
        <w:ind w:firstLine="643"/>
        <w:rPr>
          <w:color w:val="auto"/>
          <w:highlight w:val="none"/>
        </w:rPr>
      </w:pPr>
      <w:bookmarkStart w:id="1" w:name="_Toc133420464"/>
      <w:bookmarkStart w:id="2" w:name="_Toc1625"/>
      <w:r>
        <w:rPr>
          <w:rFonts w:hint="eastAsia"/>
          <w:color w:val="auto"/>
          <w:highlight w:val="none"/>
        </w:rPr>
        <w:t>第一章招标公告</w:t>
      </w:r>
      <w:bookmarkEnd w:id="1"/>
      <w:bookmarkEnd w:id="2"/>
    </w:p>
    <w:p w14:paraId="79B0A7EC">
      <w:pPr>
        <w:spacing w:line="360" w:lineRule="auto"/>
        <w:ind w:firstLine="48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另册</w:t>
      </w:r>
    </w:p>
    <w:p w14:paraId="159B7151">
      <w:pPr>
        <w:spacing w:line="360" w:lineRule="auto"/>
        <w:ind w:firstLine="480"/>
        <w:jc w:val="center"/>
        <w:rPr>
          <w:rFonts w:ascii="宋体" w:hAnsi="宋体" w:eastAsia="宋体"/>
          <w:color w:val="auto"/>
          <w:sz w:val="24"/>
          <w:szCs w:val="24"/>
          <w:highlight w:val="none"/>
        </w:rPr>
      </w:pPr>
    </w:p>
    <w:p w14:paraId="4B24DB18">
      <w:pPr>
        <w:pStyle w:val="2"/>
        <w:ind w:firstLine="643"/>
        <w:rPr>
          <w:color w:val="auto"/>
          <w:highlight w:val="none"/>
        </w:rPr>
      </w:pPr>
      <w:bookmarkStart w:id="3" w:name="_Toc133420465"/>
      <w:bookmarkStart w:id="4" w:name="_Toc8579"/>
      <w:r>
        <w:rPr>
          <w:rFonts w:hint="eastAsia"/>
          <w:color w:val="auto"/>
          <w:highlight w:val="none"/>
        </w:rPr>
        <w:t>第二章投标人须知</w:t>
      </w:r>
      <w:bookmarkEnd w:id="3"/>
      <w:bookmarkEnd w:id="4"/>
    </w:p>
    <w:p w14:paraId="282658AB">
      <w:pPr>
        <w:pStyle w:val="3"/>
        <w:ind w:firstLine="602"/>
        <w:jc w:val="center"/>
        <w:rPr>
          <w:color w:val="auto"/>
          <w:highlight w:val="none"/>
        </w:rPr>
      </w:pPr>
      <w:bookmarkStart w:id="5" w:name="_Toc133420466"/>
      <w:bookmarkStart w:id="6" w:name="_Toc240"/>
      <w:r>
        <w:rPr>
          <w:rFonts w:hint="eastAsia"/>
          <w:color w:val="auto"/>
          <w:highlight w:val="none"/>
        </w:rPr>
        <w:t>投标人须知前附表</w:t>
      </w:r>
      <w:bookmarkEnd w:id="5"/>
      <w:bookmarkEnd w:id="6"/>
    </w:p>
    <w:tbl>
      <w:tblPr>
        <w:tblStyle w:val="29"/>
        <w:tblW w:w="9133" w:type="dxa"/>
        <w:tblInd w:w="-20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067"/>
        <w:gridCol w:w="6088"/>
      </w:tblGrid>
      <w:tr w14:paraId="4C463D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blHeader/>
        </w:trPr>
        <w:tc>
          <w:tcPr>
            <w:tcW w:w="978" w:type="dxa"/>
            <w:vAlign w:val="center"/>
          </w:tcPr>
          <w:p w14:paraId="12D31CE0">
            <w:pPr>
              <w:snapToGrid w:val="0"/>
              <w:spacing w:line="276" w:lineRule="auto"/>
              <w:rPr>
                <w:rFonts w:ascii="宋体" w:hAnsi="宋体" w:eastAsia="宋体"/>
                <w:b/>
                <w:color w:val="auto"/>
                <w:szCs w:val="21"/>
                <w:highlight w:val="none"/>
              </w:rPr>
            </w:pPr>
            <w:r>
              <w:rPr>
                <w:rFonts w:hint="eastAsia" w:ascii="宋体" w:hAnsi="宋体" w:eastAsia="宋体"/>
                <w:b/>
                <w:color w:val="auto"/>
                <w:szCs w:val="21"/>
                <w:highlight w:val="none"/>
              </w:rPr>
              <w:t>条款号</w:t>
            </w:r>
          </w:p>
        </w:tc>
        <w:tc>
          <w:tcPr>
            <w:tcW w:w="2067" w:type="dxa"/>
            <w:vAlign w:val="center"/>
          </w:tcPr>
          <w:p w14:paraId="037BDD12">
            <w:pPr>
              <w:snapToGrid w:val="0"/>
              <w:spacing w:line="276" w:lineRule="auto"/>
              <w:ind w:firstLine="422"/>
              <w:jc w:val="center"/>
              <w:rPr>
                <w:rFonts w:ascii="宋体" w:hAnsi="宋体" w:eastAsia="宋体"/>
                <w:b/>
                <w:color w:val="auto"/>
                <w:szCs w:val="21"/>
                <w:highlight w:val="none"/>
              </w:rPr>
            </w:pPr>
            <w:r>
              <w:rPr>
                <w:rFonts w:hint="eastAsia" w:ascii="宋体" w:hAnsi="宋体" w:eastAsia="宋体"/>
                <w:b/>
                <w:color w:val="auto"/>
                <w:szCs w:val="21"/>
                <w:highlight w:val="none"/>
              </w:rPr>
              <w:t>条款名称</w:t>
            </w:r>
          </w:p>
        </w:tc>
        <w:tc>
          <w:tcPr>
            <w:tcW w:w="6088" w:type="dxa"/>
            <w:vAlign w:val="center"/>
          </w:tcPr>
          <w:p w14:paraId="3F0F5077">
            <w:pPr>
              <w:snapToGrid w:val="0"/>
              <w:spacing w:line="276" w:lineRule="auto"/>
              <w:ind w:firstLine="422"/>
              <w:jc w:val="center"/>
              <w:rPr>
                <w:rFonts w:ascii="宋体" w:hAnsi="宋体" w:eastAsia="宋体"/>
                <w:b/>
                <w:color w:val="auto"/>
                <w:szCs w:val="21"/>
                <w:highlight w:val="none"/>
              </w:rPr>
            </w:pPr>
            <w:r>
              <w:rPr>
                <w:rFonts w:hint="eastAsia" w:ascii="宋体" w:hAnsi="宋体" w:eastAsia="宋体"/>
                <w:b/>
                <w:color w:val="auto"/>
                <w:szCs w:val="21"/>
                <w:highlight w:val="none"/>
              </w:rPr>
              <w:t>编列内容</w:t>
            </w:r>
          </w:p>
        </w:tc>
      </w:tr>
      <w:tr w14:paraId="2CD680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29" w:hRule="atLeast"/>
        </w:trPr>
        <w:tc>
          <w:tcPr>
            <w:tcW w:w="978" w:type="dxa"/>
            <w:vAlign w:val="center"/>
          </w:tcPr>
          <w:p w14:paraId="5C329CDB">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1.1.2</w:t>
            </w:r>
          </w:p>
        </w:tc>
        <w:tc>
          <w:tcPr>
            <w:tcW w:w="2067" w:type="dxa"/>
            <w:vAlign w:val="center"/>
          </w:tcPr>
          <w:p w14:paraId="3BE62558">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招标人</w:t>
            </w:r>
          </w:p>
        </w:tc>
        <w:tc>
          <w:tcPr>
            <w:tcW w:w="6088" w:type="dxa"/>
            <w:vAlign w:val="center"/>
          </w:tcPr>
          <w:p w14:paraId="6F4EBA4A">
            <w:pPr>
              <w:snapToGrid w:val="0"/>
              <w:spacing w:line="276" w:lineRule="auto"/>
              <w:ind w:left="630" w:hanging="630" w:hangingChars="300"/>
              <w:rPr>
                <w:rFonts w:ascii="宋体" w:hAnsi="宋体" w:eastAsia="宋体"/>
                <w:color w:val="auto"/>
                <w:szCs w:val="21"/>
                <w:highlight w:val="none"/>
              </w:rPr>
            </w:pPr>
            <w:r>
              <w:rPr>
                <w:rFonts w:hint="eastAsia" w:ascii="宋体" w:hAnsi="宋体" w:eastAsia="宋体"/>
                <w:color w:val="auto"/>
                <w:szCs w:val="21"/>
                <w:highlight w:val="none"/>
              </w:rPr>
              <w:t>名称：</w:t>
            </w:r>
            <w:r>
              <w:rPr>
                <w:rFonts w:hint="eastAsia" w:ascii="宋体" w:hAnsi="宋体" w:eastAsia="宋体"/>
                <w:color w:val="auto"/>
                <w:szCs w:val="21"/>
                <w:highlight w:val="none"/>
                <w:u w:val="single"/>
                <w:lang w:val="zh-CN"/>
              </w:rPr>
              <w:t>广州市天投城市更新有限公司</w:t>
            </w:r>
          </w:p>
          <w:p w14:paraId="67824F8F">
            <w:pPr>
              <w:snapToGrid w:val="0"/>
              <w:spacing w:line="276" w:lineRule="auto"/>
              <w:ind w:left="630" w:hanging="630" w:hangingChars="300"/>
              <w:rPr>
                <w:rFonts w:ascii="宋体" w:hAnsi="宋体" w:eastAsia="宋体"/>
                <w:color w:val="auto"/>
                <w:szCs w:val="21"/>
                <w:highlight w:val="none"/>
              </w:rPr>
            </w:pPr>
            <w:r>
              <w:rPr>
                <w:rFonts w:hint="eastAsia" w:ascii="宋体" w:hAnsi="宋体" w:eastAsia="宋体"/>
                <w:color w:val="auto"/>
                <w:szCs w:val="21"/>
                <w:highlight w:val="none"/>
              </w:rPr>
              <w:t>地址：</w:t>
            </w:r>
            <w:r>
              <w:rPr>
                <w:rFonts w:hint="eastAsia" w:ascii="宋体" w:hAnsi="宋体" w:eastAsia="宋体"/>
                <w:color w:val="auto"/>
                <w:szCs w:val="21"/>
                <w:highlight w:val="none"/>
                <w:u w:val="single"/>
              </w:rPr>
              <w:t>广州市越秀区流花路117号内自编22号15号馆3楼</w:t>
            </w:r>
          </w:p>
          <w:p w14:paraId="574A5CFC">
            <w:pPr>
              <w:snapToGrid w:val="0"/>
              <w:spacing w:line="276" w:lineRule="auto"/>
              <w:ind w:left="630" w:hanging="630" w:hangingChars="300"/>
              <w:rPr>
                <w:rFonts w:hint="default" w:ascii="宋体" w:hAnsi="宋体" w:eastAsia="宋体"/>
                <w:color w:val="auto"/>
                <w:szCs w:val="21"/>
                <w:highlight w:val="none"/>
              </w:rPr>
            </w:pPr>
            <w:r>
              <w:rPr>
                <w:rFonts w:hint="eastAsia" w:ascii="宋体" w:hAnsi="宋体" w:eastAsia="宋体"/>
                <w:color w:val="auto"/>
                <w:szCs w:val="21"/>
                <w:highlight w:val="none"/>
              </w:rPr>
              <w:t>联系人：</w:t>
            </w:r>
            <w:r>
              <w:rPr>
                <w:rFonts w:hint="eastAsia" w:ascii="宋体" w:hAnsi="宋体" w:eastAsia="宋体"/>
                <w:color w:val="auto"/>
                <w:sz w:val="21"/>
                <w:szCs w:val="21"/>
                <w:highlight w:val="none"/>
                <w:u w:val="single"/>
              </w:rPr>
              <w:t xml:space="preserve">黄工 </w:t>
            </w:r>
          </w:p>
          <w:p w14:paraId="6A82427C">
            <w:pPr>
              <w:snapToGrid w:val="0"/>
              <w:spacing w:line="276" w:lineRule="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rPr>
              <w:t>联系电话：</w:t>
            </w:r>
            <w:r>
              <w:rPr>
                <w:rFonts w:hint="default" w:ascii="宋体" w:hAnsi="宋体" w:eastAsia="宋体"/>
                <w:color w:val="auto"/>
                <w:szCs w:val="21"/>
                <w:highlight w:val="none"/>
                <w:u w:val="single"/>
              </w:rPr>
              <w:t>020-80922912</w:t>
            </w:r>
          </w:p>
        </w:tc>
      </w:tr>
      <w:tr w14:paraId="783E99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13" w:hRule="atLeast"/>
        </w:trPr>
        <w:tc>
          <w:tcPr>
            <w:tcW w:w="978" w:type="dxa"/>
            <w:vAlign w:val="center"/>
          </w:tcPr>
          <w:p w14:paraId="18466233">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1.1.3</w:t>
            </w:r>
          </w:p>
        </w:tc>
        <w:tc>
          <w:tcPr>
            <w:tcW w:w="2067" w:type="dxa"/>
            <w:vAlign w:val="center"/>
          </w:tcPr>
          <w:p w14:paraId="2B4263D8">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招标代理机构</w:t>
            </w:r>
          </w:p>
        </w:tc>
        <w:tc>
          <w:tcPr>
            <w:tcW w:w="6088" w:type="dxa"/>
            <w:vAlign w:val="center"/>
          </w:tcPr>
          <w:p w14:paraId="6815013F">
            <w:pPr>
              <w:snapToGrid w:val="0"/>
              <w:spacing w:line="276" w:lineRule="auto"/>
              <w:rPr>
                <w:rFonts w:ascii="宋体" w:hAnsi="宋体" w:eastAsia="宋体"/>
                <w:color w:val="auto"/>
                <w:szCs w:val="21"/>
                <w:highlight w:val="none"/>
              </w:rPr>
            </w:pPr>
            <w:r>
              <w:rPr>
                <w:rFonts w:hint="eastAsia" w:ascii="宋体" w:hAnsi="宋体" w:eastAsia="宋体"/>
                <w:color w:val="auto"/>
                <w:szCs w:val="21"/>
                <w:highlight w:val="none"/>
              </w:rPr>
              <w:t>名称：</w:t>
            </w:r>
            <w:r>
              <w:rPr>
                <w:rFonts w:hint="eastAsia" w:ascii="宋体" w:hAnsi="宋体" w:eastAsia="宋体"/>
                <w:color w:val="auto"/>
                <w:szCs w:val="21"/>
                <w:highlight w:val="none"/>
                <w:u w:val="single"/>
                <w:lang w:val="zh-CN"/>
              </w:rPr>
              <w:t>广州市市政工程监理有限公司</w:t>
            </w:r>
          </w:p>
          <w:p w14:paraId="5E22670B">
            <w:pPr>
              <w:snapToGrid w:val="0"/>
              <w:spacing w:line="276" w:lineRule="auto"/>
              <w:rPr>
                <w:rFonts w:ascii="宋体" w:hAnsi="宋体" w:eastAsia="宋体"/>
                <w:color w:val="auto"/>
                <w:szCs w:val="21"/>
                <w:highlight w:val="none"/>
              </w:rPr>
            </w:pPr>
            <w:r>
              <w:rPr>
                <w:rFonts w:hint="eastAsia" w:ascii="宋体" w:hAnsi="宋体" w:eastAsia="宋体"/>
                <w:color w:val="auto"/>
                <w:szCs w:val="21"/>
                <w:highlight w:val="none"/>
              </w:rPr>
              <w:t>地址：</w:t>
            </w:r>
            <w:r>
              <w:rPr>
                <w:rFonts w:hint="eastAsia" w:ascii="宋体" w:hAnsi="宋体" w:eastAsia="宋体"/>
                <w:color w:val="auto"/>
                <w:szCs w:val="21"/>
                <w:highlight w:val="none"/>
                <w:u w:val="single"/>
                <w:lang w:val="zh-CN"/>
              </w:rPr>
              <w:t>广州市越秀区东风中路437号越秀城市广场南塔38楼</w:t>
            </w:r>
          </w:p>
          <w:p w14:paraId="0984B971">
            <w:pPr>
              <w:snapToGrid w:val="0"/>
              <w:spacing w:line="276" w:lineRule="auto"/>
              <w:rPr>
                <w:rFonts w:ascii="宋体" w:hAnsi="宋体" w:eastAsia="宋体"/>
                <w:color w:val="auto"/>
                <w:szCs w:val="21"/>
                <w:highlight w:val="none"/>
                <w:lang w:val="zh-CN"/>
              </w:rPr>
            </w:pPr>
            <w:r>
              <w:rPr>
                <w:rFonts w:hint="eastAsia" w:ascii="宋体" w:hAnsi="宋体" w:eastAsia="宋体"/>
                <w:color w:val="auto"/>
                <w:szCs w:val="21"/>
                <w:highlight w:val="none"/>
              </w:rPr>
              <w:t>联</w:t>
            </w:r>
            <w:r>
              <w:rPr>
                <w:rFonts w:hint="eastAsia" w:ascii="宋体" w:hAnsi="宋体" w:eastAsia="宋体"/>
                <w:color w:val="auto"/>
                <w:szCs w:val="21"/>
                <w:highlight w:val="none"/>
                <w:lang w:val="zh-CN"/>
              </w:rPr>
              <w:t>系人：</w:t>
            </w:r>
            <w:r>
              <w:rPr>
                <w:rFonts w:hint="eastAsia" w:ascii="宋体" w:hAnsi="宋体" w:eastAsia="宋体"/>
                <w:color w:val="auto"/>
                <w:szCs w:val="21"/>
                <w:highlight w:val="none"/>
                <w:u w:val="single"/>
                <w:lang w:val="zh-CN"/>
              </w:rPr>
              <w:t>卢工、姚工</w:t>
            </w:r>
          </w:p>
          <w:p w14:paraId="7947618F">
            <w:pPr>
              <w:snapToGrid w:val="0"/>
              <w:spacing w:line="276" w:lineRule="auto"/>
              <w:rPr>
                <w:rFonts w:ascii="宋体" w:hAnsi="宋体" w:eastAsia="宋体"/>
                <w:color w:val="auto"/>
                <w:szCs w:val="21"/>
                <w:highlight w:val="none"/>
              </w:rPr>
            </w:pPr>
            <w:r>
              <w:rPr>
                <w:rFonts w:hint="eastAsia" w:ascii="宋体" w:hAnsi="宋体" w:eastAsia="宋体"/>
                <w:color w:val="auto"/>
                <w:szCs w:val="21"/>
                <w:highlight w:val="none"/>
                <w:lang w:val="zh-CN"/>
              </w:rPr>
              <w:t>电话：</w:t>
            </w:r>
            <w:r>
              <w:rPr>
                <w:rFonts w:hint="eastAsia" w:ascii="宋体" w:hAnsi="宋体" w:eastAsia="宋体"/>
                <w:color w:val="auto"/>
                <w:szCs w:val="21"/>
                <w:highlight w:val="none"/>
                <w:u w:val="single"/>
                <w:lang w:val="zh-CN"/>
              </w:rPr>
              <w:t>020-83313605</w:t>
            </w:r>
          </w:p>
        </w:tc>
      </w:tr>
      <w:tr w14:paraId="1A9528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978" w:type="dxa"/>
            <w:vAlign w:val="center"/>
          </w:tcPr>
          <w:p w14:paraId="6BA1967C">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1.1.4</w:t>
            </w:r>
          </w:p>
        </w:tc>
        <w:tc>
          <w:tcPr>
            <w:tcW w:w="2067" w:type="dxa"/>
            <w:vAlign w:val="center"/>
          </w:tcPr>
          <w:p w14:paraId="2E35D0A3">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招标项目名称</w:t>
            </w:r>
          </w:p>
        </w:tc>
        <w:tc>
          <w:tcPr>
            <w:tcW w:w="6088" w:type="dxa"/>
            <w:vAlign w:val="center"/>
          </w:tcPr>
          <w:p w14:paraId="2F42DD02">
            <w:pPr>
              <w:snapToGrid w:val="0"/>
              <w:spacing w:line="276" w:lineRule="auto"/>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天河区柯木塱村城中村改造项目（北片区）更新单元详细规划及相关专项</w:t>
            </w:r>
          </w:p>
        </w:tc>
      </w:tr>
      <w:tr w14:paraId="3BA7E4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978" w:type="dxa"/>
            <w:vAlign w:val="center"/>
          </w:tcPr>
          <w:p w14:paraId="62281FCF">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1.1.5</w:t>
            </w:r>
          </w:p>
        </w:tc>
        <w:tc>
          <w:tcPr>
            <w:tcW w:w="2067" w:type="dxa"/>
            <w:vAlign w:val="center"/>
          </w:tcPr>
          <w:p w14:paraId="141352EC">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项目地点</w:t>
            </w:r>
          </w:p>
        </w:tc>
        <w:tc>
          <w:tcPr>
            <w:tcW w:w="6088" w:type="dxa"/>
            <w:vAlign w:val="center"/>
          </w:tcPr>
          <w:p w14:paraId="442D32B7">
            <w:pPr>
              <w:snapToGrid w:val="0"/>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详见招标公告。</w:t>
            </w:r>
          </w:p>
        </w:tc>
      </w:tr>
      <w:tr w14:paraId="0AE376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978" w:type="dxa"/>
            <w:vAlign w:val="center"/>
          </w:tcPr>
          <w:p w14:paraId="0F41EF08">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1.1.6</w:t>
            </w:r>
          </w:p>
        </w:tc>
        <w:tc>
          <w:tcPr>
            <w:tcW w:w="2067" w:type="dxa"/>
            <w:vAlign w:val="center"/>
          </w:tcPr>
          <w:p w14:paraId="693396B9">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项目规模</w:t>
            </w:r>
          </w:p>
        </w:tc>
        <w:tc>
          <w:tcPr>
            <w:tcW w:w="6088" w:type="dxa"/>
          </w:tcPr>
          <w:p w14:paraId="163C210B">
            <w:pPr>
              <w:snapToGrid w:val="0"/>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详见招标公告。</w:t>
            </w:r>
          </w:p>
        </w:tc>
      </w:tr>
      <w:tr w14:paraId="67A97A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978" w:type="dxa"/>
            <w:vAlign w:val="center"/>
          </w:tcPr>
          <w:p w14:paraId="6A12B98D">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1.2.1</w:t>
            </w:r>
          </w:p>
        </w:tc>
        <w:tc>
          <w:tcPr>
            <w:tcW w:w="2067" w:type="dxa"/>
            <w:vAlign w:val="center"/>
          </w:tcPr>
          <w:p w14:paraId="670EF9AE">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资金来源及比例</w:t>
            </w:r>
          </w:p>
        </w:tc>
        <w:tc>
          <w:tcPr>
            <w:tcW w:w="6088" w:type="dxa"/>
            <w:vAlign w:val="center"/>
          </w:tcPr>
          <w:p w14:paraId="784EA714">
            <w:pPr>
              <w:snapToGrid w:val="0"/>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详见招标公告。</w:t>
            </w:r>
          </w:p>
        </w:tc>
      </w:tr>
      <w:tr w14:paraId="15A3A6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8" w:hRule="atLeast"/>
        </w:trPr>
        <w:tc>
          <w:tcPr>
            <w:tcW w:w="978" w:type="dxa"/>
            <w:vAlign w:val="center"/>
          </w:tcPr>
          <w:p w14:paraId="02CDBD39">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1.2.2</w:t>
            </w:r>
          </w:p>
        </w:tc>
        <w:tc>
          <w:tcPr>
            <w:tcW w:w="2067" w:type="dxa"/>
            <w:vAlign w:val="center"/>
          </w:tcPr>
          <w:p w14:paraId="02F45F94">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资金落实情况</w:t>
            </w:r>
          </w:p>
        </w:tc>
        <w:tc>
          <w:tcPr>
            <w:tcW w:w="6088" w:type="dxa"/>
            <w:vAlign w:val="center"/>
          </w:tcPr>
          <w:p w14:paraId="46131F2A">
            <w:pPr>
              <w:snapToGrid w:val="0"/>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已落实。</w:t>
            </w:r>
          </w:p>
        </w:tc>
      </w:tr>
      <w:tr w14:paraId="43C7DB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3" w:hRule="atLeast"/>
        </w:trPr>
        <w:tc>
          <w:tcPr>
            <w:tcW w:w="978" w:type="dxa"/>
            <w:vAlign w:val="center"/>
          </w:tcPr>
          <w:p w14:paraId="704AF3BD">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1.3.1</w:t>
            </w:r>
          </w:p>
        </w:tc>
        <w:tc>
          <w:tcPr>
            <w:tcW w:w="2067" w:type="dxa"/>
            <w:vAlign w:val="center"/>
          </w:tcPr>
          <w:p w14:paraId="1C985E38">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招标范围</w:t>
            </w:r>
          </w:p>
        </w:tc>
        <w:tc>
          <w:tcPr>
            <w:tcW w:w="6088" w:type="dxa"/>
          </w:tcPr>
          <w:p w14:paraId="18194C30">
            <w:pPr>
              <w:snapToGrid w:val="0"/>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详见招标公告。</w:t>
            </w:r>
          </w:p>
        </w:tc>
      </w:tr>
      <w:tr w14:paraId="114BC5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 w:hRule="atLeast"/>
        </w:trPr>
        <w:tc>
          <w:tcPr>
            <w:tcW w:w="978" w:type="dxa"/>
            <w:vAlign w:val="center"/>
          </w:tcPr>
          <w:p w14:paraId="4E25D6D2">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1.3.2</w:t>
            </w:r>
          </w:p>
        </w:tc>
        <w:tc>
          <w:tcPr>
            <w:tcW w:w="2067" w:type="dxa"/>
            <w:vAlign w:val="center"/>
          </w:tcPr>
          <w:p w14:paraId="64C5F631">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服务期限</w:t>
            </w:r>
          </w:p>
        </w:tc>
        <w:tc>
          <w:tcPr>
            <w:tcW w:w="6088" w:type="dxa"/>
          </w:tcPr>
          <w:p w14:paraId="4EEC4C14">
            <w:pPr>
              <w:snapToGrid w:val="0"/>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详见招标公告</w:t>
            </w:r>
          </w:p>
        </w:tc>
      </w:tr>
      <w:tr w14:paraId="76C6B6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78" w:type="dxa"/>
            <w:vAlign w:val="center"/>
          </w:tcPr>
          <w:p w14:paraId="1CD15DBA">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1.3.3</w:t>
            </w:r>
          </w:p>
        </w:tc>
        <w:tc>
          <w:tcPr>
            <w:tcW w:w="2067" w:type="dxa"/>
            <w:vAlign w:val="center"/>
          </w:tcPr>
          <w:p w14:paraId="3548463D">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质量标准</w:t>
            </w:r>
          </w:p>
        </w:tc>
        <w:tc>
          <w:tcPr>
            <w:tcW w:w="6088" w:type="dxa"/>
            <w:vAlign w:val="center"/>
          </w:tcPr>
          <w:p w14:paraId="73A99C6D">
            <w:pPr>
              <w:pStyle w:val="27"/>
              <w:snapToGrid w:val="0"/>
              <w:spacing w:after="0" w:line="276" w:lineRule="auto"/>
              <w:ind w:firstLine="0"/>
              <w:rPr>
                <w:rFonts w:ascii="宋体" w:hAnsi="宋体"/>
                <w:color w:val="auto"/>
                <w:szCs w:val="21"/>
                <w:highlight w:val="none"/>
              </w:rPr>
            </w:pPr>
            <w:r>
              <w:rPr>
                <w:rFonts w:hint="eastAsia" w:ascii="宋体" w:hAnsi="宋体"/>
                <w:color w:val="auto"/>
                <w:szCs w:val="21"/>
                <w:highlight w:val="none"/>
              </w:rPr>
              <w:t>符合国家及省、市有关标准。</w:t>
            </w:r>
          </w:p>
        </w:tc>
      </w:tr>
      <w:tr w14:paraId="5C5F4C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978" w:type="dxa"/>
            <w:vAlign w:val="center"/>
          </w:tcPr>
          <w:p w14:paraId="29CCE93F">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1.4.1</w:t>
            </w:r>
          </w:p>
        </w:tc>
        <w:tc>
          <w:tcPr>
            <w:tcW w:w="2067" w:type="dxa"/>
            <w:vAlign w:val="center"/>
          </w:tcPr>
          <w:p w14:paraId="449AA0C2">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投标人资质条件、能力、信誉</w:t>
            </w:r>
          </w:p>
        </w:tc>
        <w:tc>
          <w:tcPr>
            <w:tcW w:w="6088" w:type="dxa"/>
            <w:vAlign w:val="center"/>
          </w:tcPr>
          <w:p w14:paraId="3A986FFF">
            <w:pPr>
              <w:snapToGrid w:val="0"/>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详见招标公告投标人资格要求。</w:t>
            </w:r>
          </w:p>
        </w:tc>
      </w:tr>
      <w:tr w14:paraId="117E48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78" w:type="dxa"/>
            <w:vAlign w:val="center"/>
          </w:tcPr>
          <w:p w14:paraId="41F24A35">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1.4.2</w:t>
            </w:r>
          </w:p>
        </w:tc>
        <w:tc>
          <w:tcPr>
            <w:tcW w:w="2067" w:type="dxa"/>
            <w:vAlign w:val="center"/>
          </w:tcPr>
          <w:p w14:paraId="701BDDE7">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是否接受联合体投标</w:t>
            </w:r>
          </w:p>
        </w:tc>
        <w:tc>
          <w:tcPr>
            <w:tcW w:w="6088" w:type="dxa"/>
            <w:vAlign w:val="center"/>
          </w:tcPr>
          <w:p w14:paraId="1DC349CB">
            <w:pPr>
              <w:topLinePunct/>
              <w:spacing w:line="276" w:lineRule="auto"/>
              <w:rPr>
                <w:rFonts w:ascii="宋体" w:hAnsi="宋体" w:eastAsia="宋体"/>
                <w:color w:val="auto"/>
                <w:szCs w:val="21"/>
                <w:highlight w:val="none"/>
              </w:rPr>
            </w:pPr>
            <w:r>
              <w:rPr>
                <w:rFonts w:ascii="宋体" w:hAnsi="宋体" w:eastAsia="宋体"/>
                <w:color w:val="auto"/>
                <w:szCs w:val="21"/>
                <w:highlight w:val="none"/>
              </w:rPr>
              <w:sym w:font="Wingdings" w:char="00A8"/>
            </w:r>
            <w:r>
              <w:rPr>
                <w:rFonts w:hint="eastAsia" w:ascii="宋体" w:hAnsi="宋体" w:eastAsia="宋体"/>
                <w:color w:val="auto"/>
                <w:szCs w:val="21"/>
                <w:highlight w:val="none"/>
              </w:rPr>
              <w:t>不接受。</w:t>
            </w:r>
          </w:p>
          <w:p w14:paraId="1A7D6320">
            <w:pPr>
              <w:spacing w:line="276" w:lineRule="auto"/>
              <w:rPr>
                <w:rFonts w:ascii="宋体" w:hAnsi="宋体" w:eastAsia="宋体"/>
                <w:color w:val="auto"/>
                <w:szCs w:val="21"/>
                <w:highlight w:val="none"/>
              </w:rPr>
            </w:pPr>
            <w:r>
              <w:rPr>
                <w:rFonts w:ascii="Segoe UI Symbol" w:hAnsi="Segoe UI Symbol" w:eastAsia="宋体" w:cs="Segoe UI Symbol"/>
                <w:color w:val="auto"/>
                <w:szCs w:val="21"/>
                <w:highlight w:val="none"/>
              </w:rPr>
              <w:t>☑</w:t>
            </w:r>
            <w:r>
              <w:rPr>
                <w:rFonts w:hint="eastAsia" w:ascii="宋体" w:hAnsi="宋体" w:eastAsia="宋体"/>
                <w:color w:val="auto"/>
                <w:szCs w:val="21"/>
                <w:highlight w:val="none"/>
              </w:rPr>
              <w:t>接受，应满足下列要求：详见招标公告。</w:t>
            </w:r>
          </w:p>
        </w:tc>
      </w:tr>
      <w:tr w14:paraId="06AAED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78" w:type="dxa"/>
            <w:vAlign w:val="center"/>
          </w:tcPr>
          <w:p w14:paraId="0A6A3945">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1.4.3</w:t>
            </w:r>
          </w:p>
        </w:tc>
        <w:tc>
          <w:tcPr>
            <w:tcW w:w="2067" w:type="dxa"/>
            <w:vAlign w:val="center"/>
          </w:tcPr>
          <w:p w14:paraId="65629258">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投标人不得存在的其他情形</w:t>
            </w:r>
          </w:p>
        </w:tc>
        <w:tc>
          <w:tcPr>
            <w:tcW w:w="6088" w:type="dxa"/>
            <w:vAlign w:val="center"/>
          </w:tcPr>
          <w:p w14:paraId="7206096B">
            <w:pPr>
              <w:snapToGrid w:val="0"/>
              <w:spacing w:line="276" w:lineRule="auto"/>
              <w:rPr>
                <w:rFonts w:ascii="宋体" w:hAnsi="宋体" w:eastAsia="宋体"/>
                <w:color w:val="auto"/>
                <w:szCs w:val="21"/>
                <w:highlight w:val="none"/>
              </w:rPr>
            </w:pPr>
            <w:r>
              <w:rPr>
                <w:rFonts w:ascii="宋体" w:hAnsi="宋体" w:eastAsia="宋体"/>
                <w:color w:val="auto"/>
                <w:szCs w:val="21"/>
                <w:highlight w:val="none"/>
              </w:rPr>
              <w:t>/</w:t>
            </w:r>
          </w:p>
        </w:tc>
      </w:tr>
      <w:tr w14:paraId="2B0A00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978" w:type="dxa"/>
            <w:vAlign w:val="center"/>
          </w:tcPr>
          <w:p w14:paraId="1E0067C5">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1.9.1</w:t>
            </w:r>
          </w:p>
        </w:tc>
        <w:tc>
          <w:tcPr>
            <w:tcW w:w="2067" w:type="dxa"/>
            <w:vAlign w:val="center"/>
          </w:tcPr>
          <w:p w14:paraId="1555D8BF">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踏勘现场</w:t>
            </w:r>
          </w:p>
        </w:tc>
        <w:tc>
          <w:tcPr>
            <w:tcW w:w="6088" w:type="dxa"/>
            <w:vAlign w:val="center"/>
          </w:tcPr>
          <w:p w14:paraId="3965A37C">
            <w:pPr>
              <w:pStyle w:val="9"/>
              <w:topLinePunct/>
              <w:snapToGrid w:val="0"/>
              <w:spacing w:line="276" w:lineRule="auto"/>
              <w:ind w:right="174" w:rightChars="83"/>
              <w:rPr>
                <w:rFonts w:hAnsi="宋体"/>
                <w:color w:val="auto"/>
                <w:sz w:val="21"/>
                <w:szCs w:val="21"/>
                <w:highlight w:val="none"/>
              </w:rPr>
            </w:pPr>
            <w:r>
              <w:rPr>
                <w:rFonts w:hAnsi="宋体"/>
                <w:color w:val="auto"/>
                <w:sz w:val="21"/>
                <w:szCs w:val="21"/>
                <w:highlight w:val="none"/>
              </w:rPr>
              <w:sym w:font="Wingdings" w:char="00FE"/>
            </w:r>
            <w:r>
              <w:rPr>
                <w:rFonts w:hint="eastAsia" w:hAnsi="宋体"/>
                <w:color w:val="auto"/>
                <w:sz w:val="21"/>
                <w:szCs w:val="21"/>
                <w:highlight w:val="none"/>
              </w:rPr>
              <w:t>不组织，由投标人自行现场考察。</w:t>
            </w:r>
          </w:p>
          <w:p w14:paraId="0AD7B09C">
            <w:pPr>
              <w:pStyle w:val="9"/>
              <w:topLinePunct/>
              <w:snapToGrid w:val="0"/>
              <w:spacing w:line="276" w:lineRule="auto"/>
              <w:ind w:right="174" w:rightChars="83"/>
              <w:rPr>
                <w:rFonts w:hAnsi="宋体"/>
                <w:color w:val="auto"/>
                <w:sz w:val="21"/>
                <w:szCs w:val="21"/>
                <w:highlight w:val="none"/>
              </w:rPr>
            </w:pPr>
            <w:r>
              <w:rPr>
                <w:rFonts w:hint="eastAsia" w:hAnsi="宋体"/>
                <w:color w:val="auto"/>
                <w:sz w:val="21"/>
                <w:szCs w:val="21"/>
                <w:highlight w:val="none"/>
              </w:rPr>
              <w:t>□组织，踏勘时间：</w:t>
            </w:r>
            <w:r>
              <w:rPr>
                <w:rFonts w:hAnsi="宋体"/>
                <w:color w:val="auto"/>
                <w:sz w:val="21"/>
                <w:szCs w:val="21"/>
                <w:highlight w:val="none"/>
              </w:rPr>
              <w:t>/</w:t>
            </w:r>
          </w:p>
          <w:p w14:paraId="74F54671">
            <w:pPr>
              <w:pStyle w:val="9"/>
              <w:topLinePunct/>
              <w:spacing w:line="276" w:lineRule="auto"/>
              <w:rPr>
                <w:rFonts w:hAnsi="宋体"/>
                <w:color w:val="auto"/>
                <w:sz w:val="21"/>
                <w:szCs w:val="21"/>
                <w:highlight w:val="none"/>
              </w:rPr>
            </w:pPr>
            <w:r>
              <w:rPr>
                <w:rFonts w:hint="eastAsia" w:hAnsi="宋体"/>
                <w:color w:val="auto"/>
                <w:sz w:val="21"/>
                <w:szCs w:val="21"/>
                <w:highlight w:val="none"/>
              </w:rPr>
              <w:t>踏勘集中地点：</w:t>
            </w:r>
            <w:r>
              <w:rPr>
                <w:rFonts w:hAnsi="宋体"/>
                <w:color w:val="auto"/>
                <w:sz w:val="21"/>
                <w:szCs w:val="21"/>
                <w:highlight w:val="none"/>
              </w:rPr>
              <w:t>/</w:t>
            </w:r>
          </w:p>
        </w:tc>
      </w:tr>
      <w:tr w14:paraId="3C7D1F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78" w:type="dxa"/>
            <w:vAlign w:val="center"/>
          </w:tcPr>
          <w:p w14:paraId="26A3F480">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1.10.1</w:t>
            </w:r>
          </w:p>
        </w:tc>
        <w:tc>
          <w:tcPr>
            <w:tcW w:w="2067" w:type="dxa"/>
            <w:vAlign w:val="center"/>
          </w:tcPr>
          <w:p w14:paraId="199FE56F">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投标预备会</w:t>
            </w:r>
          </w:p>
        </w:tc>
        <w:tc>
          <w:tcPr>
            <w:tcW w:w="6088" w:type="dxa"/>
            <w:vAlign w:val="center"/>
          </w:tcPr>
          <w:p w14:paraId="4332A46B">
            <w:pPr>
              <w:pStyle w:val="9"/>
              <w:topLinePunct/>
              <w:spacing w:line="276" w:lineRule="auto"/>
              <w:rPr>
                <w:rFonts w:hAnsi="宋体"/>
                <w:color w:val="auto"/>
                <w:sz w:val="21"/>
                <w:szCs w:val="21"/>
                <w:highlight w:val="none"/>
              </w:rPr>
            </w:pPr>
            <w:r>
              <w:rPr>
                <w:rFonts w:hAnsi="宋体"/>
                <w:color w:val="auto"/>
                <w:sz w:val="21"/>
                <w:szCs w:val="21"/>
                <w:highlight w:val="none"/>
              </w:rPr>
              <w:sym w:font="Wingdings" w:char="00FE"/>
            </w:r>
            <w:r>
              <w:rPr>
                <w:rFonts w:hint="eastAsia" w:hAnsi="宋体"/>
                <w:color w:val="auto"/>
                <w:sz w:val="21"/>
                <w:szCs w:val="21"/>
                <w:highlight w:val="none"/>
              </w:rPr>
              <w:t>不召开</w:t>
            </w:r>
          </w:p>
          <w:p w14:paraId="53CE5C6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□召开，召开时间：</w:t>
            </w:r>
            <w:r>
              <w:rPr>
                <w:rFonts w:ascii="宋体" w:hAnsi="宋体" w:eastAsia="宋体"/>
                <w:color w:val="auto"/>
                <w:szCs w:val="21"/>
                <w:highlight w:val="none"/>
              </w:rPr>
              <w:t>/</w:t>
            </w:r>
          </w:p>
          <w:p w14:paraId="526ABA3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召开地点：</w:t>
            </w:r>
            <w:r>
              <w:rPr>
                <w:rFonts w:ascii="宋体" w:hAnsi="宋体" w:eastAsia="宋体"/>
                <w:color w:val="auto"/>
                <w:szCs w:val="21"/>
                <w:highlight w:val="none"/>
              </w:rPr>
              <w:t>/</w:t>
            </w:r>
          </w:p>
        </w:tc>
      </w:tr>
      <w:tr w14:paraId="5F3BBE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78" w:type="dxa"/>
            <w:vAlign w:val="center"/>
          </w:tcPr>
          <w:p w14:paraId="0EA946AB">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1.10.2</w:t>
            </w:r>
          </w:p>
        </w:tc>
        <w:tc>
          <w:tcPr>
            <w:tcW w:w="2067" w:type="dxa"/>
            <w:vAlign w:val="center"/>
          </w:tcPr>
          <w:p w14:paraId="2B58C882">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投标人在投标预备会前提出问题</w:t>
            </w:r>
          </w:p>
        </w:tc>
        <w:tc>
          <w:tcPr>
            <w:tcW w:w="6088" w:type="dxa"/>
            <w:vAlign w:val="center"/>
          </w:tcPr>
          <w:p w14:paraId="057A3214">
            <w:pPr>
              <w:snapToGrid w:val="0"/>
              <w:spacing w:line="276" w:lineRule="auto"/>
              <w:rPr>
                <w:rFonts w:ascii="宋体" w:hAnsi="宋体" w:eastAsia="宋体"/>
                <w:color w:val="auto"/>
                <w:szCs w:val="21"/>
                <w:highlight w:val="none"/>
              </w:rPr>
            </w:pPr>
            <w:r>
              <w:rPr>
                <w:rFonts w:hint="eastAsia" w:ascii="宋体" w:hAnsi="宋体" w:eastAsia="宋体"/>
                <w:color w:val="auto"/>
                <w:szCs w:val="21"/>
                <w:highlight w:val="none"/>
              </w:rPr>
              <w:t>本项目不召开投标预备会。</w:t>
            </w:r>
          </w:p>
        </w:tc>
      </w:tr>
      <w:tr w14:paraId="1BA7DB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78" w:type="dxa"/>
            <w:vAlign w:val="center"/>
          </w:tcPr>
          <w:p w14:paraId="01D8BF54">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1.10.3</w:t>
            </w:r>
          </w:p>
        </w:tc>
        <w:tc>
          <w:tcPr>
            <w:tcW w:w="2067" w:type="dxa"/>
            <w:vAlign w:val="center"/>
          </w:tcPr>
          <w:p w14:paraId="46684B5A">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招标文件澄清发出的形式</w:t>
            </w:r>
          </w:p>
        </w:tc>
        <w:tc>
          <w:tcPr>
            <w:tcW w:w="6088" w:type="dxa"/>
            <w:vAlign w:val="center"/>
          </w:tcPr>
          <w:p w14:paraId="739A74B7">
            <w:pPr>
              <w:snapToGrid w:val="0"/>
              <w:spacing w:line="276" w:lineRule="auto"/>
              <w:ind w:right="174" w:rightChars="83"/>
              <w:rPr>
                <w:rFonts w:ascii="宋体" w:hAnsi="宋体" w:eastAsia="宋体"/>
                <w:color w:val="auto"/>
                <w:szCs w:val="21"/>
                <w:highlight w:val="none"/>
              </w:rPr>
            </w:pPr>
            <w:r>
              <w:rPr>
                <w:rFonts w:hint="eastAsia" w:ascii="宋体" w:hAnsi="宋体" w:eastAsia="宋体"/>
                <w:color w:val="auto"/>
                <w:szCs w:val="21"/>
                <w:highlight w:val="none"/>
              </w:rPr>
              <w:t>在广州交易集团有限公司（广州公共资源交易中心）网站“招标答疑”专区发布，一经发布，视作已发放给所有投标人。</w:t>
            </w:r>
          </w:p>
        </w:tc>
      </w:tr>
      <w:tr w14:paraId="72A173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78" w:type="dxa"/>
            <w:vAlign w:val="center"/>
          </w:tcPr>
          <w:p w14:paraId="0E79B0A9">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1.12.1</w:t>
            </w:r>
          </w:p>
        </w:tc>
        <w:tc>
          <w:tcPr>
            <w:tcW w:w="2067" w:type="dxa"/>
            <w:vAlign w:val="center"/>
          </w:tcPr>
          <w:p w14:paraId="47880FA7">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实质性要求和条件</w:t>
            </w:r>
          </w:p>
        </w:tc>
        <w:tc>
          <w:tcPr>
            <w:tcW w:w="6088" w:type="dxa"/>
            <w:vAlign w:val="center"/>
          </w:tcPr>
          <w:p w14:paraId="2AEDCB54">
            <w:pPr>
              <w:snapToGrid w:val="0"/>
              <w:spacing w:line="276" w:lineRule="auto"/>
              <w:ind w:right="174" w:rightChars="83"/>
              <w:rPr>
                <w:rFonts w:ascii="宋体" w:hAnsi="宋体" w:eastAsia="宋体"/>
                <w:color w:val="auto"/>
                <w:szCs w:val="21"/>
                <w:highlight w:val="none"/>
              </w:rPr>
            </w:pPr>
            <w:r>
              <w:rPr>
                <w:rFonts w:ascii="宋体" w:hAnsi="宋体" w:eastAsia="宋体"/>
                <w:color w:val="auto"/>
                <w:szCs w:val="21"/>
                <w:highlight w:val="none"/>
              </w:rPr>
              <w:t>/</w:t>
            </w:r>
          </w:p>
        </w:tc>
      </w:tr>
      <w:tr w14:paraId="57B963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78" w:type="dxa"/>
            <w:vAlign w:val="center"/>
          </w:tcPr>
          <w:p w14:paraId="39881386">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1.12.3</w:t>
            </w:r>
          </w:p>
        </w:tc>
        <w:tc>
          <w:tcPr>
            <w:tcW w:w="2067" w:type="dxa"/>
            <w:vAlign w:val="center"/>
          </w:tcPr>
          <w:p w14:paraId="4C925141">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偏差</w:t>
            </w:r>
          </w:p>
        </w:tc>
        <w:tc>
          <w:tcPr>
            <w:tcW w:w="6088" w:type="dxa"/>
          </w:tcPr>
          <w:p w14:paraId="4EDFAD8C">
            <w:pPr>
              <w:snapToGrid w:val="0"/>
              <w:spacing w:line="276" w:lineRule="auto"/>
              <w:rPr>
                <w:rFonts w:ascii="宋体" w:hAnsi="宋体" w:eastAsia="宋体"/>
                <w:color w:val="auto"/>
                <w:szCs w:val="21"/>
                <w:highlight w:val="none"/>
              </w:rPr>
            </w:pPr>
            <w:r>
              <w:rPr>
                <w:rFonts w:hint="eastAsia" w:ascii="宋体" w:hAnsi="宋体" w:eastAsia="宋体"/>
                <w:color w:val="auto"/>
                <w:szCs w:val="21"/>
                <w:highlight w:val="none"/>
              </w:rPr>
              <w:sym w:font="Wingdings" w:char="00FE"/>
            </w:r>
            <w:r>
              <w:rPr>
                <w:rFonts w:hint="eastAsia" w:ascii="宋体" w:hAnsi="宋体" w:eastAsia="宋体"/>
                <w:color w:val="auto"/>
                <w:szCs w:val="21"/>
                <w:highlight w:val="none"/>
              </w:rPr>
              <w:t>不允许</w:t>
            </w:r>
          </w:p>
          <w:p w14:paraId="5D2E128A">
            <w:pPr>
              <w:snapToGrid w:val="0"/>
              <w:spacing w:line="276" w:lineRule="auto"/>
              <w:rPr>
                <w:rFonts w:ascii="宋体" w:hAnsi="宋体" w:eastAsia="宋体"/>
                <w:color w:val="auto"/>
                <w:szCs w:val="21"/>
                <w:highlight w:val="none"/>
              </w:rPr>
            </w:pPr>
            <w:r>
              <w:rPr>
                <w:rFonts w:hint="eastAsia" w:ascii="宋体" w:hAnsi="宋体" w:eastAsia="宋体"/>
                <w:color w:val="auto"/>
                <w:szCs w:val="21"/>
                <w:highlight w:val="none"/>
              </w:rPr>
              <w:t xml:space="preserve">□允许，偏差范围：  /  </w:t>
            </w:r>
          </w:p>
          <w:p w14:paraId="7ACDD0CA">
            <w:pPr>
              <w:snapToGrid w:val="0"/>
              <w:spacing w:line="276" w:lineRule="auto"/>
              <w:rPr>
                <w:rFonts w:hAnsi="宋体"/>
                <w:color w:val="auto"/>
                <w:szCs w:val="21"/>
                <w:highlight w:val="none"/>
              </w:rPr>
            </w:pPr>
            <w:r>
              <w:rPr>
                <w:rFonts w:hint="eastAsia" w:ascii="宋体" w:hAnsi="宋体" w:eastAsia="宋体"/>
                <w:color w:val="auto"/>
                <w:szCs w:val="21"/>
                <w:highlight w:val="none"/>
              </w:rPr>
              <w:t xml:space="preserve">偏差幅度：  /  </w:t>
            </w:r>
          </w:p>
        </w:tc>
      </w:tr>
      <w:tr w14:paraId="52D66B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78" w:type="dxa"/>
            <w:vAlign w:val="center"/>
          </w:tcPr>
          <w:p w14:paraId="2AE203BD">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2.1</w:t>
            </w:r>
          </w:p>
        </w:tc>
        <w:tc>
          <w:tcPr>
            <w:tcW w:w="2067" w:type="dxa"/>
            <w:vAlign w:val="center"/>
          </w:tcPr>
          <w:p w14:paraId="5920E3E3">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构成招标文件的其他资料</w:t>
            </w:r>
          </w:p>
        </w:tc>
        <w:tc>
          <w:tcPr>
            <w:tcW w:w="6088" w:type="dxa"/>
            <w:vAlign w:val="center"/>
          </w:tcPr>
          <w:p w14:paraId="63BECACA">
            <w:pPr>
              <w:snapToGrid w:val="0"/>
              <w:spacing w:line="276" w:lineRule="auto"/>
              <w:rPr>
                <w:rFonts w:ascii="宋体" w:hAnsi="宋体" w:eastAsia="宋体"/>
                <w:color w:val="auto"/>
                <w:szCs w:val="21"/>
                <w:highlight w:val="none"/>
              </w:rPr>
            </w:pPr>
            <w:r>
              <w:rPr>
                <w:rFonts w:ascii="宋体" w:hAnsi="宋体" w:eastAsia="宋体"/>
                <w:color w:val="auto"/>
                <w:szCs w:val="21"/>
                <w:highlight w:val="none"/>
              </w:rPr>
              <w:t>/</w:t>
            </w:r>
          </w:p>
        </w:tc>
      </w:tr>
      <w:tr w14:paraId="6F8BA5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8" w:hRule="atLeast"/>
        </w:trPr>
        <w:tc>
          <w:tcPr>
            <w:tcW w:w="978" w:type="dxa"/>
            <w:vMerge w:val="restart"/>
            <w:vAlign w:val="center"/>
          </w:tcPr>
          <w:p w14:paraId="6C2A4917">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2.2.1</w:t>
            </w:r>
          </w:p>
        </w:tc>
        <w:tc>
          <w:tcPr>
            <w:tcW w:w="2067" w:type="dxa"/>
            <w:vMerge w:val="restart"/>
            <w:vAlign w:val="center"/>
          </w:tcPr>
          <w:p w14:paraId="268B2D49">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投标人要求澄清招标文件</w:t>
            </w:r>
          </w:p>
        </w:tc>
        <w:tc>
          <w:tcPr>
            <w:tcW w:w="6088" w:type="dxa"/>
            <w:vAlign w:val="center"/>
          </w:tcPr>
          <w:p w14:paraId="08722CB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时间：在提交投标文件截止时间</w:t>
            </w:r>
            <w:r>
              <w:rPr>
                <w:rFonts w:ascii="宋体" w:hAnsi="宋体" w:eastAsia="宋体"/>
                <w:color w:val="auto"/>
                <w:szCs w:val="21"/>
                <w:highlight w:val="none"/>
              </w:rPr>
              <w:t>18</w:t>
            </w:r>
            <w:r>
              <w:rPr>
                <w:rFonts w:hint="eastAsia" w:ascii="宋体" w:hAnsi="宋体" w:eastAsia="宋体"/>
                <w:color w:val="auto"/>
                <w:szCs w:val="21"/>
                <w:highlight w:val="none"/>
              </w:rPr>
              <w:t>日</w:t>
            </w:r>
            <w:r>
              <w:rPr>
                <w:rFonts w:ascii="宋体" w:hAnsi="宋体" w:eastAsia="宋体"/>
                <w:color w:val="auto"/>
                <w:szCs w:val="21"/>
                <w:highlight w:val="none"/>
              </w:rPr>
              <w:t>前提出。</w:t>
            </w:r>
          </w:p>
        </w:tc>
      </w:tr>
      <w:tr w14:paraId="4808C4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8" w:hRule="atLeast"/>
        </w:trPr>
        <w:tc>
          <w:tcPr>
            <w:tcW w:w="978" w:type="dxa"/>
            <w:vMerge w:val="continue"/>
            <w:vAlign w:val="center"/>
          </w:tcPr>
          <w:p w14:paraId="7576E5C6">
            <w:pPr>
              <w:snapToGrid w:val="0"/>
              <w:spacing w:line="276" w:lineRule="auto"/>
              <w:jc w:val="center"/>
              <w:rPr>
                <w:rFonts w:ascii="宋体" w:hAnsi="宋体" w:eastAsia="宋体"/>
                <w:color w:val="auto"/>
                <w:szCs w:val="21"/>
                <w:highlight w:val="none"/>
              </w:rPr>
            </w:pPr>
          </w:p>
        </w:tc>
        <w:tc>
          <w:tcPr>
            <w:tcW w:w="2067" w:type="dxa"/>
            <w:vMerge w:val="continue"/>
            <w:vAlign w:val="center"/>
          </w:tcPr>
          <w:p w14:paraId="1E6D01D9">
            <w:pPr>
              <w:snapToGrid w:val="0"/>
              <w:spacing w:line="276" w:lineRule="auto"/>
              <w:jc w:val="center"/>
              <w:rPr>
                <w:rFonts w:ascii="宋体" w:hAnsi="宋体" w:eastAsia="宋体"/>
                <w:color w:val="auto"/>
                <w:szCs w:val="21"/>
                <w:highlight w:val="none"/>
              </w:rPr>
            </w:pPr>
          </w:p>
        </w:tc>
        <w:tc>
          <w:tcPr>
            <w:tcW w:w="6088" w:type="dxa"/>
            <w:vAlign w:val="center"/>
          </w:tcPr>
          <w:p w14:paraId="7E143B3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投标人若对招标文件（包括最高投标限价）有疑问的，可在规定的时间内通过广州交易集团有限公司（广州公共资源交易中心）网站进入提问区域将问题提交给招标人或招标代理人，提交问题时一律不得署名。</w:t>
            </w:r>
          </w:p>
          <w:p w14:paraId="4A78E11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网上答疑的操作指南为：登陆广州交易集团有限公司（广州公共资源交易中心）网站-&gt;进入“我是投标人（供应商）”-&gt;“我的投标”-&gt;“招标答疑提问”查询项目并提问。</w:t>
            </w:r>
          </w:p>
          <w:p w14:paraId="39015E4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1.形式：投标人疑问通过网上提交。相关操作详见广州交易集团有限公司（广州公共资源交易中心）最新发布的指引。</w:t>
            </w:r>
          </w:p>
          <w:p w14:paraId="6328C096">
            <w:pPr>
              <w:snapToGrid w:val="0"/>
              <w:spacing w:line="276" w:lineRule="auto"/>
              <w:rPr>
                <w:rFonts w:ascii="宋体" w:hAnsi="宋体" w:eastAsia="宋体"/>
                <w:color w:val="auto"/>
                <w:szCs w:val="21"/>
                <w:highlight w:val="none"/>
              </w:rPr>
            </w:pPr>
            <w:r>
              <w:rPr>
                <w:rFonts w:hint="eastAsia" w:ascii="宋体" w:hAnsi="宋体" w:eastAsia="宋体"/>
                <w:color w:val="auto"/>
                <w:szCs w:val="21"/>
                <w:highlight w:val="none"/>
              </w:rPr>
              <w:t>2.投标人应在投标截止时间18日前停止网上提问。招标人应在投标截止时间15日前解答投标人对招标文件提出的疑问，形成答疑文件。投标人可直接从交易中心网站“项目查询（日程安排、答疑纪要）”专区进入，下载项目的答疑纪要；也可以登录交易中心数字交易平台“我是投标人（供应商）”-&gt;“我的投标项目”-&gt;“答疑纪要”。</w:t>
            </w:r>
          </w:p>
        </w:tc>
      </w:tr>
      <w:tr w14:paraId="19CA87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4" w:hRule="atLeast"/>
        </w:trPr>
        <w:tc>
          <w:tcPr>
            <w:tcW w:w="978" w:type="dxa"/>
            <w:vAlign w:val="center"/>
          </w:tcPr>
          <w:p w14:paraId="55599607">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2.2.2</w:t>
            </w:r>
          </w:p>
        </w:tc>
        <w:tc>
          <w:tcPr>
            <w:tcW w:w="2067" w:type="dxa"/>
            <w:vAlign w:val="center"/>
          </w:tcPr>
          <w:p w14:paraId="371FA607">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招标文件澄清发出的形式</w:t>
            </w:r>
          </w:p>
        </w:tc>
        <w:tc>
          <w:tcPr>
            <w:tcW w:w="6088" w:type="dxa"/>
            <w:vAlign w:val="center"/>
          </w:tcPr>
          <w:p w14:paraId="285A8F04">
            <w:pPr>
              <w:snapToGrid w:val="0"/>
              <w:spacing w:line="276" w:lineRule="auto"/>
              <w:rPr>
                <w:rFonts w:ascii="宋体" w:hAnsi="宋体" w:eastAsia="宋体"/>
                <w:color w:val="auto"/>
                <w:szCs w:val="21"/>
                <w:highlight w:val="none"/>
              </w:rPr>
            </w:pPr>
            <w:r>
              <w:rPr>
                <w:rFonts w:hint="eastAsia" w:ascii="宋体" w:hAnsi="宋体" w:eastAsia="宋体"/>
                <w:color w:val="auto"/>
                <w:szCs w:val="21"/>
                <w:highlight w:val="none"/>
              </w:rPr>
              <w:t>在递交投标文件截止时间</w:t>
            </w:r>
            <w:r>
              <w:rPr>
                <w:rFonts w:ascii="宋体" w:hAnsi="宋体" w:eastAsia="宋体"/>
                <w:color w:val="auto"/>
                <w:szCs w:val="21"/>
                <w:highlight w:val="none"/>
              </w:rPr>
              <w:t>15</w:t>
            </w:r>
            <w:r>
              <w:rPr>
                <w:rFonts w:hint="eastAsia" w:ascii="宋体" w:hAnsi="宋体" w:eastAsia="宋体"/>
                <w:color w:val="auto"/>
                <w:szCs w:val="21"/>
                <w:highlight w:val="none"/>
              </w:rPr>
              <w:t>日</w:t>
            </w:r>
            <w:r>
              <w:rPr>
                <w:rFonts w:ascii="宋体" w:hAnsi="宋体" w:eastAsia="宋体"/>
                <w:color w:val="auto"/>
                <w:szCs w:val="21"/>
                <w:highlight w:val="none"/>
              </w:rPr>
              <w:t>前</w:t>
            </w:r>
            <w:r>
              <w:rPr>
                <w:rFonts w:hint="eastAsia" w:ascii="宋体" w:hAnsi="宋体" w:eastAsia="宋体"/>
                <w:color w:val="auto"/>
                <w:szCs w:val="21"/>
                <w:highlight w:val="none"/>
              </w:rPr>
              <w:t>，</w:t>
            </w:r>
            <w:r>
              <w:rPr>
                <w:rFonts w:ascii="宋体" w:hAnsi="宋体" w:eastAsia="宋体"/>
                <w:color w:val="auto"/>
                <w:szCs w:val="21"/>
                <w:highlight w:val="none"/>
              </w:rPr>
              <w:t>在广州交易集团有限公司（广州公共资源交易中心）网站通过项目答疑专区网上公开发布。</w:t>
            </w:r>
          </w:p>
        </w:tc>
      </w:tr>
      <w:tr w14:paraId="019B71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978" w:type="dxa"/>
            <w:vMerge w:val="restart"/>
            <w:vAlign w:val="center"/>
          </w:tcPr>
          <w:p w14:paraId="2EA923D8">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2.2.3</w:t>
            </w:r>
          </w:p>
        </w:tc>
        <w:tc>
          <w:tcPr>
            <w:tcW w:w="2067" w:type="dxa"/>
            <w:vMerge w:val="restart"/>
            <w:vAlign w:val="center"/>
          </w:tcPr>
          <w:p w14:paraId="469FDC58">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投标人确认收到招标文件澄清</w:t>
            </w:r>
          </w:p>
        </w:tc>
        <w:tc>
          <w:tcPr>
            <w:tcW w:w="6088" w:type="dxa"/>
            <w:vAlign w:val="center"/>
          </w:tcPr>
          <w:p w14:paraId="072F3A86">
            <w:pPr>
              <w:snapToGrid w:val="0"/>
              <w:spacing w:line="276" w:lineRule="auto"/>
              <w:rPr>
                <w:rFonts w:ascii="宋体" w:hAnsi="宋体" w:eastAsia="宋体"/>
                <w:color w:val="auto"/>
                <w:szCs w:val="21"/>
                <w:highlight w:val="none"/>
              </w:rPr>
            </w:pPr>
            <w:r>
              <w:rPr>
                <w:rFonts w:hint="eastAsia" w:ascii="宋体" w:hAnsi="宋体" w:eastAsia="宋体"/>
                <w:color w:val="auto"/>
                <w:szCs w:val="21"/>
                <w:highlight w:val="none"/>
              </w:rPr>
              <w:t>时间：发出即视作收到。</w:t>
            </w:r>
          </w:p>
        </w:tc>
      </w:tr>
      <w:tr w14:paraId="706938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978" w:type="dxa"/>
            <w:vMerge w:val="continue"/>
            <w:vAlign w:val="center"/>
          </w:tcPr>
          <w:p w14:paraId="6C4D703D">
            <w:pPr>
              <w:snapToGrid w:val="0"/>
              <w:spacing w:line="276" w:lineRule="auto"/>
              <w:jc w:val="center"/>
              <w:rPr>
                <w:rFonts w:ascii="宋体" w:hAnsi="宋体" w:eastAsia="宋体"/>
                <w:color w:val="auto"/>
                <w:szCs w:val="21"/>
                <w:highlight w:val="none"/>
              </w:rPr>
            </w:pPr>
          </w:p>
        </w:tc>
        <w:tc>
          <w:tcPr>
            <w:tcW w:w="2067" w:type="dxa"/>
            <w:vMerge w:val="continue"/>
            <w:vAlign w:val="center"/>
          </w:tcPr>
          <w:p w14:paraId="5CE78264">
            <w:pPr>
              <w:snapToGrid w:val="0"/>
              <w:spacing w:line="276" w:lineRule="auto"/>
              <w:jc w:val="center"/>
              <w:rPr>
                <w:rFonts w:ascii="宋体" w:hAnsi="宋体" w:eastAsia="宋体"/>
                <w:color w:val="auto"/>
                <w:szCs w:val="21"/>
                <w:highlight w:val="none"/>
              </w:rPr>
            </w:pPr>
          </w:p>
        </w:tc>
        <w:tc>
          <w:tcPr>
            <w:tcW w:w="6088" w:type="dxa"/>
            <w:vAlign w:val="center"/>
          </w:tcPr>
          <w:p w14:paraId="0C2BD42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形式：招标文件澄清（招标答疑纪要）一经在广州交易集团有限公司（广州公共资源交易中心）网站发布，视作已发放给所有投标人。</w:t>
            </w:r>
          </w:p>
        </w:tc>
      </w:tr>
      <w:tr w14:paraId="16ECD9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78" w:type="dxa"/>
            <w:vAlign w:val="center"/>
          </w:tcPr>
          <w:p w14:paraId="6B9DDC75">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2.3.1</w:t>
            </w:r>
          </w:p>
        </w:tc>
        <w:tc>
          <w:tcPr>
            <w:tcW w:w="2067" w:type="dxa"/>
            <w:vAlign w:val="center"/>
          </w:tcPr>
          <w:p w14:paraId="1E106FEA">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招标文件修改发出的形式</w:t>
            </w:r>
          </w:p>
        </w:tc>
        <w:tc>
          <w:tcPr>
            <w:tcW w:w="6088" w:type="dxa"/>
            <w:vAlign w:val="center"/>
          </w:tcPr>
          <w:p w14:paraId="4038A675">
            <w:pPr>
              <w:snapToGrid w:val="0"/>
              <w:spacing w:line="276" w:lineRule="auto"/>
              <w:rPr>
                <w:rFonts w:ascii="宋体" w:hAnsi="宋体" w:eastAsia="宋体"/>
                <w:color w:val="auto"/>
                <w:szCs w:val="21"/>
                <w:highlight w:val="none"/>
              </w:rPr>
            </w:pPr>
            <w:r>
              <w:rPr>
                <w:rFonts w:hint="eastAsia" w:ascii="宋体" w:hAnsi="宋体" w:eastAsia="宋体"/>
                <w:color w:val="auto"/>
                <w:szCs w:val="21"/>
                <w:highlight w:val="none"/>
              </w:rPr>
              <w:t>以补充公告或项目答疑澄清的方式在广州交易集团有限公司（广州公共资源交易中心）网站发布。</w:t>
            </w:r>
          </w:p>
        </w:tc>
      </w:tr>
      <w:tr w14:paraId="50394D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2" w:hRule="atLeast"/>
        </w:trPr>
        <w:tc>
          <w:tcPr>
            <w:tcW w:w="978" w:type="dxa"/>
            <w:vMerge w:val="restart"/>
            <w:vAlign w:val="center"/>
          </w:tcPr>
          <w:p w14:paraId="305FC1D8">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2.3.2</w:t>
            </w:r>
          </w:p>
        </w:tc>
        <w:tc>
          <w:tcPr>
            <w:tcW w:w="2067" w:type="dxa"/>
            <w:vMerge w:val="restart"/>
            <w:vAlign w:val="center"/>
          </w:tcPr>
          <w:p w14:paraId="017C9B41">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投标人确认收到招标文件修改</w:t>
            </w:r>
          </w:p>
        </w:tc>
        <w:tc>
          <w:tcPr>
            <w:tcW w:w="6088" w:type="dxa"/>
            <w:tcBorders>
              <w:bottom w:val="single" w:color="auto" w:sz="4" w:space="0"/>
            </w:tcBorders>
            <w:vAlign w:val="center"/>
          </w:tcPr>
          <w:p w14:paraId="7E649041">
            <w:pPr>
              <w:snapToGrid w:val="0"/>
              <w:spacing w:line="276" w:lineRule="auto"/>
              <w:rPr>
                <w:rFonts w:ascii="宋体" w:hAnsi="宋体" w:eastAsia="宋体"/>
                <w:color w:val="auto"/>
                <w:szCs w:val="21"/>
                <w:highlight w:val="none"/>
              </w:rPr>
            </w:pPr>
            <w:r>
              <w:rPr>
                <w:rFonts w:hint="eastAsia" w:ascii="宋体" w:hAnsi="宋体" w:eastAsia="宋体"/>
                <w:color w:val="auto"/>
                <w:szCs w:val="21"/>
                <w:highlight w:val="none"/>
              </w:rPr>
              <w:t>时间：发出即视作收到。</w:t>
            </w:r>
          </w:p>
        </w:tc>
      </w:tr>
      <w:tr w14:paraId="411DF7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53" w:hRule="atLeast"/>
        </w:trPr>
        <w:tc>
          <w:tcPr>
            <w:tcW w:w="978" w:type="dxa"/>
            <w:vMerge w:val="continue"/>
            <w:vAlign w:val="center"/>
          </w:tcPr>
          <w:p w14:paraId="0E33044C">
            <w:pPr>
              <w:snapToGrid w:val="0"/>
              <w:spacing w:line="276" w:lineRule="auto"/>
              <w:jc w:val="center"/>
              <w:rPr>
                <w:rFonts w:ascii="宋体" w:hAnsi="宋体" w:eastAsia="宋体"/>
                <w:color w:val="auto"/>
                <w:szCs w:val="21"/>
                <w:highlight w:val="none"/>
              </w:rPr>
            </w:pPr>
          </w:p>
        </w:tc>
        <w:tc>
          <w:tcPr>
            <w:tcW w:w="2067" w:type="dxa"/>
            <w:vMerge w:val="continue"/>
            <w:vAlign w:val="center"/>
          </w:tcPr>
          <w:p w14:paraId="38053B9E">
            <w:pPr>
              <w:snapToGrid w:val="0"/>
              <w:spacing w:line="276" w:lineRule="auto"/>
              <w:jc w:val="center"/>
              <w:rPr>
                <w:rFonts w:ascii="宋体" w:hAnsi="宋体" w:eastAsia="宋体"/>
                <w:color w:val="auto"/>
                <w:szCs w:val="21"/>
                <w:highlight w:val="none"/>
              </w:rPr>
            </w:pPr>
          </w:p>
        </w:tc>
        <w:tc>
          <w:tcPr>
            <w:tcW w:w="6088" w:type="dxa"/>
            <w:tcBorders>
              <w:top w:val="single" w:color="auto" w:sz="4" w:space="0"/>
            </w:tcBorders>
            <w:vAlign w:val="center"/>
          </w:tcPr>
          <w:p w14:paraId="457DE650">
            <w:pPr>
              <w:snapToGrid w:val="0"/>
              <w:spacing w:line="276" w:lineRule="auto"/>
              <w:rPr>
                <w:rFonts w:ascii="宋体" w:hAnsi="宋体" w:eastAsia="宋体"/>
                <w:color w:val="auto"/>
                <w:szCs w:val="21"/>
                <w:highlight w:val="none"/>
              </w:rPr>
            </w:pPr>
            <w:r>
              <w:rPr>
                <w:rFonts w:hint="eastAsia" w:ascii="宋体" w:hAnsi="宋体" w:eastAsia="宋体"/>
                <w:color w:val="auto"/>
                <w:szCs w:val="21"/>
                <w:highlight w:val="none"/>
              </w:rPr>
              <w:t>形式：招标文件修改一经在广州交易集团有限公司（广州公共资源交易中心）网站发布，视作已发放给所有投标人，无需确认。潜在投标人应自行关注招标公告公布的网站公告，招标人不再一一通知。投标人因自身贻误行为导致投标失败的，责任自负。</w:t>
            </w:r>
          </w:p>
        </w:tc>
      </w:tr>
      <w:tr w14:paraId="405103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trPr>
        <w:tc>
          <w:tcPr>
            <w:tcW w:w="978" w:type="dxa"/>
            <w:vAlign w:val="center"/>
          </w:tcPr>
          <w:p w14:paraId="04CCE53E">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3.1.1</w:t>
            </w:r>
          </w:p>
        </w:tc>
        <w:tc>
          <w:tcPr>
            <w:tcW w:w="2067" w:type="dxa"/>
            <w:vAlign w:val="center"/>
          </w:tcPr>
          <w:p w14:paraId="427BEE3C">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构成投标文件的其他资料</w:t>
            </w:r>
          </w:p>
        </w:tc>
        <w:tc>
          <w:tcPr>
            <w:tcW w:w="6088" w:type="dxa"/>
            <w:vAlign w:val="center"/>
          </w:tcPr>
          <w:p w14:paraId="2CD06247">
            <w:pPr>
              <w:snapToGrid w:val="0"/>
              <w:spacing w:line="276" w:lineRule="auto"/>
              <w:rPr>
                <w:rFonts w:ascii="宋体" w:hAnsi="宋体" w:eastAsia="宋体"/>
                <w:color w:val="auto"/>
                <w:szCs w:val="21"/>
                <w:highlight w:val="none"/>
              </w:rPr>
            </w:pPr>
            <w:r>
              <w:rPr>
                <w:rFonts w:ascii="宋体" w:hAnsi="宋体" w:eastAsia="宋体"/>
                <w:color w:val="auto"/>
                <w:szCs w:val="21"/>
                <w:highlight w:val="none"/>
              </w:rPr>
              <w:t>满足本项目评审要求的其他资料</w:t>
            </w:r>
            <w:r>
              <w:rPr>
                <w:rFonts w:hint="eastAsia" w:ascii="宋体" w:hAnsi="宋体" w:eastAsia="宋体"/>
                <w:color w:val="auto"/>
                <w:szCs w:val="21"/>
                <w:highlight w:val="none"/>
              </w:rPr>
              <w:t>。</w:t>
            </w:r>
          </w:p>
        </w:tc>
      </w:tr>
      <w:tr w14:paraId="56F53E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978" w:type="dxa"/>
            <w:vAlign w:val="center"/>
          </w:tcPr>
          <w:p w14:paraId="12561806">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3.2.1</w:t>
            </w:r>
          </w:p>
        </w:tc>
        <w:tc>
          <w:tcPr>
            <w:tcW w:w="2067" w:type="dxa"/>
            <w:vAlign w:val="center"/>
          </w:tcPr>
          <w:p w14:paraId="747453A7">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增值税税金的计算方法</w:t>
            </w:r>
          </w:p>
        </w:tc>
        <w:tc>
          <w:tcPr>
            <w:tcW w:w="6088" w:type="dxa"/>
            <w:vAlign w:val="center"/>
          </w:tcPr>
          <w:p w14:paraId="6BF4CD0D">
            <w:pPr>
              <w:snapToGrid w:val="0"/>
              <w:spacing w:line="276" w:lineRule="auto"/>
              <w:rPr>
                <w:rFonts w:ascii="宋体" w:hAnsi="宋体" w:eastAsia="宋体"/>
                <w:color w:val="auto"/>
                <w:szCs w:val="21"/>
                <w:highlight w:val="none"/>
              </w:rPr>
            </w:pPr>
            <w:r>
              <w:rPr>
                <w:rFonts w:hint="eastAsia" w:ascii="宋体" w:hAnsi="宋体" w:eastAsia="宋体"/>
                <w:color w:val="auto"/>
                <w:szCs w:val="21"/>
                <w:highlight w:val="none"/>
              </w:rPr>
              <w:t>按国家税务机关的规定执行。</w:t>
            </w:r>
          </w:p>
        </w:tc>
      </w:tr>
      <w:tr w14:paraId="1855A2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978" w:type="dxa"/>
            <w:vAlign w:val="center"/>
          </w:tcPr>
          <w:p w14:paraId="69A2FC76">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3.2.3</w:t>
            </w:r>
          </w:p>
        </w:tc>
        <w:tc>
          <w:tcPr>
            <w:tcW w:w="2067" w:type="dxa"/>
            <w:vAlign w:val="center"/>
          </w:tcPr>
          <w:p w14:paraId="55F59F90">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报价方式</w:t>
            </w:r>
          </w:p>
        </w:tc>
        <w:tc>
          <w:tcPr>
            <w:tcW w:w="6088" w:type="dxa"/>
            <w:vAlign w:val="center"/>
          </w:tcPr>
          <w:p w14:paraId="1FE0320A">
            <w:pPr>
              <w:snapToGrid w:val="0"/>
              <w:spacing w:line="276" w:lineRule="auto"/>
              <w:rPr>
                <w:rFonts w:ascii="宋体" w:hAnsi="宋体" w:eastAsia="宋体"/>
                <w:color w:val="auto"/>
                <w:szCs w:val="21"/>
                <w:highlight w:val="none"/>
              </w:rPr>
            </w:pPr>
            <w:r>
              <w:rPr>
                <w:rFonts w:hint="eastAsia" w:ascii="宋体" w:hAnsi="宋体" w:eastAsia="宋体"/>
                <w:color w:val="auto"/>
                <w:szCs w:val="21"/>
                <w:highlight w:val="none"/>
              </w:rPr>
              <w:t>自行报价。（以万元为单位，保留小数点后两位小数</w:t>
            </w:r>
            <w:r>
              <w:rPr>
                <w:rFonts w:ascii="宋体" w:hAnsi="宋体" w:eastAsia="宋体"/>
                <w:color w:val="auto"/>
                <w:szCs w:val="21"/>
                <w:highlight w:val="none"/>
              </w:rPr>
              <w:t>,第三位小数四舍五入。）</w:t>
            </w:r>
          </w:p>
        </w:tc>
      </w:tr>
      <w:tr w14:paraId="59426F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978" w:type="dxa"/>
            <w:vAlign w:val="center"/>
          </w:tcPr>
          <w:p w14:paraId="2E87751D">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3.2.4</w:t>
            </w:r>
          </w:p>
        </w:tc>
        <w:tc>
          <w:tcPr>
            <w:tcW w:w="2067" w:type="dxa"/>
            <w:vAlign w:val="center"/>
          </w:tcPr>
          <w:p w14:paraId="67B4C33D">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最高投标限价</w:t>
            </w:r>
          </w:p>
        </w:tc>
        <w:tc>
          <w:tcPr>
            <w:tcW w:w="6088" w:type="dxa"/>
            <w:vAlign w:val="center"/>
          </w:tcPr>
          <w:p w14:paraId="4B1BB960">
            <w:pPr>
              <w:snapToGrid w:val="0"/>
              <w:spacing w:line="276" w:lineRule="auto"/>
              <w:rPr>
                <w:rFonts w:ascii="宋体" w:hAnsi="宋体" w:eastAsia="宋体"/>
                <w:color w:val="auto"/>
                <w:szCs w:val="21"/>
                <w:highlight w:val="none"/>
              </w:rPr>
            </w:pPr>
            <w:r>
              <w:rPr>
                <w:rFonts w:hint="eastAsia" w:ascii="宋体" w:hAnsi="宋体" w:eastAsia="宋体"/>
                <w:color w:val="auto"/>
                <w:szCs w:val="21"/>
                <w:highlight w:val="none"/>
              </w:rPr>
              <w:t>□无</w:t>
            </w:r>
          </w:p>
          <w:p w14:paraId="7EFF63E3">
            <w:pPr>
              <w:tabs>
                <w:tab w:val="left" w:pos="7513"/>
              </w:tabs>
              <w:adjustRightInd w:val="0"/>
              <w:snapToGrid w:val="0"/>
              <w:spacing w:line="276" w:lineRule="auto"/>
              <w:rPr>
                <w:rFonts w:ascii="宋体" w:hAnsi="宋体" w:eastAsia="宋体"/>
                <w:color w:val="auto"/>
                <w:szCs w:val="21"/>
                <w:highlight w:val="none"/>
              </w:rPr>
            </w:pPr>
            <w:r>
              <w:rPr>
                <w:rFonts w:ascii="宋体" w:hAnsi="宋体" w:eastAsia="宋体"/>
                <w:color w:val="auto"/>
                <w:szCs w:val="21"/>
                <w:highlight w:val="none"/>
              </w:rPr>
              <w:sym w:font="Wingdings" w:char="00FE"/>
            </w:r>
            <w:r>
              <w:rPr>
                <w:rFonts w:hint="eastAsia" w:ascii="宋体" w:hAnsi="宋体" w:eastAsia="宋体"/>
                <w:color w:val="auto"/>
                <w:szCs w:val="21"/>
                <w:highlight w:val="none"/>
              </w:rPr>
              <w:t>有，见招标公告。</w:t>
            </w:r>
          </w:p>
        </w:tc>
      </w:tr>
      <w:tr w14:paraId="413857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978" w:type="dxa"/>
            <w:vAlign w:val="center"/>
          </w:tcPr>
          <w:p w14:paraId="13F8DF7B">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3.2.5</w:t>
            </w:r>
          </w:p>
        </w:tc>
        <w:tc>
          <w:tcPr>
            <w:tcW w:w="2067" w:type="dxa"/>
            <w:vAlign w:val="center"/>
          </w:tcPr>
          <w:p w14:paraId="4B1BE763">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投标报价的其他要求</w:t>
            </w:r>
          </w:p>
        </w:tc>
        <w:tc>
          <w:tcPr>
            <w:tcW w:w="6088" w:type="dxa"/>
            <w:vAlign w:val="center"/>
          </w:tcPr>
          <w:p w14:paraId="313DF4B0">
            <w:pPr>
              <w:snapToGrid w:val="0"/>
              <w:spacing w:line="276" w:lineRule="auto"/>
              <w:rPr>
                <w:rFonts w:ascii="宋体" w:hAnsi="宋体" w:eastAsia="宋体"/>
                <w:color w:val="auto"/>
                <w:szCs w:val="21"/>
                <w:highlight w:val="none"/>
              </w:rPr>
            </w:pPr>
            <w:r>
              <w:rPr>
                <w:rFonts w:hint="eastAsia" w:ascii="宋体" w:hAnsi="宋体" w:eastAsia="宋体"/>
                <w:color w:val="auto"/>
                <w:szCs w:val="21"/>
                <w:highlight w:val="none"/>
              </w:rPr>
              <w:t>投标报价超过最高投标限价的投标文件将被否决其投标。</w:t>
            </w:r>
          </w:p>
        </w:tc>
      </w:tr>
      <w:tr w14:paraId="10BFB2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978" w:type="dxa"/>
            <w:vAlign w:val="center"/>
          </w:tcPr>
          <w:p w14:paraId="0DA7E87C">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3.3.1</w:t>
            </w:r>
          </w:p>
        </w:tc>
        <w:tc>
          <w:tcPr>
            <w:tcW w:w="2067" w:type="dxa"/>
            <w:vAlign w:val="center"/>
          </w:tcPr>
          <w:p w14:paraId="5C6DDF18">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088" w:type="dxa"/>
            <w:vAlign w:val="center"/>
          </w:tcPr>
          <w:p w14:paraId="4F0CCD0D">
            <w:pPr>
              <w:snapToGrid w:val="0"/>
              <w:spacing w:line="276" w:lineRule="auto"/>
              <w:rPr>
                <w:rFonts w:ascii="宋体" w:hAnsi="宋体" w:eastAsia="宋体"/>
                <w:color w:val="auto"/>
                <w:szCs w:val="21"/>
                <w:highlight w:val="none"/>
              </w:rPr>
            </w:pPr>
            <w:bookmarkStart w:id="7" w:name="_Toc361508582"/>
            <w:bookmarkStart w:id="8" w:name="_Toc1789"/>
            <w:bookmarkStart w:id="9" w:name="_Toc384308207"/>
            <w:bookmarkStart w:id="10" w:name="_Toc352691470"/>
            <w:bookmarkStart w:id="11" w:name="_Toc300834946"/>
            <w:bookmarkStart w:id="12" w:name="_Toc369531512"/>
            <w:r>
              <w:rPr>
                <w:rFonts w:ascii="宋体" w:hAnsi="宋体" w:eastAsia="宋体"/>
                <w:b/>
                <w:color w:val="auto"/>
                <w:szCs w:val="21"/>
                <w:highlight w:val="none"/>
              </w:rPr>
              <w:t>90日历天</w:t>
            </w:r>
            <w:r>
              <w:rPr>
                <w:rFonts w:hint="eastAsia" w:ascii="宋体" w:hAnsi="宋体" w:eastAsia="宋体"/>
                <w:color w:val="auto"/>
                <w:szCs w:val="21"/>
                <w:highlight w:val="none"/>
              </w:rPr>
              <w:t>（从投标截止之日算起）。</w:t>
            </w:r>
          </w:p>
        </w:tc>
      </w:tr>
      <w:bookmarkEnd w:id="7"/>
      <w:bookmarkEnd w:id="8"/>
      <w:bookmarkEnd w:id="9"/>
      <w:bookmarkEnd w:id="10"/>
      <w:bookmarkEnd w:id="11"/>
      <w:bookmarkEnd w:id="12"/>
      <w:tr w14:paraId="02E390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978" w:type="dxa"/>
            <w:vAlign w:val="center"/>
          </w:tcPr>
          <w:p w14:paraId="01B45200">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3.4.1</w:t>
            </w:r>
          </w:p>
        </w:tc>
        <w:tc>
          <w:tcPr>
            <w:tcW w:w="2067" w:type="dxa"/>
            <w:vAlign w:val="center"/>
          </w:tcPr>
          <w:p w14:paraId="65D788B7">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投标保证金</w:t>
            </w:r>
          </w:p>
        </w:tc>
        <w:tc>
          <w:tcPr>
            <w:tcW w:w="6088" w:type="dxa"/>
            <w:vAlign w:val="center"/>
          </w:tcPr>
          <w:p w14:paraId="40686626">
            <w:pPr>
              <w:snapToGrid w:val="0"/>
              <w:spacing w:line="276" w:lineRule="auto"/>
              <w:rPr>
                <w:rFonts w:ascii="宋体" w:hAnsi="宋体" w:eastAsia="宋体"/>
                <w:color w:val="auto"/>
                <w:szCs w:val="21"/>
                <w:highlight w:val="none"/>
              </w:rPr>
            </w:pPr>
            <w:r>
              <w:rPr>
                <w:rFonts w:hint="eastAsia" w:ascii="宋体" w:hAnsi="宋体" w:eastAsia="宋体"/>
                <w:color w:val="auto"/>
                <w:szCs w:val="21"/>
                <w:highlight w:val="none"/>
              </w:rPr>
              <w:t>是否要求投标人递交投标保证金：</w:t>
            </w:r>
          </w:p>
          <w:p w14:paraId="1038871D">
            <w:pPr>
              <w:snapToGrid w:val="0"/>
              <w:spacing w:line="276" w:lineRule="auto"/>
              <w:rPr>
                <w:rFonts w:ascii="宋体" w:hAnsi="宋体" w:eastAsia="宋体"/>
                <w:color w:val="auto"/>
                <w:szCs w:val="21"/>
                <w:highlight w:val="none"/>
              </w:rPr>
            </w:pPr>
            <w:r>
              <w:rPr>
                <w:rFonts w:ascii="宋体" w:hAnsi="宋体" w:eastAsia="宋体"/>
                <w:color w:val="auto"/>
                <w:szCs w:val="21"/>
                <w:highlight w:val="none"/>
              </w:rPr>
              <w:sym w:font="Wingdings" w:char="00A8"/>
            </w:r>
            <w:r>
              <w:rPr>
                <w:rFonts w:hint="eastAsia" w:ascii="宋体" w:hAnsi="宋体" w:eastAsia="宋体"/>
                <w:color w:val="auto"/>
                <w:szCs w:val="21"/>
                <w:highlight w:val="none"/>
              </w:rPr>
              <w:t>要求</w:t>
            </w:r>
          </w:p>
          <w:p w14:paraId="55C013A7">
            <w:pPr>
              <w:snapToGrid w:val="0"/>
              <w:spacing w:line="276" w:lineRule="auto"/>
              <w:rPr>
                <w:rFonts w:ascii="宋体" w:hAnsi="宋体" w:eastAsia="宋体"/>
                <w:color w:val="auto"/>
                <w:szCs w:val="21"/>
                <w:highlight w:val="none"/>
              </w:rPr>
            </w:pPr>
            <w:r>
              <w:rPr>
                <w:rFonts w:hAnsi="宋体"/>
                <w:color w:val="auto"/>
                <w:sz w:val="21"/>
                <w:szCs w:val="21"/>
                <w:highlight w:val="none"/>
              </w:rPr>
              <w:sym w:font="Wingdings" w:char="00FE"/>
            </w:r>
            <w:r>
              <w:rPr>
                <w:rFonts w:hint="eastAsia" w:ascii="宋体" w:hAnsi="宋体" w:eastAsia="宋体"/>
                <w:color w:val="auto"/>
                <w:szCs w:val="21"/>
                <w:highlight w:val="none"/>
              </w:rPr>
              <w:t>不要求</w:t>
            </w:r>
          </w:p>
        </w:tc>
      </w:tr>
      <w:tr w14:paraId="4CFA8F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978" w:type="dxa"/>
            <w:vAlign w:val="center"/>
          </w:tcPr>
          <w:p w14:paraId="10BC9A32">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3.4.4</w:t>
            </w:r>
          </w:p>
        </w:tc>
        <w:tc>
          <w:tcPr>
            <w:tcW w:w="2067" w:type="dxa"/>
            <w:vAlign w:val="center"/>
          </w:tcPr>
          <w:p w14:paraId="7EB5CC0A">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其他可以不予退还投标保证金的情形</w:t>
            </w:r>
          </w:p>
        </w:tc>
        <w:tc>
          <w:tcPr>
            <w:tcW w:w="6088" w:type="dxa"/>
            <w:vAlign w:val="center"/>
          </w:tcPr>
          <w:p w14:paraId="367422B2">
            <w:pPr>
              <w:snapToGrid w:val="0"/>
              <w:spacing w:line="276" w:lineRule="auto"/>
              <w:rPr>
                <w:rFonts w:ascii="宋体" w:hAnsi="宋体" w:eastAsia="宋体"/>
                <w:color w:val="auto"/>
                <w:szCs w:val="21"/>
                <w:highlight w:val="none"/>
              </w:rPr>
            </w:pPr>
            <w:r>
              <w:rPr>
                <w:rFonts w:ascii="宋体" w:hAnsi="宋体" w:eastAsia="宋体"/>
                <w:color w:val="auto"/>
                <w:szCs w:val="21"/>
                <w:highlight w:val="none"/>
              </w:rPr>
              <w:t>/</w:t>
            </w:r>
          </w:p>
        </w:tc>
      </w:tr>
      <w:tr w14:paraId="22D152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978" w:type="dxa"/>
            <w:vAlign w:val="center"/>
          </w:tcPr>
          <w:p w14:paraId="61AE5D92">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3.5</w:t>
            </w:r>
          </w:p>
        </w:tc>
        <w:tc>
          <w:tcPr>
            <w:tcW w:w="2067" w:type="dxa"/>
            <w:vAlign w:val="center"/>
          </w:tcPr>
          <w:p w14:paraId="527D8CF4">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资格审查资料的特殊要求</w:t>
            </w:r>
          </w:p>
        </w:tc>
        <w:tc>
          <w:tcPr>
            <w:tcW w:w="6088" w:type="dxa"/>
            <w:vAlign w:val="center"/>
          </w:tcPr>
          <w:p w14:paraId="51546032">
            <w:pPr>
              <w:pStyle w:val="9"/>
              <w:topLinePunct/>
              <w:spacing w:line="276" w:lineRule="auto"/>
              <w:rPr>
                <w:rFonts w:hAnsi="宋体"/>
                <w:color w:val="auto"/>
                <w:sz w:val="21"/>
                <w:szCs w:val="21"/>
                <w:highlight w:val="none"/>
              </w:rPr>
            </w:pPr>
            <w:r>
              <w:rPr>
                <w:rFonts w:hAnsi="宋体"/>
                <w:color w:val="auto"/>
                <w:sz w:val="21"/>
                <w:szCs w:val="21"/>
                <w:highlight w:val="none"/>
              </w:rPr>
              <w:sym w:font="Wingdings" w:char="00FE"/>
            </w:r>
            <w:r>
              <w:rPr>
                <w:rFonts w:hint="eastAsia" w:hAnsi="宋体"/>
                <w:color w:val="auto"/>
                <w:sz w:val="21"/>
                <w:szCs w:val="21"/>
                <w:highlight w:val="none"/>
              </w:rPr>
              <w:t>无</w:t>
            </w:r>
          </w:p>
          <w:p w14:paraId="35393D38">
            <w:pPr>
              <w:pStyle w:val="9"/>
              <w:topLinePunct/>
              <w:spacing w:line="276" w:lineRule="auto"/>
              <w:rPr>
                <w:rFonts w:hAnsi="宋体"/>
                <w:color w:val="auto"/>
                <w:sz w:val="21"/>
                <w:szCs w:val="21"/>
                <w:highlight w:val="none"/>
              </w:rPr>
            </w:pPr>
            <w:r>
              <w:rPr>
                <w:rFonts w:hint="eastAsia" w:hAnsi="宋体"/>
                <w:color w:val="auto"/>
                <w:sz w:val="21"/>
                <w:szCs w:val="21"/>
                <w:highlight w:val="none"/>
              </w:rPr>
              <w:t>□有，具体要求：</w:t>
            </w:r>
          </w:p>
        </w:tc>
      </w:tr>
      <w:tr w14:paraId="361054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78" w:type="dxa"/>
            <w:vAlign w:val="center"/>
          </w:tcPr>
          <w:p w14:paraId="56B002EF">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3.6.1</w:t>
            </w:r>
          </w:p>
        </w:tc>
        <w:tc>
          <w:tcPr>
            <w:tcW w:w="2067" w:type="dxa"/>
            <w:vAlign w:val="center"/>
          </w:tcPr>
          <w:p w14:paraId="770CD597">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是否允许递交备选投标方案</w:t>
            </w:r>
          </w:p>
        </w:tc>
        <w:tc>
          <w:tcPr>
            <w:tcW w:w="6088" w:type="dxa"/>
            <w:vAlign w:val="center"/>
          </w:tcPr>
          <w:p w14:paraId="18759F7B">
            <w:pPr>
              <w:pStyle w:val="9"/>
              <w:topLinePunct/>
              <w:spacing w:line="276" w:lineRule="auto"/>
              <w:rPr>
                <w:rFonts w:hAnsi="宋体"/>
                <w:color w:val="auto"/>
                <w:sz w:val="21"/>
                <w:szCs w:val="21"/>
                <w:highlight w:val="none"/>
              </w:rPr>
            </w:pPr>
            <w:r>
              <w:rPr>
                <w:rFonts w:hAnsi="宋体"/>
                <w:color w:val="auto"/>
                <w:sz w:val="21"/>
                <w:szCs w:val="21"/>
                <w:highlight w:val="none"/>
              </w:rPr>
              <w:sym w:font="Wingdings" w:char="00FE"/>
            </w:r>
            <w:r>
              <w:rPr>
                <w:rFonts w:hint="eastAsia" w:hAnsi="宋体"/>
                <w:color w:val="auto"/>
                <w:sz w:val="21"/>
                <w:szCs w:val="21"/>
                <w:highlight w:val="none"/>
              </w:rPr>
              <w:t>不允许</w:t>
            </w:r>
          </w:p>
          <w:p w14:paraId="05502AD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□允许</w:t>
            </w:r>
          </w:p>
        </w:tc>
      </w:tr>
      <w:tr w14:paraId="62C665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78" w:type="dxa"/>
            <w:vAlign w:val="center"/>
          </w:tcPr>
          <w:p w14:paraId="3779FE3C">
            <w:pPr>
              <w:snapToGrid w:val="0"/>
              <w:spacing w:line="276" w:lineRule="auto"/>
              <w:rPr>
                <w:rFonts w:ascii="宋体" w:hAnsi="宋体" w:eastAsia="宋体"/>
                <w:color w:val="auto"/>
                <w:szCs w:val="21"/>
                <w:highlight w:val="none"/>
              </w:rPr>
            </w:pPr>
            <w:r>
              <w:rPr>
                <w:rFonts w:ascii="宋体" w:hAnsi="宋体" w:eastAsia="宋体"/>
                <w:color w:val="auto"/>
                <w:szCs w:val="21"/>
                <w:highlight w:val="none"/>
              </w:rPr>
              <w:t>3.7.3A（2）</w:t>
            </w:r>
          </w:p>
        </w:tc>
        <w:tc>
          <w:tcPr>
            <w:tcW w:w="2067" w:type="dxa"/>
            <w:vAlign w:val="center"/>
          </w:tcPr>
          <w:p w14:paraId="69CFFD8B">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投标文件副本份数及其他要求</w:t>
            </w:r>
          </w:p>
        </w:tc>
        <w:tc>
          <w:tcPr>
            <w:tcW w:w="6088" w:type="dxa"/>
            <w:vAlign w:val="center"/>
          </w:tcPr>
          <w:p w14:paraId="78B1C882">
            <w:pPr>
              <w:snapToGrid w:val="0"/>
              <w:spacing w:line="276" w:lineRule="auto"/>
              <w:rPr>
                <w:rFonts w:ascii="宋体" w:hAnsi="宋体" w:eastAsia="宋体"/>
                <w:color w:val="auto"/>
                <w:szCs w:val="21"/>
                <w:highlight w:val="none"/>
              </w:rPr>
            </w:pPr>
            <w:r>
              <w:rPr>
                <w:rFonts w:hint="eastAsia" w:ascii="宋体" w:hAnsi="宋体" w:eastAsia="宋体"/>
                <w:color w:val="auto"/>
                <w:szCs w:val="21"/>
                <w:highlight w:val="none"/>
              </w:rPr>
              <w:t>本项目不适用。</w:t>
            </w:r>
          </w:p>
        </w:tc>
      </w:tr>
      <w:tr w14:paraId="2D8417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78" w:type="dxa"/>
            <w:vAlign w:val="center"/>
          </w:tcPr>
          <w:p w14:paraId="22554E60">
            <w:pPr>
              <w:snapToGrid w:val="0"/>
              <w:spacing w:line="276" w:lineRule="auto"/>
              <w:rPr>
                <w:rFonts w:ascii="宋体" w:hAnsi="宋体" w:eastAsia="宋体"/>
                <w:color w:val="auto"/>
                <w:szCs w:val="21"/>
                <w:highlight w:val="none"/>
              </w:rPr>
            </w:pPr>
            <w:r>
              <w:rPr>
                <w:rFonts w:ascii="宋体" w:hAnsi="宋体" w:eastAsia="宋体"/>
                <w:color w:val="auto"/>
                <w:szCs w:val="21"/>
                <w:highlight w:val="none"/>
              </w:rPr>
              <w:t>3.7.3A（3）</w:t>
            </w:r>
          </w:p>
        </w:tc>
        <w:tc>
          <w:tcPr>
            <w:tcW w:w="2067" w:type="dxa"/>
            <w:vAlign w:val="center"/>
          </w:tcPr>
          <w:p w14:paraId="5D8FA732">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投标文件是否需分册装订</w:t>
            </w:r>
          </w:p>
        </w:tc>
        <w:tc>
          <w:tcPr>
            <w:tcW w:w="6088" w:type="dxa"/>
            <w:vAlign w:val="center"/>
          </w:tcPr>
          <w:p w14:paraId="74A6044A">
            <w:pPr>
              <w:snapToGrid w:val="0"/>
              <w:spacing w:line="276" w:lineRule="auto"/>
              <w:rPr>
                <w:rFonts w:ascii="宋体" w:hAnsi="宋体" w:eastAsia="宋体"/>
                <w:color w:val="auto"/>
                <w:szCs w:val="21"/>
                <w:highlight w:val="none"/>
              </w:rPr>
            </w:pPr>
            <w:r>
              <w:rPr>
                <w:rFonts w:hint="eastAsia" w:ascii="宋体" w:hAnsi="宋体" w:eastAsia="宋体"/>
                <w:color w:val="auto"/>
                <w:szCs w:val="21"/>
                <w:highlight w:val="none"/>
              </w:rPr>
              <w:t>本项目不适用。</w:t>
            </w:r>
          </w:p>
        </w:tc>
      </w:tr>
      <w:tr w14:paraId="418B06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4" w:hRule="atLeast"/>
        </w:trPr>
        <w:tc>
          <w:tcPr>
            <w:tcW w:w="978" w:type="dxa"/>
            <w:vAlign w:val="center"/>
          </w:tcPr>
          <w:p w14:paraId="6F437EAC">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3.7.3（B）</w:t>
            </w:r>
          </w:p>
        </w:tc>
        <w:tc>
          <w:tcPr>
            <w:tcW w:w="2067" w:type="dxa"/>
            <w:vAlign w:val="center"/>
          </w:tcPr>
          <w:p w14:paraId="46F6AD60">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投标文件所附证书证件要求</w:t>
            </w:r>
          </w:p>
        </w:tc>
        <w:tc>
          <w:tcPr>
            <w:tcW w:w="6088" w:type="dxa"/>
            <w:vAlign w:val="center"/>
          </w:tcPr>
          <w:p w14:paraId="2919BD6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投标文件所附证书证件应为原件清晰扫描件，生成电子投标文件时，由投标人加盖企业电子印章。</w:t>
            </w:r>
          </w:p>
          <w:p w14:paraId="3AD6B810">
            <w:pPr>
              <w:pStyle w:val="9"/>
              <w:topLinePunct/>
              <w:spacing w:line="276" w:lineRule="auto"/>
              <w:rPr>
                <w:rFonts w:hAnsi="宋体"/>
                <w:color w:val="auto"/>
                <w:sz w:val="21"/>
                <w:szCs w:val="21"/>
                <w:highlight w:val="none"/>
              </w:rPr>
            </w:pPr>
            <w:r>
              <w:rPr>
                <w:rFonts w:hint="eastAsia" w:hAnsi="宋体" w:cstheme="minorBidi"/>
                <w:color w:val="auto"/>
                <w:sz w:val="21"/>
                <w:szCs w:val="21"/>
                <w:highlight w:val="none"/>
              </w:rPr>
              <w:t>相关操作详见广州交易集团有限公司（广州公共资源交易中心）最新发布的指引。</w:t>
            </w:r>
          </w:p>
        </w:tc>
      </w:tr>
      <w:tr w14:paraId="657A70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978" w:type="dxa"/>
            <w:vAlign w:val="center"/>
          </w:tcPr>
          <w:p w14:paraId="5F2B41A3">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3.7.3（B）</w:t>
            </w:r>
          </w:p>
        </w:tc>
        <w:tc>
          <w:tcPr>
            <w:tcW w:w="2067" w:type="dxa"/>
            <w:vAlign w:val="center"/>
          </w:tcPr>
          <w:p w14:paraId="73A799C6">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投标文件签字或盖章要求</w:t>
            </w:r>
          </w:p>
        </w:tc>
        <w:tc>
          <w:tcPr>
            <w:tcW w:w="6088" w:type="dxa"/>
            <w:vAlign w:val="center"/>
          </w:tcPr>
          <w:p w14:paraId="5B4FC424">
            <w:pPr>
              <w:snapToGrid w:val="0"/>
              <w:spacing w:line="276" w:lineRule="auto"/>
              <w:jc w:val="left"/>
              <w:rPr>
                <w:rFonts w:hint="eastAsia" w:ascii="宋体" w:hAnsi="宋体" w:eastAsia="宋体"/>
                <w:color w:val="auto"/>
                <w:szCs w:val="21"/>
                <w:highlight w:val="none"/>
                <w:u w:val="single"/>
              </w:rPr>
            </w:pPr>
            <w:r>
              <w:rPr>
                <w:rFonts w:ascii="宋体" w:hAnsi="宋体" w:eastAsia="宋体"/>
                <w:color w:val="auto"/>
                <w:szCs w:val="21"/>
                <w:highlight w:val="none"/>
              </w:rPr>
              <w:t>投标文件全部采用电子文档，投标文件所附证书证件均为原件扫描件，并采用单位数字证书，按招标文件要求在相应位置加盖电子印章。投标文件中需个人签字或盖章的，应手签</w:t>
            </w:r>
            <w:r>
              <w:rPr>
                <w:rFonts w:hint="eastAsia" w:ascii="宋体" w:hAnsi="宋体" w:eastAsia="宋体"/>
                <w:color w:val="auto"/>
                <w:szCs w:val="21"/>
                <w:highlight w:val="none"/>
              </w:rPr>
              <w:t>或盖章</w:t>
            </w:r>
            <w:r>
              <w:rPr>
                <w:rFonts w:ascii="宋体" w:hAnsi="宋体" w:eastAsia="宋体"/>
                <w:color w:val="auto"/>
                <w:szCs w:val="21"/>
                <w:highlight w:val="none"/>
              </w:rPr>
              <w:t>后扫描上传。具体操作详见</w:t>
            </w:r>
            <w:r>
              <w:rPr>
                <w:rFonts w:hint="eastAsia" w:ascii="宋体" w:hAnsi="宋体" w:eastAsia="宋体"/>
                <w:color w:val="auto"/>
                <w:szCs w:val="21"/>
                <w:highlight w:val="none"/>
              </w:rPr>
              <w:t>：</w:t>
            </w:r>
            <w:r>
              <w:rPr>
                <w:rFonts w:hint="eastAsia" w:ascii="宋体" w:hAnsi="宋体" w:eastAsia="宋体"/>
                <w:color w:val="auto"/>
                <w:szCs w:val="21"/>
                <w:highlight w:val="none"/>
                <w:u w:val="single"/>
              </w:rPr>
              <w:t>广州交易集团有限公司（广州公共资源交易中心）网站发布的最新指引。</w:t>
            </w:r>
          </w:p>
          <w:p w14:paraId="15CF9A90">
            <w:pPr>
              <w:snapToGrid w:val="0"/>
              <w:spacing w:line="276" w:lineRule="auto"/>
              <w:jc w:val="left"/>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联合体投标时，除《</w:t>
            </w:r>
            <w:r>
              <w:rPr>
                <w:rFonts w:hint="eastAsia" w:ascii="宋体" w:hAnsi="宋体" w:eastAsia="宋体"/>
                <w:color w:val="auto"/>
                <w:szCs w:val="21"/>
                <w:highlight w:val="none"/>
                <w:u w:val="single"/>
                <w:lang w:eastAsia="zh-CN"/>
              </w:rPr>
              <w:t>联合体协议书</w:t>
            </w:r>
            <w:r>
              <w:rPr>
                <w:rFonts w:hint="eastAsia" w:ascii="宋体" w:hAnsi="宋体" w:eastAsia="宋体"/>
                <w:color w:val="auto"/>
                <w:szCs w:val="21"/>
                <w:highlight w:val="none"/>
                <w:u w:val="single"/>
              </w:rPr>
              <w:t>》必须由联合体各方分别按要求进行签字、盖章[法定代表人证明书及授权委托证明书可由联合体</w:t>
            </w:r>
            <w:r>
              <w:rPr>
                <w:rFonts w:hint="eastAsia" w:ascii="宋体" w:hAnsi="宋体" w:eastAsia="宋体"/>
                <w:color w:val="auto"/>
                <w:szCs w:val="21"/>
                <w:highlight w:val="none"/>
                <w:u w:val="single"/>
                <w:lang w:eastAsia="zh-CN"/>
              </w:rPr>
              <w:t>主办</w:t>
            </w:r>
            <w:r>
              <w:rPr>
                <w:rFonts w:hint="eastAsia" w:ascii="宋体" w:hAnsi="宋体" w:eastAsia="宋体"/>
                <w:color w:val="auto"/>
                <w:szCs w:val="21"/>
                <w:highlight w:val="none"/>
                <w:u w:val="single"/>
              </w:rPr>
              <w:t>方出具（其中“单位”一栏可只填写联合体</w:t>
            </w:r>
            <w:r>
              <w:rPr>
                <w:rFonts w:hint="eastAsia" w:ascii="宋体" w:hAnsi="宋体" w:eastAsia="宋体"/>
                <w:color w:val="auto"/>
                <w:szCs w:val="21"/>
                <w:highlight w:val="none"/>
                <w:u w:val="single"/>
                <w:lang w:eastAsia="zh-CN"/>
              </w:rPr>
              <w:t>主办</w:t>
            </w:r>
            <w:r>
              <w:rPr>
                <w:rFonts w:hint="eastAsia" w:ascii="宋体" w:hAnsi="宋体" w:eastAsia="宋体"/>
                <w:color w:val="auto"/>
                <w:szCs w:val="21"/>
                <w:highlight w:val="none"/>
                <w:u w:val="single"/>
              </w:rPr>
              <w:t>方名称）]外，其他资料若需要签字或盖章的均可由联合体</w:t>
            </w:r>
            <w:r>
              <w:rPr>
                <w:rFonts w:hint="eastAsia" w:ascii="宋体" w:hAnsi="宋体" w:eastAsia="宋体"/>
                <w:color w:val="auto"/>
                <w:szCs w:val="21"/>
                <w:highlight w:val="none"/>
                <w:u w:val="single"/>
                <w:lang w:eastAsia="zh-CN"/>
              </w:rPr>
              <w:t>主办方</w:t>
            </w:r>
            <w:r>
              <w:rPr>
                <w:rFonts w:hint="eastAsia" w:ascii="宋体" w:hAnsi="宋体" w:eastAsia="宋体"/>
                <w:color w:val="auto"/>
                <w:szCs w:val="21"/>
                <w:highlight w:val="none"/>
                <w:u w:val="single"/>
              </w:rPr>
              <w:t>签字或盖章；其他内容及落款中的“投标人”、“投标单位”、“声明企业”应填写联合体各方的单位全称【格式表示为：(主)单位全称（成)单位全称】，由联合体</w:t>
            </w:r>
            <w:r>
              <w:rPr>
                <w:rFonts w:hint="eastAsia" w:ascii="宋体" w:hAnsi="宋体" w:eastAsia="宋体"/>
                <w:color w:val="auto"/>
                <w:szCs w:val="21"/>
                <w:highlight w:val="none"/>
                <w:u w:val="single"/>
                <w:lang w:eastAsia="zh-CN"/>
              </w:rPr>
              <w:t>主办方</w:t>
            </w:r>
            <w:r>
              <w:rPr>
                <w:rFonts w:hint="eastAsia" w:ascii="宋体" w:hAnsi="宋体" w:eastAsia="宋体"/>
                <w:color w:val="auto"/>
                <w:szCs w:val="21"/>
                <w:highlight w:val="none"/>
                <w:u w:val="single"/>
              </w:rPr>
              <w:t>按格式要求签字或盖章即可。</w:t>
            </w:r>
          </w:p>
        </w:tc>
      </w:tr>
      <w:tr w14:paraId="35B9EE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978" w:type="dxa"/>
            <w:vAlign w:val="center"/>
          </w:tcPr>
          <w:p w14:paraId="63C7996C">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4.1.1（A）</w:t>
            </w:r>
          </w:p>
        </w:tc>
        <w:tc>
          <w:tcPr>
            <w:tcW w:w="2067" w:type="dxa"/>
            <w:vAlign w:val="center"/>
          </w:tcPr>
          <w:p w14:paraId="52B1E13C">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投标文件密封包装</w:t>
            </w:r>
          </w:p>
        </w:tc>
        <w:tc>
          <w:tcPr>
            <w:tcW w:w="6088" w:type="dxa"/>
            <w:vAlign w:val="center"/>
          </w:tcPr>
          <w:p w14:paraId="0BEC5FDC">
            <w:pPr>
              <w:snapToGrid w:val="0"/>
              <w:spacing w:line="276" w:lineRule="auto"/>
              <w:rPr>
                <w:rFonts w:ascii="宋体" w:hAnsi="宋体" w:eastAsia="宋体"/>
                <w:color w:val="auto"/>
                <w:szCs w:val="21"/>
                <w:highlight w:val="none"/>
              </w:rPr>
            </w:pPr>
            <w:r>
              <w:rPr>
                <w:rFonts w:hint="eastAsia" w:ascii="宋体" w:hAnsi="宋体" w:eastAsia="宋体"/>
                <w:color w:val="auto"/>
                <w:szCs w:val="21"/>
                <w:highlight w:val="none"/>
              </w:rPr>
              <w:t>本项目不适用。</w:t>
            </w:r>
          </w:p>
        </w:tc>
      </w:tr>
      <w:tr w14:paraId="16C40A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978" w:type="dxa"/>
            <w:vAlign w:val="center"/>
          </w:tcPr>
          <w:p w14:paraId="1205497C">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4.1.1（B）</w:t>
            </w:r>
          </w:p>
        </w:tc>
        <w:tc>
          <w:tcPr>
            <w:tcW w:w="2067" w:type="dxa"/>
            <w:vAlign w:val="center"/>
          </w:tcPr>
          <w:p w14:paraId="4A46D5D3">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投标文件加密要求</w:t>
            </w:r>
          </w:p>
        </w:tc>
        <w:tc>
          <w:tcPr>
            <w:tcW w:w="6088" w:type="dxa"/>
            <w:vAlign w:val="center"/>
          </w:tcPr>
          <w:p w14:paraId="00D03E8D">
            <w:pPr>
              <w:pStyle w:val="9"/>
              <w:topLinePunct/>
              <w:snapToGrid w:val="0"/>
              <w:spacing w:line="276" w:lineRule="auto"/>
              <w:rPr>
                <w:rFonts w:hAnsi="宋体"/>
                <w:color w:val="auto"/>
                <w:sz w:val="21"/>
                <w:szCs w:val="21"/>
                <w:highlight w:val="none"/>
              </w:rPr>
            </w:pPr>
            <w:r>
              <w:rPr>
                <w:rFonts w:hAnsi="宋体"/>
                <w:color w:val="auto"/>
                <w:sz w:val="21"/>
                <w:szCs w:val="21"/>
                <w:highlight w:val="none"/>
              </w:rPr>
              <w:fldChar w:fldCharType="begin"/>
            </w:r>
            <w:r>
              <w:rPr>
                <w:rFonts w:hAnsi="宋体"/>
                <w:color w:val="auto"/>
                <w:sz w:val="21"/>
                <w:szCs w:val="21"/>
                <w:highlight w:val="none"/>
              </w:rPr>
              <w:instrText xml:space="preserve"> = 1 \* GB3 </w:instrText>
            </w:r>
            <w:r>
              <w:rPr>
                <w:rFonts w:hAnsi="宋体"/>
                <w:color w:val="auto"/>
                <w:sz w:val="21"/>
                <w:szCs w:val="21"/>
                <w:highlight w:val="none"/>
              </w:rPr>
              <w:fldChar w:fldCharType="separate"/>
            </w:r>
            <w:r>
              <w:rPr>
                <w:rFonts w:hAnsi="宋体"/>
                <w:color w:val="auto"/>
                <w:sz w:val="21"/>
                <w:szCs w:val="21"/>
                <w:highlight w:val="none"/>
              </w:rPr>
              <w:t>①</w:t>
            </w:r>
            <w:r>
              <w:rPr>
                <w:rFonts w:hAnsi="宋体"/>
                <w:color w:val="auto"/>
                <w:sz w:val="21"/>
                <w:szCs w:val="21"/>
                <w:highlight w:val="none"/>
              </w:rPr>
              <w:fldChar w:fldCharType="end"/>
            </w:r>
            <w:r>
              <w:rPr>
                <w:rFonts w:hAnsi="宋体"/>
                <w:color w:val="auto"/>
                <w:sz w:val="21"/>
                <w:szCs w:val="21"/>
                <w:highlight w:val="none"/>
              </w:rPr>
              <w:t>网上递交的电子投标文件须进行加密。</w:t>
            </w:r>
            <w:r>
              <w:rPr>
                <w:rFonts w:hint="eastAsia" w:hAnsi="宋体"/>
                <w:color w:val="auto"/>
                <w:sz w:val="21"/>
                <w:szCs w:val="21"/>
                <w:highlight w:val="none"/>
              </w:rPr>
              <w:t>具体操作详见：</w:t>
            </w:r>
            <w:r>
              <w:rPr>
                <w:rFonts w:hint="eastAsia" w:hAnsi="宋体"/>
                <w:color w:val="auto"/>
                <w:sz w:val="21"/>
                <w:szCs w:val="21"/>
                <w:highlight w:val="none"/>
                <w:u w:val="single"/>
              </w:rPr>
              <w:t>广州交易集团有限公司（广州公共资源交易中心）网站发布的最新指引。</w:t>
            </w:r>
          </w:p>
          <w:p w14:paraId="3D27E0B8">
            <w:pPr>
              <w:pStyle w:val="9"/>
              <w:topLinePunct/>
              <w:snapToGrid w:val="0"/>
              <w:spacing w:line="276" w:lineRule="auto"/>
              <w:rPr>
                <w:rFonts w:hAnsi="宋体"/>
                <w:color w:val="auto"/>
                <w:sz w:val="21"/>
                <w:szCs w:val="21"/>
                <w:highlight w:val="none"/>
              </w:rPr>
            </w:pPr>
            <w:r>
              <w:rPr>
                <w:rFonts w:hAnsi="宋体"/>
                <w:color w:val="auto"/>
                <w:sz w:val="21"/>
                <w:szCs w:val="21"/>
                <w:highlight w:val="none"/>
              </w:rPr>
              <w:fldChar w:fldCharType="begin"/>
            </w:r>
            <w:r>
              <w:rPr>
                <w:rFonts w:hAnsi="宋体"/>
                <w:color w:val="auto"/>
                <w:sz w:val="21"/>
                <w:szCs w:val="21"/>
                <w:highlight w:val="none"/>
              </w:rPr>
              <w:instrText xml:space="preserve"> = 2 \* GB3 </w:instrText>
            </w:r>
            <w:r>
              <w:rPr>
                <w:rFonts w:hAnsi="宋体"/>
                <w:color w:val="auto"/>
                <w:sz w:val="21"/>
                <w:szCs w:val="21"/>
                <w:highlight w:val="none"/>
              </w:rPr>
              <w:fldChar w:fldCharType="separate"/>
            </w:r>
            <w:r>
              <w:rPr>
                <w:rFonts w:hAnsi="宋体"/>
                <w:color w:val="auto"/>
                <w:sz w:val="21"/>
                <w:szCs w:val="21"/>
                <w:highlight w:val="none"/>
              </w:rPr>
              <w:t>②</w:t>
            </w:r>
            <w:r>
              <w:rPr>
                <w:rFonts w:hAnsi="宋体"/>
                <w:color w:val="auto"/>
                <w:sz w:val="21"/>
                <w:szCs w:val="21"/>
                <w:highlight w:val="none"/>
              </w:rPr>
              <w:fldChar w:fldCharType="end"/>
            </w:r>
            <w:r>
              <w:rPr>
                <w:rFonts w:hAnsi="宋体"/>
                <w:color w:val="auto"/>
                <w:sz w:val="21"/>
                <w:szCs w:val="21"/>
                <w:highlight w:val="none"/>
              </w:rPr>
              <w:t xml:space="preserve"> 未按要求</w:t>
            </w:r>
            <w:r>
              <w:rPr>
                <w:rFonts w:hint="eastAsia" w:hAnsi="宋体"/>
                <w:color w:val="auto"/>
                <w:sz w:val="21"/>
                <w:szCs w:val="21"/>
                <w:highlight w:val="none"/>
              </w:rPr>
              <w:t>加密</w:t>
            </w:r>
            <w:r>
              <w:rPr>
                <w:rFonts w:hAnsi="宋体"/>
                <w:color w:val="auto"/>
                <w:sz w:val="21"/>
                <w:szCs w:val="21"/>
                <w:highlight w:val="none"/>
              </w:rPr>
              <w:t>的投标文件，招标人将予以拒收。</w:t>
            </w:r>
          </w:p>
        </w:tc>
      </w:tr>
      <w:tr w14:paraId="3C0846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13" w:hRule="atLeast"/>
        </w:trPr>
        <w:tc>
          <w:tcPr>
            <w:tcW w:w="978" w:type="dxa"/>
            <w:vAlign w:val="center"/>
          </w:tcPr>
          <w:p w14:paraId="0DC0F1CB">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4.1.2</w:t>
            </w:r>
          </w:p>
        </w:tc>
        <w:tc>
          <w:tcPr>
            <w:tcW w:w="2067" w:type="dxa"/>
            <w:vAlign w:val="center"/>
          </w:tcPr>
          <w:p w14:paraId="5F5D32C4">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封套上应载明的信息</w:t>
            </w:r>
          </w:p>
        </w:tc>
        <w:tc>
          <w:tcPr>
            <w:tcW w:w="6088" w:type="dxa"/>
            <w:vAlign w:val="center"/>
          </w:tcPr>
          <w:p w14:paraId="1CC39583">
            <w:pPr>
              <w:pStyle w:val="9"/>
              <w:topLinePunct/>
              <w:snapToGrid w:val="0"/>
              <w:spacing w:line="276" w:lineRule="auto"/>
              <w:rPr>
                <w:rFonts w:hAnsi="宋体"/>
                <w:color w:val="auto"/>
                <w:sz w:val="21"/>
                <w:szCs w:val="21"/>
                <w:highlight w:val="none"/>
              </w:rPr>
            </w:pPr>
            <w:r>
              <w:rPr>
                <w:rFonts w:hint="eastAsia" w:hAnsi="宋体"/>
                <w:color w:val="auto"/>
                <w:sz w:val="21"/>
                <w:szCs w:val="21"/>
                <w:highlight w:val="none"/>
              </w:rPr>
              <w:t>对递交的备用投标文件电子光盘封装要求。</w:t>
            </w:r>
          </w:p>
          <w:p w14:paraId="0EF73EB3">
            <w:pPr>
              <w:pStyle w:val="9"/>
              <w:topLinePunct/>
              <w:snapToGrid w:val="0"/>
              <w:spacing w:line="276" w:lineRule="auto"/>
              <w:rPr>
                <w:rFonts w:hAnsi="宋体"/>
                <w:color w:val="auto"/>
                <w:sz w:val="21"/>
                <w:szCs w:val="21"/>
                <w:highlight w:val="none"/>
              </w:rPr>
            </w:pPr>
            <w:r>
              <w:rPr>
                <w:rFonts w:hint="eastAsia" w:hAnsi="宋体"/>
                <w:color w:val="auto"/>
                <w:sz w:val="21"/>
                <w:szCs w:val="21"/>
                <w:highlight w:val="none"/>
              </w:rPr>
              <w:t>招标人名称：</w:t>
            </w:r>
          </w:p>
          <w:p w14:paraId="1481539C">
            <w:pPr>
              <w:pStyle w:val="9"/>
              <w:topLinePunct/>
              <w:snapToGrid w:val="0"/>
              <w:spacing w:line="276" w:lineRule="auto"/>
              <w:rPr>
                <w:rFonts w:hAnsi="宋体"/>
                <w:color w:val="auto"/>
                <w:sz w:val="21"/>
                <w:szCs w:val="21"/>
                <w:highlight w:val="none"/>
              </w:rPr>
            </w:pPr>
            <w:r>
              <w:rPr>
                <w:rFonts w:hint="eastAsia" w:hAnsi="宋体"/>
                <w:color w:val="auto"/>
                <w:sz w:val="21"/>
                <w:szCs w:val="21"/>
                <w:highlight w:val="none"/>
              </w:rPr>
              <w:t>招标人地址：</w:t>
            </w:r>
          </w:p>
          <w:p w14:paraId="2AD42464">
            <w:pPr>
              <w:pStyle w:val="9"/>
              <w:topLinePunct/>
              <w:snapToGrid w:val="0"/>
              <w:spacing w:line="276" w:lineRule="auto"/>
              <w:rPr>
                <w:rFonts w:hAnsi="宋体"/>
                <w:color w:val="auto"/>
                <w:sz w:val="21"/>
                <w:szCs w:val="21"/>
                <w:highlight w:val="none"/>
              </w:rPr>
            </w:pPr>
            <w:r>
              <w:rPr>
                <w:rFonts w:hAnsi="宋体"/>
                <w:color w:val="auto"/>
                <w:sz w:val="21"/>
                <w:szCs w:val="21"/>
                <w:highlight w:val="none"/>
                <w:u w:val="single"/>
              </w:rPr>
              <w:t xml:space="preserve">                    （项目名称）</w:t>
            </w:r>
            <w:r>
              <w:rPr>
                <w:rFonts w:hint="eastAsia" w:hAnsi="宋体"/>
                <w:color w:val="auto"/>
                <w:sz w:val="21"/>
                <w:szCs w:val="21"/>
                <w:highlight w:val="none"/>
              </w:rPr>
              <w:t>投标文件</w:t>
            </w:r>
          </w:p>
          <w:p w14:paraId="210E38D3">
            <w:pPr>
              <w:pStyle w:val="9"/>
              <w:topLinePunct/>
              <w:snapToGrid w:val="0"/>
              <w:spacing w:line="276" w:lineRule="auto"/>
              <w:rPr>
                <w:rFonts w:hAnsi="宋体"/>
                <w:color w:val="auto"/>
                <w:sz w:val="21"/>
                <w:szCs w:val="21"/>
                <w:highlight w:val="none"/>
              </w:rPr>
            </w:pPr>
            <w:r>
              <w:rPr>
                <w:rFonts w:hint="eastAsia" w:hAnsi="宋体"/>
                <w:color w:val="auto"/>
                <w:sz w:val="21"/>
                <w:szCs w:val="21"/>
                <w:highlight w:val="none"/>
              </w:rPr>
              <w:t>招标项目编号：</w:t>
            </w:r>
          </w:p>
          <w:p w14:paraId="65D745ED">
            <w:pPr>
              <w:snapToGrid w:val="0"/>
              <w:spacing w:line="276" w:lineRule="auto"/>
              <w:rPr>
                <w:rFonts w:ascii="宋体" w:hAnsi="宋体" w:eastAsia="宋体"/>
                <w:color w:val="auto"/>
                <w:szCs w:val="21"/>
                <w:highlight w:val="none"/>
              </w:rPr>
            </w:pPr>
            <w:r>
              <w:rPr>
                <w:rFonts w:hint="eastAsia" w:ascii="宋体" w:hAnsi="宋体" w:eastAsia="宋体"/>
                <w:color w:val="auto"/>
                <w:szCs w:val="21"/>
                <w:highlight w:val="none"/>
              </w:rPr>
              <w:t>在</w:t>
            </w:r>
            <w:r>
              <w:rPr>
                <w:rFonts w:ascii="宋体" w:hAnsi="宋体" w:eastAsia="宋体"/>
                <w:color w:val="auto"/>
                <w:szCs w:val="21"/>
                <w:highlight w:val="none"/>
                <w:u w:val="single"/>
              </w:rPr>
              <w:t xml:space="preserve">   年   月    日    时    </w:t>
            </w:r>
            <w:r>
              <w:rPr>
                <w:rFonts w:hint="eastAsia" w:ascii="宋体" w:hAnsi="宋体" w:eastAsia="宋体"/>
                <w:color w:val="auto"/>
                <w:szCs w:val="21"/>
                <w:highlight w:val="none"/>
                <w:u w:val="single"/>
              </w:rPr>
              <w:t>分前不得开启（填入开标时间）</w:t>
            </w:r>
          </w:p>
        </w:tc>
      </w:tr>
      <w:tr w14:paraId="10DDA9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978" w:type="dxa"/>
            <w:vAlign w:val="center"/>
          </w:tcPr>
          <w:p w14:paraId="36B16E46">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4.2.1</w:t>
            </w:r>
          </w:p>
        </w:tc>
        <w:tc>
          <w:tcPr>
            <w:tcW w:w="2067" w:type="dxa"/>
            <w:vAlign w:val="center"/>
          </w:tcPr>
          <w:p w14:paraId="7396ED94">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投标截止时间</w:t>
            </w:r>
          </w:p>
        </w:tc>
        <w:tc>
          <w:tcPr>
            <w:tcW w:w="6088" w:type="dxa"/>
            <w:vAlign w:val="center"/>
          </w:tcPr>
          <w:p w14:paraId="0C4C8634">
            <w:pPr>
              <w:snapToGrid w:val="0"/>
              <w:spacing w:line="276" w:lineRule="auto"/>
              <w:rPr>
                <w:rFonts w:ascii="宋体" w:hAnsi="宋体" w:eastAsia="宋体"/>
                <w:color w:val="auto"/>
                <w:szCs w:val="21"/>
                <w:highlight w:val="none"/>
              </w:rPr>
            </w:pPr>
            <w:r>
              <w:rPr>
                <w:rFonts w:ascii="宋体" w:hAnsi="宋体" w:eastAsia="宋体"/>
                <w:color w:val="auto"/>
                <w:szCs w:val="21"/>
                <w:highlight w:val="none"/>
                <w:u w:val="single"/>
              </w:rPr>
              <w:t xml:space="preserve">      年   月    日  时  分</w:t>
            </w:r>
            <w:r>
              <w:rPr>
                <w:rFonts w:hint="eastAsia" w:ascii="宋体" w:hAnsi="宋体" w:eastAsia="宋体"/>
                <w:color w:val="auto"/>
                <w:szCs w:val="21"/>
                <w:highlight w:val="none"/>
              </w:rPr>
              <w:t>（北京时间）</w:t>
            </w:r>
          </w:p>
          <w:p w14:paraId="48448BAE">
            <w:pPr>
              <w:snapToGrid w:val="0"/>
              <w:spacing w:line="276" w:lineRule="auto"/>
              <w:rPr>
                <w:rFonts w:ascii="宋体" w:hAnsi="宋体" w:eastAsia="宋体"/>
                <w:color w:val="auto"/>
                <w:szCs w:val="21"/>
                <w:highlight w:val="none"/>
              </w:rPr>
            </w:pPr>
            <w:r>
              <w:rPr>
                <w:rFonts w:hint="eastAsia" w:ascii="宋体" w:hAnsi="宋体" w:eastAsia="宋体"/>
                <w:color w:val="auto"/>
                <w:szCs w:val="21"/>
                <w:highlight w:val="none"/>
              </w:rPr>
              <w:t>详见广州交易集团有限公司（广州公共资源交易中心）网站信息。</w:t>
            </w:r>
          </w:p>
        </w:tc>
      </w:tr>
      <w:tr w14:paraId="619F8C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6" w:hRule="atLeast"/>
        </w:trPr>
        <w:tc>
          <w:tcPr>
            <w:tcW w:w="978" w:type="dxa"/>
            <w:vAlign w:val="center"/>
          </w:tcPr>
          <w:p w14:paraId="72A7A069">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4.2.2（A）</w:t>
            </w:r>
          </w:p>
        </w:tc>
        <w:tc>
          <w:tcPr>
            <w:tcW w:w="2067" w:type="dxa"/>
            <w:vAlign w:val="center"/>
          </w:tcPr>
          <w:p w14:paraId="28B97D8A">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递交投标文件地点</w:t>
            </w:r>
          </w:p>
        </w:tc>
        <w:tc>
          <w:tcPr>
            <w:tcW w:w="6088" w:type="dxa"/>
            <w:vAlign w:val="center"/>
          </w:tcPr>
          <w:p w14:paraId="2B604033">
            <w:pPr>
              <w:snapToGrid w:val="0"/>
              <w:spacing w:line="276" w:lineRule="auto"/>
              <w:rPr>
                <w:rFonts w:ascii="宋体" w:hAnsi="宋体" w:eastAsia="宋体"/>
                <w:color w:val="auto"/>
                <w:szCs w:val="21"/>
                <w:highlight w:val="none"/>
              </w:rPr>
            </w:pPr>
            <w:r>
              <w:rPr>
                <w:rFonts w:ascii="宋体" w:hAnsi="宋体" w:eastAsia="宋体"/>
                <w:color w:val="auto"/>
                <w:szCs w:val="21"/>
                <w:highlight w:val="none"/>
              </w:rPr>
              <w:t>1.递交方式：</w:t>
            </w:r>
            <w:r>
              <w:rPr>
                <w:rFonts w:hint="eastAsia" w:ascii="宋体" w:hAnsi="宋体" w:eastAsia="宋体"/>
                <w:color w:val="auto"/>
                <w:szCs w:val="21"/>
                <w:highlight w:val="none"/>
                <w:u w:val="single"/>
              </w:rPr>
              <w:t>网上递交投标文件。</w:t>
            </w:r>
          </w:p>
          <w:p w14:paraId="04A6D5B6">
            <w:pPr>
              <w:snapToGrid w:val="0"/>
              <w:spacing w:line="276" w:lineRule="auto"/>
              <w:rPr>
                <w:rFonts w:ascii="宋体" w:hAnsi="宋体" w:eastAsia="宋体"/>
                <w:color w:val="auto"/>
                <w:szCs w:val="21"/>
                <w:highlight w:val="none"/>
              </w:rPr>
            </w:pPr>
            <w:r>
              <w:rPr>
                <w:rFonts w:ascii="宋体" w:hAnsi="宋体" w:eastAsia="宋体"/>
                <w:color w:val="auto"/>
                <w:szCs w:val="21"/>
                <w:highlight w:val="none"/>
              </w:rPr>
              <w:t>2.递交投标文件的起始时间：</w:t>
            </w:r>
          </w:p>
          <w:p w14:paraId="256598DA">
            <w:pPr>
              <w:snapToGrid w:val="0"/>
              <w:spacing w:line="276" w:lineRule="auto"/>
              <w:rPr>
                <w:rFonts w:ascii="宋体" w:hAnsi="宋体" w:eastAsia="宋体"/>
                <w:color w:val="auto"/>
                <w:szCs w:val="21"/>
                <w:highlight w:val="none"/>
              </w:rPr>
            </w:pPr>
            <w:r>
              <w:rPr>
                <w:rFonts w:hint="eastAsia" w:ascii="宋体" w:hAnsi="宋体" w:eastAsia="宋体"/>
                <w:color w:val="auto"/>
                <w:szCs w:val="21"/>
                <w:highlight w:val="none"/>
              </w:rPr>
              <w:t>截止时间：</w:t>
            </w:r>
          </w:p>
          <w:p w14:paraId="789089CA">
            <w:pPr>
              <w:snapToGrid w:val="0"/>
              <w:spacing w:line="276" w:lineRule="auto"/>
              <w:rPr>
                <w:rFonts w:ascii="宋体" w:hAnsi="宋体" w:eastAsia="宋体"/>
                <w:color w:val="auto"/>
                <w:szCs w:val="21"/>
                <w:highlight w:val="none"/>
              </w:rPr>
            </w:pPr>
            <w:r>
              <w:rPr>
                <w:rFonts w:ascii="宋体" w:hAnsi="宋体" w:eastAsia="宋体"/>
                <w:color w:val="auto"/>
                <w:szCs w:val="21"/>
                <w:highlight w:val="none"/>
              </w:rPr>
              <w:t>3.地点：</w:t>
            </w:r>
            <w:r>
              <w:rPr>
                <w:rFonts w:hint="eastAsia" w:ascii="宋体" w:hAnsi="宋体" w:eastAsia="宋体"/>
                <w:color w:val="auto"/>
                <w:szCs w:val="21"/>
                <w:highlight w:val="none"/>
                <w:u w:val="single"/>
              </w:rPr>
              <w:t>广州交易集团有限公司（广州公共资源交易中心）网站。</w:t>
            </w:r>
          </w:p>
          <w:p w14:paraId="3A28B70E">
            <w:pPr>
              <w:snapToGrid w:val="0"/>
              <w:spacing w:line="276" w:lineRule="auto"/>
              <w:rPr>
                <w:rFonts w:ascii="宋体" w:hAnsi="宋体" w:eastAsia="宋体"/>
                <w:color w:val="auto"/>
                <w:szCs w:val="21"/>
                <w:highlight w:val="none"/>
              </w:rPr>
            </w:pPr>
            <w:r>
              <w:rPr>
                <w:rFonts w:ascii="宋体" w:hAnsi="宋体" w:eastAsia="宋体"/>
                <w:color w:val="auto"/>
                <w:szCs w:val="21"/>
                <w:highlight w:val="none"/>
              </w:rPr>
              <w:t xml:space="preserve">4.上述时间及地点是否有改变， </w:t>
            </w:r>
            <w:r>
              <w:rPr>
                <w:rFonts w:hint="eastAsia" w:ascii="宋体" w:hAnsi="宋体" w:eastAsia="宋体"/>
                <w:color w:val="auto"/>
                <w:szCs w:val="21"/>
                <w:highlight w:val="none"/>
              </w:rPr>
              <w:t>请密切留意招标答疑纪要的相关信息。</w:t>
            </w:r>
          </w:p>
        </w:tc>
      </w:tr>
      <w:tr w14:paraId="11CFCC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978" w:type="dxa"/>
            <w:vAlign w:val="center"/>
          </w:tcPr>
          <w:p w14:paraId="19C75E4B">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4.2.3</w:t>
            </w:r>
          </w:p>
        </w:tc>
        <w:tc>
          <w:tcPr>
            <w:tcW w:w="2067" w:type="dxa"/>
            <w:vAlign w:val="center"/>
          </w:tcPr>
          <w:p w14:paraId="4512E61C">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投标文件是否退还</w:t>
            </w:r>
          </w:p>
        </w:tc>
        <w:tc>
          <w:tcPr>
            <w:tcW w:w="6088" w:type="dxa"/>
            <w:vAlign w:val="center"/>
          </w:tcPr>
          <w:p w14:paraId="15AD38BB">
            <w:pPr>
              <w:pStyle w:val="9"/>
              <w:topLinePunct/>
              <w:spacing w:line="276" w:lineRule="auto"/>
              <w:rPr>
                <w:rFonts w:hAnsi="宋体"/>
                <w:color w:val="auto"/>
                <w:sz w:val="21"/>
                <w:szCs w:val="21"/>
                <w:highlight w:val="none"/>
              </w:rPr>
            </w:pPr>
            <w:r>
              <w:rPr>
                <w:rFonts w:hAnsi="宋体"/>
                <w:color w:val="auto"/>
                <w:sz w:val="21"/>
                <w:szCs w:val="21"/>
                <w:highlight w:val="none"/>
              </w:rPr>
              <w:sym w:font="Wingdings" w:char="00FE"/>
            </w:r>
            <w:r>
              <w:rPr>
                <w:rFonts w:hint="eastAsia" w:hAnsi="宋体"/>
                <w:color w:val="auto"/>
                <w:sz w:val="21"/>
                <w:szCs w:val="21"/>
                <w:highlight w:val="none"/>
              </w:rPr>
              <w:t>否</w:t>
            </w:r>
          </w:p>
          <w:p w14:paraId="79E9ADB6">
            <w:pPr>
              <w:pStyle w:val="9"/>
              <w:topLinePunct/>
              <w:spacing w:line="276" w:lineRule="auto"/>
              <w:rPr>
                <w:rFonts w:hAnsi="宋体"/>
                <w:color w:val="auto"/>
                <w:sz w:val="21"/>
                <w:szCs w:val="21"/>
                <w:highlight w:val="none"/>
              </w:rPr>
            </w:pPr>
            <w:r>
              <w:rPr>
                <w:rFonts w:hint="eastAsia" w:hAnsi="宋体"/>
                <w:color w:val="auto"/>
                <w:sz w:val="21"/>
                <w:szCs w:val="21"/>
                <w:highlight w:val="none"/>
              </w:rPr>
              <w:t>□是，退还时间：</w:t>
            </w:r>
          </w:p>
        </w:tc>
      </w:tr>
      <w:tr w14:paraId="706B81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978" w:type="dxa"/>
            <w:vAlign w:val="center"/>
          </w:tcPr>
          <w:p w14:paraId="6396C17E">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4.2.4</w:t>
            </w:r>
            <w:r>
              <w:rPr>
                <w:rFonts w:hint="eastAsia" w:ascii="宋体" w:hAnsi="宋体" w:eastAsia="宋体"/>
                <w:color w:val="auto"/>
                <w:szCs w:val="21"/>
                <w:highlight w:val="none"/>
              </w:rPr>
              <w:t>（</w:t>
            </w:r>
            <w:r>
              <w:rPr>
                <w:rFonts w:ascii="宋体" w:hAnsi="宋体" w:eastAsia="宋体"/>
                <w:color w:val="auto"/>
                <w:szCs w:val="21"/>
                <w:highlight w:val="none"/>
              </w:rPr>
              <w:t>A</w:t>
            </w:r>
            <w:r>
              <w:rPr>
                <w:rFonts w:hint="eastAsia" w:ascii="宋体" w:hAnsi="宋体" w:eastAsia="宋体"/>
                <w:color w:val="auto"/>
                <w:szCs w:val="21"/>
                <w:highlight w:val="none"/>
              </w:rPr>
              <w:t>）</w:t>
            </w:r>
          </w:p>
        </w:tc>
        <w:tc>
          <w:tcPr>
            <w:tcW w:w="2067" w:type="dxa"/>
            <w:vAlign w:val="center"/>
          </w:tcPr>
          <w:p w14:paraId="39A7679B">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招标人收到投标文件后，向投标人出具签收凭证。</w:t>
            </w:r>
          </w:p>
        </w:tc>
        <w:tc>
          <w:tcPr>
            <w:tcW w:w="6088" w:type="dxa"/>
            <w:vAlign w:val="center"/>
          </w:tcPr>
          <w:p w14:paraId="376BD0F5">
            <w:pPr>
              <w:snapToGrid w:val="0"/>
              <w:spacing w:line="276" w:lineRule="auto"/>
              <w:rPr>
                <w:rFonts w:ascii="宋体" w:hAnsi="宋体" w:eastAsia="宋体"/>
                <w:color w:val="auto"/>
                <w:szCs w:val="21"/>
                <w:highlight w:val="none"/>
              </w:rPr>
            </w:pPr>
            <w:r>
              <w:rPr>
                <w:rFonts w:hint="eastAsia" w:ascii="宋体" w:hAnsi="宋体" w:eastAsia="宋体"/>
                <w:color w:val="auto"/>
                <w:szCs w:val="21"/>
                <w:highlight w:val="none"/>
              </w:rPr>
              <w:t>本项目不适用。</w:t>
            </w:r>
          </w:p>
        </w:tc>
      </w:tr>
      <w:tr w14:paraId="293834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978" w:type="dxa"/>
            <w:vAlign w:val="center"/>
          </w:tcPr>
          <w:p w14:paraId="4BADC44B">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4.2.5</w:t>
            </w:r>
            <w:r>
              <w:rPr>
                <w:rFonts w:hint="eastAsia" w:ascii="宋体" w:hAnsi="宋体" w:eastAsia="宋体"/>
                <w:color w:val="auto"/>
                <w:szCs w:val="21"/>
                <w:highlight w:val="none"/>
              </w:rPr>
              <w:t>（</w:t>
            </w:r>
            <w:r>
              <w:rPr>
                <w:rFonts w:ascii="宋体" w:hAnsi="宋体" w:eastAsia="宋体"/>
                <w:color w:val="auto"/>
                <w:szCs w:val="21"/>
                <w:highlight w:val="none"/>
              </w:rPr>
              <w:t>A</w:t>
            </w:r>
            <w:r>
              <w:rPr>
                <w:rFonts w:hint="eastAsia" w:ascii="宋体" w:hAnsi="宋体" w:eastAsia="宋体"/>
                <w:color w:val="auto"/>
                <w:szCs w:val="21"/>
                <w:highlight w:val="none"/>
              </w:rPr>
              <w:t>）</w:t>
            </w:r>
          </w:p>
        </w:tc>
        <w:tc>
          <w:tcPr>
            <w:tcW w:w="2067" w:type="dxa"/>
            <w:vAlign w:val="center"/>
          </w:tcPr>
          <w:p w14:paraId="769DF7D4">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逾期送达的投标文件，招标人将予以拒收。</w:t>
            </w:r>
          </w:p>
        </w:tc>
        <w:tc>
          <w:tcPr>
            <w:tcW w:w="6088" w:type="dxa"/>
            <w:vAlign w:val="center"/>
          </w:tcPr>
          <w:p w14:paraId="744D9B91">
            <w:pPr>
              <w:snapToGrid w:val="0"/>
              <w:spacing w:line="276" w:lineRule="auto"/>
              <w:rPr>
                <w:rFonts w:ascii="宋体" w:hAnsi="宋体" w:eastAsia="宋体"/>
                <w:color w:val="auto"/>
                <w:szCs w:val="21"/>
                <w:highlight w:val="none"/>
              </w:rPr>
            </w:pPr>
            <w:r>
              <w:rPr>
                <w:rFonts w:hint="eastAsia" w:ascii="宋体" w:hAnsi="宋体" w:eastAsia="宋体"/>
                <w:color w:val="auto"/>
                <w:szCs w:val="21"/>
                <w:highlight w:val="none"/>
              </w:rPr>
              <w:t>本项目不适用。</w:t>
            </w:r>
          </w:p>
        </w:tc>
      </w:tr>
      <w:tr w14:paraId="7D49DD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3" w:hRule="atLeast"/>
        </w:trPr>
        <w:tc>
          <w:tcPr>
            <w:tcW w:w="978" w:type="dxa"/>
            <w:vAlign w:val="center"/>
          </w:tcPr>
          <w:p w14:paraId="20B40CCC">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4.3</w:t>
            </w:r>
          </w:p>
        </w:tc>
        <w:tc>
          <w:tcPr>
            <w:tcW w:w="2067" w:type="dxa"/>
            <w:vAlign w:val="center"/>
          </w:tcPr>
          <w:p w14:paraId="39338A65">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投标文件的修改与撤回</w:t>
            </w:r>
          </w:p>
        </w:tc>
        <w:tc>
          <w:tcPr>
            <w:tcW w:w="6088" w:type="dxa"/>
            <w:vAlign w:val="center"/>
          </w:tcPr>
          <w:p w14:paraId="6E6F3AC3">
            <w:pPr>
              <w:pStyle w:val="9"/>
              <w:topLinePunct/>
              <w:snapToGrid w:val="0"/>
              <w:spacing w:line="276" w:lineRule="auto"/>
              <w:ind w:right="174" w:rightChars="83"/>
              <w:rPr>
                <w:rFonts w:ascii="宋体" w:hAnsi="宋体" w:eastAsia="宋体"/>
                <w:color w:val="auto"/>
                <w:szCs w:val="21"/>
                <w:highlight w:val="none"/>
              </w:rPr>
            </w:pPr>
            <w:r>
              <w:rPr>
                <w:rFonts w:hAnsi="宋体"/>
                <w:color w:val="auto"/>
                <w:sz w:val="21"/>
                <w:szCs w:val="21"/>
                <w:highlight w:val="none"/>
              </w:rPr>
              <w:t>1.</w:t>
            </w:r>
            <w:r>
              <w:rPr>
                <w:rFonts w:hint="eastAsia" w:hAnsi="宋体"/>
                <w:color w:val="auto"/>
                <w:sz w:val="21"/>
                <w:szCs w:val="21"/>
                <w:highlight w:val="none"/>
              </w:rPr>
              <w:t>投标人修改或撤回已递交的投标文件，需在交易平台发出撤回通知，并按要求加盖电子印章。电子招标投标交易平台收到通知后，即时向投标人发布确认回执通知。</w:t>
            </w:r>
          </w:p>
        </w:tc>
      </w:tr>
      <w:tr w14:paraId="1E3857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978" w:type="dxa"/>
            <w:vAlign w:val="center"/>
          </w:tcPr>
          <w:p w14:paraId="7F5E7647">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5.1</w:t>
            </w:r>
            <w:r>
              <w:rPr>
                <w:rFonts w:hint="eastAsia" w:ascii="宋体" w:hAnsi="宋体" w:eastAsia="宋体"/>
                <w:color w:val="auto"/>
                <w:szCs w:val="21"/>
                <w:highlight w:val="none"/>
              </w:rPr>
              <w:t>（</w:t>
            </w:r>
            <w:r>
              <w:rPr>
                <w:rFonts w:ascii="宋体" w:hAnsi="宋体" w:eastAsia="宋体"/>
                <w:color w:val="auto"/>
                <w:szCs w:val="21"/>
                <w:highlight w:val="none"/>
              </w:rPr>
              <w:t>A</w:t>
            </w:r>
            <w:r>
              <w:rPr>
                <w:rFonts w:hint="eastAsia" w:ascii="宋体" w:hAnsi="宋体" w:eastAsia="宋体"/>
                <w:color w:val="auto"/>
                <w:szCs w:val="21"/>
                <w:highlight w:val="none"/>
              </w:rPr>
              <w:t>）</w:t>
            </w:r>
          </w:p>
        </w:tc>
        <w:tc>
          <w:tcPr>
            <w:tcW w:w="2067" w:type="dxa"/>
            <w:vAlign w:val="center"/>
          </w:tcPr>
          <w:p w14:paraId="234BB466">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开标时间和地点</w:t>
            </w:r>
          </w:p>
        </w:tc>
        <w:tc>
          <w:tcPr>
            <w:tcW w:w="6088" w:type="dxa"/>
            <w:vAlign w:val="center"/>
          </w:tcPr>
          <w:p w14:paraId="7D7578CA">
            <w:pPr>
              <w:snapToGrid w:val="0"/>
              <w:spacing w:line="276" w:lineRule="auto"/>
              <w:rPr>
                <w:rFonts w:ascii="宋体" w:hAnsi="宋体" w:eastAsia="宋体"/>
                <w:color w:val="auto"/>
                <w:szCs w:val="21"/>
                <w:highlight w:val="none"/>
              </w:rPr>
            </w:pPr>
            <w:r>
              <w:rPr>
                <w:rFonts w:hint="eastAsia" w:ascii="宋体" w:hAnsi="宋体" w:eastAsia="宋体"/>
                <w:color w:val="auto"/>
                <w:szCs w:val="21"/>
                <w:highlight w:val="none"/>
              </w:rPr>
              <w:t>详见本项目招标公告。</w:t>
            </w:r>
          </w:p>
        </w:tc>
      </w:tr>
      <w:tr w14:paraId="15D8B7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3" w:hRule="atLeast"/>
        </w:trPr>
        <w:tc>
          <w:tcPr>
            <w:tcW w:w="978" w:type="dxa"/>
            <w:vAlign w:val="center"/>
          </w:tcPr>
          <w:p w14:paraId="4F790EA7">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5.1（B）</w:t>
            </w:r>
          </w:p>
        </w:tc>
        <w:tc>
          <w:tcPr>
            <w:tcW w:w="2067" w:type="dxa"/>
            <w:vAlign w:val="center"/>
          </w:tcPr>
          <w:p w14:paraId="049185F1">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开标时间和地点</w:t>
            </w:r>
          </w:p>
        </w:tc>
        <w:tc>
          <w:tcPr>
            <w:tcW w:w="6088" w:type="dxa"/>
            <w:vAlign w:val="center"/>
          </w:tcPr>
          <w:p w14:paraId="585C602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详见本项目招标公告。</w:t>
            </w:r>
          </w:p>
          <w:p w14:paraId="5906B6A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开标时，投标人代表有权出席开标会，也可以自主决定不参加开标会，若投标人代表对开标过程提出异议，该投标人代表须同时出示授权委托书及本人身份证原件。</w:t>
            </w:r>
            <w:r>
              <w:rPr>
                <w:rFonts w:hint="eastAsia" w:ascii="宋体" w:hAnsi="宋体" w:eastAsia="宋体"/>
                <w:b/>
                <w:color w:val="auto"/>
                <w:szCs w:val="21"/>
                <w:highlight w:val="none"/>
              </w:rPr>
              <w:t>投标人也可选择参加在线开标，具体按照交易平台相关指南进行操作。详见：</w:t>
            </w:r>
            <w:r>
              <w:rPr>
                <w:rFonts w:hint="eastAsia" w:ascii="宋体" w:hAnsi="宋体" w:eastAsia="宋体"/>
                <w:b/>
                <w:color w:val="auto"/>
                <w:szCs w:val="21"/>
                <w:highlight w:val="none"/>
                <w:u w:val="single"/>
              </w:rPr>
              <w:t>广州交易集团有限公司（广州公共资源交易中心）网站发布的最新指引。</w:t>
            </w:r>
          </w:p>
        </w:tc>
      </w:tr>
      <w:tr w14:paraId="1A0C63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978" w:type="dxa"/>
            <w:vAlign w:val="center"/>
          </w:tcPr>
          <w:p w14:paraId="384DDB58">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5.2（B）</w:t>
            </w:r>
          </w:p>
        </w:tc>
        <w:tc>
          <w:tcPr>
            <w:tcW w:w="2067" w:type="dxa"/>
            <w:vAlign w:val="center"/>
          </w:tcPr>
          <w:p w14:paraId="661ABE79">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开标程序</w:t>
            </w:r>
          </w:p>
        </w:tc>
        <w:tc>
          <w:tcPr>
            <w:tcW w:w="6088" w:type="dxa"/>
            <w:vAlign w:val="center"/>
          </w:tcPr>
          <w:p w14:paraId="5FFF300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5.2.1主持人按下列程序进行开标：</w:t>
            </w:r>
          </w:p>
          <w:p w14:paraId="6AD3DFA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（1）宣布开标纪律；</w:t>
            </w:r>
          </w:p>
          <w:p w14:paraId="3A9F2C8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（2）公布在投标截止时间前递交投标文件的投标人名称；</w:t>
            </w:r>
          </w:p>
          <w:p w14:paraId="65B4F31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（3）宣布开标人、唱标人、记录人、监标人等有关人员姓名；</w:t>
            </w:r>
          </w:p>
          <w:p w14:paraId="5EA48AF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（4）投标人通过电子招标投标交易平台对已递交的电子投标文件进行解密，公布招标项目名称、投标人名称、投标报价、服务期限及其他内容，并记录在案；</w:t>
            </w:r>
          </w:p>
          <w:p w14:paraId="1F8A864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（5）投标人代表、招标人代表、监标人、记录人等有关人员在开标记录上签字确认；若有关人员不签字的，不影响开标程序；</w:t>
            </w:r>
          </w:p>
          <w:p w14:paraId="1CB9F98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（6）开标结束。</w:t>
            </w:r>
          </w:p>
          <w:p w14:paraId="1E98F68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5.2.2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1FB2D786">
            <w:pPr>
              <w:snapToGrid w:val="0"/>
              <w:spacing w:line="276" w:lineRule="auto"/>
              <w:ind w:left="149" w:leftChars="71" w:right="149" w:rightChars="71"/>
              <w:rPr>
                <w:rFonts w:ascii="宋体" w:hAnsi="宋体" w:eastAsia="宋体"/>
                <w:color w:val="auto"/>
                <w:szCs w:val="21"/>
                <w:highlight w:val="none"/>
              </w:rPr>
            </w:pPr>
            <w:r>
              <w:rPr>
                <w:rFonts w:hint="eastAsia" w:ascii="宋体" w:hAnsi="宋体" w:eastAsia="宋体"/>
                <w:color w:val="auto"/>
                <w:szCs w:val="21"/>
                <w:highlight w:val="none"/>
              </w:rPr>
              <w:t>5.2.3开标时，两个（含两个）以上的投标人加密打包投标文件电脑机器特征码一致的，不参与下一程序，并由评标委员会否决其投标。</w:t>
            </w:r>
          </w:p>
        </w:tc>
      </w:tr>
      <w:tr w14:paraId="535AB3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978" w:type="dxa"/>
            <w:vAlign w:val="center"/>
          </w:tcPr>
          <w:p w14:paraId="12F8909A">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6.1.1</w:t>
            </w:r>
          </w:p>
        </w:tc>
        <w:tc>
          <w:tcPr>
            <w:tcW w:w="2067" w:type="dxa"/>
            <w:vAlign w:val="center"/>
          </w:tcPr>
          <w:p w14:paraId="12344187">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评标委员会的组建</w:t>
            </w:r>
          </w:p>
        </w:tc>
        <w:tc>
          <w:tcPr>
            <w:tcW w:w="6088" w:type="dxa"/>
            <w:vAlign w:val="center"/>
          </w:tcPr>
          <w:p w14:paraId="33FD39C1">
            <w:pPr>
              <w:snapToGrid w:val="0"/>
              <w:spacing w:line="276" w:lineRule="auto"/>
              <w:rPr>
                <w:rFonts w:ascii="宋体" w:hAnsi="宋体" w:eastAsia="宋体"/>
                <w:color w:val="auto"/>
                <w:szCs w:val="21"/>
                <w:highlight w:val="none"/>
              </w:rPr>
            </w:pPr>
            <w:r>
              <w:rPr>
                <w:rFonts w:hint="eastAsia" w:ascii="宋体" w:hAnsi="宋体" w:eastAsia="宋体"/>
                <w:color w:val="auto"/>
                <w:szCs w:val="21"/>
                <w:highlight w:val="none"/>
              </w:rPr>
              <w:t>评标委员会由招标人</w:t>
            </w:r>
            <w:r>
              <w:rPr>
                <w:rFonts w:hint="eastAsia" w:ascii="宋体" w:hAnsi="宋体" w:eastAsia="宋体"/>
                <w:color w:val="auto"/>
                <w:szCs w:val="21"/>
                <w:highlight w:val="none"/>
                <w:lang w:val="en-US" w:eastAsia="zh-CN"/>
              </w:rPr>
              <w:t>依法</w:t>
            </w:r>
            <w:r>
              <w:rPr>
                <w:rFonts w:hint="eastAsia" w:ascii="宋体" w:hAnsi="宋体" w:eastAsia="宋体"/>
                <w:color w:val="auto"/>
                <w:szCs w:val="21"/>
                <w:highlight w:val="none"/>
              </w:rPr>
              <w:t>组建。</w:t>
            </w:r>
          </w:p>
        </w:tc>
      </w:tr>
      <w:tr w14:paraId="0FA611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8" w:hRule="atLeast"/>
        </w:trPr>
        <w:tc>
          <w:tcPr>
            <w:tcW w:w="978" w:type="dxa"/>
            <w:vAlign w:val="center"/>
          </w:tcPr>
          <w:p w14:paraId="7B619582">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6.3.2</w:t>
            </w:r>
          </w:p>
        </w:tc>
        <w:tc>
          <w:tcPr>
            <w:tcW w:w="2067" w:type="dxa"/>
            <w:vAlign w:val="center"/>
          </w:tcPr>
          <w:p w14:paraId="09F0D9E6">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评标委员会推荐中标候选人的人数</w:t>
            </w:r>
          </w:p>
        </w:tc>
        <w:tc>
          <w:tcPr>
            <w:tcW w:w="6088" w:type="dxa"/>
            <w:vAlign w:val="center"/>
          </w:tcPr>
          <w:p w14:paraId="23BB7602">
            <w:pPr>
              <w:snapToGrid w:val="0"/>
              <w:spacing w:line="276" w:lineRule="auto"/>
              <w:rPr>
                <w:rFonts w:ascii="宋体" w:hAnsi="宋体" w:eastAsia="宋体"/>
                <w:color w:val="auto"/>
                <w:szCs w:val="21"/>
                <w:highlight w:val="none"/>
              </w:rPr>
            </w:pPr>
            <w:r>
              <w:rPr>
                <w:rFonts w:hint="eastAsia" w:ascii="宋体" w:hAnsi="宋体" w:eastAsia="宋体"/>
                <w:color w:val="auto"/>
                <w:szCs w:val="21"/>
                <w:highlight w:val="none"/>
              </w:rPr>
              <w:t>推荐的中标候选人数：</w:t>
            </w:r>
            <w:r>
              <w:rPr>
                <w:rFonts w:ascii="宋体" w:hAnsi="宋体" w:eastAsia="宋体"/>
                <w:color w:val="auto"/>
                <w:szCs w:val="21"/>
                <w:highlight w:val="none"/>
                <w:u w:val="single"/>
              </w:rPr>
              <w:t xml:space="preserve"> 3 </w:t>
            </w:r>
            <w:r>
              <w:rPr>
                <w:rFonts w:hint="eastAsia" w:ascii="宋体" w:hAnsi="宋体" w:eastAsia="宋体"/>
                <w:color w:val="auto"/>
                <w:szCs w:val="21"/>
                <w:highlight w:val="none"/>
              </w:rPr>
              <w:t>人。</w:t>
            </w:r>
          </w:p>
        </w:tc>
      </w:tr>
      <w:tr w14:paraId="260A3B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7" w:hRule="atLeast"/>
        </w:trPr>
        <w:tc>
          <w:tcPr>
            <w:tcW w:w="978" w:type="dxa"/>
            <w:vAlign w:val="center"/>
          </w:tcPr>
          <w:p w14:paraId="77C891A1">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7.1</w:t>
            </w:r>
          </w:p>
        </w:tc>
        <w:tc>
          <w:tcPr>
            <w:tcW w:w="2067" w:type="dxa"/>
            <w:vAlign w:val="center"/>
          </w:tcPr>
          <w:p w14:paraId="78264640">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中标候选人公示媒介及期限</w:t>
            </w:r>
          </w:p>
        </w:tc>
        <w:tc>
          <w:tcPr>
            <w:tcW w:w="6088" w:type="dxa"/>
            <w:vAlign w:val="center"/>
          </w:tcPr>
          <w:p w14:paraId="6F6DAFD8">
            <w:pPr>
              <w:widowControl/>
              <w:snapToGrid w:val="0"/>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公示媒介：</w:t>
            </w:r>
            <w:r>
              <w:rPr>
                <w:rFonts w:hint="eastAsia" w:ascii="宋体" w:hAnsi="宋体" w:eastAsia="宋体"/>
                <w:color w:val="auto"/>
                <w:szCs w:val="21"/>
                <w:highlight w:val="none"/>
                <w:u w:val="single"/>
              </w:rPr>
              <w:t>广州交易集团有限公司（广州公共资源交易中心）网站</w:t>
            </w:r>
            <w:r>
              <w:rPr>
                <w:rFonts w:ascii="宋体" w:hAnsi="宋体" w:eastAsia="宋体"/>
                <w:color w:val="auto"/>
                <w:szCs w:val="21"/>
                <w:highlight w:val="none"/>
                <w:u w:val="single"/>
              </w:rPr>
              <w:t>、广州国企阳光采购信息发布平台</w:t>
            </w:r>
            <w:r>
              <w:rPr>
                <w:rFonts w:hint="eastAsia" w:ascii="宋体" w:hAnsi="宋体" w:eastAsia="宋体"/>
                <w:color w:val="auto"/>
                <w:szCs w:val="21"/>
                <w:highlight w:val="none"/>
                <w:u w:val="single"/>
              </w:rPr>
              <w:t>、</w:t>
            </w:r>
            <w:r>
              <w:rPr>
                <w:rFonts w:ascii="宋体" w:hAnsi="宋体" w:eastAsia="宋体"/>
                <w:color w:val="auto"/>
                <w:szCs w:val="21"/>
                <w:highlight w:val="none"/>
                <w:u w:val="single"/>
              </w:rPr>
              <w:t>中国招标投标公共服务平台</w:t>
            </w:r>
            <w:r>
              <w:rPr>
                <w:rFonts w:hint="eastAsia" w:ascii="宋体" w:hAnsi="宋体" w:eastAsia="宋体"/>
                <w:color w:val="auto"/>
                <w:szCs w:val="21"/>
                <w:highlight w:val="none"/>
                <w:u w:val="single"/>
              </w:rPr>
              <w:t>。</w:t>
            </w:r>
          </w:p>
          <w:p w14:paraId="633048C5">
            <w:pPr>
              <w:snapToGrid w:val="0"/>
              <w:spacing w:line="276" w:lineRule="auto"/>
              <w:rPr>
                <w:rFonts w:ascii="宋体" w:hAnsi="宋体" w:eastAsia="宋体"/>
                <w:color w:val="auto"/>
                <w:szCs w:val="21"/>
                <w:highlight w:val="none"/>
              </w:rPr>
            </w:pPr>
            <w:r>
              <w:rPr>
                <w:rFonts w:hint="eastAsia" w:ascii="宋体" w:hAnsi="宋体" w:eastAsia="宋体"/>
                <w:color w:val="auto"/>
                <w:szCs w:val="21"/>
                <w:highlight w:val="none"/>
              </w:rPr>
              <w:t>公示期限：</w:t>
            </w:r>
            <w:r>
              <w:rPr>
                <w:rFonts w:ascii="宋体" w:hAnsi="宋体" w:eastAsia="宋体"/>
                <w:color w:val="auto"/>
                <w:szCs w:val="21"/>
                <w:highlight w:val="none"/>
                <w:u w:val="single"/>
              </w:rPr>
              <w:t xml:space="preserve"> 3 </w:t>
            </w:r>
            <w:r>
              <w:rPr>
                <w:rFonts w:hint="eastAsia" w:ascii="宋体" w:hAnsi="宋体" w:eastAsia="宋体"/>
                <w:color w:val="auto"/>
                <w:szCs w:val="21"/>
                <w:highlight w:val="none"/>
              </w:rPr>
              <w:t>日</w:t>
            </w:r>
          </w:p>
        </w:tc>
      </w:tr>
      <w:tr w14:paraId="1F2CAC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978" w:type="dxa"/>
            <w:vAlign w:val="center"/>
          </w:tcPr>
          <w:p w14:paraId="3DF5D702">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7.4</w:t>
            </w:r>
          </w:p>
        </w:tc>
        <w:tc>
          <w:tcPr>
            <w:tcW w:w="2067" w:type="dxa"/>
            <w:vAlign w:val="center"/>
          </w:tcPr>
          <w:p w14:paraId="4796EEE0">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是否授权评标委员会确定中标人</w:t>
            </w:r>
          </w:p>
        </w:tc>
        <w:tc>
          <w:tcPr>
            <w:tcW w:w="6088" w:type="dxa"/>
            <w:vAlign w:val="center"/>
          </w:tcPr>
          <w:p w14:paraId="590BDAB1">
            <w:pPr>
              <w:spacing w:line="276" w:lineRule="auto"/>
              <w:rPr>
                <w:rFonts w:ascii="宋体" w:hAnsi="宋体" w:eastAsia="宋体"/>
                <w:color w:val="auto"/>
                <w:szCs w:val="21"/>
                <w:highlight w:val="none"/>
              </w:rPr>
            </w:pPr>
            <w:r>
              <w:rPr>
                <w:rFonts w:ascii="宋体" w:hAnsi="宋体" w:eastAsia="宋体"/>
                <w:color w:val="auto"/>
                <w:szCs w:val="21"/>
                <w:highlight w:val="none"/>
              </w:rPr>
              <w:sym w:font="Wingdings" w:char="00A8"/>
            </w:r>
            <w:r>
              <w:rPr>
                <w:rFonts w:hint="eastAsia" w:ascii="宋体" w:hAnsi="宋体" w:eastAsia="宋体"/>
                <w:color w:val="auto"/>
                <w:szCs w:val="21"/>
                <w:highlight w:val="none"/>
              </w:rPr>
              <w:t>是</w:t>
            </w:r>
          </w:p>
          <w:p w14:paraId="2B6A04DF">
            <w:pPr>
              <w:spacing w:line="276" w:lineRule="auto"/>
              <w:rPr>
                <w:rFonts w:ascii="宋体" w:hAnsi="宋体" w:eastAsia="宋体"/>
                <w:color w:val="auto"/>
                <w:szCs w:val="21"/>
                <w:highlight w:val="none"/>
              </w:rPr>
            </w:pPr>
            <w:r>
              <w:rPr>
                <w:rFonts w:ascii="宋体" w:hAnsi="宋体" w:eastAsia="宋体"/>
                <w:color w:val="auto"/>
                <w:szCs w:val="21"/>
                <w:highlight w:val="none"/>
              </w:rPr>
              <w:sym w:font="Wingdings" w:char="00FE"/>
            </w:r>
            <w:r>
              <w:rPr>
                <w:rFonts w:hint="eastAsia" w:ascii="宋体" w:hAnsi="宋体" w:eastAsia="宋体"/>
                <w:color w:val="auto"/>
                <w:szCs w:val="21"/>
                <w:highlight w:val="none"/>
              </w:rPr>
              <w:t>否</w:t>
            </w:r>
          </w:p>
        </w:tc>
      </w:tr>
      <w:tr w14:paraId="403BE7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7" w:hRule="atLeast"/>
        </w:trPr>
        <w:tc>
          <w:tcPr>
            <w:tcW w:w="978" w:type="dxa"/>
            <w:vAlign w:val="center"/>
          </w:tcPr>
          <w:p w14:paraId="21F2BAD7">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7.6.1</w:t>
            </w:r>
          </w:p>
        </w:tc>
        <w:tc>
          <w:tcPr>
            <w:tcW w:w="2067" w:type="dxa"/>
            <w:vAlign w:val="center"/>
          </w:tcPr>
          <w:p w14:paraId="6ECB7149">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履约保证金</w:t>
            </w:r>
          </w:p>
        </w:tc>
        <w:tc>
          <w:tcPr>
            <w:tcW w:w="6088" w:type="dxa"/>
            <w:vAlign w:val="center"/>
          </w:tcPr>
          <w:p w14:paraId="3DF6F69F">
            <w:pPr>
              <w:pStyle w:val="9"/>
              <w:topLinePunct/>
              <w:snapToGrid w:val="0"/>
              <w:spacing w:line="276" w:lineRule="auto"/>
              <w:ind w:right="174" w:rightChars="83"/>
              <w:rPr>
                <w:rFonts w:hAnsi="宋体"/>
                <w:color w:val="auto"/>
                <w:sz w:val="21"/>
                <w:szCs w:val="21"/>
                <w:highlight w:val="none"/>
              </w:rPr>
            </w:pPr>
            <w:r>
              <w:rPr>
                <w:rFonts w:hint="eastAsia" w:hAnsi="宋体"/>
                <w:color w:val="auto"/>
                <w:sz w:val="21"/>
                <w:szCs w:val="21"/>
                <w:highlight w:val="none"/>
              </w:rPr>
              <w:t>是否要求中标人提交履约担保：</w:t>
            </w:r>
          </w:p>
          <w:p w14:paraId="7C3E13F0">
            <w:pPr>
              <w:pStyle w:val="9"/>
              <w:topLinePunct/>
              <w:snapToGrid w:val="0"/>
              <w:spacing w:line="276" w:lineRule="auto"/>
              <w:ind w:right="174" w:rightChars="83"/>
              <w:rPr>
                <w:rFonts w:hAnsi="宋体"/>
                <w:color w:val="auto"/>
                <w:sz w:val="21"/>
                <w:szCs w:val="21"/>
                <w:highlight w:val="none"/>
              </w:rPr>
            </w:pPr>
            <w:r>
              <w:rPr>
                <w:rFonts w:hAnsi="宋体"/>
                <w:color w:val="auto"/>
                <w:sz w:val="21"/>
                <w:szCs w:val="21"/>
                <w:highlight w:val="none"/>
              </w:rPr>
              <w:sym w:font="Wingdings" w:char="00A8"/>
            </w:r>
            <w:r>
              <w:rPr>
                <w:rFonts w:hint="eastAsia" w:hAnsi="宋体"/>
                <w:color w:val="auto"/>
                <w:sz w:val="21"/>
                <w:szCs w:val="21"/>
                <w:highlight w:val="none"/>
              </w:rPr>
              <w:t>要求</w:t>
            </w:r>
          </w:p>
          <w:p w14:paraId="5C8212E2">
            <w:pPr>
              <w:pStyle w:val="9"/>
              <w:topLinePunct/>
              <w:spacing w:line="276" w:lineRule="auto"/>
              <w:rPr>
                <w:rFonts w:hAnsi="宋体"/>
                <w:color w:val="auto"/>
                <w:sz w:val="21"/>
                <w:szCs w:val="21"/>
                <w:highlight w:val="none"/>
              </w:rPr>
            </w:pPr>
            <w:r>
              <w:rPr>
                <w:rFonts w:hAnsi="宋体"/>
                <w:color w:val="auto"/>
                <w:sz w:val="21"/>
                <w:szCs w:val="21"/>
                <w:highlight w:val="none"/>
              </w:rPr>
              <w:sym w:font="Wingdings" w:char="00FE"/>
            </w:r>
            <w:r>
              <w:rPr>
                <w:rFonts w:hint="eastAsia" w:hAnsi="宋体"/>
                <w:color w:val="auto"/>
                <w:sz w:val="21"/>
                <w:szCs w:val="21"/>
                <w:highlight w:val="none"/>
              </w:rPr>
              <w:t>不要求</w:t>
            </w:r>
          </w:p>
        </w:tc>
      </w:tr>
      <w:tr w14:paraId="5937A5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4" w:hRule="atLeast"/>
        </w:trPr>
        <w:tc>
          <w:tcPr>
            <w:tcW w:w="978" w:type="dxa"/>
            <w:vAlign w:val="center"/>
          </w:tcPr>
          <w:p w14:paraId="09A09123">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9</w:t>
            </w:r>
          </w:p>
        </w:tc>
        <w:tc>
          <w:tcPr>
            <w:tcW w:w="2067" w:type="dxa"/>
            <w:vAlign w:val="center"/>
          </w:tcPr>
          <w:p w14:paraId="449A1116">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是否采用电子招标投标</w:t>
            </w:r>
          </w:p>
        </w:tc>
        <w:tc>
          <w:tcPr>
            <w:tcW w:w="6088" w:type="dxa"/>
            <w:vAlign w:val="center"/>
          </w:tcPr>
          <w:p w14:paraId="4A408C5A">
            <w:pPr>
              <w:snapToGrid w:val="0"/>
              <w:spacing w:line="276" w:lineRule="auto"/>
              <w:rPr>
                <w:rFonts w:ascii="宋体" w:hAnsi="宋体" w:eastAsia="宋体"/>
                <w:color w:val="auto"/>
                <w:szCs w:val="21"/>
                <w:highlight w:val="none"/>
              </w:rPr>
            </w:pPr>
            <w:r>
              <w:rPr>
                <w:rFonts w:hint="eastAsia" w:ascii="宋体" w:hAnsi="宋体" w:eastAsia="宋体"/>
                <w:color w:val="auto"/>
                <w:szCs w:val="21"/>
                <w:highlight w:val="none"/>
              </w:rPr>
              <w:t>□否</w:t>
            </w:r>
          </w:p>
          <w:p w14:paraId="4743CA12">
            <w:pPr>
              <w:spacing w:line="276" w:lineRule="auto"/>
              <w:rPr>
                <w:rFonts w:ascii="宋体" w:hAnsi="宋体" w:eastAsia="宋体"/>
                <w:color w:val="auto"/>
                <w:szCs w:val="21"/>
                <w:highlight w:val="none"/>
              </w:rPr>
            </w:pPr>
            <w:r>
              <w:rPr>
                <w:rFonts w:ascii="宋体" w:hAnsi="宋体" w:eastAsia="宋体"/>
                <w:color w:val="auto"/>
                <w:szCs w:val="21"/>
                <w:highlight w:val="none"/>
              </w:rPr>
              <w:sym w:font="Wingdings" w:char="00FE"/>
            </w:r>
            <w:r>
              <w:rPr>
                <w:rFonts w:hint="eastAsia" w:ascii="宋体" w:hAnsi="宋体" w:eastAsia="宋体"/>
                <w:color w:val="auto"/>
                <w:szCs w:val="21"/>
                <w:highlight w:val="none"/>
              </w:rPr>
              <w:t>是，具体要求：</w:t>
            </w:r>
          </w:p>
          <w:p w14:paraId="090D3903">
            <w:pPr>
              <w:spacing w:line="276" w:lineRule="auto"/>
              <w:rPr>
                <w:rFonts w:ascii="宋体" w:hAnsi="宋体" w:eastAsia="宋体"/>
                <w:color w:val="auto"/>
                <w:szCs w:val="21"/>
                <w:highlight w:val="none"/>
              </w:rPr>
            </w:pPr>
            <w:r>
              <w:rPr>
                <w:rFonts w:ascii="宋体" w:hAnsi="宋体" w:eastAsia="宋体"/>
                <w:color w:val="auto"/>
                <w:szCs w:val="21"/>
                <w:highlight w:val="none"/>
              </w:rPr>
              <w:t>1、具体操作详见：</w:t>
            </w:r>
            <w:r>
              <w:rPr>
                <w:rFonts w:hint="eastAsia" w:ascii="宋体" w:hAnsi="宋体" w:eastAsia="宋体"/>
                <w:b/>
                <w:color w:val="auto"/>
                <w:szCs w:val="21"/>
                <w:highlight w:val="none"/>
                <w:u w:val="single"/>
              </w:rPr>
              <w:t>广州交易集团有限公司（广州公共资源交易中心）网站发布的最新指引。</w:t>
            </w:r>
          </w:p>
          <w:p w14:paraId="602632F4">
            <w:pPr>
              <w:spacing w:line="276"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现场提交投标文件光盘备用</w:t>
            </w:r>
          </w:p>
          <w:p w14:paraId="44B1C1B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投标人将按广州交易集团有限公司（广州公共资源交易中心）最新指引的操作方法制作的非加密的电子投标文件刻入光盘（1份），在开标现场（投标截止时间前）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接受现场提交的光盘。</w:t>
            </w:r>
          </w:p>
          <w:p w14:paraId="5C8C87E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3、补救方案</w:t>
            </w:r>
          </w:p>
          <w:p w14:paraId="3D1096B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（1）投标文件解密失败的补救方案：</w:t>
            </w:r>
          </w:p>
          <w:p w14:paraId="34ED7C8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在规定时间内，因投标人之外原因导致的电子投标文件解密失败，在开标现场读取光盘内容，继续开标程序。评标委员会对其投标文件的评审以光盘内容为准。</w:t>
            </w:r>
          </w:p>
          <w:p w14:paraId="4146252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（2）评标时突发情况的补救方案</w:t>
            </w:r>
          </w:p>
          <w:p w14:paraId="197E592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若遇不可抗力发生（如：网络瘫痪、服务器损坏、交易系统故障短期无法恢复等因素），由评标委员会开启现场递交的全部投标文件光盘，并按光盘内容进行评审。</w:t>
            </w:r>
          </w:p>
          <w:p w14:paraId="57846232">
            <w:pPr>
              <w:snapToGrid w:val="0"/>
              <w:spacing w:line="276" w:lineRule="auto"/>
              <w:rPr>
                <w:rFonts w:ascii="宋体" w:hAnsi="宋体" w:eastAsia="宋体"/>
                <w:color w:val="auto"/>
                <w:szCs w:val="21"/>
                <w:highlight w:val="none"/>
              </w:rPr>
            </w:pPr>
            <w:r>
              <w:rPr>
                <w:rFonts w:hint="eastAsia" w:ascii="宋体" w:hAnsi="宋体" w:eastAsia="宋体"/>
                <w:color w:val="auto"/>
                <w:szCs w:val="21"/>
                <w:highlight w:val="none"/>
              </w:rPr>
              <w:t>（3）除发生上述情况外，开标评标均以投标人通过交易平台网上递交的电子投标文件为准。</w:t>
            </w:r>
          </w:p>
        </w:tc>
      </w:tr>
      <w:tr w14:paraId="34879B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8" w:hRule="atLeast"/>
        </w:trPr>
        <w:tc>
          <w:tcPr>
            <w:tcW w:w="978" w:type="dxa"/>
            <w:vAlign w:val="center"/>
          </w:tcPr>
          <w:p w14:paraId="5EE8742E">
            <w:pPr>
              <w:snapToGrid w:val="0"/>
              <w:spacing w:line="276" w:lineRule="auto"/>
              <w:jc w:val="center"/>
              <w:rPr>
                <w:rFonts w:ascii="宋体" w:hAnsi="宋体" w:eastAsia="宋体"/>
                <w:color w:val="auto"/>
                <w:szCs w:val="21"/>
                <w:highlight w:val="none"/>
              </w:rPr>
            </w:pPr>
            <w:r>
              <w:rPr>
                <w:rFonts w:ascii="宋体" w:hAnsi="宋体" w:eastAsia="宋体"/>
                <w:color w:val="auto"/>
                <w:szCs w:val="21"/>
                <w:highlight w:val="none"/>
              </w:rPr>
              <w:t>10</w:t>
            </w:r>
          </w:p>
        </w:tc>
        <w:tc>
          <w:tcPr>
            <w:tcW w:w="2067" w:type="dxa"/>
            <w:vAlign w:val="center"/>
          </w:tcPr>
          <w:p w14:paraId="7730EDB9">
            <w:pPr>
              <w:snapToGrid w:val="0"/>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需要补充的其他内容</w:t>
            </w:r>
          </w:p>
        </w:tc>
        <w:tc>
          <w:tcPr>
            <w:tcW w:w="6088" w:type="dxa"/>
            <w:vAlign w:val="center"/>
          </w:tcPr>
          <w:p w14:paraId="520083F0">
            <w:pPr>
              <w:snapToGrid w:val="0"/>
              <w:spacing w:line="276" w:lineRule="auto"/>
              <w:rPr>
                <w:rFonts w:ascii="宋体" w:hAnsi="宋体" w:eastAsia="宋体"/>
                <w:color w:val="auto"/>
                <w:szCs w:val="21"/>
                <w:highlight w:val="none"/>
              </w:rPr>
            </w:pPr>
            <w:r>
              <w:rPr>
                <w:rFonts w:hint="eastAsia" w:ascii="宋体" w:hAnsi="宋体" w:eastAsia="宋体"/>
                <w:color w:val="auto"/>
                <w:szCs w:val="21"/>
                <w:highlight w:val="none"/>
              </w:rPr>
              <w:t>/</w:t>
            </w:r>
          </w:p>
        </w:tc>
      </w:tr>
      <w:tr w14:paraId="47FA9D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8" w:hRule="atLeast"/>
        </w:trPr>
        <w:tc>
          <w:tcPr>
            <w:tcW w:w="978" w:type="dxa"/>
            <w:vAlign w:val="center"/>
          </w:tcPr>
          <w:p w14:paraId="41A3E389">
            <w:pPr>
              <w:pStyle w:val="104"/>
              <w:snapToGrid w:val="0"/>
              <w:spacing w:line="276" w:lineRule="auto"/>
              <w:jc w:val="center"/>
              <w:rPr>
                <w:rFonts w:ascii="宋体" w:hAnsi="宋体"/>
                <w:color w:val="auto"/>
                <w:szCs w:val="21"/>
                <w:highlight w:val="none"/>
              </w:rPr>
            </w:pPr>
            <w:r>
              <w:rPr>
                <w:rFonts w:ascii="宋体" w:hAnsi="宋体"/>
                <w:color w:val="auto"/>
                <w:szCs w:val="21"/>
                <w:highlight w:val="none"/>
              </w:rPr>
              <w:t>10.1</w:t>
            </w:r>
          </w:p>
        </w:tc>
        <w:tc>
          <w:tcPr>
            <w:tcW w:w="2067" w:type="dxa"/>
            <w:vAlign w:val="center"/>
          </w:tcPr>
          <w:p w14:paraId="6DEAA929">
            <w:pPr>
              <w:pStyle w:val="104"/>
              <w:snapToGrid w:val="0"/>
              <w:spacing w:line="276" w:lineRule="auto"/>
              <w:jc w:val="center"/>
              <w:rPr>
                <w:rFonts w:ascii="宋体" w:hAnsi="宋体"/>
                <w:color w:val="auto"/>
                <w:szCs w:val="21"/>
                <w:highlight w:val="none"/>
              </w:rPr>
            </w:pPr>
            <w:r>
              <w:rPr>
                <w:rFonts w:hint="eastAsia" w:ascii="宋体" w:hAnsi="宋体"/>
                <w:color w:val="auto"/>
                <w:szCs w:val="21"/>
                <w:highlight w:val="none"/>
              </w:rPr>
              <w:t>招标失败的情形</w:t>
            </w:r>
          </w:p>
        </w:tc>
        <w:tc>
          <w:tcPr>
            <w:tcW w:w="6088" w:type="dxa"/>
            <w:vAlign w:val="center"/>
          </w:tcPr>
          <w:p w14:paraId="6646ADB3">
            <w:pPr>
              <w:pStyle w:val="104"/>
              <w:snapToGrid w:val="0"/>
              <w:spacing w:line="276" w:lineRule="auto"/>
              <w:jc w:val="left"/>
              <w:rPr>
                <w:rFonts w:ascii="宋体" w:hAnsi="宋体"/>
                <w:color w:val="auto"/>
                <w:szCs w:val="21"/>
                <w:highlight w:val="none"/>
              </w:rPr>
            </w:pPr>
            <w:r>
              <w:rPr>
                <w:rFonts w:hint="eastAsia" w:ascii="宋体" w:hAnsi="宋体"/>
                <w:color w:val="auto"/>
                <w:szCs w:val="21"/>
                <w:highlight w:val="none"/>
              </w:rPr>
              <w:t>本项目递交投标文件或初步评审通过的投标申请人不足</w:t>
            </w:r>
            <w:r>
              <w:rPr>
                <w:rFonts w:ascii="宋体" w:hAnsi="宋体"/>
                <w:color w:val="auto"/>
                <w:szCs w:val="21"/>
                <w:highlight w:val="none"/>
              </w:rPr>
              <w:t>3名时为招标失败。招标人分析招标失败原因，修正招标方案，报有关管理部门核准后，重新组织招标。</w:t>
            </w:r>
          </w:p>
        </w:tc>
      </w:tr>
      <w:tr w14:paraId="5ED49F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8" w:hRule="atLeast"/>
        </w:trPr>
        <w:tc>
          <w:tcPr>
            <w:tcW w:w="978" w:type="dxa"/>
            <w:vAlign w:val="center"/>
          </w:tcPr>
          <w:p w14:paraId="681640C9">
            <w:pPr>
              <w:pStyle w:val="104"/>
              <w:snapToGrid w:val="0"/>
              <w:spacing w:line="276" w:lineRule="auto"/>
              <w:jc w:val="center"/>
              <w:rPr>
                <w:rFonts w:ascii="宋体" w:hAnsi="宋体"/>
                <w:color w:val="auto"/>
                <w:szCs w:val="21"/>
                <w:highlight w:val="none"/>
              </w:rPr>
            </w:pPr>
            <w:r>
              <w:rPr>
                <w:rFonts w:ascii="宋体" w:hAnsi="宋体"/>
                <w:color w:val="auto"/>
                <w:szCs w:val="21"/>
                <w:highlight w:val="none"/>
              </w:rPr>
              <w:t>10.2</w:t>
            </w:r>
          </w:p>
        </w:tc>
        <w:tc>
          <w:tcPr>
            <w:tcW w:w="2067" w:type="dxa"/>
            <w:vAlign w:val="center"/>
          </w:tcPr>
          <w:p w14:paraId="47E29ACD">
            <w:pPr>
              <w:pStyle w:val="104"/>
              <w:snapToGrid w:val="0"/>
              <w:spacing w:line="276" w:lineRule="auto"/>
              <w:jc w:val="center"/>
              <w:rPr>
                <w:rFonts w:ascii="宋体" w:hAnsi="宋体"/>
                <w:color w:val="auto"/>
                <w:szCs w:val="21"/>
                <w:highlight w:val="none"/>
              </w:rPr>
            </w:pPr>
            <w:r>
              <w:rPr>
                <w:rFonts w:hint="eastAsia" w:ascii="宋体" w:hAnsi="宋体"/>
                <w:color w:val="auto"/>
                <w:szCs w:val="21"/>
                <w:highlight w:val="none"/>
              </w:rPr>
              <w:t>招标人拒绝接收备用投标文件电子光盘的情况</w:t>
            </w:r>
          </w:p>
        </w:tc>
        <w:tc>
          <w:tcPr>
            <w:tcW w:w="6088" w:type="dxa"/>
            <w:vAlign w:val="center"/>
          </w:tcPr>
          <w:p w14:paraId="13099FA6">
            <w:pPr>
              <w:pStyle w:val="104"/>
              <w:snapToGrid w:val="0"/>
              <w:spacing w:line="276" w:lineRule="auto"/>
              <w:jc w:val="left"/>
              <w:rPr>
                <w:rFonts w:ascii="宋体" w:hAnsi="宋体"/>
                <w:color w:val="auto"/>
                <w:szCs w:val="21"/>
                <w:highlight w:val="none"/>
              </w:rPr>
            </w:pPr>
            <w:r>
              <w:rPr>
                <w:rFonts w:ascii="宋体" w:hAnsi="宋体"/>
                <w:color w:val="auto"/>
                <w:szCs w:val="21"/>
                <w:highlight w:val="none"/>
              </w:rPr>
              <w:t>1、投标人在投标截止期后逾期或未在指定地点递交备用投标文件电子光盘的；</w:t>
            </w:r>
          </w:p>
          <w:p w14:paraId="6FEBEE97">
            <w:pPr>
              <w:pStyle w:val="104"/>
              <w:snapToGrid w:val="0"/>
              <w:spacing w:line="276" w:lineRule="auto"/>
              <w:jc w:val="left"/>
              <w:rPr>
                <w:rFonts w:ascii="宋体" w:hAnsi="宋体"/>
                <w:color w:val="auto"/>
                <w:szCs w:val="21"/>
                <w:highlight w:val="none"/>
              </w:rPr>
            </w:pPr>
            <w:r>
              <w:rPr>
                <w:rFonts w:ascii="宋体" w:hAnsi="宋体"/>
                <w:color w:val="auto"/>
                <w:szCs w:val="21"/>
                <w:highlight w:val="none"/>
              </w:rPr>
              <w:t>2、投标人递交的备用投标文件电子光盘未按招标文件要求密封或未在密封处盖章的；</w:t>
            </w:r>
          </w:p>
          <w:p w14:paraId="1AB3E402">
            <w:pPr>
              <w:pStyle w:val="104"/>
              <w:snapToGrid w:val="0"/>
              <w:spacing w:line="276" w:lineRule="auto"/>
              <w:jc w:val="left"/>
              <w:rPr>
                <w:rFonts w:ascii="宋体" w:hAnsi="宋体"/>
                <w:color w:val="auto"/>
                <w:szCs w:val="21"/>
                <w:highlight w:val="none"/>
              </w:rPr>
            </w:pPr>
            <w:r>
              <w:rPr>
                <w:rFonts w:ascii="宋体" w:hAnsi="宋体"/>
                <w:color w:val="auto"/>
                <w:szCs w:val="21"/>
                <w:highlight w:val="none"/>
              </w:rPr>
              <w:t>3、投标人代表未凭法定代表人证明书原件、授权委托书原件（仅限于非法定代表人）、本人身份证原件按要求递交备用投标</w:t>
            </w:r>
            <w:r>
              <w:rPr>
                <w:rFonts w:hint="eastAsia" w:ascii="宋体" w:hAnsi="宋体"/>
                <w:color w:val="auto"/>
                <w:szCs w:val="21"/>
                <w:highlight w:val="none"/>
              </w:rPr>
              <w:t>文件电子光盘的。</w:t>
            </w:r>
          </w:p>
        </w:tc>
      </w:tr>
      <w:tr w14:paraId="76062A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8" w:hRule="atLeast"/>
        </w:trPr>
        <w:tc>
          <w:tcPr>
            <w:tcW w:w="978" w:type="dxa"/>
            <w:vAlign w:val="center"/>
          </w:tcPr>
          <w:p w14:paraId="134AEE1A">
            <w:pPr>
              <w:pStyle w:val="104"/>
              <w:snapToGrid w:val="0"/>
              <w:spacing w:line="276" w:lineRule="auto"/>
              <w:jc w:val="center"/>
              <w:rPr>
                <w:rFonts w:ascii="宋体" w:hAnsi="宋体"/>
                <w:color w:val="auto"/>
                <w:szCs w:val="21"/>
                <w:highlight w:val="none"/>
              </w:rPr>
            </w:pPr>
            <w:r>
              <w:rPr>
                <w:rFonts w:ascii="宋体" w:hAnsi="宋体"/>
                <w:color w:val="auto"/>
                <w:szCs w:val="21"/>
                <w:highlight w:val="none"/>
              </w:rPr>
              <w:t>10.3</w:t>
            </w:r>
          </w:p>
        </w:tc>
        <w:tc>
          <w:tcPr>
            <w:tcW w:w="2067" w:type="dxa"/>
            <w:vAlign w:val="center"/>
          </w:tcPr>
          <w:p w14:paraId="517CEDE3">
            <w:pPr>
              <w:pStyle w:val="104"/>
              <w:snapToGrid w:val="0"/>
              <w:spacing w:line="276" w:lineRule="auto"/>
              <w:jc w:val="center"/>
              <w:rPr>
                <w:rFonts w:ascii="宋体" w:hAnsi="宋体"/>
                <w:color w:val="auto"/>
                <w:szCs w:val="21"/>
                <w:highlight w:val="none"/>
              </w:rPr>
            </w:pPr>
            <w:r>
              <w:rPr>
                <w:rFonts w:hint="eastAsia" w:ascii="宋体" w:hAnsi="宋体"/>
                <w:color w:val="auto"/>
                <w:szCs w:val="21"/>
                <w:highlight w:val="none"/>
              </w:rPr>
              <w:t>否决投标条款</w:t>
            </w:r>
          </w:p>
        </w:tc>
        <w:tc>
          <w:tcPr>
            <w:tcW w:w="6088" w:type="dxa"/>
            <w:vAlign w:val="center"/>
          </w:tcPr>
          <w:p w14:paraId="28F2FB26">
            <w:pPr>
              <w:pStyle w:val="104"/>
              <w:snapToGrid w:val="0"/>
              <w:spacing w:line="276" w:lineRule="auto"/>
              <w:jc w:val="left"/>
              <w:rPr>
                <w:rFonts w:ascii="宋体" w:hAnsi="宋体"/>
                <w:color w:val="auto"/>
                <w:szCs w:val="21"/>
                <w:highlight w:val="none"/>
              </w:rPr>
            </w:pPr>
            <w:r>
              <w:rPr>
                <w:rFonts w:hint="eastAsia" w:ascii="宋体" w:hAnsi="宋体"/>
                <w:color w:val="auto"/>
                <w:szCs w:val="21"/>
                <w:highlight w:val="none"/>
              </w:rPr>
              <w:t>否决投标条款：</w:t>
            </w:r>
          </w:p>
          <w:p w14:paraId="57F17E74">
            <w:pPr>
              <w:pStyle w:val="104"/>
              <w:snapToGrid w:val="0"/>
              <w:spacing w:line="276" w:lineRule="auto"/>
              <w:jc w:val="left"/>
              <w:rPr>
                <w:rFonts w:ascii="宋体" w:hAnsi="宋体"/>
                <w:color w:val="auto"/>
                <w:szCs w:val="21"/>
                <w:highlight w:val="none"/>
              </w:rPr>
            </w:pPr>
            <w:r>
              <w:rPr>
                <w:rFonts w:ascii="宋体" w:hAnsi="宋体"/>
                <w:color w:val="auto"/>
                <w:szCs w:val="21"/>
                <w:highlight w:val="none"/>
              </w:rPr>
              <w:t>1、在投标截止期后逾期或未在广州交易集团有限公司（广州公共资源交易中心）数字交易平台（http://www.gzggzy.cn）递交电子投标文件的，电子招标投标交易平台将拒绝接收其投标文件。</w:t>
            </w:r>
          </w:p>
          <w:p w14:paraId="510FEDB1">
            <w:pPr>
              <w:pStyle w:val="104"/>
              <w:snapToGrid w:val="0"/>
              <w:spacing w:line="276" w:lineRule="auto"/>
              <w:jc w:val="left"/>
              <w:rPr>
                <w:rFonts w:ascii="宋体" w:hAnsi="宋体"/>
                <w:color w:val="auto"/>
                <w:szCs w:val="21"/>
                <w:highlight w:val="none"/>
              </w:rPr>
            </w:pPr>
            <w:r>
              <w:rPr>
                <w:rFonts w:ascii="宋体" w:hAnsi="宋体"/>
                <w:color w:val="auto"/>
                <w:szCs w:val="21"/>
                <w:highlight w:val="none"/>
              </w:rPr>
              <w:t>2、投标人未按招标文件要求提供附件或未按要求加盖电子印章及签名的，经评标委员会认定后，其投标文件将被否决。</w:t>
            </w:r>
          </w:p>
          <w:p w14:paraId="308AE7CD">
            <w:pPr>
              <w:pStyle w:val="104"/>
              <w:snapToGrid w:val="0"/>
              <w:spacing w:line="276" w:lineRule="auto"/>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投标报价超过最高投标限价的投标文件将被否决其投标。</w:t>
            </w:r>
          </w:p>
          <w:p w14:paraId="1613042E">
            <w:pPr>
              <w:pStyle w:val="104"/>
              <w:snapToGrid w:val="0"/>
              <w:spacing w:line="276" w:lineRule="auto"/>
              <w:jc w:val="left"/>
              <w:rPr>
                <w:rFonts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、按投标报价的算术校核原则及方法调整或修正投标文件的投标报价，调整后的投标报价对投标人起约束作用。如果投标人不接受修正后的报价，则取消其中标资格。</w:t>
            </w:r>
          </w:p>
          <w:p w14:paraId="1440A628">
            <w:pPr>
              <w:pStyle w:val="104"/>
              <w:snapToGrid w:val="0"/>
              <w:spacing w:line="276" w:lineRule="auto"/>
              <w:jc w:val="left"/>
              <w:rPr>
                <w:rFonts w:ascii="宋体" w:hAnsi="宋体"/>
                <w:color w:val="auto"/>
                <w:szCs w:val="21"/>
                <w:highlight w:val="none"/>
              </w:rPr>
            </w:pPr>
            <w:r>
              <w:rPr>
                <w:rFonts w:hint="eastAsia" w:ascii="宋体" w:hAnsi="宋体"/>
                <w:color w:val="auto"/>
                <w:szCs w:val="21"/>
                <w:highlight w:val="none"/>
                <w:lang w:val="en-US" w:eastAsia="zh-CN"/>
              </w:rPr>
              <w:t>5</w:t>
            </w:r>
            <w:r>
              <w:rPr>
                <w:rFonts w:ascii="宋体" w:hAnsi="宋体"/>
                <w:color w:val="auto"/>
                <w:szCs w:val="21"/>
                <w:highlight w:val="none"/>
              </w:rPr>
              <w:t>、资审合格后，投标人的资格发生变化而不满足投标人合格条件，在发出中标通知书前，资格问题仍未解决的，招标人将取消其中标资格。</w:t>
            </w:r>
          </w:p>
          <w:p w14:paraId="749F29B4">
            <w:pPr>
              <w:pStyle w:val="104"/>
              <w:snapToGrid w:val="0"/>
              <w:spacing w:line="276" w:lineRule="auto"/>
              <w:jc w:val="left"/>
              <w:rPr>
                <w:rFonts w:ascii="宋体" w:hAnsi="宋体"/>
                <w:color w:val="auto"/>
                <w:szCs w:val="21"/>
                <w:highlight w:val="none"/>
              </w:rPr>
            </w:pPr>
            <w:r>
              <w:rPr>
                <w:rFonts w:hint="eastAsia" w:ascii="宋体" w:hAnsi="宋体"/>
                <w:color w:val="auto"/>
                <w:szCs w:val="21"/>
                <w:highlight w:val="none"/>
                <w:lang w:val="en-US" w:eastAsia="zh-CN"/>
              </w:rPr>
              <w:t>6</w:t>
            </w:r>
            <w:r>
              <w:rPr>
                <w:rFonts w:ascii="宋体" w:hAnsi="宋体"/>
                <w:color w:val="auto"/>
                <w:szCs w:val="21"/>
                <w:highlight w:val="none"/>
              </w:rPr>
              <w:t>、投标人如在本项目中存在串通投标、弄虚作假、行贿情形的，中标无效，该投标人将被招标人列入黑名单并限制其投标。</w:t>
            </w:r>
          </w:p>
          <w:p w14:paraId="384A4CB2">
            <w:pPr>
              <w:pStyle w:val="104"/>
              <w:snapToGrid w:val="0"/>
              <w:spacing w:line="276" w:lineRule="auto"/>
              <w:jc w:val="left"/>
              <w:rPr>
                <w:rFonts w:ascii="宋体" w:hAnsi="宋体"/>
                <w:color w:val="auto"/>
                <w:szCs w:val="21"/>
                <w:highlight w:val="none"/>
              </w:rPr>
            </w:pPr>
            <w:r>
              <w:rPr>
                <w:rFonts w:hint="eastAsia" w:ascii="宋体" w:hAnsi="宋体"/>
                <w:color w:val="auto"/>
                <w:szCs w:val="21"/>
                <w:highlight w:val="none"/>
                <w:lang w:val="en-US" w:eastAsia="zh-CN"/>
              </w:rPr>
              <w:t>7</w:t>
            </w:r>
            <w:r>
              <w:rPr>
                <w:rFonts w:ascii="宋体" w:hAnsi="宋体"/>
                <w:color w:val="auto"/>
                <w:szCs w:val="21"/>
                <w:highlight w:val="none"/>
              </w:rPr>
              <w:t>、投标文件符合列于《评标办法前附表》“形式评审标准”“资格评审标准”“响应性评审标准”中所有情形的，为有效投标文件。任一情形不符合均为无效投标文件，经评标委员会认定后，其投标文件将被否决。</w:t>
            </w:r>
          </w:p>
        </w:tc>
      </w:tr>
      <w:tr w14:paraId="71ECA3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8" w:hRule="atLeast"/>
        </w:trPr>
        <w:tc>
          <w:tcPr>
            <w:tcW w:w="978" w:type="dxa"/>
            <w:vAlign w:val="center"/>
          </w:tcPr>
          <w:p w14:paraId="69E19CA2">
            <w:pPr>
              <w:pStyle w:val="104"/>
              <w:snapToGrid w:val="0"/>
              <w:spacing w:line="276" w:lineRule="auto"/>
              <w:jc w:val="center"/>
              <w:rPr>
                <w:rFonts w:ascii="宋体" w:hAnsi="宋体"/>
                <w:color w:val="auto"/>
                <w:szCs w:val="21"/>
                <w:highlight w:val="none"/>
              </w:rPr>
            </w:pPr>
            <w:r>
              <w:rPr>
                <w:rFonts w:ascii="宋体" w:hAnsi="宋体"/>
                <w:color w:val="auto"/>
                <w:szCs w:val="21"/>
                <w:highlight w:val="none"/>
              </w:rPr>
              <w:t>10.4</w:t>
            </w:r>
          </w:p>
        </w:tc>
        <w:tc>
          <w:tcPr>
            <w:tcW w:w="2067" w:type="dxa"/>
            <w:vAlign w:val="center"/>
          </w:tcPr>
          <w:p w14:paraId="5CAF772B">
            <w:pPr>
              <w:pStyle w:val="104"/>
              <w:snapToGrid w:val="0"/>
              <w:spacing w:line="276" w:lineRule="auto"/>
              <w:jc w:val="center"/>
              <w:rPr>
                <w:rFonts w:ascii="宋体" w:hAnsi="宋体"/>
                <w:color w:val="auto"/>
                <w:szCs w:val="21"/>
                <w:highlight w:val="none"/>
              </w:rPr>
            </w:pPr>
            <w:r>
              <w:rPr>
                <w:rFonts w:ascii="宋体" w:hAnsi="宋体"/>
                <w:color w:val="auto"/>
                <w:szCs w:val="21"/>
                <w:highlight w:val="none"/>
              </w:rPr>
              <w:t>/</w:t>
            </w:r>
          </w:p>
        </w:tc>
        <w:tc>
          <w:tcPr>
            <w:tcW w:w="6088" w:type="dxa"/>
            <w:vAlign w:val="center"/>
          </w:tcPr>
          <w:p w14:paraId="7542ED54">
            <w:pPr>
              <w:pStyle w:val="104"/>
              <w:snapToGrid w:val="0"/>
              <w:spacing w:line="276" w:lineRule="auto"/>
              <w:jc w:val="left"/>
              <w:rPr>
                <w:rFonts w:ascii="宋体" w:hAnsi="宋体"/>
                <w:color w:val="auto"/>
                <w:szCs w:val="21"/>
                <w:highlight w:val="none"/>
              </w:rPr>
            </w:pPr>
            <w:r>
              <w:rPr>
                <w:rFonts w:hint="eastAsia" w:ascii="宋体" w:hAnsi="宋体" w:cs="宋体"/>
                <w:b/>
                <w:bCs/>
                <w:color w:val="auto"/>
                <w:kern w:val="0"/>
                <w:szCs w:val="21"/>
                <w:highlight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14:paraId="3AF9A6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8" w:hRule="atLeast"/>
        </w:trPr>
        <w:tc>
          <w:tcPr>
            <w:tcW w:w="978" w:type="dxa"/>
            <w:vAlign w:val="center"/>
          </w:tcPr>
          <w:p w14:paraId="60D4E1CD">
            <w:pPr>
              <w:pStyle w:val="104"/>
              <w:snapToGrid w:val="0"/>
              <w:spacing w:line="276" w:lineRule="auto"/>
              <w:jc w:val="center"/>
              <w:rPr>
                <w:rFonts w:ascii="宋体" w:hAnsi="宋体"/>
                <w:color w:val="auto"/>
                <w:szCs w:val="21"/>
                <w:highlight w:val="none"/>
              </w:rPr>
            </w:pPr>
            <w:r>
              <w:rPr>
                <w:rFonts w:ascii="宋体" w:hAnsi="宋体"/>
                <w:color w:val="auto"/>
                <w:szCs w:val="21"/>
                <w:highlight w:val="none"/>
              </w:rPr>
              <w:t>10.4</w:t>
            </w:r>
          </w:p>
        </w:tc>
        <w:tc>
          <w:tcPr>
            <w:tcW w:w="2067" w:type="dxa"/>
            <w:vAlign w:val="center"/>
          </w:tcPr>
          <w:p w14:paraId="5229AFD5">
            <w:pPr>
              <w:pStyle w:val="104"/>
              <w:snapToGrid w:val="0"/>
              <w:spacing w:line="276" w:lineRule="auto"/>
              <w:jc w:val="center"/>
              <w:rPr>
                <w:rFonts w:ascii="宋体" w:hAnsi="宋体"/>
                <w:color w:val="auto"/>
                <w:szCs w:val="21"/>
                <w:highlight w:val="none"/>
              </w:rPr>
            </w:pPr>
            <w:r>
              <w:rPr>
                <w:rFonts w:hint="eastAsia" w:ascii="宋体" w:hAnsi="宋体"/>
                <w:color w:val="auto"/>
                <w:szCs w:val="21"/>
                <w:highlight w:val="none"/>
              </w:rPr>
              <w:t>其他</w:t>
            </w:r>
          </w:p>
        </w:tc>
        <w:tc>
          <w:tcPr>
            <w:tcW w:w="6088" w:type="dxa"/>
            <w:vAlign w:val="center"/>
          </w:tcPr>
          <w:p w14:paraId="5AFE65AC">
            <w:pPr>
              <w:pStyle w:val="104"/>
              <w:snapToGrid w:val="0"/>
              <w:spacing w:line="276" w:lineRule="auto"/>
              <w:jc w:val="left"/>
              <w:rPr>
                <w:rFonts w:ascii="宋体" w:hAnsi="宋体"/>
                <w:color w:val="auto"/>
                <w:szCs w:val="21"/>
                <w:highlight w:val="none"/>
              </w:rPr>
            </w:pPr>
            <w:r>
              <w:rPr>
                <w:rFonts w:hint="eastAsia" w:ascii="宋体" w:hAnsi="宋体"/>
                <w:color w:val="auto"/>
                <w:szCs w:val="21"/>
                <w:highlight w:val="none"/>
              </w:rPr>
              <w:t>中标人应向广州交易集团有限公司（广州公共资源交易中心）缴纳公共资源交易服务费，此费用包含在投标报价当中。</w:t>
            </w:r>
          </w:p>
        </w:tc>
      </w:tr>
    </w:tbl>
    <w:p w14:paraId="058ACA9F">
      <w:pPr>
        <w:widowControl/>
        <w:jc w:val="left"/>
        <w:rPr>
          <w:rFonts w:ascii="宋体" w:hAnsi="宋体" w:eastAsia="宋体"/>
          <w:color w:val="auto"/>
          <w:highlight w:val="none"/>
        </w:rPr>
      </w:pPr>
      <w:r>
        <w:rPr>
          <w:rFonts w:ascii="宋体" w:hAnsi="宋体" w:eastAsia="宋体"/>
          <w:color w:val="auto"/>
          <w:highlight w:val="none"/>
        </w:rPr>
        <w:br w:type="page"/>
      </w:r>
    </w:p>
    <w:p w14:paraId="2F5246FF">
      <w:pPr>
        <w:pStyle w:val="3"/>
        <w:ind w:firstLine="602"/>
        <w:rPr>
          <w:color w:val="auto"/>
          <w:sz w:val="28"/>
          <w:szCs w:val="28"/>
          <w:highlight w:val="none"/>
        </w:rPr>
      </w:pPr>
      <w:bookmarkStart w:id="13" w:name="_Toc133420467"/>
      <w:bookmarkStart w:id="14" w:name="_Toc10650"/>
      <w:r>
        <w:rPr>
          <w:color w:val="auto"/>
          <w:sz w:val="28"/>
          <w:szCs w:val="28"/>
          <w:highlight w:val="none"/>
        </w:rPr>
        <w:t>1.总则</w:t>
      </w:r>
      <w:bookmarkEnd w:id="13"/>
      <w:bookmarkEnd w:id="14"/>
    </w:p>
    <w:p w14:paraId="7C3AEC36">
      <w:pPr>
        <w:pStyle w:val="4"/>
        <w:spacing w:after="283" w:line="416" w:lineRule="auto"/>
        <w:ind w:left="424" w:firstLine="0" w:firstLineChars="0"/>
        <w:rPr>
          <w:rFonts w:ascii="宋体" w:hAnsi="宋体" w:eastAsia="宋体"/>
          <w:color w:val="auto"/>
          <w:highlight w:val="none"/>
        </w:rPr>
      </w:pPr>
      <w:bookmarkStart w:id="15" w:name="_Toc133420468"/>
      <w:bookmarkStart w:id="16" w:name="_Toc45266394"/>
      <w:bookmarkStart w:id="17" w:name="_Toc36466563"/>
      <w:bookmarkStart w:id="18" w:name="_Toc51055712"/>
      <w:bookmarkStart w:id="19" w:name="_Toc3516"/>
      <w:r>
        <w:rPr>
          <w:rFonts w:ascii="宋体" w:hAnsi="宋体" w:eastAsia="宋体"/>
          <w:color w:val="auto"/>
          <w:highlight w:val="none"/>
        </w:rPr>
        <w:t>1.1招标项目概况</w:t>
      </w:r>
      <w:bookmarkEnd w:id="15"/>
      <w:bookmarkEnd w:id="16"/>
      <w:bookmarkEnd w:id="17"/>
      <w:bookmarkEnd w:id="18"/>
      <w:bookmarkEnd w:id="19"/>
    </w:p>
    <w:p w14:paraId="20014639">
      <w:pPr>
        <w:spacing w:line="360" w:lineRule="auto"/>
        <w:ind w:firstLine="420" w:firstLineChars="200"/>
        <w:rPr>
          <w:rFonts w:ascii="宋体" w:hAnsi="宋体" w:eastAsia="宋体"/>
          <w:color w:val="auto"/>
          <w:highlight w:val="none"/>
        </w:rPr>
      </w:pPr>
      <w:r>
        <w:rPr>
          <w:rFonts w:ascii="宋体" w:hAnsi="宋体" w:eastAsia="宋体"/>
          <w:color w:val="auto"/>
          <w:highlight w:val="none"/>
        </w:rPr>
        <w:t>1.1.1根据《中华人民共和国招标投标法》、《中华人民共和国招标投标法实施条例》等有关法律、法规和规章的规定，本招标项目已具备招标条件，现对其进行招标。</w:t>
      </w:r>
    </w:p>
    <w:p w14:paraId="1CACD7BE">
      <w:pPr>
        <w:spacing w:line="360" w:lineRule="auto"/>
        <w:ind w:firstLine="420" w:firstLineChars="200"/>
        <w:rPr>
          <w:rFonts w:ascii="宋体" w:hAnsi="宋体" w:eastAsia="宋体"/>
          <w:color w:val="auto"/>
          <w:highlight w:val="none"/>
        </w:rPr>
      </w:pPr>
      <w:r>
        <w:rPr>
          <w:rFonts w:ascii="宋体" w:hAnsi="宋体" w:eastAsia="宋体"/>
          <w:color w:val="auto"/>
          <w:highlight w:val="none"/>
        </w:rPr>
        <w:t>1.1.2招标人：见投标人须知前附表。</w:t>
      </w:r>
    </w:p>
    <w:p w14:paraId="06AB0023">
      <w:pPr>
        <w:spacing w:line="360" w:lineRule="auto"/>
        <w:ind w:firstLine="420" w:firstLineChars="200"/>
        <w:rPr>
          <w:rFonts w:ascii="宋体" w:hAnsi="宋体" w:eastAsia="宋体"/>
          <w:color w:val="auto"/>
          <w:highlight w:val="none"/>
        </w:rPr>
      </w:pPr>
      <w:r>
        <w:rPr>
          <w:rFonts w:ascii="宋体" w:hAnsi="宋体" w:eastAsia="宋体"/>
          <w:color w:val="auto"/>
          <w:highlight w:val="none"/>
        </w:rPr>
        <w:t>1.1.3招标代理机构：见投标人须知前附表。</w:t>
      </w:r>
    </w:p>
    <w:p w14:paraId="67D39A97">
      <w:pPr>
        <w:spacing w:line="360" w:lineRule="auto"/>
        <w:ind w:firstLine="420" w:firstLineChars="200"/>
        <w:rPr>
          <w:rFonts w:ascii="宋体" w:hAnsi="宋体" w:eastAsia="宋体"/>
          <w:color w:val="auto"/>
          <w:highlight w:val="none"/>
        </w:rPr>
      </w:pPr>
      <w:r>
        <w:rPr>
          <w:rFonts w:ascii="宋体" w:hAnsi="宋体" w:eastAsia="宋体"/>
          <w:color w:val="auto"/>
          <w:highlight w:val="none"/>
        </w:rPr>
        <w:t>1.1.4招标项目名称：见投标人须知前附表。</w:t>
      </w:r>
    </w:p>
    <w:p w14:paraId="78032CF5">
      <w:pPr>
        <w:spacing w:line="360" w:lineRule="auto"/>
        <w:ind w:firstLine="420" w:firstLineChars="200"/>
        <w:rPr>
          <w:rFonts w:ascii="宋体" w:hAnsi="宋体" w:eastAsia="宋体"/>
          <w:color w:val="auto"/>
          <w:highlight w:val="none"/>
        </w:rPr>
      </w:pPr>
      <w:r>
        <w:rPr>
          <w:rFonts w:ascii="宋体" w:hAnsi="宋体" w:eastAsia="宋体"/>
          <w:color w:val="auto"/>
          <w:highlight w:val="none"/>
        </w:rPr>
        <w:t>1.1.5项目地点：见投标人须知前附表。</w:t>
      </w:r>
    </w:p>
    <w:p w14:paraId="7BFD1A95">
      <w:pPr>
        <w:spacing w:line="360" w:lineRule="auto"/>
        <w:ind w:firstLine="420" w:firstLineChars="200"/>
        <w:rPr>
          <w:rFonts w:ascii="宋体" w:hAnsi="宋体" w:eastAsia="宋体"/>
          <w:color w:val="auto"/>
          <w:highlight w:val="none"/>
        </w:rPr>
      </w:pPr>
      <w:r>
        <w:rPr>
          <w:rFonts w:ascii="宋体" w:hAnsi="宋体" w:eastAsia="宋体"/>
          <w:color w:val="auto"/>
          <w:highlight w:val="none"/>
        </w:rPr>
        <w:t>1.1.6项目规模：见投标人须知前附表。</w:t>
      </w:r>
    </w:p>
    <w:p w14:paraId="45A1198C">
      <w:pPr>
        <w:pStyle w:val="4"/>
        <w:spacing w:after="283" w:line="416" w:lineRule="auto"/>
        <w:ind w:left="424" w:firstLine="0" w:firstLineChars="0"/>
        <w:rPr>
          <w:rFonts w:ascii="宋体" w:hAnsi="宋体" w:eastAsia="宋体"/>
          <w:color w:val="auto"/>
          <w:highlight w:val="none"/>
        </w:rPr>
      </w:pPr>
      <w:bookmarkStart w:id="20" w:name="_Toc36466564"/>
      <w:bookmarkStart w:id="21" w:name="_Toc51055713"/>
      <w:bookmarkStart w:id="22" w:name="_Toc133420469"/>
      <w:bookmarkStart w:id="23" w:name="_Toc45266395"/>
      <w:bookmarkStart w:id="24" w:name="_Toc28198"/>
      <w:r>
        <w:rPr>
          <w:rFonts w:ascii="宋体" w:hAnsi="宋体" w:eastAsia="宋体"/>
          <w:color w:val="auto"/>
          <w:highlight w:val="none"/>
        </w:rPr>
        <w:t>1.2招标项目的资金来源和落实情况</w:t>
      </w:r>
      <w:bookmarkEnd w:id="20"/>
      <w:bookmarkEnd w:id="21"/>
      <w:bookmarkEnd w:id="22"/>
      <w:bookmarkEnd w:id="23"/>
      <w:bookmarkEnd w:id="24"/>
    </w:p>
    <w:p w14:paraId="04BEA63E">
      <w:pPr>
        <w:spacing w:line="360" w:lineRule="auto"/>
        <w:ind w:firstLine="420" w:firstLineChars="200"/>
        <w:rPr>
          <w:rFonts w:ascii="宋体" w:hAnsi="宋体" w:eastAsia="宋体"/>
          <w:color w:val="auto"/>
          <w:highlight w:val="none"/>
        </w:rPr>
      </w:pPr>
      <w:r>
        <w:rPr>
          <w:rFonts w:ascii="宋体" w:hAnsi="宋体" w:eastAsia="宋体"/>
          <w:color w:val="auto"/>
          <w:highlight w:val="none"/>
        </w:rPr>
        <w:t>1.2.1资金来源及比例：见投标人须知前附表。</w:t>
      </w:r>
    </w:p>
    <w:p w14:paraId="6C944A6E">
      <w:pPr>
        <w:spacing w:line="360" w:lineRule="auto"/>
        <w:ind w:firstLine="420" w:firstLineChars="200"/>
        <w:rPr>
          <w:rFonts w:ascii="宋体" w:hAnsi="宋体" w:eastAsia="宋体"/>
          <w:color w:val="auto"/>
          <w:highlight w:val="none"/>
        </w:rPr>
      </w:pPr>
      <w:r>
        <w:rPr>
          <w:rFonts w:ascii="宋体" w:hAnsi="宋体" w:eastAsia="宋体"/>
          <w:color w:val="auto"/>
          <w:highlight w:val="none"/>
        </w:rPr>
        <w:t>1.2.2资金落实情况：见投标人须知前附表。</w:t>
      </w:r>
    </w:p>
    <w:p w14:paraId="7D5B4022">
      <w:pPr>
        <w:pStyle w:val="4"/>
        <w:spacing w:after="283" w:line="416" w:lineRule="auto"/>
        <w:ind w:left="424" w:firstLine="0" w:firstLineChars="0"/>
        <w:rPr>
          <w:rFonts w:ascii="宋体" w:hAnsi="宋体" w:eastAsia="宋体"/>
          <w:color w:val="auto"/>
          <w:highlight w:val="none"/>
        </w:rPr>
      </w:pPr>
      <w:bookmarkStart w:id="25" w:name="_Toc36466565"/>
      <w:bookmarkStart w:id="26" w:name="_Toc133420470"/>
      <w:bookmarkStart w:id="27" w:name="_Toc45266396"/>
      <w:bookmarkStart w:id="28" w:name="_Toc51055714"/>
      <w:bookmarkStart w:id="29" w:name="_Toc28904"/>
      <w:r>
        <w:rPr>
          <w:rFonts w:ascii="宋体" w:hAnsi="宋体" w:eastAsia="宋体"/>
          <w:color w:val="auto"/>
          <w:highlight w:val="none"/>
        </w:rPr>
        <w:t xml:space="preserve">1.3 </w:t>
      </w:r>
      <w:r>
        <w:rPr>
          <w:rFonts w:hint="eastAsia" w:ascii="宋体" w:hAnsi="宋体" w:eastAsia="宋体"/>
          <w:color w:val="auto"/>
          <w:highlight w:val="none"/>
        </w:rPr>
        <w:t>招标范围、服务期限和质量标准</w:t>
      </w:r>
      <w:bookmarkEnd w:id="25"/>
      <w:bookmarkEnd w:id="26"/>
      <w:bookmarkEnd w:id="27"/>
      <w:bookmarkEnd w:id="28"/>
      <w:bookmarkEnd w:id="29"/>
    </w:p>
    <w:p w14:paraId="73E4E7DF">
      <w:pPr>
        <w:spacing w:line="360" w:lineRule="auto"/>
        <w:ind w:firstLine="420" w:firstLineChars="200"/>
        <w:rPr>
          <w:rFonts w:ascii="宋体" w:hAnsi="宋体" w:eastAsia="宋体"/>
          <w:color w:val="auto"/>
          <w:highlight w:val="none"/>
        </w:rPr>
      </w:pPr>
      <w:r>
        <w:rPr>
          <w:rFonts w:ascii="宋体" w:hAnsi="宋体" w:eastAsia="宋体"/>
          <w:color w:val="auto"/>
          <w:highlight w:val="none"/>
        </w:rPr>
        <w:t>1.3.1招标范围：见投标人须知前附表。</w:t>
      </w:r>
    </w:p>
    <w:p w14:paraId="66FCEB63">
      <w:pPr>
        <w:spacing w:line="360" w:lineRule="auto"/>
        <w:ind w:firstLine="420" w:firstLineChars="200"/>
        <w:rPr>
          <w:rFonts w:ascii="宋体" w:hAnsi="宋体" w:eastAsia="宋体"/>
          <w:color w:val="auto"/>
          <w:highlight w:val="none"/>
        </w:rPr>
      </w:pPr>
      <w:r>
        <w:rPr>
          <w:rFonts w:ascii="宋体" w:hAnsi="宋体" w:eastAsia="宋体"/>
          <w:color w:val="auto"/>
          <w:highlight w:val="none"/>
        </w:rPr>
        <w:t>1.3.2服务期限：见投标人须知前附表。</w:t>
      </w:r>
    </w:p>
    <w:p w14:paraId="019C57A8">
      <w:pPr>
        <w:spacing w:line="360" w:lineRule="auto"/>
        <w:ind w:firstLine="420" w:firstLineChars="200"/>
        <w:rPr>
          <w:rFonts w:ascii="宋体" w:hAnsi="宋体" w:eastAsia="宋体"/>
          <w:color w:val="auto"/>
          <w:highlight w:val="none"/>
        </w:rPr>
      </w:pPr>
      <w:r>
        <w:rPr>
          <w:rFonts w:ascii="宋体" w:hAnsi="宋体" w:eastAsia="宋体"/>
          <w:color w:val="auto"/>
          <w:highlight w:val="none"/>
        </w:rPr>
        <w:t>1.3.3质量标准：见投标人须知前附表。</w:t>
      </w:r>
    </w:p>
    <w:p w14:paraId="600A6D49">
      <w:pPr>
        <w:pStyle w:val="4"/>
        <w:spacing w:after="283" w:line="416" w:lineRule="auto"/>
        <w:ind w:left="424" w:firstLine="0" w:firstLineChars="0"/>
        <w:rPr>
          <w:rFonts w:ascii="宋体" w:hAnsi="宋体" w:eastAsia="宋体"/>
          <w:color w:val="auto"/>
          <w:highlight w:val="none"/>
        </w:rPr>
      </w:pPr>
      <w:bookmarkStart w:id="30" w:name="_Toc45266397"/>
      <w:bookmarkStart w:id="31" w:name="_Toc36466566"/>
      <w:bookmarkStart w:id="32" w:name="_Toc133420471"/>
      <w:bookmarkStart w:id="33" w:name="_Toc51055715"/>
      <w:bookmarkStart w:id="34" w:name="_Toc23890"/>
      <w:r>
        <w:rPr>
          <w:rFonts w:ascii="宋体" w:hAnsi="宋体" w:eastAsia="宋体"/>
          <w:color w:val="auto"/>
          <w:highlight w:val="none"/>
        </w:rPr>
        <w:t>1.4投标人资格要求</w:t>
      </w:r>
      <w:bookmarkEnd w:id="30"/>
      <w:bookmarkEnd w:id="31"/>
      <w:bookmarkEnd w:id="32"/>
      <w:bookmarkEnd w:id="33"/>
      <w:bookmarkEnd w:id="34"/>
    </w:p>
    <w:p w14:paraId="0816F5CF">
      <w:pPr>
        <w:spacing w:line="360" w:lineRule="auto"/>
        <w:ind w:firstLine="420" w:firstLineChars="200"/>
        <w:rPr>
          <w:rFonts w:ascii="宋体" w:hAnsi="宋体" w:eastAsia="宋体"/>
          <w:color w:val="auto"/>
          <w:highlight w:val="none"/>
        </w:rPr>
      </w:pPr>
      <w:r>
        <w:rPr>
          <w:rFonts w:ascii="宋体" w:hAnsi="宋体" w:eastAsia="宋体"/>
          <w:color w:val="auto"/>
          <w:highlight w:val="none"/>
        </w:rPr>
        <w:t>1.4.1投标人应具备承担本招标项目资质条件、能力和信誉：</w:t>
      </w:r>
    </w:p>
    <w:p w14:paraId="6AC00455">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1）资质要求：见投标人须知前附表；</w:t>
      </w:r>
    </w:p>
    <w:p w14:paraId="277AC5EA">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2）财务要求：见投标人须知前附表；</w:t>
      </w:r>
    </w:p>
    <w:p w14:paraId="7548D29A">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3）业绩要求：见投标人须知前附表；</w:t>
      </w:r>
    </w:p>
    <w:p w14:paraId="65F3DEE4">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4）信誉要求：见投标人须知前附表；</w:t>
      </w:r>
    </w:p>
    <w:p w14:paraId="7E7D3CC3">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5）项目负责人的资格要求：见投标人须知前附表；</w:t>
      </w:r>
    </w:p>
    <w:p w14:paraId="10AEDD7D">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6）其他主要人员要求：见投标人须知前附表。</w:t>
      </w:r>
    </w:p>
    <w:p w14:paraId="6FC1078B">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7）检测仪器设备要求：见投标人须知前附表。</w:t>
      </w:r>
    </w:p>
    <w:p w14:paraId="08E7D73D">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 xml:space="preserve">8）其他要求：见投标人须知前附表。 </w:t>
      </w:r>
    </w:p>
    <w:p w14:paraId="32E6B50E">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需要提交的相关证明材料见本章第</w:t>
      </w:r>
      <w:r>
        <w:rPr>
          <w:rFonts w:ascii="宋体" w:hAnsi="宋体" w:eastAsia="宋体"/>
          <w:color w:val="auto"/>
          <w:highlight w:val="none"/>
        </w:rPr>
        <w:t xml:space="preserve"> 3.5 </w:t>
      </w:r>
      <w:r>
        <w:rPr>
          <w:rFonts w:hint="eastAsia" w:ascii="宋体" w:hAnsi="宋体" w:eastAsia="宋体"/>
          <w:color w:val="auto"/>
          <w:highlight w:val="none"/>
        </w:rPr>
        <w:t>款的规定。</w:t>
      </w:r>
    </w:p>
    <w:p w14:paraId="5C46741B">
      <w:pPr>
        <w:spacing w:line="360" w:lineRule="auto"/>
        <w:ind w:firstLine="420" w:firstLineChars="200"/>
        <w:rPr>
          <w:rFonts w:ascii="宋体" w:hAnsi="宋体" w:eastAsia="宋体"/>
          <w:color w:val="auto"/>
          <w:highlight w:val="none"/>
        </w:rPr>
      </w:pPr>
      <w:r>
        <w:rPr>
          <w:rFonts w:ascii="宋体" w:hAnsi="宋体" w:eastAsia="宋体"/>
          <w:color w:val="auto"/>
          <w:highlight w:val="none"/>
        </w:rPr>
        <w:t xml:space="preserve">1.4.2投标人须知前附表规定接受联合体投标的，联合体除应符合本章第1.4.1 </w:t>
      </w:r>
      <w:r>
        <w:rPr>
          <w:rFonts w:hint="eastAsia" w:ascii="宋体" w:hAnsi="宋体" w:eastAsia="宋体"/>
          <w:color w:val="auto"/>
          <w:highlight w:val="none"/>
        </w:rPr>
        <w:t>项和投标人须知前附表的要求外，还应遵守以下规定：</w:t>
      </w:r>
    </w:p>
    <w:p w14:paraId="7311E185">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1）联合体各方应按招标文件提供的格式签订联合体协议书，明确联合体牵头人（或主办方）和各方权利义务，并承诺就中标项目向招标人承担连带责任；</w:t>
      </w:r>
    </w:p>
    <w:p w14:paraId="3AB6163C">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2）由同一专业的单位组成的联合体，按照资质等级较低的单位确定资质等级；</w:t>
      </w:r>
    </w:p>
    <w:p w14:paraId="5F8F8ADB">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3）联合体各方不得再以自己名义单独或参加其他联合体在本招标项目中投标，否则各相关投标均无效。</w:t>
      </w:r>
    </w:p>
    <w:p w14:paraId="55CF4FE8">
      <w:pPr>
        <w:spacing w:line="360" w:lineRule="auto"/>
        <w:ind w:firstLine="420" w:firstLineChars="200"/>
        <w:rPr>
          <w:rFonts w:ascii="宋体" w:hAnsi="宋体" w:eastAsia="宋体"/>
          <w:color w:val="auto"/>
          <w:highlight w:val="none"/>
        </w:rPr>
      </w:pPr>
      <w:r>
        <w:rPr>
          <w:rFonts w:ascii="宋体" w:hAnsi="宋体" w:eastAsia="宋体"/>
          <w:color w:val="auto"/>
          <w:highlight w:val="none"/>
        </w:rPr>
        <w:t>1.4.3投标人不得存在下列情形之一：</w:t>
      </w:r>
    </w:p>
    <w:p w14:paraId="19CE60B6">
      <w:pPr>
        <w:spacing w:line="360" w:lineRule="auto"/>
        <w:ind w:firstLine="420" w:firstLineChars="200"/>
        <w:rPr>
          <w:rFonts w:ascii="宋体" w:hAnsi="宋体" w:eastAsia="宋体"/>
          <w:color w:val="auto"/>
          <w:highlight w:val="none"/>
          <w:u w:val="single"/>
        </w:rPr>
      </w:pPr>
      <w:r>
        <w:rPr>
          <w:rFonts w:hint="eastAsia" w:ascii="宋体" w:hAnsi="宋体" w:eastAsia="宋体"/>
          <w:color w:val="auto"/>
          <w:highlight w:val="none"/>
          <w:u w:val="single"/>
        </w:rPr>
        <w:t>（</w:t>
      </w:r>
      <w:r>
        <w:rPr>
          <w:rFonts w:ascii="宋体" w:hAnsi="宋体" w:eastAsia="宋体"/>
          <w:color w:val="auto"/>
          <w:highlight w:val="none"/>
          <w:u w:val="single"/>
        </w:rPr>
        <w:t>1）为招标人不具有独立法人资格的附属机构（单位）；</w:t>
      </w:r>
    </w:p>
    <w:p w14:paraId="5E61790B">
      <w:pPr>
        <w:spacing w:line="360" w:lineRule="auto"/>
        <w:ind w:firstLine="420" w:firstLineChars="200"/>
        <w:rPr>
          <w:rFonts w:ascii="宋体" w:hAnsi="宋体" w:eastAsia="宋体"/>
          <w:color w:val="auto"/>
          <w:highlight w:val="none"/>
          <w:u w:val="single"/>
        </w:rPr>
      </w:pPr>
      <w:r>
        <w:rPr>
          <w:rFonts w:hint="eastAsia" w:ascii="宋体" w:hAnsi="宋体" w:eastAsia="宋体"/>
          <w:color w:val="auto"/>
          <w:highlight w:val="none"/>
          <w:u w:val="single"/>
        </w:rPr>
        <w:t>（</w:t>
      </w:r>
      <w:r>
        <w:rPr>
          <w:rFonts w:ascii="宋体" w:hAnsi="宋体" w:eastAsia="宋体"/>
          <w:color w:val="auto"/>
          <w:highlight w:val="none"/>
          <w:u w:val="single"/>
        </w:rPr>
        <w:t>2）与招标人存在利害关系且可能影响招标公正性；</w:t>
      </w:r>
    </w:p>
    <w:p w14:paraId="7444DB24">
      <w:pPr>
        <w:spacing w:line="360" w:lineRule="auto"/>
        <w:ind w:firstLine="420" w:firstLineChars="200"/>
        <w:rPr>
          <w:rFonts w:ascii="宋体" w:hAnsi="宋体" w:eastAsia="宋体"/>
          <w:color w:val="auto"/>
          <w:highlight w:val="none"/>
          <w:u w:val="single"/>
        </w:rPr>
      </w:pPr>
      <w:r>
        <w:rPr>
          <w:rFonts w:hint="eastAsia" w:ascii="宋体" w:hAnsi="宋体" w:eastAsia="宋体"/>
          <w:color w:val="auto"/>
          <w:highlight w:val="none"/>
          <w:u w:val="single"/>
        </w:rPr>
        <w:t>（</w:t>
      </w:r>
      <w:r>
        <w:rPr>
          <w:rFonts w:ascii="宋体" w:hAnsi="宋体" w:eastAsia="宋体"/>
          <w:color w:val="auto"/>
          <w:highlight w:val="none"/>
          <w:u w:val="single"/>
        </w:rPr>
        <w:t>3）与本招标项目的其他投标人为同一个单位负责人；</w:t>
      </w:r>
    </w:p>
    <w:p w14:paraId="6313A0E8">
      <w:pPr>
        <w:spacing w:line="360" w:lineRule="auto"/>
        <w:ind w:firstLine="420" w:firstLineChars="200"/>
        <w:rPr>
          <w:rFonts w:ascii="宋体" w:hAnsi="宋体" w:eastAsia="宋体"/>
          <w:color w:val="auto"/>
          <w:highlight w:val="none"/>
          <w:u w:val="single"/>
        </w:rPr>
      </w:pPr>
      <w:r>
        <w:rPr>
          <w:rFonts w:hint="eastAsia" w:ascii="宋体" w:hAnsi="宋体" w:eastAsia="宋体"/>
          <w:color w:val="auto"/>
          <w:highlight w:val="none"/>
          <w:u w:val="single"/>
        </w:rPr>
        <w:t>（</w:t>
      </w:r>
      <w:r>
        <w:rPr>
          <w:rFonts w:ascii="宋体" w:hAnsi="宋体" w:eastAsia="宋体"/>
          <w:color w:val="auto"/>
          <w:highlight w:val="none"/>
          <w:u w:val="single"/>
        </w:rPr>
        <w:t>4）与本招标项目的其他投标人存在控股、管理关系；</w:t>
      </w:r>
    </w:p>
    <w:p w14:paraId="31D0E962">
      <w:pPr>
        <w:spacing w:line="360" w:lineRule="auto"/>
        <w:ind w:firstLine="420" w:firstLineChars="200"/>
        <w:rPr>
          <w:rFonts w:ascii="宋体" w:hAnsi="宋体" w:eastAsia="宋体"/>
          <w:color w:val="auto"/>
          <w:highlight w:val="none"/>
          <w:u w:val="single"/>
        </w:rPr>
      </w:pPr>
      <w:r>
        <w:rPr>
          <w:rFonts w:hint="eastAsia" w:ascii="宋体" w:hAnsi="宋体" w:eastAsia="宋体"/>
          <w:color w:val="auto"/>
          <w:highlight w:val="none"/>
          <w:u w:val="single"/>
        </w:rPr>
        <w:t>（</w:t>
      </w:r>
      <w:r>
        <w:rPr>
          <w:rFonts w:ascii="宋体" w:hAnsi="宋体" w:eastAsia="宋体"/>
          <w:color w:val="auto"/>
          <w:highlight w:val="none"/>
          <w:u w:val="single"/>
        </w:rPr>
        <w:t>5</w:t>
      </w:r>
      <w:r>
        <w:rPr>
          <w:rFonts w:hint="eastAsia" w:ascii="宋体" w:hAnsi="宋体" w:eastAsia="宋体"/>
          <w:color w:val="auto"/>
          <w:highlight w:val="none"/>
          <w:u w:val="single"/>
        </w:rPr>
        <w:t>）为本招标项目的招标代理机构；</w:t>
      </w:r>
    </w:p>
    <w:p w14:paraId="6C5AA1EC">
      <w:pPr>
        <w:spacing w:line="360" w:lineRule="auto"/>
        <w:ind w:firstLine="420" w:firstLineChars="200"/>
        <w:rPr>
          <w:rFonts w:ascii="宋体" w:hAnsi="宋体" w:eastAsia="宋体"/>
          <w:color w:val="auto"/>
          <w:highlight w:val="none"/>
          <w:u w:val="single"/>
        </w:rPr>
      </w:pPr>
      <w:r>
        <w:rPr>
          <w:rFonts w:hint="eastAsia" w:ascii="宋体" w:hAnsi="宋体" w:eastAsia="宋体"/>
          <w:color w:val="auto"/>
          <w:highlight w:val="none"/>
          <w:u w:val="single"/>
        </w:rPr>
        <w:t>（</w:t>
      </w:r>
      <w:r>
        <w:rPr>
          <w:rFonts w:ascii="宋体" w:hAnsi="宋体" w:eastAsia="宋体"/>
          <w:color w:val="auto"/>
          <w:highlight w:val="none"/>
          <w:u w:val="single"/>
        </w:rPr>
        <w:t>6</w:t>
      </w:r>
      <w:r>
        <w:rPr>
          <w:rFonts w:hint="eastAsia" w:ascii="宋体" w:hAnsi="宋体" w:eastAsia="宋体"/>
          <w:color w:val="auto"/>
          <w:highlight w:val="none"/>
          <w:u w:val="single"/>
        </w:rPr>
        <w:t>）与本招标项目的招标代理机构同为一个法定代表人；</w:t>
      </w:r>
    </w:p>
    <w:p w14:paraId="690F74F0">
      <w:pPr>
        <w:spacing w:line="360" w:lineRule="auto"/>
        <w:ind w:firstLine="420" w:firstLineChars="200"/>
        <w:rPr>
          <w:rFonts w:ascii="宋体" w:hAnsi="宋体" w:eastAsia="宋体"/>
          <w:color w:val="auto"/>
          <w:highlight w:val="none"/>
          <w:u w:val="single"/>
        </w:rPr>
      </w:pPr>
      <w:r>
        <w:rPr>
          <w:rFonts w:hint="eastAsia" w:ascii="宋体" w:hAnsi="宋体" w:eastAsia="宋体"/>
          <w:color w:val="auto"/>
          <w:highlight w:val="none"/>
          <w:u w:val="single"/>
        </w:rPr>
        <w:t>（</w:t>
      </w:r>
      <w:r>
        <w:rPr>
          <w:rFonts w:ascii="宋体" w:hAnsi="宋体" w:eastAsia="宋体"/>
          <w:color w:val="auto"/>
          <w:highlight w:val="none"/>
          <w:u w:val="single"/>
        </w:rPr>
        <w:t>7</w:t>
      </w:r>
      <w:r>
        <w:rPr>
          <w:rFonts w:hint="eastAsia" w:ascii="宋体" w:hAnsi="宋体" w:eastAsia="宋体"/>
          <w:color w:val="auto"/>
          <w:highlight w:val="none"/>
          <w:u w:val="single"/>
        </w:rPr>
        <w:t>）与本招标项目的招标代理机构存在控股或参股关系；</w:t>
      </w:r>
    </w:p>
    <w:p w14:paraId="22581622">
      <w:pPr>
        <w:spacing w:line="360" w:lineRule="auto"/>
        <w:ind w:firstLine="420" w:firstLineChars="200"/>
        <w:rPr>
          <w:rFonts w:ascii="宋体" w:hAnsi="宋体" w:eastAsia="宋体"/>
          <w:color w:val="auto"/>
          <w:highlight w:val="none"/>
          <w:u w:val="single"/>
        </w:rPr>
      </w:pPr>
      <w:r>
        <w:rPr>
          <w:rFonts w:hint="eastAsia" w:ascii="宋体" w:hAnsi="宋体" w:eastAsia="宋体"/>
          <w:color w:val="auto"/>
          <w:highlight w:val="none"/>
          <w:u w:val="single"/>
        </w:rPr>
        <w:t>（</w:t>
      </w:r>
      <w:r>
        <w:rPr>
          <w:rFonts w:ascii="宋体" w:hAnsi="宋体" w:eastAsia="宋体"/>
          <w:color w:val="auto"/>
          <w:highlight w:val="none"/>
          <w:u w:val="single"/>
        </w:rPr>
        <w:t>8</w:t>
      </w:r>
      <w:r>
        <w:rPr>
          <w:rFonts w:hint="eastAsia" w:ascii="宋体" w:hAnsi="宋体" w:eastAsia="宋体"/>
          <w:color w:val="auto"/>
          <w:highlight w:val="none"/>
          <w:u w:val="single"/>
        </w:rPr>
        <w:t>）被依法暂停或者取消投标资格；</w:t>
      </w:r>
    </w:p>
    <w:p w14:paraId="60944189">
      <w:pPr>
        <w:spacing w:line="360" w:lineRule="auto"/>
        <w:ind w:firstLine="420" w:firstLineChars="200"/>
        <w:rPr>
          <w:rFonts w:ascii="宋体" w:hAnsi="宋体" w:eastAsia="宋体"/>
          <w:color w:val="auto"/>
          <w:highlight w:val="none"/>
          <w:u w:val="single"/>
        </w:rPr>
      </w:pPr>
      <w:r>
        <w:rPr>
          <w:rFonts w:hint="eastAsia" w:ascii="宋体" w:hAnsi="宋体" w:eastAsia="宋体"/>
          <w:color w:val="auto"/>
          <w:highlight w:val="none"/>
          <w:u w:val="single"/>
        </w:rPr>
        <w:t>（</w:t>
      </w:r>
      <w:r>
        <w:rPr>
          <w:rFonts w:ascii="宋体" w:hAnsi="宋体" w:eastAsia="宋体"/>
          <w:color w:val="auto"/>
          <w:highlight w:val="none"/>
          <w:u w:val="single"/>
        </w:rPr>
        <w:t>9</w:t>
      </w:r>
      <w:r>
        <w:rPr>
          <w:rFonts w:hint="eastAsia" w:ascii="宋体" w:hAnsi="宋体" w:eastAsia="宋体"/>
          <w:color w:val="auto"/>
          <w:highlight w:val="none"/>
          <w:u w:val="single"/>
        </w:rPr>
        <w:t>）被责令停产停业、暂扣或者吊销许可证、暂扣或者吊销执照；</w:t>
      </w:r>
    </w:p>
    <w:p w14:paraId="2C928D47">
      <w:pPr>
        <w:spacing w:line="360" w:lineRule="auto"/>
        <w:ind w:firstLine="420" w:firstLineChars="200"/>
        <w:rPr>
          <w:rFonts w:ascii="宋体" w:hAnsi="宋体" w:eastAsia="宋体"/>
          <w:color w:val="auto"/>
          <w:highlight w:val="none"/>
          <w:u w:val="single"/>
        </w:rPr>
      </w:pPr>
      <w:r>
        <w:rPr>
          <w:rFonts w:hint="eastAsia" w:ascii="宋体" w:hAnsi="宋体" w:eastAsia="宋体"/>
          <w:color w:val="auto"/>
          <w:highlight w:val="none"/>
          <w:u w:val="single"/>
        </w:rPr>
        <w:t>（</w:t>
      </w:r>
      <w:r>
        <w:rPr>
          <w:rFonts w:ascii="宋体" w:hAnsi="宋体" w:eastAsia="宋体"/>
          <w:color w:val="auto"/>
          <w:highlight w:val="none"/>
          <w:u w:val="single"/>
        </w:rPr>
        <w:t>10</w:t>
      </w:r>
      <w:r>
        <w:rPr>
          <w:rFonts w:hint="eastAsia" w:ascii="宋体" w:hAnsi="宋体" w:eastAsia="宋体"/>
          <w:color w:val="auto"/>
          <w:highlight w:val="none"/>
          <w:u w:val="single"/>
        </w:rPr>
        <w:t>）进入清算程序，或被宣告破产，或其他丧失履约能力的情形；</w:t>
      </w:r>
    </w:p>
    <w:p w14:paraId="5EBFE805">
      <w:pPr>
        <w:spacing w:line="360" w:lineRule="auto"/>
        <w:ind w:firstLine="420" w:firstLineChars="200"/>
        <w:rPr>
          <w:rFonts w:ascii="宋体" w:hAnsi="宋体" w:eastAsia="宋体"/>
          <w:color w:val="auto"/>
          <w:highlight w:val="none"/>
          <w:u w:val="single"/>
        </w:rPr>
      </w:pPr>
      <w:r>
        <w:rPr>
          <w:rFonts w:hint="eastAsia" w:ascii="宋体" w:hAnsi="宋体" w:eastAsia="宋体"/>
          <w:color w:val="auto"/>
          <w:highlight w:val="none"/>
          <w:u w:val="single"/>
        </w:rPr>
        <w:t>（</w:t>
      </w:r>
      <w:r>
        <w:rPr>
          <w:rFonts w:ascii="宋体" w:hAnsi="宋体" w:eastAsia="宋体"/>
          <w:color w:val="auto"/>
          <w:highlight w:val="none"/>
          <w:u w:val="single"/>
        </w:rPr>
        <w:t>11</w:t>
      </w:r>
      <w:r>
        <w:rPr>
          <w:rFonts w:hint="eastAsia" w:ascii="宋体" w:hAnsi="宋体" w:eastAsia="宋体"/>
          <w:color w:val="auto"/>
          <w:highlight w:val="none"/>
          <w:u w:val="single"/>
        </w:rPr>
        <w:t>）法律法规或投标人须知前附表规定的其他情形。</w:t>
      </w:r>
    </w:p>
    <w:p w14:paraId="2118F4E5">
      <w:pPr>
        <w:pStyle w:val="4"/>
        <w:spacing w:after="283" w:line="416" w:lineRule="auto"/>
        <w:ind w:left="424" w:firstLine="0" w:firstLineChars="0"/>
        <w:rPr>
          <w:rFonts w:ascii="宋体" w:hAnsi="宋体" w:eastAsia="宋体"/>
          <w:color w:val="auto"/>
          <w:highlight w:val="none"/>
        </w:rPr>
      </w:pPr>
      <w:bookmarkStart w:id="35" w:name="_Toc45266398"/>
      <w:bookmarkStart w:id="36" w:name="_Toc36466567"/>
      <w:bookmarkStart w:id="37" w:name="_Toc51055716"/>
      <w:bookmarkStart w:id="38" w:name="_Toc133420472"/>
      <w:bookmarkStart w:id="39" w:name="_Toc22519"/>
      <w:r>
        <w:rPr>
          <w:rFonts w:ascii="宋体" w:hAnsi="宋体" w:eastAsia="宋体"/>
          <w:color w:val="auto"/>
          <w:highlight w:val="none"/>
        </w:rPr>
        <w:t>1.5费用承担</w:t>
      </w:r>
      <w:bookmarkEnd w:id="35"/>
      <w:bookmarkEnd w:id="36"/>
      <w:bookmarkEnd w:id="37"/>
      <w:bookmarkEnd w:id="38"/>
      <w:bookmarkEnd w:id="39"/>
    </w:p>
    <w:p w14:paraId="2E23AA1F">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投标人准备和参加投标活动发生的费用自理。中标人支付广州交易集团有限公司（广州公共资源交易中心）服务费。</w:t>
      </w:r>
    </w:p>
    <w:p w14:paraId="00DABEBD">
      <w:pPr>
        <w:pStyle w:val="4"/>
        <w:spacing w:after="283" w:line="416" w:lineRule="auto"/>
        <w:ind w:left="424" w:firstLine="0" w:firstLineChars="0"/>
        <w:rPr>
          <w:rFonts w:ascii="宋体" w:hAnsi="宋体" w:eastAsia="宋体"/>
          <w:color w:val="auto"/>
          <w:highlight w:val="none"/>
        </w:rPr>
      </w:pPr>
      <w:bookmarkStart w:id="40" w:name="_Toc51055717"/>
      <w:bookmarkStart w:id="41" w:name="_Toc36466568"/>
      <w:bookmarkStart w:id="42" w:name="_Toc133420473"/>
      <w:bookmarkStart w:id="43" w:name="_Toc45266399"/>
      <w:bookmarkStart w:id="44" w:name="_Toc3724"/>
      <w:r>
        <w:rPr>
          <w:rFonts w:ascii="宋体" w:hAnsi="宋体" w:eastAsia="宋体"/>
          <w:color w:val="auto"/>
          <w:highlight w:val="none"/>
        </w:rPr>
        <w:t>1.6保密</w:t>
      </w:r>
      <w:bookmarkEnd w:id="40"/>
      <w:bookmarkEnd w:id="41"/>
      <w:bookmarkEnd w:id="42"/>
      <w:bookmarkEnd w:id="43"/>
      <w:bookmarkEnd w:id="44"/>
    </w:p>
    <w:p w14:paraId="69B36B47">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参与招标投标活动的各方应对招标文件和投标文件中的商业和技术等秘密保密，否则应承担相应的法律责任。</w:t>
      </w:r>
    </w:p>
    <w:p w14:paraId="6062C3B5">
      <w:pPr>
        <w:pStyle w:val="4"/>
        <w:spacing w:after="283" w:line="416" w:lineRule="auto"/>
        <w:ind w:left="424" w:firstLine="0" w:firstLineChars="0"/>
        <w:rPr>
          <w:rFonts w:ascii="宋体" w:hAnsi="宋体" w:eastAsia="宋体"/>
          <w:color w:val="auto"/>
          <w:highlight w:val="none"/>
        </w:rPr>
      </w:pPr>
      <w:bookmarkStart w:id="45" w:name="_Toc36466569"/>
      <w:bookmarkStart w:id="46" w:name="_Toc133420474"/>
      <w:bookmarkStart w:id="47" w:name="_Toc45266400"/>
      <w:bookmarkStart w:id="48" w:name="_Toc51055718"/>
      <w:bookmarkStart w:id="49" w:name="_Toc1200"/>
      <w:r>
        <w:rPr>
          <w:rFonts w:ascii="宋体" w:hAnsi="宋体" w:eastAsia="宋体"/>
          <w:color w:val="auto"/>
          <w:highlight w:val="none"/>
        </w:rPr>
        <w:t>1.7语言文字</w:t>
      </w:r>
      <w:bookmarkEnd w:id="45"/>
      <w:bookmarkEnd w:id="46"/>
      <w:bookmarkEnd w:id="47"/>
      <w:bookmarkEnd w:id="48"/>
      <w:bookmarkEnd w:id="49"/>
    </w:p>
    <w:p w14:paraId="68A63F08">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招标投标文件使用的语言文字为中文。专用术语使用外文的，应附有中文注释。</w:t>
      </w:r>
    </w:p>
    <w:p w14:paraId="0EE5DA54">
      <w:pPr>
        <w:pStyle w:val="4"/>
        <w:spacing w:after="283" w:line="416" w:lineRule="auto"/>
        <w:ind w:left="424" w:firstLine="0" w:firstLineChars="0"/>
        <w:rPr>
          <w:rFonts w:ascii="宋体" w:hAnsi="宋体" w:eastAsia="宋体"/>
          <w:color w:val="auto"/>
          <w:highlight w:val="none"/>
        </w:rPr>
      </w:pPr>
      <w:bookmarkStart w:id="50" w:name="_Toc133420475"/>
      <w:bookmarkStart w:id="51" w:name="_Toc45266401"/>
      <w:bookmarkStart w:id="52" w:name="_Toc36466570"/>
      <w:bookmarkStart w:id="53" w:name="_Toc51055719"/>
      <w:bookmarkStart w:id="54" w:name="_Toc27726"/>
      <w:r>
        <w:rPr>
          <w:rFonts w:ascii="宋体" w:hAnsi="宋体" w:eastAsia="宋体"/>
          <w:color w:val="auto"/>
          <w:highlight w:val="none"/>
        </w:rPr>
        <w:t>1.8计量单位</w:t>
      </w:r>
      <w:bookmarkEnd w:id="50"/>
      <w:bookmarkEnd w:id="51"/>
      <w:bookmarkEnd w:id="52"/>
      <w:bookmarkEnd w:id="53"/>
      <w:bookmarkEnd w:id="54"/>
    </w:p>
    <w:p w14:paraId="2ED0DF44">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所有计量均采用中华人民共和国法定计量单位。</w:t>
      </w:r>
    </w:p>
    <w:p w14:paraId="5B567185">
      <w:pPr>
        <w:pStyle w:val="4"/>
        <w:spacing w:after="283" w:line="416" w:lineRule="auto"/>
        <w:ind w:left="424" w:firstLine="0" w:firstLineChars="0"/>
        <w:rPr>
          <w:rFonts w:ascii="宋体" w:hAnsi="宋体" w:eastAsia="宋体"/>
          <w:color w:val="auto"/>
          <w:highlight w:val="none"/>
        </w:rPr>
      </w:pPr>
      <w:bookmarkStart w:id="55" w:name="_Toc133420476"/>
      <w:bookmarkStart w:id="56" w:name="_Toc51055720"/>
      <w:bookmarkStart w:id="57" w:name="_Toc36466571"/>
      <w:bookmarkStart w:id="58" w:name="_Toc45266402"/>
      <w:bookmarkStart w:id="59" w:name="_Toc20550"/>
      <w:r>
        <w:rPr>
          <w:rFonts w:ascii="宋体" w:hAnsi="宋体" w:eastAsia="宋体"/>
          <w:color w:val="auto"/>
          <w:highlight w:val="none"/>
        </w:rPr>
        <w:t>1.9踏勘现场</w:t>
      </w:r>
      <w:bookmarkEnd w:id="55"/>
      <w:bookmarkEnd w:id="56"/>
      <w:bookmarkEnd w:id="57"/>
      <w:bookmarkEnd w:id="58"/>
      <w:bookmarkEnd w:id="59"/>
    </w:p>
    <w:p w14:paraId="3A8BDB1D">
      <w:pPr>
        <w:spacing w:line="360" w:lineRule="auto"/>
        <w:ind w:firstLine="420" w:firstLineChars="200"/>
        <w:rPr>
          <w:rFonts w:ascii="宋体" w:hAnsi="宋体" w:eastAsia="宋体"/>
          <w:color w:val="auto"/>
          <w:highlight w:val="none"/>
        </w:rPr>
      </w:pPr>
      <w:r>
        <w:rPr>
          <w:rFonts w:ascii="宋体" w:hAnsi="宋体" w:eastAsia="宋体"/>
          <w:color w:val="auto"/>
          <w:highlight w:val="none"/>
        </w:rPr>
        <w:t xml:space="preserve">1.9.1投标人须知前附表规定组织踏勘现场的，招标人按投标人须知前附表规定的时间、地 </w:t>
      </w:r>
      <w:r>
        <w:rPr>
          <w:rFonts w:hint="eastAsia" w:ascii="宋体" w:hAnsi="宋体" w:eastAsia="宋体"/>
          <w:color w:val="auto"/>
          <w:highlight w:val="none"/>
        </w:rPr>
        <w:t>点组织投标人踏勘项目现场。部分投标人未按时参加踏勘现场的，不影响踏勘现场的正常进行。</w:t>
      </w:r>
    </w:p>
    <w:p w14:paraId="04D7967A">
      <w:pPr>
        <w:spacing w:line="360" w:lineRule="auto"/>
        <w:ind w:firstLine="420" w:firstLineChars="200"/>
        <w:rPr>
          <w:rFonts w:ascii="宋体" w:hAnsi="宋体" w:eastAsia="宋体"/>
          <w:color w:val="auto"/>
          <w:highlight w:val="none"/>
        </w:rPr>
      </w:pPr>
      <w:r>
        <w:rPr>
          <w:rFonts w:ascii="宋体" w:hAnsi="宋体" w:eastAsia="宋体"/>
          <w:color w:val="auto"/>
          <w:highlight w:val="none"/>
        </w:rPr>
        <w:t>1.9.2投标人踏勘现场发生的费用自理。</w:t>
      </w:r>
    </w:p>
    <w:p w14:paraId="2AA6BDA0">
      <w:pPr>
        <w:spacing w:line="360" w:lineRule="auto"/>
        <w:ind w:firstLine="420" w:firstLineChars="200"/>
        <w:rPr>
          <w:rFonts w:ascii="宋体" w:hAnsi="宋体" w:eastAsia="宋体"/>
          <w:color w:val="auto"/>
          <w:highlight w:val="none"/>
        </w:rPr>
      </w:pPr>
      <w:r>
        <w:rPr>
          <w:rFonts w:ascii="宋体" w:hAnsi="宋体" w:eastAsia="宋体"/>
          <w:color w:val="auto"/>
          <w:highlight w:val="none"/>
        </w:rPr>
        <w:t>1.9.3除招标人的原因外，投标人自行负责在踏勘现场中所发生的人员伤亡和财产损失。</w:t>
      </w:r>
    </w:p>
    <w:p w14:paraId="182B22CE">
      <w:pPr>
        <w:spacing w:line="360" w:lineRule="auto"/>
        <w:ind w:firstLine="420" w:firstLineChars="200"/>
        <w:rPr>
          <w:rFonts w:ascii="宋体" w:hAnsi="宋体" w:eastAsia="宋体"/>
          <w:color w:val="auto"/>
          <w:highlight w:val="none"/>
        </w:rPr>
      </w:pPr>
      <w:r>
        <w:rPr>
          <w:rFonts w:ascii="宋体" w:hAnsi="宋体" w:eastAsia="宋体"/>
          <w:color w:val="auto"/>
          <w:highlight w:val="none"/>
        </w:rPr>
        <w:t>1.9.4招标人在踏勘现场中介绍的工程场地和相关的周边环境情况，供投标人在编制投标文件时参考，招标人不对投标人据此作出的判断和决策负责。</w:t>
      </w:r>
    </w:p>
    <w:p w14:paraId="2C3F6043">
      <w:pPr>
        <w:pStyle w:val="4"/>
        <w:spacing w:after="283" w:line="416" w:lineRule="auto"/>
        <w:ind w:left="424" w:firstLine="0" w:firstLineChars="0"/>
        <w:rPr>
          <w:rFonts w:ascii="宋体" w:hAnsi="宋体" w:eastAsia="宋体"/>
          <w:color w:val="auto"/>
          <w:highlight w:val="none"/>
        </w:rPr>
      </w:pPr>
      <w:bookmarkStart w:id="60" w:name="_Toc51055721"/>
      <w:bookmarkStart w:id="61" w:name="_Toc133420477"/>
      <w:bookmarkStart w:id="62" w:name="_Toc36466572"/>
      <w:bookmarkStart w:id="63" w:name="_Toc45266403"/>
      <w:bookmarkStart w:id="64" w:name="_Toc10516"/>
      <w:r>
        <w:rPr>
          <w:rFonts w:ascii="宋体" w:hAnsi="宋体" w:eastAsia="宋体"/>
          <w:color w:val="auto"/>
          <w:highlight w:val="none"/>
        </w:rPr>
        <w:t>1.10投标预备会</w:t>
      </w:r>
      <w:bookmarkEnd w:id="60"/>
      <w:bookmarkEnd w:id="61"/>
      <w:bookmarkEnd w:id="62"/>
      <w:bookmarkEnd w:id="63"/>
      <w:bookmarkEnd w:id="64"/>
    </w:p>
    <w:p w14:paraId="6305765A">
      <w:pPr>
        <w:spacing w:line="360" w:lineRule="auto"/>
        <w:ind w:firstLine="420" w:firstLineChars="200"/>
        <w:rPr>
          <w:rFonts w:ascii="宋体" w:hAnsi="宋体" w:eastAsia="宋体"/>
          <w:color w:val="auto"/>
          <w:highlight w:val="none"/>
        </w:rPr>
      </w:pPr>
      <w:r>
        <w:rPr>
          <w:rFonts w:ascii="宋体" w:hAnsi="宋体" w:eastAsia="宋体"/>
          <w:color w:val="auto"/>
          <w:highlight w:val="none"/>
        </w:rPr>
        <w:t xml:space="preserve">1.10.1投标人须知前附表规定召开投标预备会的，招标人按投标人须知前附表规定的时间 </w:t>
      </w:r>
      <w:r>
        <w:rPr>
          <w:rFonts w:hint="eastAsia" w:ascii="宋体" w:hAnsi="宋体" w:eastAsia="宋体"/>
          <w:color w:val="auto"/>
          <w:highlight w:val="none"/>
        </w:rPr>
        <w:t>和地点召开投标预备会，澄清投标人提出的问题。</w:t>
      </w:r>
    </w:p>
    <w:p w14:paraId="194BEF3B">
      <w:pPr>
        <w:spacing w:line="360" w:lineRule="auto"/>
        <w:ind w:firstLine="420" w:firstLineChars="200"/>
        <w:rPr>
          <w:rFonts w:ascii="宋体" w:hAnsi="宋体" w:eastAsia="宋体"/>
          <w:color w:val="auto"/>
          <w:highlight w:val="none"/>
        </w:rPr>
      </w:pPr>
      <w:r>
        <w:rPr>
          <w:rFonts w:ascii="宋体" w:hAnsi="宋体" w:eastAsia="宋体"/>
          <w:color w:val="auto"/>
          <w:highlight w:val="none"/>
        </w:rPr>
        <w:t>1.10.2投标人应按投标人须知前附表规定的时间和形式将提出的问题送达招标人，以便招标人在会议期间澄清。</w:t>
      </w:r>
    </w:p>
    <w:p w14:paraId="64720C61">
      <w:pPr>
        <w:spacing w:line="360" w:lineRule="auto"/>
        <w:ind w:firstLine="420" w:firstLineChars="200"/>
        <w:rPr>
          <w:rFonts w:ascii="宋体" w:hAnsi="宋体" w:eastAsia="宋体"/>
          <w:color w:val="auto"/>
          <w:highlight w:val="none"/>
        </w:rPr>
      </w:pPr>
      <w:r>
        <w:rPr>
          <w:rFonts w:ascii="宋体" w:hAnsi="宋体" w:eastAsia="宋体"/>
          <w:color w:val="auto"/>
          <w:highlight w:val="none"/>
        </w:rPr>
        <w:t xml:space="preserve">1.10.3投标预备会后，招标人将对投标人所提问题的澄清，以投标人须知前附表规定的形 </w:t>
      </w:r>
      <w:r>
        <w:rPr>
          <w:rFonts w:hint="eastAsia" w:ascii="宋体" w:hAnsi="宋体" w:eastAsia="宋体"/>
          <w:color w:val="auto"/>
          <w:highlight w:val="none"/>
        </w:rPr>
        <w:t>式通知所有购买招标文件的投标人。该澄清内容为招标文件的组成部分。</w:t>
      </w:r>
    </w:p>
    <w:p w14:paraId="1C67B223">
      <w:pPr>
        <w:pStyle w:val="4"/>
        <w:spacing w:after="283" w:line="416" w:lineRule="auto"/>
        <w:ind w:left="424" w:firstLine="0" w:firstLineChars="0"/>
        <w:rPr>
          <w:rFonts w:ascii="宋体" w:hAnsi="宋体" w:eastAsia="宋体"/>
          <w:color w:val="auto"/>
          <w:highlight w:val="none"/>
        </w:rPr>
      </w:pPr>
      <w:bookmarkStart w:id="65" w:name="_Toc133420478"/>
      <w:bookmarkStart w:id="66" w:name="_Toc45266404"/>
      <w:bookmarkStart w:id="67" w:name="_Toc51055722"/>
      <w:bookmarkStart w:id="68" w:name="_Toc36466573"/>
      <w:bookmarkStart w:id="69" w:name="_Toc20729"/>
      <w:r>
        <w:rPr>
          <w:rFonts w:ascii="宋体" w:hAnsi="宋体" w:eastAsia="宋体"/>
          <w:color w:val="auto"/>
          <w:highlight w:val="none"/>
        </w:rPr>
        <w:t>1.11分包</w:t>
      </w:r>
      <w:bookmarkEnd w:id="65"/>
      <w:bookmarkEnd w:id="66"/>
      <w:bookmarkEnd w:id="67"/>
      <w:bookmarkEnd w:id="68"/>
      <w:bookmarkEnd w:id="69"/>
    </w:p>
    <w:p w14:paraId="6C4A5A6D">
      <w:pPr>
        <w:ind w:left="424" w:right="-20"/>
        <w:jc w:val="left"/>
        <w:rPr>
          <w:rFonts w:ascii="宋体" w:hAnsi="宋体" w:eastAsia="宋体"/>
          <w:color w:val="auto"/>
          <w:highlight w:val="none"/>
        </w:rPr>
      </w:pPr>
      <w:r>
        <w:rPr>
          <w:rFonts w:ascii="宋体" w:hAnsi="宋体" w:eastAsia="宋体"/>
          <w:color w:val="auto"/>
          <w:highlight w:val="none"/>
        </w:rPr>
        <w:t>本项目严禁</w:t>
      </w:r>
      <w:r>
        <w:rPr>
          <w:rFonts w:hint="eastAsia" w:ascii="宋体" w:hAnsi="宋体" w:eastAsia="宋体"/>
          <w:color w:val="auto"/>
          <w:highlight w:val="none"/>
        </w:rPr>
        <w:t>违法</w:t>
      </w:r>
      <w:r>
        <w:rPr>
          <w:rFonts w:ascii="宋体" w:hAnsi="宋体" w:eastAsia="宋体"/>
          <w:color w:val="auto"/>
          <w:highlight w:val="none"/>
        </w:rPr>
        <w:t>分包。</w:t>
      </w:r>
    </w:p>
    <w:p w14:paraId="16DD6261">
      <w:pPr>
        <w:pStyle w:val="4"/>
        <w:spacing w:after="283" w:line="416" w:lineRule="auto"/>
        <w:ind w:left="424" w:firstLine="0" w:firstLineChars="0"/>
        <w:rPr>
          <w:rFonts w:ascii="宋体" w:hAnsi="宋体" w:eastAsia="宋体"/>
          <w:color w:val="auto"/>
          <w:highlight w:val="none"/>
        </w:rPr>
      </w:pPr>
      <w:bookmarkStart w:id="70" w:name="_Toc36466574"/>
      <w:bookmarkStart w:id="71" w:name="_Toc45266405"/>
      <w:bookmarkStart w:id="72" w:name="_Toc133420479"/>
      <w:bookmarkStart w:id="73" w:name="_Toc51055723"/>
      <w:bookmarkStart w:id="74" w:name="_Toc16652"/>
      <w:r>
        <w:rPr>
          <w:rFonts w:ascii="宋体" w:hAnsi="宋体" w:eastAsia="宋体"/>
          <w:color w:val="auto"/>
          <w:highlight w:val="none"/>
        </w:rPr>
        <w:t>1.12响应和偏差</w:t>
      </w:r>
      <w:bookmarkEnd w:id="70"/>
      <w:bookmarkEnd w:id="71"/>
      <w:bookmarkEnd w:id="72"/>
      <w:bookmarkEnd w:id="73"/>
      <w:bookmarkEnd w:id="74"/>
    </w:p>
    <w:p w14:paraId="79AF9E09">
      <w:pPr>
        <w:spacing w:line="360" w:lineRule="auto"/>
        <w:ind w:firstLine="420" w:firstLineChars="200"/>
        <w:rPr>
          <w:rFonts w:ascii="宋体" w:hAnsi="宋体" w:eastAsia="宋体"/>
          <w:color w:val="auto"/>
          <w:highlight w:val="none"/>
        </w:rPr>
      </w:pPr>
      <w:r>
        <w:rPr>
          <w:rFonts w:ascii="宋体" w:hAnsi="宋体" w:eastAsia="宋体"/>
          <w:color w:val="auto"/>
          <w:highlight w:val="none"/>
        </w:rPr>
        <w:t>1.12.1投标文件应当对招标文件的实质性要求和条件作出满足性或更有利于招标人的响应，否则，投标人的投标将被否决。实质性要求和条件见投标人须知前附表。</w:t>
      </w:r>
    </w:p>
    <w:p w14:paraId="03CA9E40">
      <w:pPr>
        <w:spacing w:line="360" w:lineRule="auto"/>
        <w:ind w:firstLine="420" w:firstLineChars="200"/>
        <w:rPr>
          <w:rFonts w:ascii="宋体" w:hAnsi="宋体" w:eastAsia="宋体"/>
          <w:color w:val="auto"/>
          <w:highlight w:val="none"/>
        </w:rPr>
      </w:pPr>
      <w:r>
        <w:rPr>
          <w:rFonts w:ascii="宋体" w:hAnsi="宋体" w:eastAsia="宋体"/>
          <w:color w:val="auto"/>
          <w:highlight w:val="none"/>
        </w:rPr>
        <w:t>1.12.2投标人应根据招标文件的要求提供投标技术服务方案等内容以对招标文件作出响应。</w:t>
      </w:r>
    </w:p>
    <w:p w14:paraId="5E9CAC6D">
      <w:pPr>
        <w:spacing w:line="360" w:lineRule="auto"/>
        <w:ind w:firstLine="420" w:firstLineChars="200"/>
        <w:rPr>
          <w:rFonts w:ascii="宋体" w:hAnsi="宋体" w:eastAsia="宋体"/>
          <w:color w:val="auto"/>
          <w:highlight w:val="none"/>
        </w:rPr>
      </w:pPr>
      <w:r>
        <w:rPr>
          <w:rFonts w:ascii="宋体" w:hAnsi="宋体" w:eastAsia="宋体"/>
          <w:color w:val="auto"/>
          <w:highlight w:val="none"/>
        </w:rPr>
        <w:t>1.12.3投标人须知前附表允许投标文件偏离招标文件某些要求的，偏差应当符合招标文件规定的偏差范围和幅度。</w:t>
      </w:r>
    </w:p>
    <w:p w14:paraId="5B54B8B5">
      <w:pPr>
        <w:pStyle w:val="3"/>
        <w:ind w:firstLine="602"/>
        <w:rPr>
          <w:color w:val="auto"/>
          <w:highlight w:val="none"/>
        </w:rPr>
      </w:pPr>
      <w:bookmarkStart w:id="75" w:name="_Toc133420480"/>
      <w:bookmarkStart w:id="76" w:name="_Toc32128"/>
      <w:r>
        <w:rPr>
          <w:color w:val="auto"/>
          <w:highlight w:val="none"/>
        </w:rPr>
        <w:t>2.招标文件</w:t>
      </w:r>
      <w:bookmarkEnd w:id="75"/>
      <w:bookmarkEnd w:id="76"/>
    </w:p>
    <w:p w14:paraId="0C8717BB">
      <w:pPr>
        <w:pStyle w:val="4"/>
        <w:spacing w:after="283" w:line="416" w:lineRule="auto"/>
        <w:ind w:left="424" w:firstLine="0" w:firstLineChars="0"/>
        <w:rPr>
          <w:rFonts w:ascii="宋体" w:hAnsi="宋体" w:eastAsia="宋体"/>
          <w:color w:val="auto"/>
          <w:highlight w:val="none"/>
        </w:rPr>
      </w:pPr>
      <w:bookmarkStart w:id="77" w:name="_Toc36466576"/>
      <w:bookmarkStart w:id="78" w:name="_Toc45266407"/>
      <w:bookmarkStart w:id="79" w:name="_Toc133420481"/>
      <w:bookmarkStart w:id="80" w:name="_Toc51055725"/>
      <w:bookmarkStart w:id="81" w:name="_Toc5703"/>
      <w:r>
        <w:rPr>
          <w:rFonts w:ascii="宋体" w:hAnsi="宋体" w:eastAsia="宋体"/>
          <w:color w:val="auto"/>
          <w:highlight w:val="none"/>
        </w:rPr>
        <w:t>2.1招标文件的组成</w:t>
      </w:r>
      <w:bookmarkEnd w:id="77"/>
      <w:bookmarkEnd w:id="78"/>
      <w:bookmarkEnd w:id="79"/>
      <w:bookmarkEnd w:id="80"/>
      <w:bookmarkEnd w:id="81"/>
    </w:p>
    <w:p w14:paraId="2E9993DA">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本招标文件包括：</w:t>
      </w:r>
    </w:p>
    <w:p w14:paraId="72958B16">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1）招标公告</w:t>
      </w:r>
    </w:p>
    <w:p w14:paraId="2F43DC58">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2）投标人须知；</w:t>
      </w:r>
    </w:p>
    <w:p w14:paraId="6436CF08">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3）评标办法；</w:t>
      </w:r>
    </w:p>
    <w:p w14:paraId="12144D68">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4）合同条款及格式；</w:t>
      </w:r>
    </w:p>
    <w:p w14:paraId="66DD3F68">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5）委托人要求；</w:t>
      </w:r>
    </w:p>
    <w:p w14:paraId="6BA5442B">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6）投标文件格式；</w:t>
      </w:r>
    </w:p>
    <w:p w14:paraId="48313131">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7）投标人须知前附表规定的其他资料。</w:t>
      </w:r>
    </w:p>
    <w:p w14:paraId="07EC90AA">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根据本章第</w:t>
      </w:r>
      <w:r>
        <w:rPr>
          <w:rFonts w:ascii="宋体" w:hAnsi="宋体" w:eastAsia="宋体"/>
          <w:color w:val="auto"/>
          <w:highlight w:val="none"/>
        </w:rPr>
        <w:t xml:space="preserve"> 1.10 </w:t>
      </w:r>
      <w:r>
        <w:rPr>
          <w:rFonts w:hint="eastAsia" w:ascii="宋体" w:hAnsi="宋体" w:eastAsia="宋体"/>
          <w:color w:val="auto"/>
          <w:highlight w:val="none"/>
        </w:rPr>
        <w:t>款、第</w:t>
      </w:r>
      <w:r>
        <w:rPr>
          <w:rFonts w:ascii="宋体" w:hAnsi="宋体" w:eastAsia="宋体"/>
          <w:color w:val="auto"/>
          <w:highlight w:val="none"/>
        </w:rPr>
        <w:t xml:space="preserve"> 2.2 </w:t>
      </w:r>
      <w:r>
        <w:rPr>
          <w:rFonts w:hint="eastAsia" w:ascii="宋体" w:hAnsi="宋体" w:eastAsia="宋体"/>
          <w:color w:val="auto"/>
          <w:highlight w:val="none"/>
        </w:rPr>
        <w:t>款和第</w:t>
      </w:r>
      <w:r>
        <w:rPr>
          <w:rFonts w:ascii="宋体" w:hAnsi="宋体" w:eastAsia="宋体"/>
          <w:color w:val="auto"/>
          <w:highlight w:val="none"/>
        </w:rPr>
        <w:t xml:space="preserve"> 2.3 </w:t>
      </w:r>
      <w:r>
        <w:rPr>
          <w:rFonts w:hint="eastAsia" w:ascii="宋体" w:hAnsi="宋体" w:eastAsia="宋体"/>
          <w:color w:val="auto"/>
          <w:highlight w:val="none"/>
        </w:rPr>
        <w:t>款对招标文件所作的澄清、修改，构成招标文件的组成部分。</w:t>
      </w:r>
    </w:p>
    <w:p w14:paraId="1678CC8C">
      <w:pPr>
        <w:pStyle w:val="4"/>
        <w:spacing w:after="283" w:line="416" w:lineRule="auto"/>
        <w:ind w:left="424" w:firstLine="0" w:firstLineChars="0"/>
        <w:rPr>
          <w:rFonts w:ascii="宋体" w:hAnsi="宋体" w:eastAsia="宋体"/>
          <w:color w:val="auto"/>
          <w:highlight w:val="none"/>
        </w:rPr>
      </w:pPr>
      <w:bookmarkStart w:id="82" w:name="_Toc36466577"/>
      <w:bookmarkStart w:id="83" w:name="_Toc45266408"/>
      <w:bookmarkStart w:id="84" w:name="_Toc133420482"/>
      <w:bookmarkStart w:id="85" w:name="_Toc51055726"/>
      <w:bookmarkStart w:id="86" w:name="_Toc17659"/>
      <w:r>
        <w:rPr>
          <w:rFonts w:ascii="宋体" w:hAnsi="宋体" w:eastAsia="宋体"/>
          <w:color w:val="auto"/>
          <w:highlight w:val="none"/>
        </w:rPr>
        <w:t>2.2招标文件的澄清</w:t>
      </w:r>
      <w:bookmarkEnd w:id="82"/>
      <w:bookmarkEnd w:id="83"/>
      <w:bookmarkEnd w:id="84"/>
      <w:bookmarkEnd w:id="85"/>
      <w:bookmarkEnd w:id="86"/>
    </w:p>
    <w:p w14:paraId="2E764366">
      <w:pPr>
        <w:spacing w:line="360" w:lineRule="auto"/>
        <w:ind w:firstLine="420" w:firstLineChars="200"/>
        <w:rPr>
          <w:rFonts w:ascii="宋体" w:hAnsi="宋体" w:eastAsia="宋体"/>
          <w:color w:val="auto"/>
          <w:highlight w:val="none"/>
        </w:rPr>
      </w:pPr>
      <w:r>
        <w:rPr>
          <w:rFonts w:ascii="宋体" w:hAnsi="宋体" w:eastAsia="宋体"/>
          <w:color w:val="auto"/>
          <w:highlight w:val="none"/>
        </w:rPr>
        <w:t xml:space="preserve">2.2.1投标人应仔细阅读和检查招标文件的全部内容。如发现缺页或附件不全，应及时向招 </w:t>
      </w:r>
      <w:r>
        <w:rPr>
          <w:rFonts w:hint="eastAsia" w:ascii="宋体" w:hAnsi="宋体" w:eastAsia="宋体"/>
          <w:color w:val="auto"/>
          <w:highlight w:val="none"/>
        </w:rPr>
        <w:t>标人提出，以便补齐。如有疑问，应按投标人须知前附表规定的时间和形式将提出的问题送达招标人，要求招标人对招标文件予以澄清。</w:t>
      </w:r>
    </w:p>
    <w:p w14:paraId="74CD9427">
      <w:pPr>
        <w:spacing w:line="360" w:lineRule="auto"/>
        <w:ind w:firstLine="420" w:firstLineChars="200"/>
        <w:rPr>
          <w:rFonts w:ascii="宋体" w:hAnsi="宋体" w:eastAsia="宋体"/>
          <w:color w:val="auto"/>
          <w:highlight w:val="none"/>
        </w:rPr>
      </w:pPr>
      <w:r>
        <w:rPr>
          <w:rFonts w:ascii="宋体" w:hAnsi="宋体" w:eastAsia="宋体"/>
          <w:color w:val="auto"/>
          <w:highlight w:val="none"/>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14:paraId="0E12DBE8">
      <w:pPr>
        <w:spacing w:line="360" w:lineRule="auto"/>
        <w:ind w:firstLine="420" w:firstLineChars="200"/>
        <w:rPr>
          <w:rFonts w:ascii="宋体" w:hAnsi="宋体" w:eastAsia="宋体"/>
          <w:color w:val="auto"/>
          <w:highlight w:val="none"/>
        </w:rPr>
      </w:pPr>
      <w:r>
        <w:rPr>
          <w:rFonts w:ascii="宋体" w:hAnsi="宋体" w:eastAsia="宋体"/>
          <w:color w:val="auto"/>
          <w:highlight w:val="none"/>
        </w:rPr>
        <w:t>2.2.3投标人在收到澄清后，应按投标人须知前附表规定的时间和形式通知招标人，确认已收到该澄清。</w:t>
      </w:r>
    </w:p>
    <w:p w14:paraId="190D870B">
      <w:pPr>
        <w:spacing w:line="360" w:lineRule="auto"/>
        <w:ind w:firstLine="420" w:firstLineChars="200"/>
        <w:rPr>
          <w:rFonts w:ascii="宋体" w:hAnsi="宋体" w:eastAsia="宋体"/>
          <w:color w:val="auto"/>
          <w:highlight w:val="none"/>
        </w:rPr>
      </w:pPr>
      <w:r>
        <w:rPr>
          <w:rFonts w:ascii="宋体" w:hAnsi="宋体" w:eastAsia="宋体"/>
          <w:color w:val="auto"/>
          <w:highlight w:val="none"/>
        </w:rPr>
        <w:t>2.2.4除非招标人认为确有必要答复，否则，招标人有权拒绝回复投标人在本章第2.2.1项规定的时间后的任何澄清要求。</w:t>
      </w:r>
    </w:p>
    <w:p w14:paraId="6D51C98B">
      <w:pPr>
        <w:pStyle w:val="4"/>
        <w:spacing w:after="283" w:line="416" w:lineRule="auto"/>
        <w:ind w:left="424" w:firstLine="0" w:firstLineChars="0"/>
        <w:rPr>
          <w:rFonts w:ascii="宋体" w:hAnsi="宋体" w:eastAsia="宋体"/>
          <w:color w:val="auto"/>
          <w:highlight w:val="none"/>
        </w:rPr>
      </w:pPr>
      <w:bookmarkStart w:id="87" w:name="_Toc45266409"/>
      <w:bookmarkStart w:id="88" w:name="_Toc133420483"/>
      <w:bookmarkStart w:id="89" w:name="_Toc51055727"/>
      <w:bookmarkStart w:id="90" w:name="_Toc36466578"/>
      <w:bookmarkStart w:id="91" w:name="_Toc25460"/>
      <w:r>
        <w:rPr>
          <w:rFonts w:ascii="宋体" w:hAnsi="宋体" w:eastAsia="宋体"/>
          <w:color w:val="auto"/>
          <w:highlight w:val="none"/>
        </w:rPr>
        <w:t>2.3招标文件的修改</w:t>
      </w:r>
      <w:bookmarkEnd w:id="87"/>
      <w:bookmarkEnd w:id="88"/>
      <w:bookmarkEnd w:id="89"/>
      <w:bookmarkEnd w:id="90"/>
      <w:bookmarkEnd w:id="91"/>
    </w:p>
    <w:p w14:paraId="1CC9AC7F">
      <w:pPr>
        <w:spacing w:line="360" w:lineRule="auto"/>
        <w:ind w:firstLine="420" w:firstLineChars="200"/>
        <w:rPr>
          <w:rFonts w:ascii="宋体" w:hAnsi="宋体" w:eastAsia="宋体"/>
          <w:color w:val="auto"/>
          <w:highlight w:val="none"/>
        </w:rPr>
      </w:pPr>
      <w:r>
        <w:rPr>
          <w:rFonts w:ascii="宋体" w:hAnsi="宋体" w:eastAsia="宋体"/>
          <w:color w:val="auto"/>
          <w:highlight w:val="none"/>
        </w:rPr>
        <w:t xml:space="preserve">2.3.1招标人以投标人须知前附表规定的形式修改招标文件，并通知所有已购买招标文件的投标人。修改招标文件的时间距本章第 4.2.1 </w:t>
      </w:r>
      <w:r>
        <w:rPr>
          <w:rFonts w:hint="eastAsia" w:ascii="宋体" w:hAnsi="宋体" w:eastAsia="宋体"/>
          <w:color w:val="auto"/>
          <w:highlight w:val="none"/>
        </w:rPr>
        <w:t>项规定的投标截止时间不足</w:t>
      </w:r>
      <w:r>
        <w:rPr>
          <w:rFonts w:ascii="宋体" w:hAnsi="宋体" w:eastAsia="宋体"/>
          <w:color w:val="auto"/>
          <w:highlight w:val="none"/>
        </w:rPr>
        <w:t xml:space="preserve"> 15 </w:t>
      </w:r>
      <w:r>
        <w:rPr>
          <w:rFonts w:hint="eastAsia" w:ascii="宋体" w:hAnsi="宋体" w:eastAsia="宋体"/>
          <w:color w:val="auto"/>
          <w:highlight w:val="none"/>
        </w:rPr>
        <w:t>日的，并且修改内容可能影响投标文件编制的，将相应延长投标截止时间。</w:t>
      </w:r>
    </w:p>
    <w:p w14:paraId="2377F9E5">
      <w:pPr>
        <w:spacing w:line="360" w:lineRule="auto"/>
        <w:ind w:firstLine="420" w:firstLineChars="200"/>
        <w:rPr>
          <w:rFonts w:ascii="宋体" w:hAnsi="宋体" w:eastAsia="宋体"/>
          <w:color w:val="auto"/>
          <w:highlight w:val="none"/>
        </w:rPr>
      </w:pPr>
      <w:r>
        <w:rPr>
          <w:rFonts w:ascii="宋体" w:hAnsi="宋体" w:eastAsia="宋体"/>
          <w:color w:val="auto"/>
          <w:highlight w:val="none"/>
        </w:rPr>
        <w:t>2.3.2投标人收到修改内容后，应按投标人须知前附表规定的时间和形式通知招标人，</w:t>
      </w:r>
      <w:r>
        <w:rPr>
          <w:rFonts w:hint="eastAsia" w:ascii="宋体" w:hAnsi="宋体" w:eastAsia="宋体"/>
          <w:color w:val="auto"/>
          <w:highlight w:val="none"/>
        </w:rPr>
        <w:t>确认已收到该修改。</w:t>
      </w:r>
    </w:p>
    <w:p w14:paraId="071C6B52">
      <w:pPr>
        <w:pStyle w:val="4"/>
        <w:spacing w:after="283" w:line="416" w:lineRule="auto"/>
        <w:ind w:left="424" w:firstLine="0" w:firstLineChars="0"/>
        <w:rPr>
          <w:rFonts w:ascii="宋体" w:hAnsi="宋体" w:eastAsia="宋体"/>
          <w:color w:val="auto"/>
          <w:highlight w:val="none"/>
        </w:rPr>
      </w:pPr>
      <w:bookmarkStart w:id="92" w:name="_Toc45266410"/>
      <w:bookmarkStart w:id="93" w:name="_Toc51055728"/>
      <w:bookmarkStart w:id="94" w:name="_Toc36466579"/>
      <w:bookmarkStart w:id="95" w:name="_Toc133420484"/>
      <w:bookmarkStart w:id="96" w:name="_Toc1855"/>
      <w:r>
        <w:rPr>
          <w:rFonts w:ascii="宋体" w:hAnsi="宋体" w:eastAsia="宋体"/>
          <w:color w:val="auto"/>
          <w:highlight w:val="none"/>
        </w:rPr>
        <w:t>2.4招标文件的异议</w:t>
      </w:r>
      <w:bookmarkEnd w:id="92"/>
      <w:bookmarkEnd w:id="93"/>
      <w:bookmarkEnd w:id="94"/>
      <w:bookmarkEnd w:id="95"/>
      <w:bookmarkEnd w:id="96"/>
    </w:p>
    <w:p w14:paraId="102E160D">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投标人或者其他利害关系人对招标文件有异议的，应当在投标截止时间</w:t>
      </w:r>
      <w:r>
        <w:rPr>
          <w:rFonts w:ascii="宋体" w:hAnsi="宋体" w:eastAsia="宋体"/>
          <w:color w:val="auto"/>
          <w:highlight w:val="none"/>
        </w:rPr>
        <w:t>10日前以书面形式提出。招标人将在收到异议之日起3日内作出答复；作出答复前，将暂停招标投标活动。</w:t>
      </w:r>
    </w:p>
    <w:p w14:paraId="5E01302D">
      <w:pPr>
        <w:pStyle w:val="3"/>
        <w:ind w:firstLine="602"/>
        <w:rPr>
          <w:color w:val="auto"/>
          <w:highlight w:val="none"/>
        </w:rPr>
      </w:pPr>
      <w:bookmarkStart w:id="97" w:name="_Toc133420485"/>
      <w:bookmarkStart w:id="98" w:name="_Toc24937"/>
      <w:r>
        <w:rPr>
          <w:color w:val="auto"/>
          <w:highlight w:val="none"/>
        </w:rPr>
        <w:t xml:space="preserve">3. </w:t>
      </w:r>
      <w:r>
        <w:rPr>
          <w:rFonts w:hint="eastAsia"/>
          <w:color w:val="auto"/>
          <w:highlight w:val="none"/>
        </w:rPr>
        <w:t>投标文件</w:t>
      </w:r>
      <w:bookmarkEnd w:id="97"/>
      <w:bookmarkEnd w:id="98"/>
    </w:p>
    <w:p w14:paraId="3E300631">
      <w:pPr>
        <w:pStyle w:val="4"/>
        <w:spacing w:after="283" w:line="416" w:lineRule="auto"/>
        <w:ind w:left="424" w:firstLine="0" w:firstLineChars="0"/>
        <w:rPr>
          <w:rFonts w:ascii="宋体" w:hAnsi="宋体" w:eastAsia="宋体"/>
          <w:color w:val="auto"/>
          <w:highlight w:val="none"/>
        </w:rPr>
      </w:pPr>
      <w:bookmarkStart w:id="99" w:name="_Toc45266412"/>
      <w:bookmarkStart w:id="100" w:name="_Toc36466581"/>
      <w:bookmarkStart w:id="101" w:name="_Toc51055730"/>
      <w:bookmarkStart w:id="102" w:name="_Toc133420486"/>
      <w:bookmarkStart w:id="103" w:name="_Toc30905"/>
      <w:r>
        <w:rPr>
          <w:rFonts w:ascii="宋体" w:hAnsi="宋体" w:eastAsia="宋体"/>
          <w:color w:val="auto"/>
          <w:highlight w:val="none"/>
        </w:rPr>
        <w:t>3.1投标文件的组成</w:t>
      </w:r>
      <w:bookmarkEnd w:id="99"/>
      <w:bookmarkEnd w:id="100"/>
      <w:bookmarkEnd w:id="101"/>
      <w:bookmarkEnd w:id="102"/>
      <w:bookmarkEnd w:id="103"/>
    </w:p>
    <w:p w14:paraId="109EA755">
      <w:pPr>
        <w:spacing w:line="360" w:lineRule="auto"/>
        <w:ind w:firstLine="420" w:firstLineChars="200"/>
        <w:rPr>
          <w:rFonts w:ascii="宋体" w:hAnsi="宋体" w:eastAsia="宋体"/>
          <w:color w:val="auto"/>
          <w:highlight w:val="none"/>
        </w:rPr>
      </w:pPr>
      <w:r>
        <w:rPr>
          <w:rFonts w:ascii="宋体" w:hAnsi="宋体" w:eastAsia="宋体"/>
          <w:color w:val="auto"/>
          <w:highlight w:val="none"/>
        </w:rPr>
        <w:t>3.1.1投标文件应包括下列内容：</w:t>
      </w:r>
    </w:p>
    <w:p w14:paraId="2BAA3FD6">
      <w:pPr>
        <w:spacing w:line="360" w:lineRule="auto"/>
        <w:ind w:firstLine="420" w:firstLineChars="200"/>
        <w:rPr>
          <w:rFonts w:ascii="宋体" w:hAnsi="宋体" w:eastAsia="宋体"/>
          <w:color w:val="auto"/>
          <w:highlight w:val="none"/>
          <w:u w:val="single"/>
        </w:rPr>
      </w:pPr>
      <w:r>
        <w:rPr>
          <w:rFonts w:hint="eastAsia" w:ascii="宋体" w:hAnsi="宋体" w:eastAsia="宋体"/>
          <w:color w:val="auto"/>
          <w:highlight w:val="none"/>
          <w:u w:val="single"/>
        </w:rPr>
        <w:t>一、投标函及附录；</w:t>
      </w:r>
    </w:p>
    <w:p w14:paraId="5F09768D">
      <w:pPr>
        <w:spacing w:line="360" w:lineRule="auto"/>
        <w:ind w:firstLine="420" w:firstLineChars="200"/>
        <w:rPr>
          <w:rFonts w:ascii="宋体" w:hAnsi="宋体" w:eastAsia="宋体"/>
          <w:color w:val="auto"/>
          <w:highlight w:val="none"/>
          <w:u w:val="single"/>
        </w:rPr>
      </w:pPr>
      <w:r>
        <w:rPr>
          <w:rFonts w:hint="eastAsia" w:ascii="宋体" w:hAnsi="宋体" w:eastAsia="宋体"/>
          <w:color w:val="auto"/>
          <w:highlight w:val="none"/>
          <w:u w:val="single"/>
        </w:rPr>
        <w:t>二、法定代表人证明书及授权委托书；</w:t>
      </w:r>
    </w:p>
    <w:p w14:paraId="751E15E4">
      <w:pPr>
        <w:spacing w:line="360" w:lineRule="auto"/>
        <w:ind w:firstLine="420" w:firstLineChars="200"/>
        <w:rPr>
          <w:rFonts w:ascii="宋体" w:hAnsi="宋体" w:eastAsia="宋体"/>
          <w:color w:val="auto"/>
          <w:highlight w:val="none"/>
          <w:u w:val="single"/>
        </w:rPr>
      </w:pPr>
      <w:r>
        <w:rPr>
          <w:rFonts w:hint="eastAsia" w:ascii="宋体" w:hAnsi="宋体" w:eastAsia="宋体"/>
          <w:color w:val="auto"/>
          <w:highlight w:val="none"/>
          <w:u w:val="single"/>
          <w:lang w:val="en-US" w:eastAsia="zh-CN"/>
        </w:rPr>
        <w:t>三</w:t>
      </w:r>
      <w:r>
        <w:rPr>
          <w:rFonts w:hint="eastAsia" w:ascii="宋体" w:hAnsi="宋体" w:eastAsia="宋体"/>
          <w:color w:val="auto"/>
          <w:highlight w:val="none"/>
          <w:u w:val="single"/>
        </w:rPr>
        <w:t>、投标报价</w:t>
      </w:r>
      <w:r>
        <w:rPr>
          <w:rFonts w:hint="eastAsia" w:ascii="宋体" w:hAnsi="宋体" w:eastAsia="宋体"/>
          <w:color w:val="auto"/>
          <w:highlight w:val="none"/>
          <w:u w:val="single"/>
          <w:lang w:val="en-US" w:eastAsia="zh-CN"/>
        </w:rPr>
        <w:t>表</w:t>
      </w:r>
      <w:r>
        <w:rPr>
          <w:rFonts w:hint="eastAsia" w:ascii="宋体" w:hAnsi="宋体" w:eastAsia="宋体"/>
          <w:color w:val="auto"/>
          <w:highlight w:val="none"/>
          <w:u w:val="single"/>
        </w:rPr>
        <w:t>；</w:t>
      </w:r>
    </w:p>
    <w:p w14:paraId="3E76E958">
      <w:pPr>
        <w:spacing w:line="360" w:lineRule="auto"/>
        <w:ind w:firstLine="420" w:firstLineChars="200"/>
        <w:rPr>
          <w:rFonts w:ascii="宋体" w:hAnsi="宋体" w:eastAsia="宋体"/>
          <w:color w:val="auto"/>
          <w:highlight w:val="none"/>
          <w:u w:val="single"/>
        </w:rPr>
      </w:pPr>
      <w:r>
        <w:rPr>
          <w:rFonts w:hint="eastAsia" w:ascii="宋体" w:hAnsi="宋体" w:eastAsia="宋体"/>
          <w:color w:val="auto"/>
          <w:highlight w:val="none"/>
          <w:u w:val="single"/>
          <w:lang w:val="en-US" w:eastAsia="zh-CN"/>
        </w:rPr>
        <w:t>四</w:t>
      </w:r>
      <w:r>
        <w:rPr>
          <w:rFonts w:hint="eastAsia" w:ascii="宋体" w:hAnsi="宋体" w:eastAsia="宋体"/>
          <w:color w:val="auto"/>
          <w:highlight w:val="none"/>
          <w:u w:val="single"/>
        </w:rPr>
        <w:t>、资格审查资料；</w:t>
      </w:r>
    </w:p>
    <w:p w14:paraId="32967549">
      <w:pPr>
        <w:spacing w:line="360" w:lineRule="auto"/>
        <w:ind w:firstLine="420" w:firstLineChars="200"/>
        <w:rPr>
          <w:rFonts w:ascii="宋体" w:hAnsi="宋体" w:eastAsia="宋体"/>
          <w:color w:val="auto"/>
          <w:highlight w:val="none"/>
          <w:u w:val="single"/>
        </w:rPr>
      </w:pPr>
      <w:r>
        <w:rPr>
          <w:rFonts w:hint="eastAsia" w:ascii="宋体" w:hAnsi="宋体" w:eastAsia="宋体"/>
          <w:color w:val="auto"/>
          <w:highlight w:val="none"/>
          <w:u w:val="single"/>
          <w:lang w:val="en-US" w:eastAsia="zh-CN"/>
        </w:rPr>
        <w:t>五</w:t>
      </w:r>
      <w:r>
        <w:rPr>
          <w:rFonts w:hint="eastAsia" w:ascii="宋体" w:hAnsi="宋体" w:eastAsia="宋体"/>
          <w:color w:val="auto"/>
          <w:highlight w:val="none"/>
          <w:u w:val="single"/>
        </w:rPr>
        <w:t>、投标人声明；</w:t>
      </w:r>
    </w:p>
    <w:p w14:paraId="6A995259">
      <w:pPr>
        <w:spacing w:line="360" w:lineRule="auto"/>
        <w:ind w:firstLine="420" w:firstLineChars="200"/>
        <w:rPr>
          <w:rFonts w:ascii="宋体" w:hAnsi="宋体" w:eastAsia="宋体"/>
          <w:color w:val="auto"/>
          <w:highlight w:val="none"/>
          <w:u w:val="single"/>
        </w:rPr>
      </w:pPr>
      <w:r>
        <w:rPr>
          <w:rFonts w:hint="eastAsia" w:ascii="宋体" w:hAnsi="宋体" w:eastAsia="宋体"/>
          <w:color w:val="auto"/>
          <w:highlight w:val="none"/>
          <w:u w:val="single"/>
          <w:lang w:val="en-US" w:eastAsia="zh-CN"/>
        </w:rPr>
        <w:t>六</w:t>
      </w:r>
      <w:r>
        <w:rPr>
          <w:rFonts w:hint="eastAsia" w:ascii="宋体" w:hAnsi="宋体" w:eastAsia="宋体"/>
          <w:color w:val="auto"/>
          <w:highlight w:val="none"/>
          <w:u w:val="single"/>
        </w:rPr>
        <w:t>、联合体协议书</w:t>
      </w:r>
    </w:p>
    <w:p w14:paraId="59C7F238">
      <w:pPr>
        <w:spacing w:line="360" w:lineRule="auto"/>
        <w:ind w:firstLine="420" w:firstLineChars="200"/>
        <w:rPr>
          <w:rFonts w:ascii="宋体" w:hAnsi="宋体" w:eastAsia="宋体"/>
          <w:color w:val="auto"/>
          <w:highlight w:val="none"/>
          <w:u w:val="single"/>
        </w:rPr>
      </w:pPr>
      <w:r>
        <w:rPr>
          <w:rFonts w:hint="eastAsia" w:ascii="宋体" w:hAnsi="宋体" w:eastAsia="宋体"/>
          <w:color w:val="auto"/>
          <w:highlight w:val="none"/>
          <w:u w:val="single"/>
          <w:lang w:val="en-US" w:eastAsia="zh-CN"/>
        </w:rPr>
        <w:t>七</w:t>
      </w:r>
      <w:r>
        <w:rPr>
          <w:rFonts w:hint="eastAsia" w:ascii="宋体" w:hAnsi="宋体" w:eastAsia="宋体"/>
          <w:color w:val="auto"/>
          <w:highlight w:val="none"/>
          <w:u w:val="single"/>
        </w:rPr>
        <w:t>、商务部分证明材料；</w:t>
      </w:r>
    </w:p>
    <w:p w14:paraId="28419379">
      <w:pPr>
        <w:spacing w:line="360" w:lineRule="auto"/>
        <w:ind w:firstLine="420" w:firstLineChars="200"/>
        <w:rPr>
          <w:rFonts w:ascii="宋体" w:hAnsi="宋体" w:eastAsia="宋体"/>
          <w:color w:val="auto"/>
          <w:highlight w:val="none"/>
          <w:u w:val="single"/>
        </w:rPr>
      </w:pPr>
      <w:r>
        <w:rPr>
          <w:rFonts w:hint="eastAsia" w:ascii="宋体" w:hAnsi="宋体" w:eastAsia="宋体"/>
          <w:color w:val="auto"/>
          <w:highlight w:val="none"/>
          <w:u w:val="single"/>
          <w:lang w:val="en-US" w:eastAsia="zh-CN"/>
        </w:rPr>
        <w:t>八</w:t>
      </w:r>
      <w:r>
        <w:rPr>
          <w:rFonts w:hint="eastAsia" w:ascii="宋体" w:hAnsi="宋体" w:eastAsia="宋体"/>
          <w:color w:val="auto"/>
          <w:highlight w:val="none"/>
          <w:u w:val="single"/>
        </w:rPr>
        <w:t>、技术服务方案；</w:t>
      </w:r>
    </w:p>
    <w:p w14:paraId="65E76B4A">
      <w:pPr>
        <w:spacing w:line="360" w:lineRule="auto"/>
        <w:ind w:firstLine="420" w:firstLineChars="200"/>
        <w:rPr>
          <w:rFonts w:ascii="宋体" w:hAnsi="宋体" w:eastAsia="宋体"/>
          <w:color w:val="auto"/>
          <w:highlight w:val="none"/>
          <w:u w:val="single"/>
        </w:rPr>
      </w:pPr>
      <w:r>
        <w:rPr>
          <w:rFonts w:hint="eastAsia" w:ascii="宋体" w:hAnsi="宋体" w:eastAsia="宋体"/>
          <w:color w:val="auto"/>
          <w:highlight w:val="none"/>
          <w:u w:val="single"/>
          <w:lang w:val="en-US" w:eastAsia="zh-CN"/>
        </w:rPr>
        <w:t>九</w:t>
      </w:r>
      <w:r>
        <w:rPr>
          <w:rFonts w:hint="eastAsia" w:ascii="宋体" w:hAnsi="宋体" w:eastAsia="宋体"/>
          <w:color w:val="auto"/>
          <w:highlight w:val="none"/>
          <w:u w:val="single"/>
        </w:rPr>
        <w:t>、其他资料。</w:t>
      </w:r>
    </w:p>
    <w:p w14:paraId="4AAE2B82">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3.1.2投标人在评标过程中作出的符合法律法规和招标文件规定的澄清确认，构成投标文件的组成部分。</w:t>
      </w:r>
    </w:p>
    <w:p w14:paraId="37D77A9F">
      <w:pPr>
        <w:spacing w:line="360" w:lineRule="auto"/>
        <w:ind w:firstLine="420" w:firstLineChars="200"/>
        <w:rPr>
          <w:rFonts w:ascii="宋体" w:hAnsi="宋体" w:eastAsia="宋体"/>
          <w:color w:val="auto"/>
          <w:highlight w:val="none"/>
        </w:rPr>
      </w:pPr>
      <w:r>
        <w:rPr>
          <w:rFonts w:ascii="宋体" w:hAnsi="宋体" w:eastAsia="宋体"/>
          <w:color w:val="auto"/>
          <w:highlight w:val="none"/>
        </w:rPr>
        <w:t>3.1.</w:t>
      </w:r>
      <w:r>
        <w:rPr>
          <w:rFonts w:hint="eastAsia" w:ascii="宋体" w:hAnsi="宋体" w:eastAsia="宋体"/>
          <w:color w:val="auto"/>
          <w:highlight w:val="none"/>
        </w:rPr>
        <w:t>3</w:t>
      </w:r>
      <w:r>
        <w:rPr>
          <w:rFonts w:ascii="宋体" w:hAnsi="宋体" w:eastAsia="宋体"/>
          <w:color w:val="auto"/>
          <w:highlight w:val="none"/>
        </w:rPr>
        <w:t>投标人须知前附表规定不接受联合体投标的，或投标人没有组成联合体的，投标文件不包括本章所指的联合体协议书。</w:t>
      </w:r>
    </w:p>
    <w:p w14:paraId="554CA7AB">
      <w:pPr>
        <w:pStyle w:val="4"/>
        <w:spacing w:after="283" w:line="416" w:lineRule="auto"/>
        <w:ind w:left="424" w:firstLine="0" w:firstLineChars="0"/>
        <w:rPr>
          <w:rFonts w:ascii="宋体" w:hAnsi="宋体" w:eastAsia="宋体"/>
          <w:color w:val="auto"/>
          <w:highlight w:val="none"/>
        </w:rPr>
      </w:pPr>
      <w:bookmarkStart w:id="104" w:name="_Toc45266413"/>
      <w:bookmarkStart w:id="105" w:name="_Toc36466582"/>
      <w:bookmarkStart w:id="106" w:name="_Toc133420487"/>
      <w:bookmarkStart w:id="107" w:name="_Toc51055731"/>
      <w:bookmarkStart w:id="108" w:name="_Toc7691"/>
      <w:r>
        <w:rPr>
          <w:rFonts w:ascii="宋体" w:hAnsi="宋体" w:eastAsia="宋体"/>
          <w:color w:val="auto"/>
          <w:highlight w:val="none"/>
        </w:rPr>
        <w:t>3.2投标报价</w:t>
      </w:r>
      <w:bookmarkEnd w:id="104"/>
      <w:bookmarkEnd w:id="105"/>
      <w:bookmarkEnd w:id="106"/>
      <w:bookmarkEnd w:id="107"/>
      <w:bookmarkEnd w:id="108"/>
    </w:p>
    <w:p w14:paraId="492C6DAA">
      <w:pPr>
        <w:spacing w:line="360" w:lineRule="auto"/>
        <w:ind w:firstLine="420" w:firstLineChars="200"/>
        <w:rPr>
          <w:rFonts w:ascii="宋体" w:hAnsi="宋体" w:eastAsia="宋体"/>
          <w:color w:val="auto"/>
          <w:highlight w:val="none"/>
        </w:rPr>
      </w:pPr>
      <w:r>
        <w:rPr>
          <w:rFonts w:ascii="宋体" w:hAnsi="宋体" w:eastAsia="宋体"/>
          <w:color w:val="auto"/>
          <w:highlight w:val="none"/>
        </w:rPr>
        <w:t>3.2.1投标报价应包括国家规定的增值税税金，除投标人须知前附表另有规定外，增值税税金按一般计税方法计算。投标人应按第六章“投标文件格式”的要求在投标函中进行报价并填写投标报价表。</w:t>
      </w:r>
    </w:p>
    <w:p w14:paraId="5AD9990D">
      <w:pPr>
        <w:spacing w:line="360" w:lineRule="auto"/>
        <w:ind w:firstLine="420" w:firstLineChars="200"/>
        <w:rPr>
          <w:rFonts w:ascii="宋体" w:hAnsi="宋体" w:eastAsia="宋体"/>
          <w:color w:val="auto"/>
          <w:highlight w:val="none"/>
        </w:rPr>
      </w:pPr>
      <w:r>
        <w:rPr>
          <w:rFonts w:ascii="宋体" w:hAnsi="宋体" w:eastAsia="宋体"/>
          <w:color w:val="auto"/>
          <w:highlight w:val="none"/>
        </w:rPr>
        <w:t xml:space="preserve">3.2.2 </w:t>
      </w:r>
      <w:r>
        <w:rPr>
          <w:rFonts w:hint="eastAsia" w:ascii="宋体" w:hAnsi="宋体" w:eastAsia="宋体"/>
          <w:color w:val="auto"/>
          <w:highlight w:val="none"/>
        </w:rPr>
        <w:t>投标人应充分了解该项目的总体情况以及影响投标报价的其他要素。</w:t>
      </w:r>
    </w:p>
    <w:p w14:paraId="27C560C2">
      <w:pPr>
        <w:spacing w:line="360" w:lineRule="auto"/>
        <w:ind w:firstLine="420" w:firstLineChars="200"/>
        <w:rPr>
          <w:rFonts w:ascii="宋体" w:hAnsi="宋体" w:eastAsia="宋体"/>
          <w:color w:val="auto"/>
          <w:highlight w:val="none"/>
        </w:rPr>
      </w:pPr>
      <w:r>
        <w:rPr>
          <w:rFonts w:ascii="宋体" w:hAnsi="宋体" w:eastAsia="宋体"/>
          <w:color w:val="auto"/>
          <w:highlight w:val="none"/>
        </w:rPr>
        <w:t xml:space="preserve">3.2.3 </w:t>
      </w:r>
      <w:r>
        <w:rPr>
          <w:rFonts w:hint="eastAsia" w:ascii="宋体" w:hAnsi="宋体" w:eastAsia="宋体"/>
          <w:color w:val="auto"/>
          <w:highlight w:val="none"/>
        </w:rPr>
        <w:t>本项目的报价方式见投标人须知前附表。投标人在投标截止时间前修改投标函中的投标报价总额，应同时修改投标文件“投标函附录”及“报价书”的相应报价。此修改须符合本章第</w:t>
      </w:r>
      <w:r>
        <w:rPr>
          <w:rFonts w:ascii="宋体" w:hAnsi="宋体" w:eastAsia="宋体"/>
          <w:color w:val="auto"/>
          <w:highlight w:val="none"/>
        </w:rPr>
        <w:t>4.3款的有关要求。</w:t>
      </w:r>
    </w:p>
    <w:p w14:paraId="10952615">
      <w:pPr>
        <w:spacing w:line="360" w:lineRule="auto"/>
        <w:ind w:firstLine="420" w:firstLineChars="200"/>
        <w:rPr>
          <w:rFonts w:ascii="宋体" w:hAnsi="宋体" w:eastAsia="宋体"/>
          <w:color w:val="auto"/>
          <w:highlight w:val="none"/>
        </w:rPr>
      </w:pPr>
      <w:r>
        <w:rPr>
          <w:rFonts w:ascii="宋体" w:hAnsi="宋体" w:eastAsia="宋体"/>
          <w:color w:val="auto"/>
          <w:highlight w:val="none"/>
        </w:rPr>
        <w:t>3.2.4招标人设有最高投标限价的，投标人的投标报价不得超过最高投标限价，最高投标限价在投标人须知前附表中载明。</w:t>
      </w:r>
    </w:p>
    <w:p w14:paraId="1702AAA2">
      <w:pPr>
        <w:spacing w:line="360" w:lineRule="auto"/>
        <w:ind w:firstLine="420" w:firstLineChars="200"/>
        <w:rPr>
          <w:rFonts w:ascii="宋体" w:hAnsi="宋体" w:eastAsia="宋体"/>
          <w:color w:val="auto"/>
          <w:highlight w:val="none"/>
        </w:rPr>
      </w:pPr>
      <w:r>
        <w:rPr>
          <w:rFonts w:ascii="宋体" w:hAnsi="宋体" w:eastAsia="宋体"/>
          <w:color w:val="auto"/>
          <w:highlight w:val="none"/>
        </w:rPr>
        <w:t xml:space="preserve">3.2.5 </w:t>
      </w:r>
      <w:r>
        <w:rPr>
          <w:rFonts w:hint="eastAsia" w:ascii="宋体" w:hAnsi="宋体" w:eastAsia="宋体"/>
          <w:color w:val="auto"/>
          <w:highlight w:val="none"/>
        </w:rPr>
        <w:t>投标报价的其他要求见投标人须知前附表。</w:t>
      </w:r>
    </w:p>
    <w:p w14:paraId="2F4CDC58">
      <w:pPr>
        <w:pStyle w:val="4"/>
        <w:spacing w:after="283" w:line="416" w:lineRule="auto"/>
        <w:ind w:left="424" w:firstLine="0" w:firstLineChars="0"/>
        <w:rPr>
          <w:rFonts w:ascii="宋体" w:hAnsi="宋体" w:eastAsia="宋体"/>
          <w:color w:val="auto"/>
          <w:highlight w:val="none"/>
        </w:rPr>
      </w:pPr>
      <w:bookmarkStart w:id="109" w:name="_Toc36466583"/>
      <w:bookmarkStart w:id="110" w:name="_Toc133420488"/>
      <w:bookmarkStart w:id="111" w:name="_Toc51055732"/>
      <w:bookmarkStart w:id="112" w:name="_Toc45266414"/>
      <w:bookmarkStart w:id="113" w:name="_Toc5697"/>
      <w:r>
        <w:rPr>
          <w:rFonts w:ascii="宋体" w:hAnsi="宋体" w:eastAsia="宋体"/>
          <w:color w:val="auto"/>
          <w:highlight w:val="none"/>
        </w:rPr>
        <w:t>3.3投标有效期</w:t>
      </w:r>
      <w:bookmarkEnd w:id="109"/>
      <w:bookmarkEnd w:id="110"/>
      <w:bookmarkEnd w:id="111"/>
      <w:bookmarkEnd w:id="112"/>
      <w:bookmarkEnd w:id="113"/>
    </w:p>
    <w:p w14:paraId="5589A5B8">
      <w:pPr>
        <w:spacing w:line="360" w:lineRule="auto"/>
        <w:ind w:firstLine="420" w:firstLineChars="200"/>
        <w:rPr>
          <w:rFonts w:ascii="宋体" w:hAnsi="宋体" w:eastAsia="宋体"/>
          <w:color w:val="auto"/>
          <w:highlight w:val="none"/>
        </w:rPr>
      </w:pPr>
      <w:r>
        <w:rPr>
          <w:rFonts w:ascii="宋体" w:hAnsi="宋体" w:eastAsia="宋体"/>
          <w:color w:val="auto"/>
          <w:highlight w:val="none"/>
        </w:rPr>
        <w:t>3.3.1见投标人须知前附表。</w:t>
      </w:r>
    </w:p>
    <w:p w14:paraId="2567BC46">
      <w:pPr>
        <w:spacing w:line="360" w:lineRule="auto"/>
        <w:ind w:firstLine="420" w:firstLineChars="200"/>
        <w:rPr>
          <w:rFonts w:ascii="宋体" w:hAnsi="宋体" w:eastAsia="宋体"/>
          <w:color w:val="auto"/>
          <w:highlight w:val="none"/>
        </w:rPr>
      </w:pPr>
      <w:r>
        <w:rPr>
          <w:rFonts w:ascii="宋体" w:hAnsi="宋体" w:eastAsia="宋体"/>
          <w:color w:val="auto"/>
          <w:highlight w:val="none"/>
        </w:rPr>
        <w:t>3.3.2在投标有效期内，投标人撤销投标文件的，应承担招标文件和法律规定的责任。</w:t>
      </w:r>
    </w:p>
    <w:p w14:paraId="07695D16">
      <w:pPr>
        <w:spacing w:line="360" w:lineRule="auto"/>
        <w:ind w:firstLine="420" w:firstLineChars="200"/>
        <w:rPr>
          <w:rFonts w:ascii="宋体" w:hAnsi="宋体" w:eastAsia="宋体"/>
          <w:color w:val="auto"/>
          <w:highlight w:val="none"/>
        </w:rPr>
      </w:pPr>
      <w:r>
        <w:rPr>
          <w:rFonts w:ascii="宋体" w:hAnsi="宋体" w:eastAsia="宋体"/>
          <w:color w:val="auto"/>
          <w:highlight w:val="none"/>
        </w:rPr>
        <w:t>3.3.3出现特殊情况需要延长投标有效期的，招标人以书面形式通知所有投标人延长投标有效期。投标人应予以书面答复，同意延长，但不得要求</w:t>
      </w:r>
      <w:r>
        <w:rPr>
          <w:rFonts w:hint="eastAsia" w:ascii="宋体" w:hAnsi="宋体" w:eastAsia="宋体"/>
          <w:color w:val="auto"/>
          <w:highlight w:val="none"/>
        </w:rPr>
        <w:t>或被允许修改其投标文件；投标人拒绝延长的，其投标失效。</w:t>
      </w:r>
    </w:p>
    <w:p w14:paraId="189D36F6">
      <w:pPr>
        <w:pStyle w:val="4"/>
        <w:spacing w:after="283" w:line="416" w:lineRule="auto"/>
        <w:ind w:left="424" w:firstLine="0" w:firstLineChars="0"/>
        <w:rPr>
          <w:rFonts w:ascii="宋体" w:hAnsi="宋体" w:eastAsia="宋体"/>
          <w:color w:val="auto"/>
          <w:highlight w:val="none"/>
        </w:rPr>
      </w:pPr>
      <w:bookmarkStart w:id="114" w:name="_Toc45266415"/>
      <w:bookmarkStart w:id="115" w:name="_Toc133420489"/>
      <w:bookmarkStart w:id="116" w:name="_Toc36466584"/>
      <w:bookmarkStart w:id="117" w:name="_Toc51055733"/>
      <w:bookmarkStart w:id="118" w:name="_Toc14158"/>
      <w:r>
        <w:rPr>
          <w:rFonts w:ascii="宋体" w:hAnsi="宋体" w:eastAsia="宋体"/>
          <w:color w:val="auto"/>
          <w:highlight w:val="none"/>
        </w:rPr>
        <w:t>3.4投标保证金</w:t>
      </w:r>
      <w:bookmarkEnd w:id="114"/>
      <w:bookmarkEnd w:id="115"/>
      <w:bookmarkEnd w:id="116"/>
      <w:bookmarkEnd w:id="117"/>
      <w:bookmarkEnd w:id="118"/>
    </w:p>
    <w:p w14:paraId="249A10B9">
      <w:pPr>
        <w:spacing w:line="360" w:lineRule="auto"/>
        <w:ind w:firstLine="422" w:firstLineChars="200"/>
        <w:rPr>
          <w:rFonts w:hint="default" w:ascii="Times New Roman" w:hAnsi="Times New Roman" w:eastAsia="宋体"/>
          <w:b/>
          <w:bCs/>
          <w:color w:val="auto"/>
          <w:kern w:val="2"/>
          <w:sz w:val="21"/>
          <w:szCs w:val="21"/>
          <w:highlight w:val="none"/>
          <w:u w:val="none"/>
          <w:lang w:eastAsia="zh-CN"/>
        </w:rPr>
      </w:pPr>
      <w:bookmarkStart w:id="119" w:name="_Toc134715403"/>
      <w:r>
        <w:rPr>
          <w:rFonts w:hint="default" w:ascii="Times New Roman" w:hAnsi="Times New Roman" w:eastAsia="宋体"/>
          <w:b/>
          <w:bCs/>
          <w:color w:val="auto"/>
          <w:kern w:val="2"/>
          <w:sz w:val="21"/>
          <w:szCs w:val="21"/>
          <w:highlight w:val="none"/>
          <w:u w:val="none"/>
        </w:rPr>
        <w:t>本项目不收取投标保证</w:t>
      </w:r>
      <w:bookmarkEnd w:id="119"/>
      <w:r>
        <w:rPr>
          <w:rFonts w:hint="default" w:ascii="Times New Roman" w:hAnsi="Times New Roman" w:eastAsia="宋体"/>
          <w:b/>
          <w:bCs/>
          <w:color w:val="auto"/>
          <w:kern w:val="2"/>
          <w:sz w:val="21"/>
          <w:szCs w:val="21"/>
          <w:highlight w:val="none"/>
          <w:u w:val="none"/>
          <w:lang w:eastAsia="zh-CN"/>
        </w:rPr>
        <w:t>金。</w:t>
      </w:r>
    </w:p>
    <w:p w14:paraId="617D0389">
      <w:pPr>
        <w:pStyle w:val="4"/>
        <w:spacing w:after="283" w:line="416" w:lineRule="auto"/>
        <w:ind w:left="424" w:firstLine="0" w:firstLineChars="0"/>
        <w:rPr>
          <w:rFonts w:ascii="宋体" w:hAnsi="宋体" w:eastAsia="宋体"/>
          <w:color w:val="auto"/>
          <w:highlight w:val="none"/>
        </w:rPr>
      </w:pPr>
      <w:bookmarkStart w:id="120" w:name="_Toc133420491"/>
      <w:bookmarkStart w:id="121" w:name="_Toc36466586"/>
      <w:bookmarkStart w:id="122" w:name="_Toc45266417"/>
      <w:bookmarkStart w:id="123" w:name="_Toc51055735"/>
      <w:bookmarkStart w:id="124" w:name="_Toc12423"/>
      <w:r>
        <w:rPr>
          <w:rFonts w:ascii="宋体" w:hAnsi="宋体" w:eastAsia="宋体"/>
          <w:color w:val="auto"/>
          <w:highlight w:val="none"/>
        </w:rPr>
        <w:t>3.5资格审查资料（适用于未进行资格预审的）</w:t>
      </w:r>
      <w:bookmarkEnd w:id="120"/>
      <w:bookmarkEnd w:id="121"/>
      <w:bookmarkEnd w:id="122"/>
      <w:bookmarkEnd w:id="123"/>
      <w:bookmarkEnd w:id="124"/>
    </w:p>
    <w:p w14:paraId="6D1AFB45">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除投标人须知前附表另有规定外，投标人应按下列规定提供资格审查资料，以证明其满足本章第</w:t>
      </w:r>
      <w:r>
        <w:rPr>
          <w:rFonts w:ascii="宋体" w:hAnsi="宋体" w:eastAsia="宋体"/>
          <w:color w:val="auto"/>
          <w:highlight w:val="none"/>
        </w:rPr>
        <w:t>1.4款规定的资质、财务、业绩、信誉等要求。</w:t>
      </w:r>
    </w:p>
    <w:p w14:paraId="0D36CA98">
      <w:pPr>
        <w:widowControl/>
        <w:adjustRightInd w:val="0"/>
        <w:snapToGrid w:val="0"/>
        <w:spacing w:line="360" w:lineRule="auto"/>
        <w:ind w:firstLine="422" w:firstLineChars="200"/>
        <w:jc w:val="left"/>
        <w:rPr>
          <w:rFonts w:ascii="宋体" w:hAnsi="宋体" w:eastAsia="宋体"/>
          <w:color w:val="auto"/>
          <w:highlight w:val="none"/>
        </w:rPr>
      </w:pPr>
      <w:r>
        <w:rPr>
          <w:rFonts w:hint="eastAsia" w:ascii="宋体" w:hAnsi="宋体" w:eastAsia="宋体"/>
          <w:b/>
          <w:color w:val="auto"/>
          <w:highlight w:val="none"/>
          <w:u w:val="single"/>
        </w:rPr>
        <w:t>详见招标公告。</w:t>
      </w:r>
    </w:p>
    <w:p w14:paraId="495BDE0F">
      <w:pPr>
        <w:spacing w:line="360" w:lineRule="auto"/>
        <w:ind w:firstLine="420" w:firstLineChars="200"/>
        <w:rPr>
          <w:rFonts w:ascii="宋体" w:hAnsi="宋体" w:eastAsia="宋体"/>
          <w:color w:val="auto"/>
          <w:highlight w:val="none"/>
        </w:rPr>
      </w:pPr>
    </w:p>
    <w:p w14:paraId="342EB31F">
      <w:pPr>
        <w:pStyle w:val="4"/>
        <w:spacing w:after="283" w:line="416" w:lineRule="auto"/>
        <w:ind w:left="424" w:firstLine="0" w:firstLineChars="0"/>
        <w:rPr>
          <w:rFonts w:ascii="宋体" w:hAnsi="宋体" w:eastAsia="宋体"/>
          <w:color w:val="auto"/>
          <w:highlight w:val="none"/>
        </w:rPr>
      </w:pPr>
      <w:bookmarkStart w:id="125" w:name="_Toc133420492"/>
      <w:bookmarkStart w:id="126" w:name="_Toc51055736"/>
      <w:bookmarkStart w:id="127" w:name="_Toc45266418"/>
      <w:bookmarkStart w:id="128" w:name="_Toc36466587"/>
      <w:bookmarkStart w:id="129" w:name="_Toc873"/>
      <w:r>
        <w:rPr>
          <w:rFonts w:ascii="宋体" w:hAnsi="宋体" w:eastAsia="宋体"/>
          <w:color w:val="auto"/>
          <w:highlight w:val="none"/>
        </w:rPr>
        <w:t>3.6备选投标方案</w:t>
      </w:r>
      <w:bookmarkEnd w:id="125"/>
      <w:bookmarkEnd w:id="126"/>
      <w:bookmarkEnd w:id="127"/>
      <w:bookmarkEnd w:id="128"/>
      <w:bookmarkEnd w:id="129"/>
    </w:p>
    <w:p w14:paraId="6311B57C">
      <w:pPr>
        <w:spacing w:line="360" w:lineRule="auto"/>
        <w:ind w:firstLine="420" w:firstLineChars="200"/>
        <w:rPr>
          <w:rFonts w:ascii="宋体" w:hAnsi="宋体" w:eastAsia="宋体"/>
          <w:color w:val="auto"/>
          <w:highlight w:val="none"/>
        </w:rPr>
      </w:pPr>
      <w:r>
        <w:rPr>
          <w:rFonts w:ascii="宋体" w:hAnsi="宋体" w:eastAsia="宋体"/>
          <w:color w:val="auto"/>
          <w:highlight w:val="none"/>
        </w:rPr>
        <w:t>3.6.1除投标人须知前附表规定允许外，投标人不得递交备选投标方案，否则其投标将被否</w:t>
      </w:r>
      <w:r>
        <w:rPr>
          <w:rFonts w:hint="eastAsia" w:ascii="宋体" w:hAnsi="宋体" w:eastAsia="宋体"/>
          <w:color w:val="auto"/>
          <w:highlight w:val="none"/>
        </w:rPr>
        <w:t>决。</w:t>
      </w:r>
    </w:p>
    <w:p w14:paraId="795A0004">
      <w:pPr>
        <w:spacing w:line="360" w:lineRule="auto"/>
        <w:ind w:firstLine="420" w:firstLineChars="200"/>
        <w:rPr>
          <w:rFonts w:ascii="宋体" w:hAnsi="宋体" w:eastAsia="宋体"/>
          <w:color w:val="auto"/>
          <w:highlight w:val="none"/>
        </w:rPr>
      </w:pPr>
      <w:r>
        <w:rPr>
          <w:rFonts w:ascii="宋体" w:hAnsi="宋体" w:eastAsia="宋体"/>
          <w:color w:val="auto"/>
          <w:highlight w:val="none"/>
        </w:rPr>
        <w:t xml:space="preserve">3.6.2允许投标人递交备选投标方案的，只有中标人所递交的备选投标方案方可予以考虑。 </w:t>
      </w:r>
      <w:r>
        <w:rPr>
          <w:rFonts w:hint="eastAsia" w:ascii="宋体" w:hAnsi="宋体" w:eastAsia="宋体"/>
          <w:color w:val="auto"/>
          <w:highlight w:val="none"/>
        </w:rPr>
        <w:t>评标委员会认为中标人的备选投标方案优于其按照招标文件要求编制的投标方案的，招标人可以接受该备选投标方案。</w:t>
      </w:r>
    </w:p>
    <w:p w14:paraId="32E5508A">
      <w:pPr>
        <w:spacing w:line="360" w:lineRule="auto"/>
        <w:ind w:firstLine="420" w:firstLineChars="200"/>
        <w:rPr>
          <w:rFonts w:ascii="宋体" w:hAnsi="宋体" w:eastAsia="宋体"/>
          <w:color w:val="auto"/>
          <w:highlight w:val="none"/>
        </w:rPr>
      </w:pPr>
      <w:r>
        <w:rPr>
          <w:rFonts w:ascii="宋体" w:hAnsi="宋体" w:eastAsia="宋体"/>
          <w:color w:val="auto"/>
          <w:highlight w:val="none"/>
        </w:rPr>
        <w:t>3.6.3投标人提供两个或两个以上投标报价，或者在投标文件中提供一个报价，但同时提供两个或两个以上技术服务方案的，视为提供备选方案。</w:t>
      </w:r>
    </w:p>
    <w:p w14:paraId="26FF93F6">
      <w:pPr>
        <w:pStyle w:val="4"/>
        <w:spacing w:after="283" w:line="416" w:lineRule="auto"/>
        <w:ind w:left="424" w:firstLine="0" w:firstLineChars="0"/>
        <w:rPr>
          <w:rFonts w:ascii="宋体" w:hAnsi="宋体" w:eastAsia="宋体"/>
          <w:color w:val="auto"/>
          <w:highlight w:val="none"/>
        </w:rPr>
      </w:pPr>
      <w:bookmarkStart w:id="130" w:name="_Toc51055737"/>
      <w:bookmarkStart w:id="131" w:name="_Toc133420493"/>
      <w:bookmarkStart w:id="132" w:name="_Toc45266419"/>
      <w:bookmarkStart w:id="133" w:name="_Toc36466588"/>
      <w:bookmarkStart w:id="134" w:name="_Toc5134"/>
      <w:r>
        <w:rPr>
          <w:rFonts w:ascii="宋体" w:hAnsi="宋体" w:eastAsia="宋体"/>
          <w:color w:val="auto"/>
          <w:highlight w:val="none"/>
        </w:rPr>
        <w:t>3.7投标文件的编制</w:t>
      </w:r>
      <w:bookmarkEnd w:id="130"/>
      <w:bookmarkEnd w:id="131"/>
      <w:bookmarkEnd w:id="132"/>
      <w:bookmarkEnd w:id="133"/>
      <w:bookmarkEnd w:id="134"/>
    </w:p>
    <w:p w14:paraId="40BE43DC">
      <w:pPr>
        <w:spacing w:line="360" w:lineRule="auto"/>
        <w:ind w:firstLine="420" w:firstLineChars="200"/>
        <w:rPr>
          <w:rFonts w:ascii="宋体" w:hAnsi="宋体" w:eastAsia="宋体"/>
          <w:color w:val="auto"/>
          <w:highlight w:val="none"/>
        </w:rPr>
      </w:pPr>
      <w:r>
        <w:rPr>
          <w:rFonts w:ascii="宋体" w:hAnsi="宋体" w:eastAsia="宋体"/>
          <w:color w:val="auto"/>
          <w:highlight w:val="none"/>
        </w:rPr>
        <w:t xml:space="preserve">3.7.1 </w:t>
      </w:r>
      <w:r>
        <w:rPr>
          <w:rFonts w:hint="eastAsia" w:ascii="宋体" w:hAnsi="宋体" w:eastAsia="宋体"/>
          <w:color w:val="auto"/>
          <w:highlight w:val="none"/>
        </w:rPr>
        <w:t>投标文件应按第六章“投标文件格式”进行编写，如有必要，可以增加附页，作为投标文件的组成部分。其中，投标函附录在满足招标文件实质性要求的基础上，可以提出比招标文件要求更有利于招标人的承诺。</w:t>
      </w:r>
    </w:p>
    <w:p w14:paraId="70FE390A">
      <w:pPr>
        <w:spacing w:line="360" w:lineRule="auto"/>
        <w:ind w:firstLine="420" w:firstLineChars="200"/>
        <w:rPr>
          <w:rFonts w:ascii="宋体" w:hAnsi="宋体" w:eastAsia="宋体"/>
          <w:color w:val="auto"/>
          <w:highlight w:val="none"/>
        </w:rPr>
      </w:pPr>
      <w:r>
        <w:rPr>
          <w:rFonts w:ascii="宋体" w:hAnsi="宋体" w:eastAsia="宋体"/>
          <w:color w:val="auto"/>
          <w:highlight w:val="none"/>
        </w:rPr>
        <w:t xml:space="preserve">3.7.2 </w:t>
      </w:r>
      <w:r>
        <w:rPr>
          <w:rFonts w:hint="eastAsia" w:ascii="宋体" w:hAnsi="宋体" w:eastAsia="宋体"/>
          <w:color w:val="auto"/>
          <w:highlight w:val="none"/>
        </w:rPr>
        <w:t>投标文件应当对招标文件有关服务期限、投标有效期、委托人要求、招标范围等实质性内容作出响应。</w:t>
      </w:r>
    </w:p>
    <w:p w14:paraId="66D37800">
      <w:pPr>
        <w:spacing w:line="360" w:lineRule="auto"/>
        <w:ind w:firstLine="420" w:firstLineChars="200"/>
        <w:rPr>
          <w:rFonts w:ascii="宋体" w:hAnsi="宋体" w:eastAsia="宋体"/>
          <w:color w:val="auto"/>
          <w:highlight w:val="none"/>
        </w:rPr>
      </w:pPr>
      <w:r>
        <w:rPr>
          <w:rFonts w:ascii="宋体" w:hAnsi="宋体" w:eastAsia="宋体"/>
          <w:color w:val="auto"/>
          <w:highlight w:val="none"/>
        </w:rPr>
        <w:t xml:space="preserve">3.7.3投标文件全部采用电子文档，除投标人须知前附表另有规定外，投标文件所附 </w:t>
      </w:r>
      <w:r>
        <w:rPr>
          <w:rFonts w:hint="eastAsia" w:ascii="宋体" w:hAnsi="宋体" w:eastAsia="宋体"/>
          <w:color w:val="auto"/>
          <w:highlight w:val="none"/>
        </w:rPr>
        <w:t>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14:paraId="4BBED262">
      <w:pPr>
        <w:pStyle w:val="3"/>
        <w:ind w:firstLine="602"/>
        <w:rPr>
          <w:color w:val="auto"/>
          <w:highlight w:val="none"/>
        </w:rPr>
      </w:pPr>
      <w:bookmarkStart w:id="135" w:name="_Toc133420494"/>
      <w:bookmarkStart w:id="136" w:name="_Toc14192"/>
      <w:r>
        <w:rPr>
          <w:color w:val="auto"/>
          <w:highlight w:val="none"/>
        </w:rPr>
        <w:t>4.投标</w:t>
      </w:r>
      <w:bookmarkEnd w:id="135"/>
      <w:bookmarkEnd w:id="136"/>
    </w:p>
    <w:p w14:paraId="7D7B76A9">
      <w:pPr>
        <w:pStyle w:val="4"/>
        <w:spacing w:after="283" w:line="416" w:lineRule="auto"/>
        <w:ind w:left="424" w:firstLine="0" w:firstLineChars="0"/>
        <w:rPr>
          <w:rFonts w:ascii="宋体" w:hAnsi="宋体" w:eastAsia="宋体"/>
          <w:color w:val="auto"/>
          <w:highlight w:val="none"/>
        </w:rPr>
      </w:pPr>
      <w:bookmarkStart w:id="137" w:name="_Toc36466590"/>
      <w:bookmarkStart w:id="138" w:name="_Toc51055739"/>
      <w:bookmarkStart w:id="139" w:name="_Toc133420495"/>
      <w:bookmarkStart w:id="140" w:name="_Toc45266421"/>
      <w:bookmarkStart w:id="141" w:name="_Toc14794"/>
      <w:r>
        <w:rPr>
          <w:rFonts w:ascii="宋体" w:hAnsi="宋体" w:eastAsia="宋体"/>
          <w:color w:val="auto"/>
          <w:highlight w:val="none"/>
        </w:rPr>
        <w:t>4.1投标文件的密封和标记</w:t>
      </w:r>
      <w:bookmarkEnd w:id="137"/>
      <w:bookmarkEnd w:id="138"/>
      <w:bookmarkEnd w:id="139"/>
      <w:bookmarkEnd w:id="140"/>
      <w:bookmarkEnd w:id="141"/>
    </w:p>
    <w:p w14:paraId="53F88EA3">
      <w:pPr>
        <w:spacing w:line="360" w:lineRule="auto"/>
        <w:ind w:firstLine="420" w:firstLineChars="200"/>
        <w:rPr>
          <w:rFonts w:ascii="宋体" w:hAnsi="宋体" w:eastAsia="宋体"/>
          <w:color w:val="auto"/>
          <w:highlight w:val="none"/>
        </w:rPr>
      </w:pPr>
      <w:r>
        <w:rPr>
          <w:rFonts w:ascii="宋体" w:hAnsi="宋体" w:eastAsia="宋体"/>
          <w:color w:val="auto"/>
          <w:highlight w:val="none"/>
        </w:rPr>
        <w:t>4.1.1投标人应当按照招标文件和电子招标投标交易平台的要求加密投标文件，具体要求见投标人须知前附表。</w:t>
      </w:r>
    </w:p>
    <w:p w14:paraId="778E6778">
      <w:pPr>
        <w:spacing w:line="360" w:lineRule="auto"/>
        <w:ind w:firstLine="420" w:firstLineChars="200"/>
        <w:rPr>
          <w:rFonts w:ascii="宋体" w:hAnsi="宋体" w:eastAsia="宋体"/>
          <w:color w:val="auto"/>
          <w:highlight w:val="none"/>
        </w:rPr>
      </w:pPr>
      <w:r>
        <w:rPr>
          <w:rFonts w:ascii="宋体" w:hAnsi="宋体" w:eastAsia="宋体"/>
          <w:color w:val="auto"/>
          <w:highlight w:val="none"/>
        </w:rPr>
        <w:t>4.1.2投标文件封套上应写明的内容见投标人须知前附表。</w:t>
      </w:r>
    </w:p>
    <w:p w14:paraId="33881EB7">
      <w:pPr>
        <w:spacing w:line="360" w:lineRule="auto"/>
        <w:ind w:firstLine="420" w:firstLineChars="200"/>
        <w:rPr>
          <w:rFonts w:ascii="宋体" w:hAnsi="宋体" w:eastAsia="宋体"/>
          <w:color w:val="auto"/>
          <w:highlight w:val="none"/>
        </w:rPr>
      </w:pPr>
      <w:r>
        <w:rPr>
          <w:rFonts w:ascii="宋体" w:hAnsi="宋体" w:eastAsia="宋体"/>
          <w:color w:val="auto"/>
          <w:highlight w:val="none"/>
        </w:rPr>
        <w:t>4.1.3未按本章第4.1.1项要求密封的投标文件，招标人将予以拒收。</w:t>
      </w:r>
    </w:p>
    <w:p w14:paraId="10F5E052">
      <w:pPr>
        <w:pStyle w:val="4"/>
        <w:spacing w:after="283" w:line="416" w:lineRule="auto"/>
        <w:ind w:left="424" w:firstLine="0" w:firstLineChars="0"/>
        <w:rPr>
          <w:rFonts w:ascii="宋体" w:hAnsi="宋体" w:eastAsia="宋体"/>
          <w:color w:val="auto"/>
          <w:highlight w:val="none"/>
        </w:rPr>
      </w:pPr>
      <w:bookmarkStart w:id="142" w:name="_Toc51055740"/>
      <w:bookmarkStart w:id="143" w:name="_Toc36466591"/>
      <w:bookmarkStart w:id="144" w:name="_Toc133420496"/>
      <w:bookmarkStart w:id="145" w:name="_Toc45266422"/>
      <w:bookmarkStart w:id="146" w:name="_Toc26605"/>
      <w:r>
        <w:rPr>
          <w:rFonts w:ascii="宋体" w:hAnsi="宋体" w:eastAsia="宋体"/>
          <w:color w:val="auto"/>
          <w:highlight w:val="none"/>
        </w:rPr>
        <w:t>4.2投标文件的递交</w:t>
      </w:r>
      <w:bookmarkEnd w:id="142"/>
      <w:bookmarkEnd w:id="143"/>
      <w:bookmarkEnd w:id="144"/>
      <w:bookmarkEnd w:id="145"/>
      <w:bookmarkEnd w:id="146"/>
    </w:p>
    <w:p w14:paraId="1FB9F6EC">
      <w:pPr>
        <w:spacing w:line="360" w:lineRule="auto"/>
        <w:ind w:firstLine="420" w:firstLineChars="200"/>
        <w:rPr>
          <w:rFonts w:ascii="宋体" w:hAnsi="宋体" w:eastAsia="宋体"/>
          <w:color w:val="auto"/>
          <w:highlight w:val="none"/>
        </w:rPr>
      </w:pPr>
      <w:r>
        <w:rPr>
          <w:rFonts w:ascii="宋体" w:hAnsi="宋体" w:eastAsia="宋体"/>
          <w:color w:val="auto"/>
          <w:highlight w:val="none"/>
        </w:rPr>
        <w:t>4.2.1投标人应在投标人须知前附表规定的投标截止时间前递交投标文件。</w:t>
      </w:r>
    </w:p>
    <w:p w14:paraId="62255D88">
      <w:pPr>
        <w:spacing w:line="360" w:lineRule="auto"/>
        <w:ind w:firstLine="420" w:firstLineChars="200"/>
        <w:rPr>
          <w:rFonts w:ascii="宋体" w:hAnsi="宋体" w:eastAsia="宋体"/>
          <w:color w:val="auto"/>
          <w:highlight w:val="none"/>
        </w:rPr>
      </w:pPr>
      <w:r>
        <w:rPr>
          <w:rFonts w:ascii="宋体" w:hAnsi="宋体" w:eastAsia="宋体"/>
          <w:color w:val="auto"/>
          <w:highlight w:val="none"/>
        </w:rPr>
        <w:t>4.2.2投标人通过下载招标文件的电子招标投标交易平台递交电子投标文件。</w:t>
      </w:r>
    </w:p>
    <w:p w14:paraId="0C4474B1">
      <w:pPr>
        <w:spacing w:line="360" w:lineRule="auto"/>
        <w:ind w:firstLine="420" w:firstLineChars="200"/>
        <w:rPr>
          <w:rFonts w:ascii="宋体" w:hAnsi="宋体" w:eastAsia="宋体"/>
          <w:color w:val="auto"/>
          <w:highlight w:val="none"/>
        </w:rPr>
      </w:pPr>
      <w:r>
        <w:rPr>
          <w:rFonts w:ascii="宋体" w:hAnsi="宋体" w:eastAsia="宋体"/>
          <w:color w:val="auto"/>
          <w:highlight w:val="none"/>
        </w:rPr>
        <w:t>4.2.3除投标人须知前附表另有规定外，投标人所递交的投标文件不予退还。</w:t>
      </w:r>
    </w:p>
    <w:p w14:paraId="6FC37EB2">
      <w:pPr>
        <w:spacing w:line="360" w:lineRule="auto"/>
        <w:ind w:firstLine="420" w:firstLineChars="200"/>
        <w:rPr>
          <w:rFonts w:ascii="宋体" w:hAnsi="宋体" w:eastAsia="宋体"/>
          <w:color w:val="auto"/>
          <w:highlight w:val="none"/>
        </w:rPr>
      </w:pPr>
      <w:r>
        <w:rPr>
          <w:rFonts w:ascii="宋体" w:hAnsi="宋体" w:eastAsia="宋体"/>
          <w:color w:val="auto"/>
          <w:highlight w:val="none"/>
        </w:rPr>
        <w:t>4.2.4投标人完成电子投标文件上传后，电子招标投标交易平台即时向投标人发出递交回执通知。递交时间以递交回执通知载明的传输完成时间为准。</w:t>
      </w:r>
    </w:p>
    <w:p w14:paraId="2E643177">
      <w:pPr>
        <w:spacing w:line="360" w:lineRule="auto"/>
        <w:ind w:firstLine="420" w:firstLineChars="200"/>
        <w:rPr>
          <w:rFonts w:ascii="宋体" w:hAnsi="宋体" w:eastAsia="宋体"/>
          <w:color w:val="auto"/>
          <w:highlight w:val="none"/>
        </w:rPr>
      </w:pPr>
      <w:r>
        <w:rPr>
          <w:rFonts w:ascii="宋体" w:hAnsi="宋体" w:eastAsia="宋体"/>
          <w:color w:val="auto"/>
          <w:highlight w:val="none"/>
        </w:rPr>
        <w:t>4.2.5逾期送达的投标文件，电子招标投标交易平台将予以拒收。</w:t>
      </w:r>
    </w:p>
    <w:p w14:paraId="3D635626">
      <w:pPr>
        <w:pStyle w:val="4"/>
        <w:spacing w:after="283" w:line="416" w:lineRule="auto"/>
        <w:ind w:left="424" w:firstLine="0" w:firstLineChars="0"/>
        <w:rPr>
          <w:rFonts w:ascii="宋体" w:hAnsi="宋体" w:eastAsia="宋体"/>
          <w:color w:val="auto"/>
          <w:highlight w:val="none"/>
        </w:rPr>
      </w:pPr>
      <w:bookmarkStart w:id="147" w:name="_Toc36466592"/>
      <w:bookmarkStart w:id="148" w:name="_Toc51055741"/>
      <w:bookmarkStart w:id="149" w:name="_Toc45266423"/>
      <w:bookmarkStart w:id="150" w:name="_Toc133420497"/>
      <w:bookmarkStart w:id="151" w:name="_Toc3547"/>
      <w:r>
        <w:rPr>
          <w:rFonts w:ascii="宋体" w:hAnsi="宋体" w:eastAsia="宋体"/>
          <w:color w:val="auto"/>
          <w:highlight w:val="none"/>
        </w:rPr>
        <w:t>4.3投标文件的修改与撤回</w:t>
      </w:r>
      <w:bookmarkEnd w:id="147"/>
      <w:bookmarkEnd w:id="148"/>
      <w:bookmarkEnd w:id="149"/>
      <w:bookmarkEnd w:id="150"/>
      <w:bookmarkEnd w:id="151"/>
    </w:p>
    <w:p w14:paraId="306EB5F0">
      <w:pPr>
        <w:spacing w:line="360" w:lineRule="auto"/>
        <w:ind w:firstLine="420" w:firstLineChars="200"/>
        <w:rPr>
          <w:rFonts w:ascii="宋体" w:hAnsi="宋体" w:eastAsia="宋体"/>
          <w:color w:val="auto"/>
          <w:highlight w:val="none"/>
        </w:rPr>
      </w:pPr>
      <w:r>
        <w:rPr>
          <w:rFonts w:ascii="宋体" w:hAnsi="宋体" w:eastAsia="宋体"/>
          <w:color w:val="auto"/>
          <w:highlight w:val="none"/>
        </w:rPr>
        <w:t xml:space="preserve">4.3.1在本章第 4.2.1 </w:t>
      </w:r>
      <w:r>
        <w:rPr>
          <w:rFonts w:hint="eastAsia" w:ascii="宋体" w:hAnsi="宋体" w:eastAsia="宋体"/>
          <w:color w:val="auto"/>
          <w:highlight w:val="none"/>
        </w:rPr>
        <w:t>项规定的投标截止时间前，投标人可以修改或撤回已递交的投标文件，但应以书面形式通知招标人。</w:t>
      </w:r>
    </w:p>
    <w:p w14:paraId="6F91C85F">
      <w:pPr>
        <w:spacing w:line="360" w:lineRule="auto"/>
        <w:ind w:firstLine="420" w:firstLineChars="200"/>
        <w:rPr>
          <w:rFonts w:ascii="宋体" w:hAnsi="宋体" w:eastAsia="宋体"/>
          <w:color w:val="auto"/>
          <w:highlight w:val="none"/>
        </w:rPr>
      </w:pPr>
      <w:r>
        <w:rPr>
          <w:rFonts w:ascii="宋体" w:hAnsi="宋体" w:eastAsia="宋体"/>
          <w:color w:val="auto"/>
          <w:highlight w:val="none"/>
        </w:rPr>
        <w:t>4.3.2投标人修改或撤回已递交投标文件的通知，应按照本章第 3.7.3（B）项的要求加盖电子印章。电子招标投标交易平台收到通知后，即时向投标人发出确认回执通知。</w:t>
      </w:r>
    </w:p>
    <w:p w14:paraId="5759C750">
      <w:pPr>
        <w:spacing w:line="360" w:lineRule="auto"/>
        <w:ind w:firstLine="420" w:firstLineChars="200"/>
        <w:rPr>
          <w:rFonts w:ascii="宋体" w:hAnsi="宋体" w:eastAsia="宋体"/>
          <w:color w:val="auto"/>
          <w:highlight w:val="none"/>
        </w:rPr>
      </w:pPr>
      <w:r>
        <w:rPr>
          <w:rFonts w:ascii="宋体" w:hAnsi="宋体" w:eastAsia="宋体"/>
          <w:color w:val="auto"/>
          <w:highlight w:val="none"/>
        </w:rPr>
        <w:t>4.3.</w:t>
      </w:r>
      <w:r>
        <w:rPr>
          <w:rFonts w:hint="eastAsia" w:ascii="宋体" w:hAnsi="宋体" w:eastAsia="宋体"/>
          <w:color w:val="auto"/>
          <w:highlight w:val="none"/>
          <w:lang w:val="en-US" w:eastAsia="zh-CN"/>
        </w:rPr>
        <w:t>3</w:t>
      </w:r>
      <w:r>
        <w:rPr>
          <w:rFonts w:ascii="宋体" w:hAnsi="宋体" w:eastAsia="宋体"/>
          <w:color w:val="auto"/>
          <w:highlight w:val="none"/>
        </w:rPr>
        <w:t>修改的内容为投标文件的组成部分。修改的投标文件应按照本章第3条、第4条的规定进行编制、密封、标记和递交，并标明“修改”字样。</w:t>
      </w:r>
    </w:p>
    <w:p w14:paraId="54AC7F8E">
      <w:pPr>
        <w:pStyle w:val="3"/>
        <w:ind w:firstLine="602"/>
        <w:rPr>
          <w:color w:val="auto"/>
          <w:highlight w:val="none"/>
        </w:rPr>
      </w:pPr>
      <w:bookmarkStart w:id="152" w:name="_Toc133420498"/>
      <w:bookmarkStart w:id="153" w:name="_Toc23358"/>
      <w:r>
        <w:rPr>
          <w:color w:val="auto"/>
          <w:highlight w:val="none"/>
        </w:rPr>
        <w:t xml:space="preserve">5. </w:t>
      </w:r>
      <w:r>
        <w:rPr>
          <w:rFonts w:hint="eastAsia"/>
          <w:color w:val="auto"/>
          <w:highlight w:val="none"/>
        </w:rPr>
        <w:t>开标</w:t>
      </w:r>
      <w:bookmarkEnd w:id="152"/>
      <w:bookmarkEnd w:id="153"/>
    </w:p>
    <w:p w14:paraId="51CAC7B8">
      <w:pPr>
        <w:pStyle w:val="4"/>
        <w:spacing w:after="283" w:line="416" w:lineRule="auto"/>
        <w:ind w:left="424" w:firstLine="0" w:firstLineChars="0"/>
        <w:rPr>
          <w:rFonts w:ascii="宋体" w:hAnsi="宋体" w:eastAsia="宋体"/>
          <w:color w:val="auto"/>
          <w:highlight w:val="none"/>
        </w:rPr>
      </w:pPr>
      <w:bookmarkStart w:id="154" w:name="_Toc36466594"/>
      <w:bookmarkStart w:id="155" w:name="_Toc45266426"/>
      <w:bookmarkStart w:id="156" w:name="_Toc133420500"/>
      <w:bookmarkStart w:id="157" w:name="_Toc51055744"/>
      <w:bookmarkStart w:id="158" w:name="_Toc1280"/>
      <w:r>
        <w:rPr>
          <w:rFonts w:ascii="宋体" w:hAnsi="宋体" w:eastAsia="宋体"/>
          <w:color w:val="auto"/>
          <w:highlight w:val="none"/>
        </w:rPr>
        <w:t>5.1开标时间和地点</w:t>
      </w:r>
      <w:bookmarkEnd w:id="154"/>
      <w:bookmarkEnd w:id="155"/>
      <w:bookmarkEnd w:id="156"/>
      <w:bookmarkEnd w:id="157"/>
      <w:bookmarkEnd w:id="158"/>
    </w:p>
    <w:p w14:paraId="0AFB558B">
      <w:pPr>
        <w:spacing w:line="360" w:lineRule="auto"/>
        <w:ind w:firstLine="420" w:firstLineChars="200"/>
        <w:rPr>
          <w:rFonts w:ascii="宋体" w:hAnsi="宋体" w:eastAsia="宋体"/>
          <w:color w:val="auto"/>
          <w:highlight w:val="none"/>
        </w:rPr>
      </w:pPr>
      <w:bookmarkStart w:id="159" w:name="_Toc36466595"/>
      <w:r>
        <w:rPr>
          <w:rFonts w:hint="eastAsia" w:ascii="宋体" w:hAnsi="宋体" w:eastAsia="宋体"/>
          <w:color w:val="auto"/>
          <w:highlight w:val="none"/>
        </w:rPr>
        <w:t>招标人在本章第</w:t>
      </w:r>
      <w:r>
        <w:rPr>
          <w:rFonts w:ascii="宋体" w:hAnsi="宋体" w:eastAsia="宋体"/>
          <w:color w:val="auto"/>
          <w:highlight w:val="none"/>
        </w:rPr>
        <w:t xml:space="preserve"> 4.2.1项规定的投标截止时间（开标时间）,通过电子招标投标交易平台公开开标，</w:t>
      </w:r>
      <w:r>
        <w:rPr>
          <w:rFonts w:hint="eastAsia" w:ascii="宋体" w:hAnsi="宋体" w:eastAsia="宋体"/>
          <w:color w:val="auto"/>
          <w:highlight w:val="none"/>
        </w:rPr>
        <w:t>开标时，投标人代表有权出席开标会，也可以自主决定不参加开标会，若投标人代表对现场开标过程提出异议，应当在开标现场提出，该投标人代表须同时出示本人身份证原件，招标人当场作出答复，并制作记录。投标人通过电子招标投标交易平台参与开标的，对开标过程提出异议的，应通过电子招标投标交易平台提出，招标人通过电子招标投标交易平台现场进行答复</w:t>
      </w:r>
      <w:r>
        <w:rPr>
          <w:rFonts w:ascii="宋体" w:hAnsi="宋体" w:eastAsia="宋体"/>
          <w:color w:val="auto"/>
          <w:highlight w:val="none"/>
        </w:rPr>
        <w:t>。</w:t>
      </w:r>
    </w:p>
    <w:p w14:paraId="11D40C64">
      <w:pPr>
        <w:pStyle w:val="4"/>
        <w:spacing w:after="283" w:line="416" w:lineRule="auto"/>
        <w:ind w:left="424" w:firstLine="0" w:firstLineChars="0"/>
        <w:rPr>
          <w:rFonts w:ascii="宋体" w:hAnsi="宋体" w:eastAsia="宋体"/>
          <w:color w:val="auto"/>
          <w:highlight w:val="none"/>
        </w:rPr>
      </w:pPr>
      <w:bookmarkStart w:id="160" w:name="_Toc45266427"/>
      <w:bookmarkStart w:id="161" w:name="_Toc133420501"/>
      <w:bookmarkStart w:id="162" w:name="_Toc51055745"/>
      <w:bookmarkStart w:id="163" w:name="_Toc9135"/>
      <w:r>
        <w:rPr>
          <w:rFonts w:ascii="宋体" w:hAnsi="宋体" w:eastAsia="宋体"/>
          <w:color w:val="auto"/>
          <w:highlight w:val="none"/>
        </w:rPr>
        <w:t>5.2开标程序</w:t>
      </w:r>
      <w:bookmarkEnd w:id="159"/>
      <w:bookmarkEnd w:id="160"/>
      <w:bookmarkEnd w:id="161"/>
      <w:bookmarkEnd w:id="162"/>
      <w:bookmarkEnd w:id="163"/>
    </w:p>
    <w:p w14:paraId="77929655">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5</w:t>
      </w:r>
      <w:r>
        <w:rPr>
          <w:rFonts w:ascii="宋体" w:hAnsi="宋体" w:eastAsia="宋体"/>
          <w:color w:val="auto"/>
          <w:highlight w:val="none"/>
        </w:rPr>
        <w:t>.2.1</w:t>
      </w:r>
      <w:r>
        <w:rPr>
          <w:rFonts w:hint="eastAsia" w:ascii="宋体" w:hAnsi="宋体" w:eastAsia="宋体"/>
          <w:color w:val="auto"/>
          <w:highlight w:val="none"/>
        </w:rPr>
        <w:t>主持人按下列程序进行开标：</w:t>
      </w:r>
    </w:p>
    <w:p w14:paraId="09F8E3E7">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1）宣布开标纪律；</w:t>
      </w:r>
    </w:p>
    <w:p w14:paraId="38881CA1">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2）公布在投标截止时间前递交投标文件的投标人名称；</w:t>
      </w:r>
    </w:p>
    <w:p w14:paraId="2F3A1848">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3）宣布开标人、唱标人、记录人、监标人等有关人员姓名；</w:t>
      </w:r>
    </w:p>
    <w:p w14:paraId="303350CF">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4）投标人通过电子招标投标交易平台对已递交的电子投标文件进行解密，公布招</w:t>
      </w:r>
      <w:r>
        <w:rPr>
          <w:rFonts w:hint="eastAsia" w:ascii="宋体" w:hAnsi="宋体" w:eastAsia="宋体"/>
          <w:color w:val="auto"/>
          <w:highlight w:val="none"/>
        </w:rPr>
        <w:t>标项目名称、投标人名称、投标报价、服务期限及其他内容，并记录在案；</w:t>
      </w:r>
    </w:p>
    <w:p w14:paraId="036A8414">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5）</w:t>
      </w:r>
      <w:r>
        <w:rPr>
          <w:rFonts w:hint="eastAsia" w:ascii="宋体" w:hAnsi="宋体" w:eastAsia="宋体"/>
          <w:color w:val="auto"/>
          <w:highlight w:val="none"/>
        </w:rPr>
        <w:t>投标人代表、招标人代表、监标人、记录人等有关人员在开标记录上签字确认；若有关人员不签字的，不影响开标程序</w:t>
      </w:r>
      <w:r>
        <w:rPr>
          <w:rFonts w:ascii="宋体" w:hAnsi="宋体" w:eastAsia="宋体"/>
          <w:color w:val="auto"/>
          <w:highlight w:val="none"/>
        </w:rPr>
        <w:t>；</w:t>
      </w:r>
    </w:p>
    <w:p w14:paraId="6F0D4499">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6）开标结束。</w:t>
      </w:r>
    </w:p>
    <w:p w14:paraId="0B429A14">
      <w:pPr>
        <w:spacing w:line="360" w:lineRule="auto"/>
        <w:ind w:left="424" w:right="142" w:firstLine="420"/>
        <w:rPr>
          <w:rFonts w:ascii="宋体" w:hAnsi="宋体" w:eastAsia="宋体"/>
          <w:color w:val="auto"/>
          <w:highlight w:val="none"/>
        </w:rPr>
      </w:pPr>
      <w:r>
        <w:rPr>
          <w:rFonts w:hint="eastAsia" w:ascii="宋体" w:hAnsi="宋体" w:eastAsia="宋体"/>
          <w:color w:val="auto"/>
          <w:highlight w:val="none"/>
        </w:rPr>
        <w:t>5.2.2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222F0667">
      <w:pPr>
        <w:spacing w:line="360" w:lineRule="auto"/>
        <w:ind w:left="424" w:right="142" w:firstLine="420"/>
        <w:rPr>
          <w:rFonts w:ascii="宋体" w:hAnsi="宋体" w:eastAsia="宋体"/>
          <w:color w:val="auto"/>
          <w:highlight w:val="none"/>
        </w:rPr>
      </w:pPr>
      <w:r>
        <w:rPr>
          <w:rFonts w:hint="eastAsia" w:ascii="宋体" w:hAnsi="宋体" w:eastAsia="宋体"/>
          <w:color w:val="auto"/>
          <w:highlight w:val="none"/>
        </w:rPr>
        <w:t>5.2.3开标时，两个（含两个）以上的投标人加密打包投标文件电脑机器特征码一致的，不参与下一程序，并由评标委员会否决其投标。</w:t>
      </w:r>
    </w:p>
    <w:p w14:paraId="296E3072">
      <w:pPr>
        <w:spacing w:line="360" w:lineRule="auto"/>
        <w:ind w:firstLine="420" w:firstLineChars="200"/>
        <w:rPr>
          <w:rFonts w:ascii="宋体" w:hAnsi="宋体" w:eastAsia="宋体"/>
          <w:color w:val="auto"/>
          <w:highlight w:val="none"/>
        </w:rPr>
      </w:pPr>
    </w:p>
    <w:p w14:paraId="43BE5D97">
      <w:pPr>
        <w:pStyle w:val="4"/>
        <w:spacing w:after="283" w:line="416" w:lineRule="auto"/>
        <w:ind w:left="424" w:firstLine="0" w:firstLineChars="0"/>
        <w:rPr>
          <w:rFonts w:ascii="宋体" w:hAnsi="宋体" w:eastAsia="宋体"/>
          <w:color w:val="auto"/>
          <w:highlight w:val="none"/>
        </w:rPr>
      </w:pPr>
      <w:bookmarkStart w:id="164" w:name="_Toc45266428"/>
      <w:bookmarkStart w:id="165" w:name="_Toc51055746"/>
      <w:bookmarkStart w:id="166" w:name="_Toc133420502"/>
      <w:bookmarkStart w:id="167" w:name="_Toc36466596"/>
      <w:bookmarkStart w:id="168" w:name="_Toc16047"/>
      <w:r>
        <w:rPr>
          <w:rFonts w:ascii="宋体" w:hAnsi="宋体" w:eastAsia="宋体"/>
          <w:color w:val="auto"/>
          <w:highlight w:val="none"/>
        </w:rPr>
        <w:t>5.3开标异议</w:t>
      </w:r>
      <w:bookmarkEnd w:id="164"/>
      <w:bookmarkEnd w:id="165"/>
      <w:bookmarkEnd w:id="166"/>
      <w:bookmarkEnd w:id="167"/>
      <w:bookmarkEnd w:id="168"/>
    </w:p>
    <w:p w14:paraId="0CE4AC4D">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投标人对开标有异议的，应当在开标现场提出，招标人当场作出答复，并制作记录。</w:t>
      </w:r>
    </w:p>
    <w:p w14:paraId="54AEF4FF">
      <w:pPr>
        <w:pStyle w:val="3"/>
        <w:ind w:firstLine="602"/>
        <w:rPr>
          <w:color w:val="auto"/>
          <w:highlight w:val="none"/>
        </w:rPr>
      </w:pPr>
      <w:bookmarkStart w:id="169" w:name="_Toc133420503"/>
      <w:bookmarkStart w:id="170" w:name="_Toc26550"/>
      <w:r>
        <w:rPr>
          <w:color w:val="auto"/>
          <w:highlight w:val="none"/>
        </w:rPr>
        <w:t>6.评标</w:t>
      </w:r>
      <w:bookmarkEnd w:id="169"/>
      <w:bookmarkEnd w:id="170"/>
    </w:p>
    <w:p w14:paraId="40FD62EB">
      <w:pPr>
        <w:pStyle w:val="4"/>
        <w:spacing w:after="283" w:line="416" w:lineRule="auto"/>
        <w:ind w:left="424" w:firstLine="0" w:firstLineChars="0"/>
        <w:rPr>
          <w:rFonts w:ascii="宋体" w:hAnsi="宋体" w:eastAsia="宋体"/>
          <w:color w:val="auto"/>
          <w:highlight w:val="none"/>
        </w:rPr>
      </w:pPr>
      <w:bookmarkStart w:id="171" w:name="_Toc51055748"/>
      <w:bookmarkStart w:id="172" w:name="_Toc133420504"/>
      <w:bookmarkStart w:id="173" w:name="_Toc45266430"/>
      <w:bookmarkStart w:id="174" w:name="_Toc36466598"/>
      <w:bookmarkStart w:id="175" w:name="_Toc8448"/>
      <w:r>
        <w:rPr>
          <w:rFonts w:ascii="宋体" w:hAnsi="宋体" w:eastAsia="宋体"/>
          <w:color w:val="auto"/>
          <w:highlight w:val="none"/>
        </w:rPr>
        <w:t>6.1评标委员会</w:t>
      </w:r>
      <w:bookmarkEnd w:id="171"/>
      <w:bookmarkEnd w:id="172"/>
      <w:bookmarkEnd w:id="173"/>
      <w:bookmarkEnd w:id="174"/>
      <w:bookmarkEnd w:id="175"/>
    </w:p>
    <w:p w14:paraId="405B8741">
      <w:pPr>
        <w:spacing w:line="360" w:lineRule="auto"/>
        <w:ind w:firstLine="420" w:firstLineChars="200"/>
        <w:rPr>
          <w:rFonts w:ascii="宋体" w:hAnsi="宋体" w:eastAsia="宋体"/>
          <w:color w:val="auto"/>
          <w:highlight w:val="none"/>
        </w:rPr>
      </w:pPr>
      <w:r>
        <w:rPr>
          <w:rFonts w:ascii="宋体" w:hAnsi="宋体" w:eastAsia="宋体"/>
          <w:color w:val="auto"/>
          <w:highlight w:val="none"/>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104C1A6B">
      <w:pPr>
        <w:spacing w:line="360" w:lineRule="auto"/>
        <w:ind w:firstLine="420" w:firstLineChars="200"/>
        <w:rPr>
          <w:rFonts w:ascii="宋体" w:hAnsi="宋体" w:eastAsia="宋体"/>
          <w:color w:val="auto"/>
          <w:highlight w:val="none"/>
        </w:rPr>
      </w:pPr>
      <w:r>
        <w:rPr>
          <w:rFonts w:ascii="宋体" w:hAnsi="宋体" w:eastAsia="宋体"/>
          <w:color w:val="auto"/>
          <w:highlight w:val="none"/>
        </w:rPr>
        <w:t>6.1.2评标委员会成员有下列情形之一的，应当回避：</w:t>
      </w:r>
    </w:p>
    <w:p w14:paraId="1378FE94">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1）投标人或投标人主要负责人的近亲属；</w:t>
      </w:r>
    </w:p>
    <w:p w14:paraId="19DD62ED">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2）项目主管部门或者行政监督部门的人员；</w:t>
      </w:r>
    </w:p>
    <w:p w14:paraId="79F5AD27">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3）与投标人有经济利益关系，可能影响对投标公正评审的；</w:t>
      </w:r>
    </w:p>
    <w:p w14:paraId="5D5DEF83">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 xml:space="preserve">4）曾因在招标、评标以及其他与招标投标有关活动中从事违法行为而受过行政处罚 </w:t>
      </w:r>
      <w:r>
        <w:rPr>
          <w:rFonts w:hint="eastAsia" w:ascii="宋体" w:hAnsi="宋体" w:eastAsia="宋体"/>
          <w:color w:val="auto"/>
          <w:highlight w:val="none"/>
        </w:rPr>
        <w:t>或刑事处罚的；</w:t>
      </w:r>
    </w:p>
    <w:p w14:paraId="579FC2FF">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5）与投标人有其他利害关系。</w:t>
      </w:r>
    </w:p>
    <w:p w14:paraId="0C469135">
      <w:pPr>
        <w:spacing w:line="360" w:lineRule="auto"/>
        <w:ind w:firstLine="420" w:firstLineChars="200"/>
        <w:rPr>
          <w:rFonts w:ascii="宋体" w:hAnsi="宋体" w:eastAsia="宋体"/>
          <w:color w:val="auto"/>
          <w:highlight w:val="none"/>
        </w:rPr>
      </w:pPr>
      <w:r>
        <w:rPr>
          <w:rFonts w:ascii="宋体" w:hAnsi="宋体" w:eastAsia="宋体"/>
          <w:color w:val="auto"/>
          <w:highlight w:val="none"/>
        </w:rPr>
        <w:t>6.1.3评标过程中，评标委员会成员有回避事由、擅离职守或者因健康等原因不能继续评标的，招标人有权更换。被更换的评标委员会成员作出的评审结论无效，由更换后的评标委员会成员重新进行评审。</w:t>
      </w:r>
    </w:p>
    <w:p w14:paraId="2125EC23">
      <w:pPr>
        <w:pStyle w:val="4"/>
        <w:spacing w:after="283" w:line="416" w:lineRule="auto"/>
        <w:ind w:left="424" w:firstLine="0" w:firstLineChars="0"/>
        <w:rPr>
          <w:rFonts w:ascii="宋体" w:hAnsi="宋体" w:eastAsia="宋体"/>
          <w:color w:val="auto"/>
          <w:highlight w:val="none"/>
        </w:rPr>
      </w:pPr>
      <w:bookmarkStart w:id="176" w:name="_Toc45266431"/>
      <w:bookmarkStart w:id="177" w:name="_Toc36466599"/>
      <w:bookmarkStart w:id="178" w:name="_Toc51055749"/>
      <w:bookmarkStart w:id="179" w:name="_Toc133420505"/>
      <w:bookmarkStart w:id="180" w:name="_Toc12470"/>
      <w:r>
        <w:rPr>
          <w:rFonts w:ascii="宋体" w:hAnsi="宋体" w:eastAsia="宋体"/>
          <w:color w:val="auto"/>
          <w:highlight w:val="none"/>
        </w:rPr>
        <w:t>6.2评标原则</w:t>
      </w:r>
      <w:bookmarkEnd w:id="176"/>
      <w:bookmarkEnd w:id="177"/>
      <w:bookmarkEnd w:id="178"/>
      <w:bookmarkEnd w:id="179"/>
      <w:bookmarkEnd w:id="180"/>
    </w:p>
    <w:p w14:paraId="359B9731">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评标活动遵循公平、公正、科学和择优的原则。</w:t>
      </w:r>
    </w:p>
    <w:p w14:paraId="19BC151B">
      <w:pPr>
        <w:pStyle w:val="4"/>
        <w:spacing w:after="283" w:line="416" w:lineRule="auto"/>
        <w:ind w:left="424" w:firstLine="0" w:firstLineChars="0"/>
        <w:rPr>
          <w:rFonts w:ascii="宋体" w:hAnsi="宋体" w:eastAsia="宋体"/>
          <w:color w:val="auto"/>
          <w:highlight w:val="none"/>
        </w:rPr>
      </w:pPr>
      <w:bookmarkStart w:id="181" w:name="_Toc133420506"/>
      <w:bookmarkStart w:id="182" w:name="_Toc51055750"/>
      <w:bookmarkStart w:id="183" w:name="_Toc45266432"/>
      <w:bookmarkStart w:id="184" w:name="_Toc36466600"/>
      <w:bookmarkStart w:id="185" w:name="_Toc1220"/>
      <w:r>
        <w:rPr>
          <w:rFonts w:ascii="宋体" w:hAnsi="宋体" w:eastAsia="宋体"/>
          <w:color w:val="auto"/>
          <w:highlight w:val="none"/>
        </w:rPr>
        <w:t>6.3评标</w:t>
      </w:r>
      <w:bookmarkEnd w:id="181"/>
      <w:bookmarkEnd w:id="182"/>
      <w:bookmarkEnd w:id="183"/>
      <w:bookmarkEnd w:id="184"/>
      <w:bookmarkEnd w:id="185"/>
    </w:p>
    <w:p w14:paraId="1D03AEF6">
      <w:pPr>
        <w:spacing w:line="360" w:lineRule="auto"/>
        <w:ind w:firstLine="420" w:firstLineChars="200"/>
        <w:rPr>
          <w:rFonts w:ascii="宋体" w:hAnsi="宋体" w:eastAsia="宋体"/>
          <w:color w:val="auto"/>
          <w:highlight w:val="none"/>
        </w:rPr>
      </w:pPr>
      <w:r>
        <w:rPr>
          <w:rFonts w:ascii="宋体" w:hAnsi="宋体" w:eastAsia="宋体"/>
          <w:color w:val="auto"/>
          <w:highlight w:val="none"/>
        </w:rPr>
        <w:t>6.3.1评标委员会按照第三章“评标办法”规定的方法、评审因素、标准和程序对投标文件进行评审。第三章“评标办法”没有规定的方法、评审因素和标准，不作为评标依据。</w:t>
      </w:r>
    </w:p>
    <w:p w14:paraId="2E2A3B46">
      <w:pPr>
        <w:spacing w:line="360" w:lineRule="auto"/>
        <w:ind w:firstLine="420" w:firstLineChars="200"/>
        <w:rPr>
          <w:rFonts w:ascii="宋体" w:hAnsi="宋体" w:eastAsia="宋体"/>
          <w:color w:val="auto"/>
          <w:highlight w:val="none"/>
        </w:rPr>
      </w:pPr>
      <w:r>
        <w:rPr>
          <w:rFonts w:ascii="宋体" w:hAnsi="宋体" w:eastAsia="宋体"/>
          <w:color w:val="auto"/>
          <w:highlight w:val="none"/>
        </w:rPr>
        <w:t>6.3.2评标完成后，评标委员会应当向招标人提交书面评标报告和中标候选人名单。评标委员会推荐中标候选人的人数见投标人须知前附表。</w:t>
      </w:r>
    </w:p>
    <w:p w14:paraId="5759EBA2">
      <w:pPr>
        <w:pStyle w:val="3"/>
        <w:ind w:firstLine="602"/>
        <w:rPr>
          <w:color w:val="auto"/>
          <w:highlight w:val="none"/>
        </w:rPr>
      </w:pPr>
      <w:bookmarkStart w:id="186" w:name="_Toc133420507"/>
      <w:bookmarkStart w:id="187" w:name="_Toc7477"/>
      <w:r>
        <w:rPr>
          <w:color w:val="auto"/>
          <w:highlight w:val="none"/>
        </w:rPr>
        <w:t>7.合同授予</w:t>
      </w:r>
      <w:bookmarkEnd w:id="186"/>
      <w:bookmarkEnd w:id="187"/>
    </w:p>
    <w:p w14:paraId="39061E2A">
      <w:pPr>
        <w:pStyle w:val="4"/>
        <w:spacing w:after="283" w:line="416" w:lineRule="auto"/>
        <w:ind w:left="424" w:firstLine="0" w:firstLineChars="0"/>
        <w:rPr>
          <w:rFonts w:ascii="宋体" w:hAnsi="宋体" w:eastAsia="宋体"/>
          <w:color w:val="auto"/>
          <w:highlight w:val="none"/>
        </w:rPr>
      </w:pPr>
      <w:bookmarkStart w:id="188" w:name="_Toc51055752"/>
      <w:bookmarkStart w:id="189" w:name="_Toc45266434"/>
      <w:bookmarkStart w:id="190" w:name="_Toc36466602"/>
      <w:bookmarkStart w:id="191" w:name="_Toc133420508"/>
      <w:bookmarkStart w:id="192" w:name="_Toc31618"/>
      <w:r>
        <w:rPr>
          <w:rFonts w:ascii="宋体" w:hAnsi="宋体" w:eastAsia="宋体"/>
          <w:color w:val="auto"/>
          <w:highlight w:val="none"/>
        </w:rPr>
        <w:t>7.1中标候选人公示</w:t>
      </w:r>
      <w:bookmarkEnd w:id="188"/>
      <w:bookmarkEnd w:id="189"/>
      <w:bookmarkEnd w:id="190"/>
      <w:bookmarkEnd w:id="191"/>
      <w:bookmarkEnd w:id="192"/>
    </w:p>
    <w:p w14:paraId="63FA3CB9">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招标人在收到评标报告之日起</w:t>
      </w:r>
      <w:r>
        <w:rPr>
          <w:rFonts w:ascii="宋体" w:hAnsi="宋体" w:eastAsia="宋体"/>
          <w:color w:val="auto"/>
          <w:highlight w:val="none"/>
        </w:rPr>
        <w:t>3日内，按照投标人须知前附表规定的公示媒介和期限公示中标候选人，公示期不得少于3天。</w:t>
      </w:r>
    </w:p>
    <w:p w14:paraId="7EECAD35">
      <w:pPr>
        <w:pStyle w:val="4"/>
        <w:spacing w:after="283" w:line="416" w:lineRule="auto"/>
        <w:ind w:left="424" w:firstLine="0" w:firstLineChars="0"/>
        <w:rPr>
          <w:rFonts w:ascii="宋体" w:hAnsi="宋体" w:eastAsia="宋体"/>
          <w:color w:val="auto"/>
          <w:highlight w:val="none"/>
        </w:rPr>
      </w:pPr>
      <w:bookmarkStart w:id="193" w:name="_Toc36466603"/>
      <w:bookmarkStart w:id="194" w:name="_Toc133420509"/>
      <w:bookmarkStart w:id="195" w:name="_Toc51055753"/>
      <w:bookmarkStart w:id="196" w:name="_Toc45266435"/>
      <w:bookmarkStart w:id="197" w:name="_Toc31084"/>
      <w:r>
        <w:rPr>
          <w:rFonts w:ascii="宋体" w:hAnsi="宋体" w:eastAsia="宋体"/>
          <w:color w:val="auto"/>
          <w:highlight w:val="none"/>
        </w:rPr>
        <w:t>7.2评标结果异议</w:t>
      </w:r>
      <w:bookmarkEnd w:id="193"/>
      <w:bookmarkEnd w:id="194"/>
      <w:bookmarkEnd w:id="195"/>
      <w:bookmarkEnd w:id="196"/>
      <w:bookmarkEnd w:id="197"/>
    </w:p>
    <w:p w14:paraId="11A85A82">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投标人或者其他利害关系人对评标结果有异议的，应当在中标候选人公示期间提出。招标人将在收到异议之日起</w:t>
      </w:r>
      <w:r>
        <w:rPr>
          <w:rFonts w:ascii="宋体" w:hAnsi="宋体" w:eastAsia="宋体"/>
          <w:color w:val="auto"/>
          <w:highlight w:val="none"/>
        </w:rPr>
        <w:t>3日内作出答复；作出答复前，将暂停招标投标活动。</w:t>
      </w:r>
    </w:p>
    <w:p w14:paraId="2DF2F691">
      <w:pPr>
        <w:pStyle w:val="4"/>
        <w:spacing w:after="283" w:line="416" w:lineRule="auto"/>
        <w:ind w:left="424" w:firstLine="0" w:firstLineChars="0"/>
        <w:rPr>
          <w:rFonts w:ascii="宋体" w:hAnsi="宋体" w:eastAsia="宋体"/>
          <w:color w:val="auto"/>
          <w:highlight w:val="none"/>
        </w:rPr>
      </w:pPr>
      <w:bookmarkStart w:id="198" w:name="_Toc51055754"/>
      <w:bookmarkStart w:id="199" w:name="_Toc36466604"/>
      <w:bookmarkStart w:id="200" w:name="_Toc45266436"/>
      <w:bookmarkStart w:id="201" w:name="_Toc133420510"/>
      <w:bookmarkStart w:id="202" w:name="_Toc17968"/>
      <w:r>
        <w:rPr>
          <w:rFonts w:ascii="宋体" w:hAnsi="宋体" w:eastAsia="宋体"/>
          <w:color w:val="auto"/>
          <w:highlight w:val="none"/>
        </w:rPr>
        <w:t>7.3中标候选人履约能力审查</w:t>
      </w:r>
      <w:bookmarkEnd w:id="198"/>
      <w:bookmarkEnd w:id="199"/>
      <w:bookmarkEnd w:id="200"/>
      <w:bookmarkEnd w:id="201"/>
      <w:bookmarkEnd w:id="202"/>
    </w:p>
    <w:p w14:paraId="00A61AE6">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7E9ED478">
      <w:pPr>
        <w:pStyle w:val="4"/>
        <w:spacing w:after="283" w:line="416" w:lineRule="auto"/>
        <w:ind w:left="424" w:firstLine="0" w:firstLineChars="0"/>
        <w:rPr>
          <w:rFonts w:ascii="宋体" w:hAnsi="宋体" w:eastAsia="宋体"/>
          <w:color w:val="auto"/>
          <w:highlight w:val="none"/>
        </w:rPr>
      </w:pPr>
      <w:bookmarkStart w:id="203" w:name="_Toc36466605"/>
      <w:bookmarkStart w:id="204" w:name="_Toc51055755"/>
      <w:bookmarkStart w:id="205" w:name="_Toc45266437"/>
      <w:bookmarkStart w:id="206" w:name="_Toc133420511"/>
      <w:bookmarkStart w:id="207" w:name="_Toc6542"/>
      <w:r>
        <w:rPr>
          <w:rFonts w:ascii="宋体" w:hAnsi="宋体" w:eastAsia="宋体"/>
          <w:color w:val="auto"/>
          <w:highlight w:val="none"/>
        </w:rPr>
        <w:t>7.4定标</w:t>
      </w:r>
      <w:bookmarkEnd w:id="203"/>
      <w:bookmarkEnd w:id="204"/>
      <w:bookmarkEnd w:id="205"/>
      <w:bookmarkEnd w:id="206"/>
      <w:bookmarkEnd w:id="207"/>
    </w:p>
    <w:p w14:paraId="092D709B">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按照投标人须知前附表的规定，招标人或招标人授权的评标委员会依法确定中标人。</w:t>
      </w:r>
    </w:p>
    <w:p w14:paraId="5FB63F88">
      <w:pPr>
        <w:pStyle w:val="4"/>
        <w:spacing w:after="283" w:line="416" w:lineRule="auto"/>
        <w:ind w:left="424" w:firstLine="0" w:firstLineChars="0"/>
        <w:rPr>
          <w:rFonts w:ascii="宋体" w:hAnsi="宋体" w:eastAsia="宋体"/>
          <w:color w:val="auto"/>
          <w:highlight w:val="none"/>
        </w:rPr>
      </w:pPr>
      <w:bookmarkStart w:id="208" w:name="_Toc45266438"/>
      <w:bookmarkStart w:id="209" w:name="_Toc36466606"/>
      <w:bookmarkStart w:id="210" w:name="_Toc133420512"/>
      <w:bookmarkStart w:id="211" w:name="_Toc51055756"/>
      <w:bookmarkStart w:id="212" w:name="_Toc2785"/>
      <w:r>
        <w:rPr>
          <w:rFonts w:ascii="宋体" w:hAnsi="宋体" w:eastAsia="宋体"/>
          <w:color w:val="auto"/>
          <w:highlight w:val="none"/>
        </w:rPr>
        <w:t>7.5中标通知</w:t>
      </w:r>
      <w:bookmarkEnd w:id="208"/>
      <w:bookmarkEnd w:id="209"/>
      <w:bookmarkEnd w:id="210"/>
      <w:bookmarkEnd w:id="211"/>
      <w:bookmarkEnd w:id="212"/>
    </w:p>
    <w:p w14:paraId="0844694F">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在本章第</w:t>
      </w:r>
      <w:r>
        <w:rPr>
          <w:rFonts w:ascii="宋体" w:hAnsi="宋体" w:eastAsia="宋体"/>
          <w:color w:val="auto"/>
          <w:highlight w:val="none"/>
        </w:rPr>
        <w:t xml:space="preserve">3.3 </w:t>
      </w:r>
      <w:r>
        <w:rPr>
          <w:rFonts w:hint="eastAsia" w:ascii="宋体" w:hAnsi="宋体" w:eastAsia="宋体"/>
          <w:color w:val="auto"/>
          <w:highlight w:val="none"/>
        </w:rPr>
        <w:t>款规定的投标有效期内，招标人以书面形式向中标人发出中标通知书，同时将中标结果通知未中标的投标人。</w:t>
      </w:r>
    </w:p>
    <w:p w14:paraId="27A09E92">
      <w:pPr>
        <w:pStyle w:val="4"/>
        <w:spacing w:after="283" w:line="416" w:lineRule="auto"/>
        <w:ind w:left="424" w:firstLine="0" w:firstLineChars="0"/>
        <w:rPr>
          <w:rFonts w:ascii="宋体" w:hAnsi="宋体" w:eastAsia="宋体"/>
          <w:color w:val="auto"/>
          <w:highlight w:val="none"/>
        </w:rPr>
      </w:pPr>
      <w:bookmarkStart w:id="213" w:name="_Toc51055757"/>
      <w:bookmarkStart w:id="214" w:name="_Toc45266439"/>
      <w:bookmarkStart w:id="215" w:name="_Toc36466607"/>
      <w:bookmarkStart w:id="216" w:name="_Toc133420513"/>
      <w:bookmarkStart w:id="217" w:name="_Toc27470"/>
      <w:r>
        <w:rPr>
          <w:rFonts w:ascii="宋体" w:hAnsi="宋体" w:eastAsia="宋体"/>
          <w:color w:val="auto"/>
          <w:highlight w:val="none"/>
        </w:rPr>
        <w:t>7.6履约保证金</w:t>
      </w:r>
      <w:bookmarkEnd w:id="213"/>
      <w:bookmarkEnd w:id="214"/>
      <w:bookmarkEnd w:id="215"/>
      <w:bookmarkEnd w:id="216"/>
      <w:bookmarkEnd w:id="217"/>
    </w:p>
    <w:p w14:paraId="213E0CE6">
      <w:pPr>
        <w:spacing w:line="360" w:lineRule="auto"/>
        <w:ind w:firstLine="420" w:firstLineChars="200"/>
        <w:rPr>
          <w:rFonts w:hint="default" w:ascii="宋体" w:hAnsi="宋体" w:eastAsia="宋体"/>
          <w:strike w:val="0"/>
          <w:color w:val="auto"/>
          <w:highlight w:val="none"/>
          <w:lang w:val="en-US" w:eastAsia="zh-CN"/>
        </w:rPr>
      </w:pPr>
      <w:r>
        <w:rPr>
          <w:rFonts w:hint="eastAsia" w:ascii="宋体" w:hAnsi="宋体" w:eastAsia="宋体"/>
          <w:strike w:val="0"/>
          <w:color w:val="auto"/>
          <w:highlight w:val="none"/>
          <w:lang w:val="en-US" w:eastAsia="zh-CN"/>
        </w:rPr>
        <w:t>本项目不设置履约保证金。</w:t>
      </w:r>
    </w:p>
    <w:p w14:paraId="482ACCA5">
      <w:pPr>
        <w:pStyle w:val="4"/>
        <w:spacing w:after="283" w:line="416" w:lineRule="auto"/>
        <w:ind w:left="424" w:firstLine="0" w:firstLineChars="0"/>
        <w:rPr>
          <w:rFonts w:ascii="宋体" w:hAnsi="宋体" w:eastAsia="宋体"/>
          <w:color w:val="auto"/>
          <w:highlight w:val="none"/>
        </w:rPr>
      </w:pPr>
      <w:bookmarkStart w:id="218" w:name="_Toc133420514"/>
      <w:bookmarkStart w:id="219" w:name="_Toc45266440"/>
      <w:bookmarkStart w:id="220" w:name="_Toc51055758"/>
      <w:bookmarkStart w:id="221" w:name="_Toc36466608"/>
      <w:bookmarkStart w:id="222" w:name="_Toc2244"/>
      <w:r>
        <w:rPr>
          <w:rFonts w:ascii="宋体" w:hAnsi="宋体" w:eastAsia="宋体"/>
          <w:color w:val="auto"/>
          <w:highlight w:val="none"/>
        </w:rPr>
        <w:t>7.7签订合同</w:t>
      </w:r>
      <w:bookmarkEnd w:id="218"/>
      <w:bookmarkEnd w:id="219"/>
      <w:bookmarkEnd w:id="220"/>
      <w:bookmarkEnd w:id="221"/>
      <w:bookmarkEnd w:id="222"/>
    </w:p>
    <w:p w14:paraId="452A38DB">
      <w:pPr>
        <w:spacing w:line="360" w:lineRule="auto"/>
        <w:ind w:firstLine="420" w:firstLineChars="200"/>
        <w:rPr>
          <w:rFonts w:ascii="宋体" w:hAnsi="宋体" w:eastAsia="宋体"/>
          <w:color w:val="auto"/>
          <w:highlight w:val="none"/>
        </w:rPr>
      </w:pPr>
      <w:r>
        <w:rPr>
          <w:rFonts w:ascii="宋体" w:hAnsi="宋体" w:eastAsia="宋体"/>
          <w:color w:val="auto"/>
          <w:highlight w:val="none"/>
        </w:rPr>
        <w:t>7.7.1招标人和中标人应当在中标通知书发出之日起30日内，根据招标文件和中标人的投标文件订立书面合同。中标人无正当理由拒签合同，在签订合同时向招标人提出附加条件，招标人有权取消其中标资格；给招标人造成损失的，中标人还应当予以赔偿。</w:t>
      </w:r>
    </w:p>
    <w:p w14:paraId="46480BDD">
      <w:pPr>
        <w:spacing w:line="360" w:lineRule="auto"/>
        <w:ind w:firstLine="420" w:firstLineChars="200"/>
        <w:rPr>
          <w:rFonts w:ascii="宋体" w:hAnsi="宋体" w:eastAsia="宋体"/>
          <w:color w:val="auto"/>
          <w:highlight w:val="none"/>
        </w:rPr>
      </w:pPr>
      <w:r>
        <w:rPr>
          <w:rFonts w:ascii="宋体" w:hAnsi="宋体" w:eastAsia="宋体"/>
          <w:color w:val="auto"/>
          <w:highlight w:val="none"/>
        </w:rPr>
        <w:t>7.7.2发出中标通知书后，招标人无正当理由拒签合同，或者在签订合同时向中标人提出附加条件的；给中标人造成损失的，还应当赔偿损失。</w:t>
      </w:r>
    </w:p>
    <w:p w14:paraId="704743E2">
      <w:pPr>
        <w:spacing w:line="360" w:lineRule="auto"/>
        <w:ind w:firstLine="420" w:firstLineChars="200"/>
        <w:rPr>
          <w:rFonts w:ascii="宋体" w:hAnsi="宋体" w:eastAsia="宋体"/>
          <w:color w:val="auto"/>
          <w:highlight w:val="none"/>
        </w:rPr>
      </w:pPr>
      <w:r>
        <w:rPr>
          <w:rFonts w:ascii="宋体" w:hAnsi="宋体" w:eastAsia="宋体"/>
          <w:color w:val="auto"/>
          <w:highlight w:val="none"/>
        </w:rPr>
        <w:t>7.7.3联合体中标的，联合体各方应当共同与招标人签订合同，就中标项目向招标人承担连带责任。</w:t>
      </w:r>
    </w:p>
    <w:p w14:paraId="397FEB89">
      <w:pPr>
        <w:pStyle w:val="3"/>
        <w:ind w:firstLine="602"/>
        <w:rPr>
          <w:color w:val="auto"/>
          <w:highlight w:val="none"/>
        </w:rPr>
      </w:pPr>
      <w:bookmarkStart w:id="223" w:name="_Toc133420515"/>
      <w:bookmarkStart w:id="224" w:name="_Toc8282"/>
      <w:r>
        <w:rPr>
          <w:color w:val="auto"/>
          <w:highlight w:val="none"/>
        </w:rPr>
        <w:t>8.纪律和监督</w:t>
      </w:r>
      <w:bookmarkEnd w:id="223"/>
      <w:bookmarkEnd w:id="224"/>
    </w:p>
    <w:p w14:paraId="70949A17">
      <w:pPr>
        <w:pStyle w:val="4"/>
        <w:spacing w:after="283" w:line="416" w:lineRule="auto"/>
        <w:ind w:left="424" w:firstLine="0" w:firstLineChars="0"/>
        <w:rPr>
          <w:rFonts w:ascii="宋体" w:hAnsi="宋体" w:eastAsia="宋体"/>
          <w:color w:val="auto"/>
          <w:highlight w:val="none"/>
        </w:rPr>
      </w:pPr>
      <w:bookmarkStart w:id="225" w:name="_Toc133420516"/>
      <w:bookmarkStart w:id="226" w:name="_Toc51055760"/>
      <w:bookmarkStart w:id="227" w:name="_Toc36466610"/>
      <w:bookmarkStart w:id="228" w:name="_Toc45266442"/>
      <w:bookmarkStart w:id="229" w:name="_Toc17696"/>
      <w:r>
        <w:rPr>
          <w:rFonts w:ascii="宋体" w:hAnsi="宋体" w:eastAsia="宋体"/>
          <w:color w:val="auto"/>
          <w:highlight w:val="none"/>
        </w:rPr>
        <w:t>8.1对招标人的纪律要求</w:t>
      </w:r>
      <w:bookmarkEnd w:id="225"/>
      <w:bookmarkEnd w:id="226"/>
      <w:bookmarkEnd w:id="227"/>
      <w:bookmarkEnd w:id="228"/>
      <w:bookmarkEnd w:id="229"/>
    </w:p>
    <w:p w14:paraId="1B85E04F">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招标人不得泄露招标投标活动中应当保密的情况和资料，不得与投标人串通损害国家利益、社会公共利益或者他人合法权益。</w:t>
      </w:r>
    </w:p>
    <w:p w14:paraId="3C430082">
      <w:pPr>
        <w:pStyle w:val="4"/>
        <w:spacing w:after="283" w:line="416" w:lineRule="auto"/>
        <w:ind w:left="424" w:firstLine="0" w:firstLineChars="0"/>
        <w:rPr>
          <w:rFonts w:ascii="宋体" w:hAnsi="宋体" w:eastAsia="宋体"/>
          <w:color w:val="auto"/>
          <w:highlight w:val="none"/>
        </w:rPr>
      </w:pPr>
      <w:bookmarkStart w:id="230" w:name="_Toc36466611"/>
      <w:bookmarkStart w:id="231" w:name="_Toc133420517"/>
      <w:bookmarkStart w:id="232" w:name="_Toc45266443"/>
      <w:bookmarkStart w:id="233" w:name="_Toc51055761"/>
      <w:bookmarkStart w:id="234" w:name="_Toc8680"/>
      <w:r>
        <w:rPr>
          <w:rFonts w:ascii="宋体" w:hAnsi="宋体" w:eastAsia="宋体"/>
          <w:color w:val="auto"/>
          <w:highlight w:val="none"/>
        </w:rPr>
        <w:t>8.2对投标人的纪律要求</w:t>
      </w:r>
      <w:bookmarkEnd w:id="230"/>
      <w:bookmarkEnd w:id="231"/>
      <w:bookmarkEnd w:id="232"/>
      <w:bookmarkEnd w:id="233"/>
      <w:bookmarkEnd w:id="234"/>
    </w:p>
    <w:p w14:paraId="24173F85">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764CA82">
      <w:pPr>
        <w:pStyle w:val="4"/>
        <w:spacing w:after="283" w:line="416" w:lineRule="auto"/>
        <w:ind w:left="424" w:firstLine="0" w:firstLineChars="0"/>
        <w:rPr>
          <w:rFonts w:ascii="宋体" w:hAnsi="宋体" w:eastAsia="宋体"/>
          <w:color w:val="auto"/>
          <w:highlight w:val="none"/>
        </w:rPr>
      </w:pPr>
      <w:bookmarkStart w:id="235" w:name="_Toc36466612"/>
      <w:bookmarkStart w:id="236" w:name="_Toc45266444"/>
      <w:bookmarkStart w:id="237" w:name="_Toc51055762"/>
      <w:bookmarkStart w:id="238" w:name="_Toc133420518"/>
      <w:bookmarkStart w:id="239" w:name="_Toc16693"/>
      <w:r>
        <w:rPr>
          <w:rFonts w:ascii="宋体" w:hAnsi="宋体" w:eastAsia="宋体"/>
          <w:color w:val="auto"/>
          <w:highlight w:val="none"/>
        </w:rPr>
        <w:t>8.3对评标委员会成员的纪律要求</w:t>
      </w:r>
      <w:bookmarkEnd w:id="235"/>
      <w:bookmarkEnd w:id="236"/>
      <w:bookmarkEnd w:id="237"/>
      <w:bookmarkEnd w:id="238"/>
      <w:bookmarkEnd w:id="239"/>
    </w:p>
    <w:p w14:paraId="2A2848AD">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0E376C4">
      <w:pPr>
        <w:pStyle w:val="4"/>
        <w:spacing w:after="283" w:line="416" w:lineRule="auto"/>
        <w:ind w:left="424" w:firstLine="0" w:firstLineChars="0"/>
        <w:rPr>
          <w:rFonts w:ascii="宋体" w:hAnsi="宋体" w:eastAsia="宋体"/>
          <w:color w:val="auto"/>
          <w:highlight w:val="none"/>
        </w:rPr>
      </w:pPr>
      <w:bookmarkStart w:id="240" w:name="_Toc15760"/>
      <w:r>
        <w:rPr>
          <w:rFonts w:ascii="宋体" w:hAnsi="宋体" w:eastAsia="宋体"/>
          <w:color w:val="auto"/>
          <w:highlight w:val="none"/>
        </w:rPr>
        <w:t>8.4对与评标活动有关的工作人员的纪律要求</w:t>
      </w:r>
      <w:bookmarkEnd w:id="240"/>
    </w:p>
    <w:p w14:paraId="56CF7F6B">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737F2DB3">
      <w:pPr>
        <w:pStyle w:val="4"/>
        <w:spacing w:after="283" w:line="416" w:lineRule="auto"/>
        <w:ind w:left="424" w:firstLine="0" w:firstLineChars="0"/>
        <w:rPr>
          <w:rFonts w:ascii="宋体" w:hAnsi="宋体" w:eastAsia="宋体"/>
          <w:color w:val="auto"/>
          <w:highlight w:val="none"/>
        </w:rPr>
      </w:pPr>
      <w:bookmarkStart w:id="241" w:name="_Toc36466613"/>
      <w:bookmarkStart w:id="242" w:name="_Toc133420519"/>
      <w:bookmarkStart w:id="243" w:name="_Toc51055763"/>
      <w:bookmarkStart w:id="244" w:name="_Toc45266445"/>
      <w:bookmarkStart w:id="245" w:name="_Toc2092"/>
      <w:r>
        <w:rPr>
          <w:rFonts w:ascii="宋体" w:hAnsi="宋体" w:eastAsia="宋体"/>
          <w:color w:val="auto"/>
          <w:highlight w:val="none"/>
        </w:rPr>
        <w:t>8.5投诉</w:t>
      </w:r>
      <w:bookmarkEnd w:id="241"/>
      <w:bookmarkEnd w:id="242"/>
      <w:bookmarkEnd w:id="243"/>
      <w:bookmarkEnd w:id="244"/>
      <w:bookmarkEnd w:id="245"/>
    </w:p>
    <w:p w14:paraId="56333ACA">
      <w:pPr>
        <w:spacing w:line="360" w:lineRule="auto"/>
        <w:ind w:firstLine="420" w:firstLineChars="200"/>
        <w:rPr>
          <w:rFonts w:ascii="宋体" w:hAnsi="宋体" w:eastAsia="宋体"/>
          <w:color w:val="auto"/>
          <w:highlight w:val="none"/>
        </w:rPr>
      </w:pPr>
      <w:r>
        <w:rPr>
          <w:rFonts w:ascii="宋体" w:hAnsi="宋体" w:eastAsia="宋体"/>
          <w:color w:val="auto"/>
          <w:highlight w:val="none"/>
        </w:rPr>
        <w:t>8.5.1投标人或者其他利害关系人认为招标投标活动不符合法律、行政法规规定的，可以自知道或者应当知道之日起10日内向有关行政监督部门投诉。投诉应当有明确的请求和必要的证明材料。</w:t>
      </w:r>
    </w:p>
    <w:p w14:paraId="20315B86">
      <w:pPr>
        <w:spacing w:line="360" w:lineRule="auto"/>
        <w:ind w:firstLine="420" w:firstLineChars="200"/>
        <w:rPr>
          <w:rFonts w:ascii="宋体" w:hAnsi="宋体" w:eastAsia="宋体"/>
          <w:color w:val="auto"/>
          <w:highlight w:val="none"/>
        </w:rPr>
      </w:pPr>
      <w:r>
        <w:rPr>
          <w:rFonts w:ascii="宋体" w:hAnsi="宋体" w:eastAsia="宋体"/>
          <w:color w:val="auto"/>
          <w:highlight w:val="none"/>
        </w:rPr>
        <w:t xml:space="preserve">8.5.2投标人或者其他利害关系人对招标文件、开标和评标结果提出投诉的，应当按照投标人须知第2.4款、第 5.3 </w:t>
      </w:r>
      <w:r>
        <w:rPr>
          <w:rFonts w:hint="eastAsia" w:ascii="宋体" w:hAnsi="宋体" w:eastAsia="宋体"/>
          <w:color w:val="auto"/>
          <w:highlight w:val="none"/>
        </w:rPr>
        <w:t>款和第</w:t>
      </w:r>
      <w:r>
        <w:rPr>
          <w:rFonts w:ascii="宋体" w:hAnsi="宋体" w:eastAsia="宋体"/>
          <w:color w:val="auto"/>
          <w:highlight w:val="none"/>
        </w:rPr>
        <w:t xml:space="preserve"> 7.2 </w:t>
      </w:r>
      <w:r>
        <w:rPr>
          <w:rFonts w:hint="eastAsia" w:ascii="宋体" w:hAnsi="宋体" w:eastAsia="宋体"/>
          <w:color w:val="auto"/>
          <w:highlight w:val="none"/>
        </w:rPr>
        <w:t>款的规定先向招标人提出异议。异议答复期间不计算在第</w:t>
      </w:r>
      <w:r>
        <w:rPr>
          <w:rFonts w:ascii="宋体" w:hAnsi="宋体" w:eastAsia="宋体"/>
          <w:color w:val="auto"/>
          <w:highlight w:val="none"/>
        </w:rPr>
        <w:t xml:space="preserve"> 8.5.1项规定的期限内。</w:t>
      </w:r>
    </w:p>
    <w:p w14:paraId="0F832CC7">
      <w:pPr>
        <w:pStyle w:val="3"/>
        <w:ind w:firstLine="602"/>
        <w:rPr>
          <w:color w:val="auto"/>
          <w:highlight w:val="none"/>
        </w:rPr>
      </w:pPr>
      <w:bookmarkStart w:id="246" w:name="_Toc133420520"/>
      <w:bookmarkStart w:id="247" w:name="_Toc45266446"/>
      <w:bookmarkStart w:id="248" w:name="_Toc51055764"/>
      <w:bookmarkStart w:id="249" w:name="_Toc36466614"/>
      <w:bookmarkStart w:id="250" w:name="_Toc15873"/>
      <w:r>
        <w:rPr>
          <w:color w:val="auto"/>
          <w:highlight w:val="none"/>
        </w:rPr>
        <w:t xml:space="preserve">9. </w:t>
      </w:r>
      <w:r>
        <w:rPr>
          <w:rFonts w:hint="eastAsia"/>
          <w:color w:val="auto"/>
          <w:highlight w:val="none"/>
        </w:rPr>
        <w:t>是否采用电子招标投标</w:t>
      </w:r>
      <w:bookmarkEnd w:id="246"/>
      <w:bookmarkEnd w:id="247"/>
      <w:bookmarkEnd w:id="248"/>
      <w:bookmarkEnd w:id="249"/>
      <w:bookmarkEnd w:id="250"/>
    </w:p>
    <w:p w14:paraId="73760F54">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本招标项目是否采用电子招标投标方式，见投标人须知前附表。</w:t>
      </w:r>
    </w:p>
    <w:p w14:paraId="02D157A0">
      <w:pPr>
        <w:pStyle w:val="3"/>
        <w:ind w:firstLine="602"/>
        <w:rPr>
          <w:color w:val="auto"/>
          <w:highlight w:val="none"/>
        </w:rPr>
      </w:pPr>
      <w:bookmarkStart w:id="251" w:name="_Toc133420521"/>
      <w:bookmarkStart w:id="252" w:name="_Toc51055765"/>
      <w:bookmarkStart w:id="253" w:name="_Toc45266447"/>
      <w:bookmarkStart w:id="254" w:name="_Toc36466615"/>
      <w:bookmarkStart w:id="255" w:name="_Toc7545"/>
      <w:r>
        <w:rPr>
          <w:color w:val="auto"/>
          <w:highlight w:val="none"/>
        </w:rPr>
        <w:t xml:space="preserve">10. </w:t>
      </w:r>
      <w:r>
        <w:rPr>
          <w:rFonts w:hint="eastAsia"/>
          <w:color w:val="auto"/>
          <w:highlight w:val="none"/>
        </w:rPr>
        <w:t>需要补充的其他内容</w:t>
      </w:r>
      <w:bookmarkEnd w:id="251"/>
      <w:bookmarkEnd w:id="252"/>
      <w:bookmarkEnd w:id="253"/>
      <w:bookmarkEnd w:id="254"/>
      <w:bookmarkEnd w:id="255"/>
    </w:p>
    <w:p w14:paraId="379A72ED">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需要补充的其他内容：见投标人须知前附表。</w:t>
      </w:r>
    </w:p>
    <w:p w14:paraId="25A2F4A3">
      <w:pPr>
        <w:widowControl/>
        <w:jc w:val="left"/>
        <w:rPr>
          <w:rFonts w:ascii="宋体" w:hAnsi="宋体" w:eastAsia="宋体"/>
          <w:color w:val="auto"/>
          <w:highlight w:val="none"/>
        </w:rPr>
      </w:pPr>
      <w:r>
        <w:rPr>
          <w:rFonts w:ascii="宋体" w:hAnsi="宋体" w:eastAsia="宋体"/>
          <w:color w:val="auto"/>
          <w:highlight w:val="none"/>
        </w:rPr>
        <w:br w:type="page"/>
      </w:r>
    </w:p>
    <w:p w14:paraId="2701D705">
      <w:pPr>
        <w:spacing w:line="360" w:lineRule="auto"/>
        <w:ind w:firstLine="420" w:firstLineChars="200"/>
        <w:rPr>
          <w:rFonts w:ascii="宋体" w:hAnsi="宋体" w:eastAsia="宋体"/>
          <w:color w:val="auto"/>
          <w:highlight w:val="none"/>
        </w:rPr>
        <w:sectPr>
          <w:pgSz w:w="11906" w:h="16838"/>
          <w:pgMar w:top="1440" w:right="1800" w:bottom="1440" w:left="1800" w:header="0" w:footer="721" w:gutter="0"/>
          <w:pgNumType w:fmt="decimal"/>
          <w:cols w:space="720" w:num="1"/>
        </w:sectPr>
      </w:pPr>
    </w:p>
    <w:p w14:paraId="36BD5614">
      <w:pPr>
        <w:pStyle w:val="3"/>
        <w:ind w:firstLine="602"/>
        <w:jc w:val="center"/>
        <w:rPr>
          <w:color w:val="auto"/>
          <w:highlight w:val="none"/>
        </w:rPr>
      </w:pPr>
      <w:bookmarkStart w:id="256" w:name="_Toc152045543"/>
      <w:bookmarkEnd w:id="256"/>
      <w:bookmarkStart w:id="257" w:name="_Toc384308224"/>
      <w:bookmarkEnd w:id="257"/>
      <w:bookmarkStart w:id="258" w:name="_Toc352691487"/>
      <w:bookmarkEnd w:id="258"/>
      <w:bookmarkStart w:id="259" w:name="_Toc361508599"/>
      <w:bookmarkEnd w:id="259"/>
      <w:bookmarkStart w:id="260" w:name="_Toc300834964"/>
      <w:bookmarkEnd w:id="260"/>
      <w:bookmarkStart w:id="261" w:name="_Toc369531530"/>
      <w:bookmarkEnd w:id="261"/>
      <w:bookmarkStart w:id="262" w:name="_Toc144974511"/>
      <w:bookmarkEnd w:id="262"/>
      <w:bookmarkStart w:id="263" w:name="_Toc15242"/>
      <w:bookmarkEnd w:id="263"/>
      <w:bookmarkStart w:id="264" w:name="_Toc152042319"/>
      <w:bookmarkEnd w:id="264"/>
      <w:bookmarkStart w:id="265" w:name="_Toc247527568"/>
      <w:bookmarkEnd w:id="265"/>
      <w:bookmarkStart w:id="266" w:name="_Toc247513967"/>
      <w:bookmarkEnd w:id="266"/>
      <w:bookmarkStart w:id="267" w:name="_Toc45266448"/>
      <w:bookmarkStart w:id="268" w:name="_Toc133420522"/>
      <w:bookmarkStart w:id="269" w:name="_Toc51055766"/>
      <w:bookmarkStart w:id="270" w:name="_Toc30294"/>
      <w:r>
        <w:rPr>
          <w:rFonts w:hint="eastAsia"/>
          <w:color w:val="auto"/>
          <w:highlight w:val="none"/>
        </w:rPr>
        <w:t>附件一：开标记录表</w:t>
      </w:r>
      <w:bookmarkEnd w:id="267"/>
      <w:bookmarkEnd w:id="268"/>
      <w:bookmarkEnd w:id="269"/>
      <w:bookmarkEnd w:id="270"/>
    </w:p>
    <w:p w14:paraId="4F2319D9">
      <w:pPr>
        <w:spacing w:line="440" w:lineRule="exact"/>
        <w:ind w:firstLine="560"/>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开标记录表</w:t>
      </w:r>
    </w:p>
    <w:p w14:paraId="4E5732D4">
      <w:pPr>
        <w:spacing w:beforeLines="50" w:afterLines="50" w:line="400" w:lineRule="exact"/>
        <w:ind w:right="420"/>
        <w:jc w:val="left"/>
        <w:rPr>
          <w:rFonts w:ascii="宋体" w:hAnsi="宋体" w:eastAsia="宋体"/>
          <w:color w:val="auto"/>
          <w:highlight w:val="none"/>
        </w:rPr>
      </w:pPr>
      <w:r>
        <w:rPr>
          <w:rFonts w:hint="eastAsia" w:ascii="宋体" w:hAnsi="宋体" w:eastAsia="宋体"/>
          <w:color w:val="auto"/>
          <w:highlight w:val="none"/>
        </w:rPr>
        <w:t>开标时间：</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年</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月</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日</w:t>
      </w:r>
      <w:r>
        <w:rPr>
          <w:rFonts w:hint="eastAsia" w:ascii="宋体" w:hAnsi="宋体" w:eastAsia="宋体"/>
          <w:color w:val="auto"/>
          <w:highlight w:val="none"/>
          <w:lang w:val="en-US" w:eastAsia="zh-CN"/>
        </w:rPr>
        <w:t xml:space="preserve">  </w:t>
      </w:r>
    </w:p>
    <w:tbl>
      <w:tblPr>
        <w:tblStyle w:val="29"/>
        <w:tblW w:w="4994" w:type="pct"/>
        <w:tblInd w:w="0" w:type="dxa"/>
        <w:tblLayout w:type="autofit"/>
        <w:tblCellMar>
          <w:top w:w="0" w:type="dxa"/>
          <w:left w:w="108" w:type="dxa"/>
          <w:bottom w:w="0" w:type="dxa"/>
          <w:right w:w="108" w:type="dxa"/>
        </w:tblCellMar>
      </w:tblPr>
      <w:tblGrid>
        <w:gridCol w:w="667"/>
        <w:gridCol w:w="1238"/>
        <w:gridCol w:w="1330"/>
        <w:gridCol w:w="1337"/>
        <w:gridCol w:w="1248"/>
        <w:gridCol w:w="848"/>
        <w:gridCol w:w="785"/>
        <w:gridCol w:w="1059"/>
      </w:tblGrid>
      <w:tr w14:paraId="03B612C8">
        <w:tblPrEx>
          <w:tblCellMar>
            <w:top w:w="0" w:type="dxa"/>
            <w:left w:w="108" w:type="dxa"/>
            <w:bottom w:w="0" w:type="dxa"/>
            <w:right w:w="108" w:type="dxa"/>
          </w:tblCellMar>
        </w:tblPrEx>
        <w:tc>
          <w:tcPr>
            <w:tcW w:w="392" w:type="pct"/>
            <w:tcBorders>
              <w:top w:val="single" w:color="auto" w:sz="4" w:space="0"/>
              <w:left w:val="single" w:color="auto" w:sz="4" w:space="0"/>
              <w:bottom w:val="single" w:color="auto" w:sz="4" w:space="0"/>
              <w:right w:val="single" w:color="auto" w:sz="4" w:space="0"/>
            </w:tcBorders>
            <w:vAlign w:val="center"/>
          </w:tcPr>
          <w:p w14:paraId="5E121CFD">
            <w:pPr>
              <w:jc w:val="center"/>
              <w:rPr>
                <w:rFonts w:ascii="宋体" w:hAnsi="宋体" w:eastAsia="宋体"/>
                <w:color w:val="auto"/>
                <w:highlight w:val="none"/>
              </w:rPr>
            </w:pPr>
            <w:r>
              <w:rPr>
                <w:rFonts w:hint="eastAsia" w:ascii="宋体" w:hAnsi="宋体" w:eastAsia="宋体"/>
                <w:color w:val="auto"/>
                <w:highlight w:val="none"/>
              </w:rPr>
              <w:t>序号</w:t>
            </w:r>
          </w:p>
        </w:tc>
        <w:tc>
          <w:tcPr>
            <w:tcW w:w="726" w:type="pct"/>
            <w:tcBorders>
              <w:top w:val="single" w:color="auto" w:sz="4" w:space="0"/>
              <w:left w:val="single" w:color="auto" w:sz="4" w:space="0"/>
              <w:bottom w:val="single" w:color="auto" w:sz="4" w:space="0"/>
              <w:right w:val="single" w:color="auto" w:sz="4" w:space="0"/>
            </w:tcBorders>
            <w:vAlign w:val="center"/>
          </w:tcPr>
          <w:p w14:paraId="6F9E2DD9">
            <w:pPr>
              <w:jc w:val="center"/>
              <w:rPr>
                <w:rFonts w:ascii="宋体" w:hAnsi="宋体" w:eastAsia="宋体"/>
                <w:color w:val="auto"/>
                <w:highlight w:val="none"/>
              </w:rPr>
            </w:pPr>
            <w:r>
              <w:rPr>
                <w:rFonts w:hint="eastAsia" w:ascii="宋体" w:hAnsi="宋体" w:eastAsia="宋体"/>
                <w:color w:val="auto"/>
                <w:highlight w:val="none"/>
              </w:rPr>
              <w:t>投标人</w:t>
            </w:r>
          </w:p>
        </w:tc>
        <w:tc>
          <w:tcPr>
            <w:tcW w:w="781" w:type="pct"/>
            <w:tcBorders>
              <w:top w:val="single" w:color="auto" w:sz="4" w:space="0"/>
              <w:left w:val="single" w:color="auto" w:sz="4" w:space="0"/>
              <w:bottom w:val="single" w:color="auto" w:sz="4" w:space="0"/>
              <w:right w:val="single" w:color="auto" w:sz="4" w:space="0"/>
            </w:tcBorders>
            <w:vAlign w:val="center"/>
          </w:tcPr>
          <w:p w14:paraId="5027C503">
            <w:pPr>
              <w:jc w:val="center"/>
              <w:rPr>
                <w:rFonts w:ascii="宋体" w:hAnsi="宋体" w:eastAsia="宋体"/>
                <w:color w:val="auto"/>
                <w:highlight w:val="none"/>
              </w:rPr>
            </w:pPr>
            <w:r>
              <w:rPr>
                <w:rFonts w:hint="eastAsia" w:ascii="宋体" w:hAnsi="宋体" w:eastAsia="宋体"/>
                <w:color w:val="auto"/>
                <w:highlight w:val="none"/>
              </w:rPr>
              <w:t>投标</w:t>
            </w:r>
            <w:r>
              <w:rPr>
                <w:rFonts w:hint="eastAsia" w:ascii="宋体" w:hAnsi="宋体" w:eastAsia="宋体"/>
                <w:color w:val="auto"/>
                <w:highlight w:val="none"/>
                <w:lang w:val="en-US" w:eastAsia="zh-CN"/>
              </w:rPr>
              <w:t>文件</w:t>
            </w:r>
            <w:r>
              <w:rPr>
                <w:rFonts w:hint="eastAsia" w:ascii="宋体" w:hAnsi="宋体" w:eastAsia="宋体"/>
                <w:color w:val="auto"/>
                <w:highlight w:val="none"/>
              </w:rPr>
              <w:t>递交情况</w:t>
            </w:r>
          </w:p>
        </w:tc>
        <w:tc>
          <w:tcPr>
            <w:tcW w:w="785" w:type="pct"/>
            <w:tcBorders>
              <w:top w:val="single" w:color="auto" w:sz="4" w:space="0"/>
              <w:left w:val="single" w:color="auto" w:sz="4" w:space="0"/>
              <w:bottom w:val="single" w:color="auto" w:sz="4" w:space="0"/>
              <w:right w:val="single" w:color="auto" w:sz="4" w:space="0"/>
            </w:tcBorders>
            <w:vAlign w:val="center"/>
          </w:tcPr>
          <w:p w14:paraId="7E252F9B">
            <w:pPr>
              <w:jc w:val="center"/>
              <w:rPr>
                <w:rFonts w:ascii="宋体" w:hAnsi="宋体" w:eastAsia="宋体"/>
                <w:color w:val="auto"/>
                <w:highlight w:val="none"/>
              </w:rPr>
            </w:pPr>
            <w:r>
              <w:rPr>
                <w:rFonts w:hint="eastAsia" w:ascii="宋体" w:hAnsi="宋体" w:eastAsia="宋体"/>
                <w:color w:val="auto"/>
                <w:highlight w:val="none"/>
              </w:rPr>
              <w:t>投标文件解密情况</w:t>
            </w:r>
          </w:p>
        </w:tc>
        <w:tc>
          <w:tcPr>
            <w:tcW w:w="733" w:type="pct"/>
            <w:tcBorders>
              <w:top w:val="single" w:color="auto" w:sz="4" w:space="0"/>
              <w:left w:val="single" w:color="auto" w:sz="4" w:space="0"/>
              <w:bottom w:val="single" w:color="auto" w:sz="4" w:space="0"/>
              <w:right w:val="single" w:color="auto" w:sz="4" w:space="0"/>
            </w:tcBorders>
            <w:vAlign w:val="center"/>
          </w:tcPr>
          <w:p w14:paraId="3541CC1B">
            <w:pPr>
              <w:jc w:val="center"/>
              <w:rPr>
                <w:rFonts w:ascii="宋体" w:hAnsi="宋体" w:eastAsia="宋体"/>
                <w:color w:val="auto"/>
                <w:highlight w:val="none"/>
              </w:rPr>
            </w:pPr>
            <w:r>
              <w:rPr>
                <w:rFonts w:hint="eastAsia" w:ascii="宋体" w:hAnsi="宋体" w:eastAsia="宋体"/>
                <w:color w:val="auto"/>
                <w:highlight w:val="none"/>
              </w:rPr>
              <w:t>投标报价</w:t>
            </w:r>
          </w:p>
          <w:p w14:paraId="6735DA31">
            <w:pPr>
              <w:jc w:val="center"/>
              <w:rPr>
                <w:rFonts w:ascii="宋体" w:hAnsi="宋体" w:eastAsia="宋体"/>
                <w:color w:val="auto"/>
                <w:highlight w:val="none"/>
              </w:rPr>
            </w:pPr>
            <w:r>
              <w:rPr>
                <w:rFonts w:hint="eastAsia" w:ascii="宋体" w:hAnsi="宋体" w:eastAsia="宋体"/>
                <w:color w:val="auto"/>
                <w:highlight w:val="none"/>
              </w:rPr>
              <w:t>（万元）</w:t>
            </w:r>
          </w:p>
          <w:p w14:paraId="53851FEC">
            <w:pPr>
              <w:jc w:val="center"/>
              <w:rPr>
                <w:rFonts w:ascii="宋体" w:hAnsi="宋体" w:eastAsia="宋体"/>
                <w:color w:val="auto"/>
                <w:highlight w:val="none"/>
              </w:rPr>
            </w:pPr>
          </w:p>
        </w:tc>
        <w:tc>
          <w:tcPr>
            <w:tcW w:w="498" w:type="pct"/>
            <w:tcBorders>
              <w:top w:val="single" w:color="auto" w:sz="4" w:space="0"/>
              <w:left w:val="single" w:color="auto" w:sz="4" w:space="0"/>
              <w:bottom w:val="single" w:color="auto" w:sz="4" w:space="0"/>
              <w:right w:val="single" w:color="auto" w:sz="4" w:space="0"/>
            </w:tcBorders>
            <w:vAlign w:val="center"/>
          </w:tcPr>
          <w:p w14:paraId="4A15F7AB">
            <w:pPr>
              <w:jc w:val="center"/>
              <w:rPr>
                <w:rFonts w:ascii="宋体" w:hAnsi="宋体" w:eastAsia="宋体"/>
                <w:color w:val="auto"/>
                <w:highlight w:val="none"/>
              </w:rPr>
            </w:pPr>
            <w:r>
              <w:rPr>
                <w:rFonts w:hint="eastAsia" w:ascii="宋体" w:hAnsi="宋体" w:eastAsia="宋体"/>
                <w:color w:val="auto"/>
                <w:highlight w:val="none"/>
              </w:rPr>
              <w:t>服务期限</w:t>
            </w:r>
          </w:p>
        </w:tc>
        <w:tc>
          <w:tcPr>
            <w:tcW w:w="461" w:type="pct"/>
            <w:tcBorders>
              <w:top w:val="single" w:color="auto" w:sz="4" w:space="0"/>
              <w:left w:val="single" w:color="auto" w:sz="4" w:space="0"/>
              <w:bottom w:val="single" w:color="auto" w:sz="4" w:space="0"/>
              <w:right w:val="single" w:color="auto" w:sz="4" w:space="0"/>
            </w:tcBorders>
            <w:vAlign w:val="center"/>
          </w:tcPr>
          <w:p w14:paraId="52C7CC15">
            <w:pPr>
              <w:jc w:val="center"/>
              <w:rPr>
                <w:rFonts w:ascii="宋体" w:hAnsi="宋体" w:eastAsia="宋体"/>
                <w:color w:val="auto"/>
                <w:highlight w:val="none"/>
              </w:rPr>
            </w:pPr>
            <w:r>
              <w:rPr>
                <w:rFonts w:hint="eastAsia" w:ascii="宋体" w:hAnsi="宋体" w:eastAsia="宋体"/>
                <w:color w:val="auto"/>
                <w:highlight w:val="none"/>
              </w:rPr>
              <w:t>备注</w:t>
            </w:r>
          </w:p>
        </w:tc>
        <w:tc>
          <w:tcPr>
            <w:tcW w:w="622" w:type="pct"/>
            <w:tcBorders>
              <w:top w:val="single" w:color="auto" w:sz="4" w:space="0"/>
              <w:left w:val="single" w:color="auto" w:sz="4" w:space="0"/>
              <w:bottom w:val="single" w:color="auto" w:sz="4" w:space="0"/>
              <w:right w:val="single" w:color="auto" w:sz="4" w:space="0"/>
            </w:tcBorders>
            <w:vAlign w:val="center"/>
          </w:tcPr>
          <w:p w14:paraId="18082E78">
            <w:pPr>
              <w:jc w:val="center"/>
              <w:rPr>
                <w:rFonts w:ascii="宋体" w:hAnsi="宋体" w:eastAsia="宋体"/>
                <w:color w:val="auto"/>
                <w:highlight w:val="none"/>
              </w:rPr>
            </w:pPr>
            <w:r>
              <w:rPr>
                <w:rFonts w:hint="eastAsia" w:ascii="宋体" w:hAnsi="宋体" w:eastAsia="宋体"/>
                <w:color w:val="auto"/>
                <w:highlight w:val="none"/>
              </w:rPr>
              <w:t>投标人代表签名</w:t>
            </w:r>
          </w:p>
        </w:tc>
      </w:tr>
      <w:tr w14:paraId="58399FFD">
        <w:tblPrEx>
          <w:tblCellMar>
            <w:top w:w="0" w:type="dxa"/>
            <w:left w:w="108" w:type="dxa"/>
            <w:bottom w:w="0" w:type="dxa"/>
            <w:right w:w="108" w:type="dxa"/>
          </w:tblCellMar>
        </w:tblPrEx>
        <w:tc>
          <w:tcPr>
            <w:tcW w:w="392" w:type="pct"/>
            <w:tcBorders>
              <w:top w:val="single" w:color="auto" w:sz="4" w:space="0"/>
              <w:left w:val="single" w:color="auto" w:sz="4" w:space="0"/>
              <w:bottom w:val="single" w:color="auto" w:sz="4" w:space="0"/>
              <w:right w:val="single" w:color="auto" w:sz="4" w:space="0"/>
            </w:tcBorders>
          </w:tcPr>
          <w:p w14:paraId="3BAA2AA5">
            <w:pPr>
              <w:spacing w:line="500" w:lineRule="exact"/>
              <w:jc w:val="left"/>
              <w:rPr>
                <w:rFonts w:ascii="宋体" w:hAnsi="宋体" w:eastAsia="宋体"/>
                <w:color w:val="auto"/>
                <w:highlight w:val="none"/>
              </w:rPr>
            </w:pPr>
          </w:p>
        </w:tc>
        <w:tc>
          <w:tcPr>
            <w:tcW w:w="726" w:type="pct"/>
            <w:tcBorders>
              <w:top w:val="single" w:color="auto" w:sz="4" w:space="0"/>
              <w:left w:val="single" w:color="auto" w:sz="4" w:space="0"/>
              <w:bottom w:val="single" w:color="auto" w:sz="4" w:space="0"/>
              <w:right w:val="single" w:color="auto" w:sz="4" w:space="0"/>
            </w:tcBorders>
          </w:tcPr>
          <w:p w14:paraId="425F33CC">
            <w:pPr>
              <w:spacing w:line="500" w:lineRule="exact"/>
              <w:jc w:val="left"/>
              <w:rPr>
                <w:rFonts w:ascii="宋体" w:hAnsi="宋体" w:eastAsia="宋体"/>
                <w:color w:val="auto"/>
                <w:highlight w:val="none"/>
              </w:rPr>
            </w:pPr>
          </w:p>
        </w:tc>
        <w:tc>
          <w:tcPr>
            <w:tcW w:w="781" w:type="pct"/>
            <w:tcBorders>
              <w:top w:val="single" w:color="auto" w:sz="4" w:space="0"/>
              <w:left w:val="single" w:color="auto" w:sz="4" w:space="0"/>
              <w:bottom w:val="single" w:color="auto" w:sz="4" w:space="0"/>
              <w:right w:val="single" w:color="auto" w:sz="4" w:space="0"/>
            </w:tcBorders>
          </w:tcPr>
          <w:p w14:paraId="5B7D3A0E">
            <w:pPr>
              <w:spacing w:line="500" w:lineRule="exact"/>
              <w:jc w:val="left"/>
              <w:rPr>
                <w:rFonts w:ascii="宋体" w:hAnsi="宋体" w:eastAsia="宋体"/>
                <w:color w:val="auto"/>
                <w:highlight w:val="none"/>
              </w:rPr>
            </w:pPr>
          </w:p>
        </w:tc>
        <w:tc>
          <w:tcPr>
            <w:tcW w:w="785" w:type="pct"/>
            <w:tcBorders>
              <w:top w:val="single" w:color="auto" w:sz="4" w:space="0"/>
              <w:left w:val="single" w:color="auto" w:sz="4" w:space="0"/>
              <w:bottom w:val="single" w:color="auto" w:sz="4" w:space="0"/>
              <w:right w:val="single" w:color="auto" w:sz="4" w:space="0"/>
            </w:tcBorders>
          </w:tcPr>
          <w:p w14:paraId="01B4A09B">
            <w:pPr>
              <w:spacing w:line="500" w:lineRule="exact"/>
              <w:jc w:val="left"/>
              <w:rPr>
                <w:rFonts w:ascii="宋体" w:hAnsi="宋体" w:eastAsia="宋体"/>
                <w:color w:val="auto"/>
                <w:highlight w:val="none"/>
              </w:rPr>
            </w:pPr>
          </w:p>
        </w:tc>
        <w:tc>
          <w:tcPr>
            <w:tcW w:w="733" w:type="pct"/>
            <w:tcBorders>
              <w:top w:val="single" w:color="auto" w:sz="4" w:space="0"/>
              <w:left w:val="single" w:color="auto" w:sz="4" w:space="0"/>
              <w:bottom w:val="single" w:color="auto" w:sz="4" w:space="0"/>
              <w:right w:val="single" w:color="auto" w:sz="4" w:space="0"/>
            </w:tcBorders>
          </w:tcPr>
          <w:p w14:paraId="098E7E86">
            <w:pPr>
              <w:spacing w:line="500" w:lineRule="exact"/>
              <w:jc w:val="center"/>
              <w:rPr>
                <w:rFonts w:ascii="宋体" w:hAnsi="宋体" w:eastAsia="宋体"/>
                <w:color w:val="auto"/>
                <w:highlight w:val="none"/>
              </w:rPr>
            </w:pPr>
          </w:p>
        </w:tc>
        <w:tc>
          <w:tcPr>
            <w:tcW w:w="498" w:type="pct"/>
            <w:tcBorders>
              <w:top w:val="single" w:color="auto" w:sz="4" w:space="0"/>
              <w:left w:val="single" w:color="auto" w:sz="4" w:space="0"/>
              <w:bottom w:val="single" w:color="auto" w:sz="4" w:space="0"/>
              <w:right w:val="single" w:color="auto" w:sz="4" w:space="0"/>
            </w:tcBorders>
          </w:tcPr>
          <w:p w14:paraId="751B563E">
            <w:pPr>
              <w:spacing w:line="500" w:lineRule="exact"/>
              <w:jc w:val="left"/>
              <w:rPr>
                <w:rFonts w:ascii="宋体" w:hAnsi="宋体" w:eastAsia="宋体"/>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67BC7BBB">
            <w:pPr>
              <w:spacing w:line="500" w:lineRule="exact"/>
              <w:jc w:val="left"/>
              <w:rPr>
                <w:rFonts w:ascii="宋体" w:hAnsi="宋体" w:eastAsia="宋体"/>
                <w:color w:val="auto"/>
                <w:highlight w:val="none"/>
              </w:rPr>
            </w:pPr>
          </w:p>
        </w:tc>
        <w:tc>
          <w:tcPr>
            <w:tcW w:w="622" w:type="pct"/>
            <w:tcBorders>
              <w:top w:val="single" w:color="auto" w:sz="4" w:space="0"/>
              <w:left w:val="single" w:color="auto" w:sz="4" w:space="0"/>
              <w:bottom w:val="single" w:color="auto" w:sz="4" w:space="0"/>
              <w:right w:val="single" w:color="auto" w:sz="4" w:space="0"/>
            </w:tcBorders>
          </w:tcPr>
          <w:p w14:paraId="6D85C37C">
            <w:pPr>
              <w:spacing w:line="500" w:lineRule="exact"/>
              <w:jc w:val="left"/>
              <w:rPr>
                <w:rFonts w:ascii="宋体" w:hAnsi="宋体" w:eastAsia="宋体"/>
                <w:color w:val="auto"/>
                <w:highlight w:val="none"/>
              </w:rPr>
            </w:pPr>
          </w:p>
        </w:tc>
      </w:tr>
      <w:tr w14:paraId="1ED63698">
        <w:tblPrEx>
          <w:tblCellMar>
            <w:top w:w="0" w:type="dxa"/>
            <w:left w:w="108" w:type="dxa"/>
            <w:bottom w:w="0" w:type="dxa"/>
            <w:right w:w="108" w:type="dxa"/>
          </w:tblCellMar>
        </w:tblPrEx>
        <w:tc>
          <w:tcPr>
            <w:tcW w:w="392" w:type="pct"/>
            <w:tcBorders>
              <w:top w:val="single" w:color="auto" w:sz="4" w:space="0"/>
              <w:left w:val="single" w:color="auto" w:sz="4" w:space="0"/>
              <w:bottom w:val="single" w:color="auto" w:sz="4" w:space="0"/>
              <w:right w:val="single" w:color="auto" w:sz="4" w:space="0"/>
            </w:tcBorders>
          </w:tcPr>
          <w:p w14:paraId="627EA280">
            <w:pPr>
              <w:spacing w:line="500" w:lineRule="exact"/>
              <w:jc w:val="left"/>
              <w:rPr>
                <w:rFonts w:ascii="宋体" w:hAnsi="宋体" w:eastAsia="宋体"/>
                <w:color w:val="auto"/>
                <w:highlight w:val="none"/>
              </w:rPr>
            </w:pPr>
          </w:p>
        </w:tc>
        <w:tc>
          <w:tcPr>
            <w:tcW w:w="726" w:type="pct"/>
            <w:tcBorders>
              <w:top w:val="single" w:color="auto" w:sz="4" w:space="0"/>
              <w:left w:val="single" w:color="auto" w:sz="4" w:space="0"/>
              <w:bottom w:val="single" w:color="auto" w:sz="4" w:space="0"/>
              <w:right w:val="single" w:color="auto" w:sz="4" w:space="0"/>
            </w:tcBorders>
          </w:tcPr>
          <w:p w14:paraId="0BA738D5">
            <w:pPr>
              <w:spacing w:line="500" w:lineRule="exact"/>
              <w:jc w:val="left"/>
              <w:rPr>
                <w:rFonts w:ascii="宋体" w:hAnsi="宋体" w:eastAsia="宋体"/>
                <w:color w:val="auto"/>
                <w:highlight w:val="none"/>
              </w:rPr>
            </w:pPr>
          </w:p>
        </w:tc>
        <w:tc>
          <w:tcPr>
            <w:tcW w:w="781" w:type="pct"/>
            <w:tcBorders>
              <w:top w:val="single" w:color="auto" w:sz="4" w:space="0"/>
              <w:left w:val="single" w:color="auto" w:sz="4" w:space="0"/>
              <w:bottom w:val="single" w:color="auto" w:sz="4" w:space="0"/>
              <w:right w:val="single" w:color="auto" w:sz="4" w:space="0"/>
            </w:tcBorders>
          </w:tcPr>
          <w:p w14:paraId="74658005">
            <w:pPr>
              <w:spacing w:line="500" w:lineRule="exact"/>
              <w:jc w:val="left"/>
              <w:rPr>
                <w:rFonts w:ascii="宋体" w:hAnsi="宋体" w:eastAsia="宋体"/>
                <w:color w:val="auto"/>
                <w:highlight w:val="none"/>
              </w:rPr>
            </w:pPr>
          </w:p>
        </w:tc>
        <w:tc>
          <w:tcPr>
            <w:tcW w:w="785" w:type="pct"/>
            <w:tcBorders>
              <w:top w:val="single" w:color="auto" w:sz="4" w:space="0"/>
              <w:left w:val="single" w:color="auto" w:sz="4" w:space="0"/>
              <w:bottom w:val="single" w:color="auto" w:sz="4" w:space="0"/>
              <w:right w:val="single" w:color="auto" w:sz="4" w:space="0"/>
            </w:tcBorders>
          </w:tcPr>
          <w:p w14:paraId="77AEC46B">
            <w:pPr>
              <w:spacing w:line="500" w:lineRule="exact"/>
              <w:jc w:val="left"/>
              <w:rPr>
                <w:rFonts w:ascii="宋体" w:hAnsi="宋体" w:eastAsia="宋体"/>
                <w:color w:val="auto"/>
                <w:highlight w:val="none"/>
              </w:rPr>
            </w:pPr>
          </w:p>
        </w:tc>
        <w:tc>
          <w:tcPr>
            <w:tcW w:w="733" w:type="pct"/>
            <w:tcBorders>
              <w:top w:val="single" w:color="auto" w:sz="4" w:space="0"/>
              <w:left w:val="single" w:color="auto" w:sz="4" w:space="0"/>
              <w:bottom w:val="single" w:color="auto" w:sz="4" w:space="0"/>
              <w:right w:val="single" w:color="auto" w:sz="4" w:space="0"/>
            </w:tcBorders>
          </w:tcPr>
          <w:p w14:paraId="090AF1A1">
            <w:pPr>
              <w:spacing w:line="500" w:lineRule="exact"/>
              <w:jc w:val="center"/>
              <w:rPr>
                <w:rFonts w:ascii="宋体" w:hAnsi="宋体" w:eastAsia="宋体"/>
                <w:color w:val="auto"/>
                <w:highlight w:val="none"/>
              </w:rPr>
            </w:pPr>
          </w:p>
        </w:tc>
        <w:tc>
          <w:tcPr>
            <w:tcW w:w="498" w:type="pct"/>
            <w:tcBorders>
              <w:top w:val="single" w:color="auto" w:sz="4" w:space="0"/>
              <w:left w:val="single" w:color="auto" w:sz="4" w:space="0"/>
              <w:bottom w:val="single" w:color="auto" w:sz="4" w:space="0"/>
              <w:right w:val="single" w:color="auto" w:sz="4" w:space="0"/>
            </w:tcBorders>
          </w:tcPr>
          <w:p w14:paraId="5A078909">
            <w:pPr>
              <w:spacing w:line="500" w:lineRule="exact"/>
              <w:jc w:val="left"/>
              <w:rPr>
                <w:rFonts w:ascii="宋体" w:hAnsi="宋体" w:eastAsia="宋体"/>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77FA4860">
            <w:pPr>
              <w:spacing w:line="500" w:lineRule="exact"/>
              <w:jc w:val="left"/>
              <w:rPr>
                <w:rFonts w:ascii="宋体" w:hAnsi="宋体" w:eastAsia="宋体"/>
                <w:color w:val="auto"/>
                <w:highlight w:val="none"/>
              </w:rPr>
            </w:pPr>
          </w:p>
        </w:tc>
        <w:tc>
          <w:tcPr>
            <w:tcW w:w="622" w:type="pct"/>
            <w:tcBorders>
              <w:top w:val="single" w:color="auto" w:sz="4" w:space="0"/>
              <w:left w:val="single" w:color="auto" w:sz="4" w:space="0"/>
              <w:bottom w:val="single" w:color="auto" w:sz="4" w:space="0"/>
              <w:right w:val="single" w:color="auto" w:sz="4" w:space="0"/>
            </w:tcBorders>
          </w:tcPr>
          <w:p w14:paraId="308CBD66">
            <w:pPr>
              <w:spacing w:line="500" w:lineRule="exact"/>
              <w:jc w:val="left"/>
              <w:rPr>
                <w:rFonts w:ascii="宋体" w:hAnsi="宋体" w:eastAsia="宋体"/>
                <w:color w:val="auto"/>
                <w:highlight w:val="none"/>
              </w:rPr>
            </w:pPr>
          </w:p>
        </w:tc>
      </w:tr>
      <w:tr w14:paraId="5ABF6832">
        <w:tblPrEx>
          <w:tblCellMar>
            <w:top w:w="0" w:type="dxa"/>
            <w:left w:w="108" w:type="dxa"/>
            <w:bottom w:w="0" w:type="dxa"/>
            <w:right w:w="108" w:type="dxa"/>
          </w:tblCellMar>
        </w:tblPrEx>
        <w:tc>
          <w:tcPr>
            <w:tcW w:w="392" w:type="pct"/>
            <w:tcBorders>
              <w:top w:val="single" w:color="auto" w:sz="4" w:space="0"/>
              <w:left w:val="single" w:color="auto" w:sz="4" w:space="0"/>
              <w:bottom w:val="single" w:color="auto" w:sz="4" w:space="0"/>
              <w:right w:val="single" w:color="auto" w:sz="4" w:space="0"/>
            </w:tcBorders>
          </w:tcPr>
          <w:p w14:paraId="085DE4C5">
            <w:pPr>
              <w:spacing w:line="500" w:lineRule="exact"/>
              <w:jc w:val="left"/>
              <w:rPr>
                <w:rFonts w:ascii="宋体" w:hAnsi="宋体" w:eastAsia="宋体"/>
                <w:color w:val="auto"/>
                <w:highlight w:val="none"/>
              </w:rPr>
            </w:pPr>
          </w:p>
        </w:tc>
        <w:tc>
          <w:tcPr>
            <w:tcW w:w="726" w:type="pct"/>
            <w:tcBorders>
              <w:top w:val="single" w:color="auto" w:sz="4" w:space="0"/>
              <w:left w:val="single" w:color="auto" w:sz="4" w:space="0"/>
              <w:bottom w:val="single" w:color="auto" w:sz="4" w:space="0"/>
              <w:right w:val="single" w:color="auto" w:sz="4" w:space="0"/>
            </w:tcBorders>
          </w:tcPr>
          <w:p w14:paraId="2955778B">
            <w:pPr>
              <w:spacing w:line="500" w:lineRule="exact"/>
              <w:jc w:val="left"/>
              <w:rPr>
                <w:rFonts w:ascii="宋体" w:hAnsi="宋体" w:eastAsia="宋体"/>
                <w:color w:val="auto"/>
                <w:highlight w:val="none"/>
              </w:rPr>
            </w:pPr>
          </w:p>
        </w:tc>
        <w:tc>
          <w:tcPr>
            <w:tcW w:w="781" w:type="pct"/>
            <w:tcBorders>
              <w:top w:val="single" w:color="auto" w:sz="4" w:space="0"/>
              <w:left w:val="single" w:color="auto" w:sz="4" w:space="0"/>
              <w:bottom w:val="single" w:color="auto" w:sz="4" w:space="0"/>
              <w:right w:val="single" w:color="auto" w:sz="4" w:space="0"/>
            </w:tcBorders>
          </w:tcPr>
          <w:p w14:paraId="7F17628D">
            <w:pPr>
              <w:spacing w:line="500" w:lineRule="exact"/>
              <w:jc w:val="left"/>
              <w:rPr>
                <w:rFonts w:ascii="宋体" w:hAnsi="宋体" w:eastAsia="宋体"/>
                <w:color w:val="auto"/>
                <w:highlight w:val="none"/>
              </w:rPr>
            </w:pPr>
          </w:p>
        </w:tc>
        <w:tc>
          <w:tcPr>
            <w:tcW w:w="785" w:type="pct"/>
            <w:tcBorders>
              <w:top w:val="single" w:color="auto" w:sz="4" w:space="0"/>
              <w:left w:val="single" w:color="auto" w:sz="4" w:space="0"/>
              <w:bottom w:val="single" w:color="auto" w:sz="4" w:space="0"/>
              <w:right w:val="single" w:color="auto" w:sz="4" w:space="0"/>
            </w:tcBorders>
          </w:tcPr>
          <w:p w14:paraId="0B000772">
            <w:pPr>
              <w:spacing w:line="500" w:lineRule="exact"/>
              <w:jc w:val="left"/>
              <w:rPr>
                <w:rFonts w:ascii="宋体" w:hAnsi="宋体" w:eastAsia="宋体"/>
                <w:color w:val="auto"/>
                <w:highlight w:val="none"/>
              </w:rPr>
            </w:pPr>
          </w:p>
        </w:tc>
        <w:tc>
          <w:tcPr>
            <w:tcW w:w="733" w:type="pct"/>
            <w:tcBorders>
              <w:top w:val="single" w:color="auto" w:sz="4" w:space="0"/>
              <w:left w:val="single" w:color="auto" w:sz="4" w:space="0"/>
              <w:bottom w:val="single" w:color="auto" w:sz="4" w:space="0"/>
              <w:right w:val="single" w:color="auto" w:sz="4" w:space="0"/>
            </w:tcBorders>
          </w:tcPr>
          <w:p w14:paraId="56FCE3E3">
            <w:pPr>
              <w:spacing w:line="500" w:lineRule="exact"/>
              <w:jc w:val="center"/>
              <w:rPr>
                <w:rFonts w:ascii="宋体" w:hAnsi="宋体" w:eastAsia="宋体"/>
                <w:color w:val="auto"/>
                <w:highlight w:val="none"/>
              </w:rPr>
            </w:pPr>
          </w:p>
        </w:tc>
        <w:tc>
          <w:tcPr>
            <w:tcW w:w="498" w:type="pct"/>
            <w:tcBorders>
              <w:top w:val="single" w:color="auto" w:sz="4" w:space="0"/>
              <w:left w:val="single" w:color="auto" w:sz="4" w:space="0"/>
              <w:bottom w:val="single" w:color="auto" w:sz="4" w:space="0"/>
              <w:right w:val="single" w:color="auto" w:sz="4" w:space="0"/>
            </w:tcBorders>
          </w:tcPr>
          <w:p w14:paraId="7F647A6F">
            <w:pPr>
              <w:spacing w:line="500" w:lineRule="exact"/>
              <w:jc w:val="left"/>
              <w:rPr>
                <w:rFonts w:ascii="宋体" w:hAnsi="宋体" w:eastAsia="宋体"/>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3B920B61">
            <w:pPr>
              <w:spacing w:line="500" w:lineRule="exact"/>
              <w:jc w:val="left"/>
              <w:rPr>
                <w:rFonts w:ascii="宋体" w:hAnsi="宋体" w:eastAsia="宋体"/>
                <w:color w:val="auto"/>
                <w:highlight w:val="none"/>
              </w:rPr>
            </w:pPr>
          </w:p>
        </w:tc>
        <w:tc>
          <w:tcPr>
            <w:tcW w:w="622" w:type="pct"/>
            <w:tcBorders>
              <w:top w:val="single" w:color="auto" w:sz="4" w:space="0"/>
              <w:left w:val="single" w:color="auto" w:sz="4" w:space="0"/>
              <w:bottom w:val="single" w:color="auto" w:sz="4" w:space="0"/>
              <w:right w:val="single" w:color="auto" w:sz="4" w:space="0"/>
            </w:tcBorders>
          </w:tcPr>
          <w:p w14:paraId="11F10C65">
            <w:pPr>
              <w:spacing w:line="500" w:lineRule="exact"/>
              <w:jc w:val="left"/>
              <w:rPr>
                <w:rFonts w:ascii="宋体" w:hAnsi="宋体" w:eastAsia="宋体"/>
                <w:color w:val="auto"/>
                <w:highlight w:val="none"/>
              </w:rPr>
            </w:pPr>
          </w:p>
        </w:tc>
      </w:tr>
      <w:tr w14:paraId="18A2B937">
        <w:tblPrEx>
          <w:tblCellMar>
            <w:top w:w="0" w:type="dxa"/>
            <w:left w:w="108" w:type="dxa"/>
            <w:bottom w:w="0" w:type="dxa"/>
            <w:right w:w="108" w:type="dxa"/>
          </w:tblCellMar>
        </w:tblPrEx>
        <w:tc>
          <w:tcPr>
            <w:tcW w:w="392" w:type="pct"/>
            <w:tcBorders>
              <w:top w:val="single" w:color="auto" w:sz="4" w:space="0"/>
              <w:left w:val="single" w:color="auto" w:sz="4" w:space="0"/>
              <w:bottom w:val="single" w:color="auto" w:sz="4" w:space="0"/>
              <w:right w:val="single" w:color="auto" w:sz="4" w:space="0"/>
            </w:tcBorders>
          </w:tcPr>
          <w:p w14:paraId="7E06FF0E">
            <w:pPr>
              <w:spacing w:line="500" w:lineRule="exact"/>
              <w:jc w:val="left"/>
              <w:rPr>
                <w:rFonts w:ascii="宋体" w:hAnsi="宋体" w:eastAsia="宋体"/>
                <w:color w:val="auto"/>
                <w:highlight w:val="none"/>
              </w:rPr>
            </w:pPr>
          </w:p>
        </w:tc>
        <w:tc>
          <w:tcPr>
            <w:tcW w:w="726" w:type="pct"/>
            <w:tcBorders>
              <w:top w:val="single" w:color="auto" w:sz="4" w:space="0"/>
              <w:left w:val="single" w:color="auto" w:sz="4" w:space="0"/>
              <w:bottom w:val="single" w:color="auto" w:sz="4" w:space="0"/>
              <w:right w:val="single" w:color="auto" w:sz="4" w:space="0"/>
            </w:tcBorders>
          </w:tcPr>
          <w:p w14:paraId="7627FF0D">
            <w:pPr>
              <w:spacing w:line="500" w:lineRule="exact"/>
              <w:jc w:val="left"/>
              <w:rPr>
                <w:rFonts w:ascii="宋体" w:hAnsi="宋体" w:eastAsia="宋体"/>
                <w:color w:val="auto"/>
                <w:highlight w:val="none"/>
              </w:rPr>
            </w:pPr>
          </w:p>
        </w:tc>
        <w:tc>
          <w:tcPr>
            <w:tcW w:w="781" w:type="pct"/>
            <w:tcBorders>
              <w:top w:val="single" w:color="auto" w:sz="4" w:space="0"/>
              <w:left w:val="single" w:color="auto" w:sz="4" w:space="0"/>
              <w:bottom w:val="single" w:color="auto" w:sz="4" w:space="0"/>
              <w:right w:val="single" w:color="auto" w:sz="4" w:space="0"/>
            </w:tcBorders>
          </w:tcPr>
          <w:p w14:paraId="078FF811">
            <w:pPr>
              <w:spacing w:line="500" w:lineRule="exact"/>
              <w:jc w:val="left"/>
              <w:rPr>
                <w:rFonts w:ascii="宋体" w:hAnsi="宋体" w:eastAsia="宋体"/>
                <w:color w:val="auto"/>
                <w:highlight w:val="none"/>
              </w:rPr>
            </w:pPr>
          </w:p>
        </w:tc>
        <w:tc>
          <w:tcPr>
            <w:tcW w:w="785" w:type="pct"/>
            <w:tcBorders>
              <w:top w:val="single" w:color="auto" w:sz="4" w:space="0"/>
              <w:left w:val="single" w:color="auto" w:sz="4" w:space="0"/>
              <w:bottom w:val="single" w:color="auto" w:sz="4" w:space="0"/>
              <w:right w:val="single" w:color="auto" w:sz="4" w:space="0"/>
            </w:tcBorders>
          </w:tcPr>
          <w:p w14:paraId="75AB1D12">
            <w:pPr>
              <w:spacing w:line="500" w:lineRule="exact"/>
              <w:jc w:val="left"/>
              <w:rPr>
                <w:rFonts w:ascii="宋体" w:hAnsi="宋体" w:eastAsia="宋体"/>
                <w:color w:val="auto"/>
                <w:highlight w:val="none"/>
              </w:rPr>
            </w:pPr>
          </w:p>
        </w:tc>
        <w:tc>
          <w:tcPr>
            <w:tcW w:w="733" w:type="pct"/>
            <w:tcBorders>
              <w:top w:val="single" w:color="auto" w:sz="4" w:space="0"/>
              <w:left w:val="single" w:color="auto" w:sz="4" w:space="0"/>
              <w:bottom w:val="single" w:color="auto" w:sz="4" w:space="0"/>
              <w:right w:val="single" w:color="auto" w:sz="4" w:space="0"/>
            </w:tcBorders>
          </w:tcPr>
          <w:p w14:paraId="59056986">
            <w:pPr>
              <w:spacing w:line="500" w:lineRule="exact"/>
              <w:jc w:val="center"/>
              <w:rPr>
                <w:rFonts w:ascii="宋体" w:hAnsi="宋体" w:eastAsia="宋体"/>
                <w:color w:val="auto"/>
                <w:highlight w:val="none"/>
              </w:rPr>
            </w:pPr>
          </w:p>
        </w:tc>
        <w:tc>
          <w:tcPr>
            <w:tcW w:w="498" w:type="pct"/>
            <w:tcBorders>
              <w:top w:val="single" w:color="auto" w:sz="4" w:space="0"/>
              <w:left w:val="single" w:color="auto" w:sz="4" w:space="0"/>
              <w:bottom w:val="single" w:color="auto" w:sz="4" w:space="0"/>
              <w:right w:val="single" w:color="auto" w:sz="4" w:space="0"/>
            </w:tcBorders>
          </w:tcPr>
          <w:p w14:paraId="55271951">
            <w:pPr>
              <w:spacing w:line="500" w:lineRule="exact"/>
              <w:jc w:val="left"/>
              <w:rPr>
                <w:rFonts w:ascii="宋体" w:hAnsi="宋体" w:eastAsia="宋体"/>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31FFFE63">
            <w:pPr>
              <w:spacing w:line="500" w:lineRule="exact"/>
              <w:jc w:val="left"/>
              <w:rPr>
                <w:rFonts w:ascii="宋体" w:hAnsi="宋体" w:eastAsia="宋体"/>
                <w:color w:val="auto"/>
                <w:highlight w:val="none"/>
              </w:rPr>
            </w:pPr>
          </w:p>
        </w:tc>
        <w:tc>
          <w:tcPr>
            <w:tcW w:w="622" w:type="pct"/>
            <w:tcBorders>
              <w:top w:val="single" w:color="auto" w:sz="4" w:space="0"/>
              <w:left w:val="single" w:color="auto" w:sz="4" w:space="0"/>
              <w:bottom w:val="single" w:color="auto" w:sz="4" w:space="0"/>
              <w:right w:val="single" w:color="auto" w:sz="4" w:space="0"/>
            </w:tcBorders>
          </w:tcPr>
          <w:p w14:paraId="12A3D150">
            <w:pPr>
              <w:spacing w:line="500" w:lineRule="exact"/>
              <w:jc w:val="left"/>
              <w:rPr>
                <w:rFonts w:ascii="宋体" w:hAnsi="宋体" w:eastAsia="宋体"/>
                <w:color w:val="auto"/>
                <w:highlight w:val="none"/>
              </w:rPr>
            </w:pPr>
          </w:p>
        </w:tc>
      </w:tr>
      <w:tr w14:paraId="0577B2ED">
        <w:tblPrEx>
          <w:tblCellMar>
            <w:top w:w="0" w:type="dxa"/>
            <w:left w:w="108" w:type="dxa"/>
            <w:bottom w:w="0" w:type="dxa"/>
            <w:right w:w="108" w:type="dxa"/>
          </w:tblCellMar>
        </w:tblPrEx>
        <w:tc>
          <w:tcPr>
            <w:tcW w:w="392" w:type="pct"/>
            <w:tcBorders>
              <w:top w:val="single" w:color="auto" w:sz="4" w:space="0"/>
              <w:left w:val="single" w:color="auto" w:sz="4" w:space="0"/>
              <w:bottom w:val="single" w:color="auto" w:sz="4" w:space="0"/>
              <w:right w:val="single" w:color="auto" w:sz="4" w:space="0"/>
            </w:tcBorders>
          </w:tcPr>
          <w:p w14:paraId="16CF1BAF">
            <w:pPr>
              <w:spacing w:line="500" w:lineRule="exact"/>
              <w:jc w:val="left"/>
              <w:rPr>
                <w:rFonts w:ascii="宋体" w:hAnsi="宋体" w:eastAsia="宋体"/>
                <w:color w:val="auto"/>
                <w:highlight w:val="none"/>
              </w:rPr>
            </w:pPr>
          </w:p>
        </w:tc>
        <w:tc>
          <w:tcPr>
            <w:tcW w:w="726" w:type="pct"/>
            <w:tcBorders>
              <w:top w:val="single" w:color="auto" w:sz="4" w:space="0"/>
              <w:left w:val="single" w:color="auto" w:sz="4" w:space="0"/>
              <w:bottom w:val="single" w:color="auto" w:sz="4" w:space="0"/>
              <w:right w:val="single" w:color="auto" w:sz="4" w:space="0"/>
            </w:tcBorders>
          </w:tcPr>
          <w:p w14:paraId="6BD5C314">
            <w:pPr>
              <w:spacing w:line="500" w:lineRule="exact"/>
              <w:jc w:val="left"/>
              <w:rPr>
                <w:rFonts w:ascii="宋体" w:hAnsi="宋体" w:eastAsia="宋体"/>
                <w:color w:val="auto"/>
                <w:highlight w:val="none"/>
              </w:rPr>
            </w:pPr>
          </w:p>
        </w:tc>
        <w:tc>
          <w:tcPr>
            <w:tcW w:w="781" w:type="pct"/>
            <w:tcBorders>
              <w:top w:val="single" w:color="auto" w:sz="4" w:space="0"/>
              <w:left w:val="single" w:color="auto" w:sz="4" w:space="0"/>
              <w:bottom w:val="single" w:color="auto" w:sz="4" w:space="0"/>
              <w:right w:val="single" w:color="auto" w:sz="4" w:space="0"/>
            </w:tcBorders>
          </w:tcPr>
          <w:p w14:paraId="693A30FB">
            <w:pPr>
              <w:spacing w:line="500" w:lineRule="exact"/>
              <w:jc w:val="left"/>
              <w:rPr>
                <w:rFonts w:ascii="宋体" w:hAnsi="宋体" w:eastAsia="宋体"/>
                <w:color w:val="auto"/>
                <w:highlight w:val="none"/>
              </w:rPr>
            </w:pPr>
          </w:p>
        </w:tc>
        <w:tc>
          <w:tcPr>
            <w:tcW w:w="785" w:type="pct"/>
            <w:tcBorders>
              <w:top w:val="single" w:color="auto" w:sz="4" w:space="0"/>
              <w:left w:val="single" w:color="auto" w:sz="4" w:space="0"/>
              <w:bottom w:val="single" w:color="auto" w:sz="4" w:space="0"/>
              <w:right w:val="single" w:color="auto" w:sz="4" w:space="0"/>
            </w:tcBorders>
          </w:tcPr>
          <w:p w14:paraId="6750F2FC">
            <w:pPr>
              <w:spacing w:line="500" w:lineRule="exact"/>
              <w:jc w:val="left"/>
              <w:rPr>
                <w:rFonts w:ascii="宋体" w:hAnsi="宋体" w:eastAsia="宋体"/>
                <w:color w:val="auto"/>
                <w:highlight w:val="none"/>
              </w:rPr>
            </w:pPr>
          </w:p>
        </w:tc>
        <w:tc>
          <w:tcPr>
            <w:tcW w:w="733" w:type="pct"/>
            <w:tcBorders>
              <w:top w:val="single" w:color="auto" w:sz="4" w:space="0"/>
              <w:left w:val="single" w:color="auto" w:sz="4" w:space="0"/>
              <w:bottom w:val="single" w:color="auto" w:sz="4" w:space="0"/>
              <w:right w:val="single" w:color="auto" w:sz="4" w:space="0"/>
            </w:tcBorders>
          </w:tcPr>
          <w:p w14:paraId="0565FF84">
            <w:pPr>
              <w:spacing w:line="500" w:lineRule="exact"/>
              <w:jc w:val="center"/>
              <w:rPr>
                <w:rFonts w:ascii="宋体" w:hAnsi="宋体" w:eastAsia="宋体"/>
                <w:color w:val="auto"/>
                <w:highlight w:val="none"/>
              </w:rPr>
            </w:pPr>
          </w:p>
        </w:tc>
        <w:tc>
          <w:tcPr>
            <w:tcW w:w="498" w:type="pct"/>
            <w:tcBorders>
              <w:top w:val="single" w:color="auto" w:sz="4" w:space="0"/>
              <w:left w:val="single" w:color="auto" w:sz="4" w:space="0"/>
              <w:bottom w:val="single" w:color="auto" w:sz="4" w:space="0"/>
              <w:right w:val="single" w:color="auto" w:sz="4" w:space="0"/>
            </w:tcBorders>
          </w:tcPr>
          <w:p w14:paraId="05205119">
            <w:pPr>
              <w:spacing w:line="500" w:lineRule="exact"/>
              <w:jc w:val="left"/>
              <w:rPr>
                <w:rFonts w:ascii="宋体" w:hAnsi="宋体" w:eastAsia="宋体"/>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042295C8">
            <w:pPr>
              <w:spacing w:line="500" w:lineRule="exact"/>
              <w:jc w:val="left"/>
              <w:rPr>
                <w:rFonts w:ascii="宋体" w:hAnsi="宋体" w:eastAsia="宋体"/>
                <w:color w:val="auto"/>
                <w:highlight w:val="none"/>
              </w:rPr>
            </w:pPr>
          </w:p>
        </w:tc>
        <w:tc>
          <w:tcPr>
            <w:tcW w:w="622" w:type="pct"/>
            <w:tcBorders>
              <w:top w:val="single" w:color="auto" w:sz="4" w:space="0"/>
              <w:left w:val="single" w:color="auto" w:sz="4" w:space="0"/>
              <w:bottom w:val="single" w:color="auto" w:sz="4" w:space="0"/>
              <w:right w:val="single" w:color="auto" w:sz="4" w:space="0"/>
            </w:tcBorders>
          </w:tcPr>
          <w:p w14:paraId="3C6CF593">
            <w:pPr>
              <w:spacing w:line="500" w:lineRule="exact"/>
              <w:jc w:val="left"/>
              <w:rPr>
                <w:rFonts w:ascii="宋体" w:hAnsi="宋体" w:eastAsia="宋体"/>
                <w:color w:val="auto"/>
                <w:highlight w:val="none"/>
              </w:rPr>
            </w:pPr>
          </w:p>
        </w:tc>
      </w:tr>
      <w:tr w14:paraId="78D4F273">
        <w:tblPrEx>
          <w:tblCellMar>
            <w:top w:w="0" w:type="dxa"/>
            <w:left w:w="108" w:type="dxa"/>
            <w:bottom w:w="0" w:type="dxa"/>
            <w:right w:w="108" w:type="dxa"/>
          </w:tblCellMar>
        </w:tblPrEx>
        <w:tc>
          <w:tcPr>
            <w:tcW w:w="392" w:type="pct"/>
            <w:tcBorders>
              <w:top w:val="single" w:color="auto" w:sz="4" w:space="0"/>
              <w:left w:val="single" w:color="auto" w:sz="4" w:space="0"/>
              <w:bottom w:val="single" w:color="auto" w:sz="4" w:space="0"/>
              <w:right w:val="single" w:color="auto" w:sz="4" w:space="0"/>
            </w:tcBorders>
          </w:tcPr>
          <w:p w14:paraId="0339B452">
            <w:pPr>
              <w:spacing w:line="500" w:lineRule="exact"/>
              <w:jc w:val="left"/>
              <w:rPr>
                <w:rFonts w:ascii="宋体" w:hAnsi="宋体" w:eastAsia="宋体"/>
                <w:color w:val="auto"/>
                <w:highlight w:val="none"/>
              </w:rPr>
            </w:pPr>
          </w:p>
        </w:tc>
        <w:tc>
          <w:tcPr>
            <w:tcW w:w="726" w:type="pct"/>
            <w:tcBorders>
              <w:top w:val="single" w:color="auto" w:sz="4" w:space="0"/>
              <w:left w:val="single" w:color="auto" w:sz="4" w:space="0"/>
              <w:bottom w:val="single" w:color="auto" w:sz="4" w:space="0"/>
              <w:right w:val="single" w:color="auto" w:sz="4" w:space="0"/>
            </w:tcBorders>
          </w:tcPr>
          <w:p w14:paraId="253019E6">
            <w:pPr>
              <w:spacing w:line="500" w:lineRule="exact"/>
              <w:jc w:val="left"/>
              <w:rPr>
                <w:rFonts w:ascii="宋体" w:hAnsi="宋体" w:eastAsia="宋体"/>
                <w:color w:val="auto"/>
                <w:highlight w:val="none"/>
              </w:rPr>
            </w:pPr>
          </w:p>
        </w:tc>
        <w:tc>
          <w:tcPr>
            <w:tcW w:w="781" w:type="pct"/>
            <w:tcBorders>
              <w:top w:val="single" w:color="auto" w:sz="4" w:space="0"/>
              <w:left w:val="single" w:color="auto" w:sz="4" w:space="0"/>
              <w:bottom w:val="single" w:color="auto" w:sz="4" w:space="0"/>
              <w:right w:val="single" w:color="auto" w:sz="4" w:space="0"/>
            </w:tcBorders>
          </w:tcPr>
          <w:p w14:paraId="1A8132AC">
            <w:pPr>
              <w:spacing w:line="500" w:lineRule="exact"/>
              <w:jc w:val="left"/>
              <w:rPr>
                <w:rFonts w:ascii="宋体" w:hAnsi="宋体" w:eastAsia="宋体"/>
                <w:color w:val="auto"/>
                <w:highlight w:val="none"/>
              </w:rPr>
            </w:pPr>
          </w:p>
        </w:tc>
        <w:tc>
          <w:tcPr>
            <w:tcW w:w="785" w:type="pct"/>
            <w:tcBorders>
              <w:top w:val="single" w:color="auto" w:sz="4" w:space="0"/>
              <w:left w:val="single" w:color="auto" w:sz="4" w:space="0"/>
              <w:bottom w:val="single" w:color="auto" w:sz="4" w:space="0"/>
              <w:right w:val="single" w:color="auto" w:sz="4" w:space="0"/>
            </w:tcBorders>
          </w:tcPr>
          <w:p w14:paraId="6CE46E9E">
            <w:pPr>
              <w:spacing w:line="500" w:lineRule="exact"/>
              <w:jc w:val="left"/>
              <w:rPr>
                <w:rFonts w:ascii="宋体" w:hAnsi="宋体" w:eastAsia="宋体"/>
                <w:color w:val="auto"/>
                <w:highlight w:val="none"/>
              </w:rPr>
            </w:pPr>
          </w:p>
        </w:tc>
        <w:tc>
          <w:tcPr>
            <w:tcW w:w="733" w:type="pct"/>
            <w:tcBorders>
              <w:top w:val="single" w:color="auto" w:sz="4" w:space="0"/>
              <w:left w:val="single" w:color="auto" w:sz="4" w:space="0"/>
              <w:bottom w:val="single" w:color="auto" w:sz="4" w:space="0"/>
              <w:right w:val="single" w:color="auto" w:sz="4" w:space="0"/>
            </w:tcBorders>
          </w:tcPr>
          <w:p w14:paraId="17E3779C">
            <w:pPr>
              <w:spacing w:line="500" w:lineRule="exact"/>
              <w:jc w:val="center"/>
              <w:rPr>
                <w:rFonts w:ascii="宋体" w:hAnsi="宋体" w:eastAsia="宋体"/>
                <w:color w:val="auto"/>
                <w:highlight w:val="none"/>
              </w:rPr>
            </w:pPr>
          </w:p>
        </w:tc>
        <w:tc>
          <w:tcPr>
            <w:tcW w:w="498" w:type="pct"/>
            <w:tcBorders>
              <w:top w:val="single" w:color="auto" w:sz="4" w:space="0"/>
              <w:left w:val="single" w:color="auto" w:sz="4" w:space="0"/>
              <w:bottom w:val="single" w:color="auto" w:sz="4" w:space="0"/>
              <w:right w:val="single" w:color="auto" w:sz="4" w:space="0"/>
            </w:tcBorders>
          </w:tcPr>
          <w:p w14:paraId="2994D717">
            <w:pPr>
              <w:spacing w:line="500" w:lineRule="exact"/>
              <w:jc w:val="left"/>
              <w:rPr>
                <w:rFonts w:ascii="宋体" w:hAnsi="宋体" w:eastAsia="宋体"/>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2BAE5C7B">
            <w:pPr>
              <w:spacing w:line="500" w:lineRule="exact"/>
              <w:jc w:val="left"/>
              <w:rPr>
                <w:rFonts w:ascii="宋体" w:hAnsi="宋体" w:eastAsia="宋体"/>
                <w:color w:val="auto"/>
                <w:highlight w:val="none"/>
              </w:rPr>
            </w:pPr>
          </w:p>
        </w:tc>
        <w:tc>
          <w:tcPr>
            <w:tcW w:w="622" w:type="pct"/>
            <w:tcBorders>
              <w:top w:val="single" w:color="auto" w:sz="4" w:space="0"/>
              <w:left w:val="single" w:color="auto" w:sz="4" w:space="0"/>
              <w:bottom w:val="single" w:color="auto" w:sz="4" w:space="0"/>
              <w:right w:val="single" w:color="auto" w:sz="4" w:space="0"/>
            </w:tcBorders>
          </w:tcPr>
          <w:p w14:paraId="0AADCCA5">
            <w:pPr>
              <w:spacing w:line="500" w:lineRule="exact"/>
              <w:jc w:val="left"/>
              <w:rPr>
                <w:rFonts w:ascii="宋体" w:hAnsi="宋体" w:eastAsia="宋体"/>
                <w:color w:val="auto"/>
                <w:highlight w:val="none"/>
              </w:rPr>
            </w:pPr>
          </w:p>
        </w:tc>
      </w:tr>
      <w:tr w14:paraId="79556BB7">
        <w:tblPrEx>
          <w:tblCellMar>
            <w:top w:w="0" w:type="dxa"/>
            <w:left w:w="108" w:type="dxa"/>
            <w:bottom w:w="0" w:type="dxa"/>
            <w:right w:w="108" w:type="dxa"/>
          </w:tblCellMar>
        </w:tblPrEx>
        <w:tc>
          <w:tcPr>
            <w:tcW w:w="392" w:type="pct"/>
            <w:tcBorders>
              <w:top w:val="single" w:color="auto" w:sz="4" w:space="0"/>
              <w:left w:val="single" w:color="auto" w:sz="4" w:space="0"/>
              <w:bottom w:val="single" w:color="auto" w:sz="4" w:space="0"/>
              <w:right w:val="single" w:color="auto" w:sz="4" w:space="0"/>
            </w:tcBorders>
          </w:tcPr>
          <w:p w14:paraId="685369CD">
            <w:pPr>
              <w:spacing w:line="500" w:lineRule="exact"/>
              <w:jc w:val="left"/>
              <w:rPr>
                <w:rFonts w:ascii="宋体" w:hAnsi="宋体" w:eastAsia="宋体"/>
                <w:color w:val="auto"/>
                <w:highlight w:val="none"/>
              </w:rPr>
            </w:pPr>
          </w:p>
        </w:tc>
        <w:tc>
          <w:tcPr>
            <w:tcW w:w="726" w:type="pct"/>
            <w:tcBorders>
              <w:top w:val="single" w:color="auto" w:sz="4" w:space="0"/>
              <w:left w:val="single" w:color="auto" w:sz="4" w:space="0"/>
              <w:bottom w:val="single" w:color="auto" w:sz="4" w:space="0"/>
              <w:right w:val="single" w:color="auto" w:sz="4" w:space="0"/>
            </w:tcBorders>
          </w:tcPr>
          <w:p w14:paraId="019AF4CD">
            <w:pPr>
              <w:spacing w:line="500" w:lineRule="exact"/>
              <w:jc w:val="left"/>
              <w:rPr>
                <w:rFonts w:ascii="宋体" w:hAnsi="宋体" w:eastAsia="宋体"/>
                <w:color w:val="auto"/>
                <w:highlight w:val="none"/>
              </w:rPr>
            </w:pPr>
          </w:p>
        </w:tc>
        <w:tc>
          <w:tcPr>
            <w:tcW w:w="781" w:type="pct"/>
            <w:tcBorders>
              <w:top w:val="single" w:color="auto" w:sz="4" w:space="0"/>
              <w:left w:val="single" w:color="auto" w:sz="4" w:space="0"/>
              <w:bottom w:val="single" w:color="auto" w:sz="4" w:space="0"/>
              <w:right w:val="single" w:color="auto" w:sz="4" w:space="0"/>
            </w:tcBorders>
          </w:tcPr>
          <w:p w14:paraId="0F9F382A">
            <w:pPr>
              <w:spacing w:line="500" w:lineRule="exact"/>
              <w:jc w:val="left"/>
              <w:rPr>
                <w:rFonts w:ascii="宋体" w:hAnsi="宋体" w:eastAsia="宋体"/>
                <w:color w:val="auto"/>
                <w:highlight w:val="none"/>
              </w:rPr>
            </w:pPr>
          </w:p>
        </w:tc>
        <w:tc>
          <w:tcPr>
            <w:tcW w:w="785" w:type="pct"/>
            <w:tcBorders>
              <w:top w:val="single" w:color="auto" w:sz="4" w:space="0"/>
              <w:left w:val="single" w:color="auto" w:sz="4" w:space="0"/>
              <w:bottom w:val="single" w:color="auto" w:sz="4" w:space="0"/>
              <w:right w:val="single" w:color="auto" w:sz="4" w:space="0"/>
            </w:tcBorders>
          </w:tcPr>
          <w:p w14:paraId="32B8F429">
            <w:pPr>
              <w:spacing w:line="500" w:lineRule="exact"/>
              <w:jc w:val="left"/>
              <w:rPr>
                <w:rFonts w:ascii="宋体" w:hAnsi="宋体" w:eastAsia="宋体"/>
                <w:color w:val="auto"/>
                <w:highlight w:val="none"/>
              </w:rPr>
            </w:pPr>
          </w:p>
        </w:tc>
        <w:tc>
          <w:tcPr>
            <w:tcW w:w="733" w:type="pct"/>
            <w:tcBorders>
              <w:top w:val="single" w:color="auto" w:sz="4" w:space="0"/>
              <w:left w:val="single" w:color="auto" w:sz="4" w:space="0"/>
              <w:bottom w:val="single" w:color="auto" w:sz="4" w:space="0"/>
              <w:right w:val="single" w:color="auto" w:sz="4" w:space="0"/>
            </w:tcBorders>
          </w:tcPr>
          <w:p w14:paraId="209DD127">
            <w:pPr>
              <w:spacing w:line="500" w:lineRule="exact"/>
              <w:jc w:val="center"/>
              <w:rPr>
                <w:rFonts w:ascii="宋体" w:hAnsi="宋体" w:eastAsia="宋体"/>
                <w:color w:val="auto"/>
                <w:highlight w:val="none"/>
              </w:rPr>
            </w:pPr>
          </w:p>
        </w:tc>
        <w:tc>
          <w:tcPr>
            <w:tcW w:w="498" w:type="pct"/>
            <w:tcBorders>
              <w:top w:val="single" w:color="auto" w:sz="4" w:space="0"/>
              <w:left w:val="single" w:color="auto" w:sz="4" w:space="0"/>
              <w:bottom w:val="single" w:color="auto" w:sz="4" w:space="0"/>
              <w:right w:val="single" w:color="auto" w:sz="4" w:space="0"/>
            </w:tcBorders>
          </w:tcPr>
          <w:p w14:paraId="4BA4EE7A">
            <w:pPr>
              <w:spacing w:line="500" w:lineRule="exact"/>
              <w:jc w:val="left"/>
              <w:rPr>
                <w:rFonts w:ascii="宋体" w:hAnsi="宋体" w:eastAsia="宋体"/>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79B219BC">
            <w:pPr>
              <w:spacing w:line="500" w:lineRule="exact"/>
              <w:jc w:val="left"/>
              <w:rPr>
                <w:rFonts w:ascii="宋体" w:hAnsi="宋体" w:eastAsia="宋体"/>
                <w:color w:val="auto"/>
                <w:highlight w:val="none"/>
              </w:rPr>
            </w:pPr>
          </w:p>
        </w:tc>
        <w:tc>
          <w:tcPr>
            <w:tcW w:w="622" w:type="pct"/>
            <w:tcBorders>
              <w:top w:val="single" w:color="auto" w:sz="4" w:space="0"/>
              <w:left w:val="single" w:color="auto" w:sz="4" w:space="0"/>
              <w:bottom w:val="single" w:color="auto" w:sz="4" w:space="0"/>
              <w:right w:val="single" w:color="auto" w:sz="4" w:space="0"/>
            </w:tcBorders>
          </w:tcPr>
          <w:p w14:paraId="336837F8">
            <w:pPr>
              <w:spacing w:line="500" w:lineRule="exact"/>
              <w:jc w:val="left"/>
              <w:rPr>
                <w:rFonts w:ascii="宋体" w:hAnsi="宋体" w:eastAsia="宋体"/>
                <w:color w:val="auto"/>
                <w:highlight w:val="none"/>
              </w:rPr>
            </w:pPr>
          </w:p>
        </w:tc>
      </w:tr>
      <w:tr w14:paraId="47BE11FE">
        <w:tblPrEx>
          <w:tblCellMar>
            <w:top w:w="0" w:type="dxa"/>
            <w:left w:w="108" w:type="dxa"/>
            <w:bottom w:w="0" w:type="dxa"/>
            <w:right w:w="108" w:type="dxa"/>
          </w:tblCellMar>
        </w:tblPrEx>
        <w:tc>
          <w:tcPr>
            <w:tcW w:w="392" w:type="pct"/>
            <w:tcBorders>
              <w:top w:val="single" w:color="auto" w:sz="4" w:space="0"/>
              <w:left w:val="single" w:color="auto" w:sz="4" w:space="0"/>
              <w:bottom w:val="single" w:color="auto" w:sz="4" w:space="0"/>
              <w:right w:val="single" w:color="auto" w:sz="4" w:space="0"/>
            </w:tcBorders>
          </w:tcPr>
          <w:p w14:paraId="4CD4CED7">
            <w:pPr>
              <w:spacing w:line="500" w:lineRule="exact"/>
              <w:jc w:val="left"/>
              <w:rPr>
                <w:rFonts w:ascii="宋体" w:hAnsi="宋体" w:eastAsia="宋体"/>
                <w:color w:val="auto"/>
                <w:highlight w:val="none"/>
              </w:rPr>
            </w:pPr>
          </w:p>
        </w:tc>
        <w:tc>
          <w:tcPr>
            <w:tcW w:w="726" w:type="pct"/>
            <w:tcBorders>
              <w:top w:val="single" w:color="auto" w:sz="4" w:space="0"/>
              <w:left w:val="single" w:color="auto" w:sz="4" w:space="0"/>
              <w:bottom w:val="single" w:color="auto" w:sz="4" w:space="0"/>
              <w:right w:val="single" w:color="auto" w:sz="4" w:space="0"/>
            </w:tcBorders>
          </w:tcPr>
          <w:p w14:paraId="60D0B571">
            <w:pPr>
              <w:spacing w:line="500" w:lineRule="exact"/>
              <w:jc w:val="left"/>
              <w:rPr>
                <w:rFonts w:ascii="宋体" w:hAnsi="宋体" w:eastAsia="宋体"/>
                <w:color w:val="auto"/>
                <w:highlight w:val="none"/>
              </w:rPr>
            </w:pPr>
          </w:p>
        </w:tc>
        <w:tc>
          <w:tcPr>
            <w:tcW w:w="781" w:type="pct"/>
            <w:tcBorders>
              <w:top w:val="single" w:color="auto" w:sz="4" w:space="0"/>
              <w:left w:val="single" w:color="auto" w:sz="4" w:space="0"/>
              <w:bottom w:val="single" w:color="auto" w:sz="4" w:space="0"/>
              <w:right w:val="single" w:color="auto" w:sz="4" w:space="0"/>
            </w:tcBorders>
          </w:tcPr>
          <w:p w14:paraId="210DAC35">
            <w:pPr>
              <w:spacing w:line="500" w:lineRule="exact"/>
              <w:jc w:val="left"/>
              <w:rPr>
                <w:rFonts w:ascii="宋体" w:hAnsi="宋体" w:eastAsia="宋体"/>
                <w:color w:val="auto"/>
                <w:highlight w:val="none"/>
              </w:rPr>
            </w:pPr>
          </w:p>
        </w:tc>
        <w:tc>
          <w:tcPr>
            <w:tcW w:w="785" w:type="pct"/>
            <w:tcBorders>
              <w:top w:val="single" w:color="auto" w:sz="4" w:space="0"/>
              <w:left w:val="single" w:color="auto" w:sz="4" w:space="0"/>
              <w:bottom w:val="single" w:color="auto" w:sz="4" w:space="0"/>
              <w:right w:val="single" w:color="auto" w:sz="4" w:space="0"/>
            </w:tcBorders>
          </w:tcPr>
          <w:p w14:paraId="10FED302">
            <w:pPr>
              <w:spacing w:line="500" w:lineRule="exact"/>
              <w:jc w:val="left"/>
              <w:rPr>
                <w:rFonts w:ascii="宋体" w:hAnsi="宋体" w:eastAsia="宋体"/>
                <w:color w:val="auto"/>
                <w:highlight w:val="none"/>
              </w:rPr>
            </w:pPr>
          </w:p>
        </w:tc>
        <w:tc>
          <w:tcPr>
            <w:tcW w:w="733" w:type="pct"/>
            <w:tcBorders>
              <w:top w:val="single" w:color="auto" w:sz="4" w:space="0"/>
              <w:left w:val="single" w:color="auto" w:sz="4" w:space="0"/>
              <w:bottom w:val="single" w:color="auto" w:sz="4" w:space="0"/>
              <w:right w:val="single" w:color="auto" w:sz="4" w:space="0"/>
            </w:tcBorders>
          </w:tcPr>
          <w:p w14:paraId="026C49DC">
            <w:pPr>
              <w:spacing w:line="500" w:lineRule="exact"/>
              <w:jc w:val="center"/>
              <w:rPr>
                <w:rFonts w:ascii="宋体" w:hAnsi="宋体" w:eastAsia="宋体"/>
                <w:color w:val="auto"/>
                <w:highlight w:val="none"/>
              </w:rPr>
            </w:pPr>
          </w:p>
        </w:tc>
        <w:tc>
          <w:tcPr>
            <w:tcW w:w="498" w:type="pct"/>
            <w:tcBorders>
              <w:top w:val="single" w:color="auto" w:sz="4" w:space="0"/>
              <w:left w:val="single" w:color="auto" w:sz="4" w:space="0"/>
              <w:bottom w:val="single" w:color="auto" w:sz="4" w:space="0"/>
              <w:right w:val="single" w:color="auto" w:sz="4" w:space="0"/>
            </w:tcBorders>
          </w:tcPr>
          <w:p w14:paraId="7CB6B676">
            <w:pPr>
              <w:spacing w:line="500" w:lineRule="exact"/>
              <w:jc w:val="left"/>
              <w:rPr>
                <w:rFonts w:ascii="宋体" w:hAnsi="宋体" w:eastAsia="宋体"/>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6A644E9D">
            <w:pPr>
              <w:spacing w:line="500" w:lineRule="exact"/>
              <w:jc w:val="left"/>
              <w:rPr>
                <w:rFonts w:ascii="宋体" w:hAnsi="宋体" w:eastAsia="宋体"/>
                <w:color w:val="auto"/>
                <w:highlight w:val="none"/>
              </w:rPr>
            </w:pPr>
          </w:p>
        </w:tc>
        <w:tc>
          <w:tcPr>
            <w:tcW w:w="622" w:type="pct"/>
            <w:tcBorders>
              <w:top w:val="single" w:color="auto" w:sz="4" w:space="0"/>
              <w:left w:val="single" w:color="auto" w:sz="4" w:space="0"/>
              <w:bottom w:val="single" w:color="auto" w:sz="4" w:space="0"/>
              <w:right w:val="single" w:color="auto" w:sz="4" w:space="0"/>
            </w:tcBorders>
          </w:tcPr>
          <w:p w14:paraId="6733D534">
            <w:pPr>
              <w:spacing w:line="500" w:lineRule="exact"/>
              <w:jc w:val="left"/>
              <w:rPr>
                <w:rFonts w:ascii="宋体" w:hAnsi="宋体" w:eastAsia="宋体"/>
                <w:color w:val="auto"/>
                <w:highlight w:val="none"/>
              </w:rPr>
            </w:pPr>
          </w:p>
        </w:tc>
      </w:tr>
      <w:tr w14:paraId="18EE1EF4">
        <w:tblPrEx>
          <w:tblCellMar>
            <w:top w:w="0" w:type="dxa"/>
            <w:left w:w="108" w:type="dxa"/>
            <w:bottom w:w="0" w:type="dxa"/>
            <w:right w:w="108" w:type="dxa"/>
          </w:tblCellMar>
        </w:tblPrEx>
        <w:trPr>
          <w:trHeight w:val="502" w:hRule="atLeast"/>
        </w:trPr>
        <w:tc>
          <w:tcPr>
            <w:tcW w:w="392" w:type="pct"/>
            <w:tcBorders>
              <w:top w:val="single" w:color="auto" w:sz="4" w:space="0"/>
              <w:left w:val="single" w:color="auto" w:sz="4" w:space="0"/>
              <w:bottom w:val="single" w:color="auto" w:sz="4" w:space="0"/>
              <w:right w:val="single" w:color="auto" w:sz="4" w:space="0"/>
            </w:tcBorders>
          </w:tcPr>
          <w:p w14:paraId="2976EE37">
            <w:pPr>
              <w:spacing w:line="500" w:lineRule="exact"/>
              <w:jc w:val="left"/>
              <w:rPr>
                <w:rFonts w:ascii="宋体" w:hAnsi="宋体" w:eastAsia="宋体"/>
                <w:color w:val="auto"/>
                <w:highlight w:val="none"/>
              </w:rPr>
            </w:pPr>
          </w:p>
        </w:tc>
        <w:tc>
          <w:tcPr>
            <w:tcW w:w="726" w:type="pct"/>
            <w:tcBorders>
              <w:top w:val="single" w:color="auto" w:sz="4" w:space="0"/>
              <w:left w:val="single" w:color="auto" w:sz="4" w:space="0"/>
              <w:bottom w:val="single" w:color="auto" w:sz="4" w:space="0"/>
              <w:right w:val="single" w:color="auto" w:sz="4" w:space="0"/>
            </w:tcBorders>
          </w:tcPr>
          <w:p w14:paraId="53835A7C">
            <w:pPr>
              <w:spacing w:line="500" w:lineRule="exact"/>
              <w:jc w:val="left"/>
              <w:rPr>
                <w:rFonts w:ascii="宋体" w:hAnsi="宋体" w:eastAsia="宋体"/>
                <w:color w:val="auto"/>
                <w:highlight w:val="none"/>
              </w:rPr>
            </w:pPr>
          </w:p>
        </w:tc>
        <w:tc>
          <w:tcPr>
            <w:tcW w:w="781" w:type="pct"/>
            <w:tcBorders>
              <w:top w:val="single" w:color="auto" w:sz="4" w:space="0"/>
              <w:left w:val="single" w:color="auto" w:sz="4" w:space="0"/>
              <w:bottom w:val="single" w:color="auto" w:sz="4" w:space="0"/>
              <w:right w:val="single" w:color="auto" w:sz="4" w:space="0"/>
            </w:tcBorders>
          </w:tcPr>
          <w:p w14:paraId="55C77B67">
            <w:pPr>
              <w:spacing w:line="500" w:lineRule="exact"/>
              <w:jc w:val="left"/>
              <w:rPr>
                <w:rFonts w:ascii="宋体" w:hAnsi="宋体" w:eastAsia="宋体"/>
                <w:color w:val="auto"/>
                <w:highlight w:val="none"/>
              </w:rPr>
            </w:pPr>
          </w:p>
        </w:tc>
        <w:tc>
          <w:tcPr>
            <w:tcW w:w="785" w:type="pct"/>
            <w:tcBorders>
              <w:top w:val="single" w:color="auto" w:sz="4" w:space="0"/>
              <w:left w:val="single" w:color="auto" w:sz="4" w:space="0"/>
              <w:bottom w:val="single" w:color="auto" w:sz="4" w:space="0"/>
              <w:right w:val="single" w:color="auto" w:sz="4" w:space="0"/>
            </w:tcBorders>
          </w:tcPr>
          <w:p w14:paraId="6BB96199">
            <w:pPr>
              <w:spacing w:line="500" w:lineRule="exact"/>
              <w:jc w:val="left"/>
              <w:rPr>
                <w:rFonts w:ascii="宋体" w:hAnsi="宋体" w:eastAsia="宋体"/>
                <w:color w:val="auto"/>
                <w:highlight w:val="none"/>
              </w:rPr>
            </w:pPr>
          </w:p>
        </w:tc>
        <w:tc>
          <w:tcPr>
            <w:tcW w:w="733" w:type="pct"/>
            <w:tcBorders>
              <w:top w:val="single" w:color="auto" w:sz="4" w:space="0"/>
              <w:left w:val="single" w:color="auto" w:sz="4" w:space="0"/>
              <w:bottom w:val="single" w:color="auto" w:sz="4" w:space="0"/>
              <w:right w:val="single" w:color="auto" w:sz="4" w:space="0"/>
            </w:tcBorders>
          </w:tcPr>
          <w:p w14:paraId="3AB5E5DF">
            <w:pPr>
              <w:spacing w:line="500" w:lineRule="exact"/>
              <w:jc w:val="center"/>
              <w:rPr>
                <w:rFonts w:ascii="宋体" w:hAnsi="宋体" w:eastAsia="宋体"/>
                <w:color w:val="auto"/>
                <w:highlight w:val="none"/>
              </w:rPr>
            </w:pPr>
          </w:p>
        </w:tc>
        <w:tc>
          <w:tcPr>
            <w:tcW w:w="498" w:type="pct"/>
            <w:tcBorders>
              <w:top w:val="single" w:color="auto" w:sz="4" w:space="0"/>
              <w:left w:val="single" w:color="auto" w:sz="4" w:space="0"/>
              <w:bottom w:val="single" w:color="auto" w:sz="4" w:space="0"/>
              <w:right w:val="single" w:color="auto" w:sz="4" w:space="0"/>
            </w:tcBorders>
          </w:tcPr>
          <w:p w14:paraId="01017E29">
            <w:pPr>
              <w:spacing w:line="500" w:lineRule="exact"/>
              <w:jc w:val="left"/>
              <w:rPr>
                <w:rFonts w:ascii="宋体" w:hAnsi="宋体" w:eastAsia="宋体"/>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06CAC83D">
            <w:pPr>
              <w:spacing w:line="500" w:lineRule="exact"/>
              <w:jc w:val="left"/>
              <w:rPr>
                <w:rFonts w:ascii="宋体" w:hAnsi="宋体" w:eastAsia="宋体"/>
                <w:color w:val="auto"/>
                <w:highlight w:val="none"/>
              </w:rPr>
            </w:pPr>
          </w:p>
        </w:tc>
        <w:tc>
          <w:tcPr>
            <w:tcW w:w="622" w:type="pct"/>
            <w:tcBorders>
              <w:top w:val="single" w:color="auto" w:sz="4" w:space="0"/>
              <w:left w:val="single" w:color="auto" w:sz="4" w:space="0"/>
              <w:bottom w:val="single" w:color="auto" w:sz="4" w:space="0"/>
              <w:right w:val="single" w:color="auto" w:sz="4" w:space="0"/>
            </w:tcBorders>
          </w:tcPr>
          <w:p w14:paraId="7FED12A6">
            <w:pPr>
              <w:spacing w:line="500" w:lineRule="exact"/>
              <w:jc w:val="left"/>
              <w:rPr>
                <w:rFonts w:ascii="宋体" w:hAnsi="宋体" w:eastAsia="宋体"/>
                <w:color w:val="auto"/>
                <w:highlight w:val="none"/>
              </w:rPr>
            </w:pPr>
          </w:p>
        </w:tc>
      </w:tr>
      <w:tr w14:paraId="5CE86ABF">
        <w:tblPrEx>
          <w:tblCellMar>
            <w:top w:w="0" w:type="dxa"/>
            <w:left w:w="108" w:type="dxa"/>
            <w:bottom w:w="0" w:type="dxa"/>
            <w:right w:w="108" w:type="dxa"/>
          </w:tblCellMar>
        </w:tblPrEx>
        <w:tc>
          <w:tcPr>
            <w:tcW w:w="392" w:type="pct"/>
            <w:tcBorders>
              <w:top w:val="single" w:color="auto" w:sz="4" w:space="0"/>
              <w:left w:val="single" w:color="auto" w:sz="4" w:space="0"/>
              <w:bottom w:val="single" w:color="auto" w:sz="4" w:space="0"/>
              <w:right w:val="single" w:color="auto" w:sz="4" w:space="0"/>
            </w:tcBorders>
          </w:tcPr>
          <w:p w14:paraId="7D6DA611">
            <w:pPr>
              <w:spacing w:line="500" w:lineRule="exact"/>
              <w:jc w:val="left"/>
              <w:rPr>
                <w:rFonts w:ascii="宋体" w:hAnsi="宋体" w:eastAsia="宋体"/>
                <w:color w:val="auto"/>
                <w:highlight w:val="none"/>
              </w:rPr>
            </w:pPr>
          </w:p>
        </w:tc>
        <w:tc>
          <w:tcPr>
            <w:tcW w:w="726" w:type="pct"/>
            <w:tcBorders>
              <w:top w:val="single" w:color="auto" w:sz="4" w:space="0"/>
              <w:left w:val="single" w:color="auto" w:sz="4" w:space="0"/>
              <w:bottom w:val="single" w:color="auto" w:sz="4" w:space="0"/>
              <w:right w:val="single" w:color="auto" w:sz="4" w:space="0"/>
            </w:tcBorders>
          </w:tcPr>
          <w:p w14:paraId="2D4703B3">
            <w:pPr>
              <w:spacing w:line="500" w:lineRule="exact"/>
              <w:jc w:val="left"/>
              <w:rPr>
                <w:rFonts w:ascii="宋体" w:hAnsi="宋体" w:eastAsia="宋体"/>
                <w:color w:val="auto"/>
                <w:highlight w:val="none"/>
              </w:rPr>
            </w:pPr>
          </w:p>
        </w:tc>
        <w:tc>
          <w:tcPr>
            <w:tcW w:w="781" w:type="pct"/>
            <w:tcBorders>
              <w:top w:val="single" w:color="auto" w:sz="4" w:space="0"/>
              <w:left w:val="single" w:color="auto" w:sz="4" w:space="0"/>
              <w:bottom w:val="single" w:color="auto" w:sz="4" w:space="0"/>
              <w:right w:val="single" w:color="auto" w:sz="4" w:space="0"/>
            </w:tcBorders>
          </w:tcPr>
          <w:p w14:paraId="3BC479F8">
            <w:pPr>
              <w:spacing w:line="500" w:lineRule="exact"/>
              <w:jc w:val="left"/>
              <w:rPr>
                <w:rFonts w:ascii="宋体" w:hAnsi="宋体" w:eastAsia="宋体"/>
                <w:color w:val="auto"/>
                <w:highlight w:val="none"/>
              </w:rPr>
            </w:pPr>
          </w:p>
        </w:tc>
        <w:tc>
          <w:tcPr>
            <w:tcW w:w="785" w:type="pct"/>
            <w:tcBorders>
              <w:top w:val="single" w:color="auto" w:sz="4" w:space="0"/>
              <w:left w:val="single" w:color="auto" w:sz="4" w:space="0"/>
              <w:bottom w:val="single" w:color="auto" w:sz="4" w:space="0"/>
              <w:right w:val="single" w:color="auto" w:sz="4" w:space="0"/>
            </w:tcBorders>
          </w:tcPr>
          <w:p w14:paraId="56D1416D">
            <w:pPr>
              <w:spacing w:line="500" w:lineRule="exact"/>
              <w:jc w:val="left"/>
              <w:rPr>
                <w:rFonts w:ascii="宋体" w:hAnsi="宋体" w:eastAsia="宋体"/>
                <w:color w:val="auto"/>
                <w:highlight w:val="none"/>
              </w:rPr>
            </w:pPr>
          </w:p>
        </w:tc>
        <w:tc>
          <w:tcPr>
            <w:tcW w:w="733" w:type="pct"/>
            <w:tcBorders>
              <w:top w:val="single" w:color="auto" w:sz="4" w:space="0"/>
              <w:left w:val="single" w:color="auto" w:sz="4" w:space="0"/>
              <w:bottom w:val="single" w:color="auto" w:sz="4" w:space="0"/>
              <w:right w:val="single" w:color="auto" w:sz="4" w:space="0"/>
            </w:tcBorders>
          </w:tcPr>
          <w:p w14:paraId="700DBA24">
            <w:pPr>
              <w:spacing w:line="500" w:lineRule="exact"/>
              <w:jc w:val="center"/>
              <w:rPr>
                <w:rFonts w:ascii="宋体" w:hAnsi="宋体" w:eastAsia="宋体"/>
                <w:color w:val="auto"/>
                <w:highlight w:val="none"/>
              </w:rPr>
            </w:pPr>
          </w:p>
        </w:tc>
        <w:tc>
          <w:tcPr>
            <w:tcW w:w="498" w:type="pct"/>
            <w:tcBorders>
              <w:top w:val="single" w:color="auto" w:sz="4" w:space="0"/>
              <w:left w:val="single" w:color="auto" w:sz="4" w:space="0"/>
              <w:bottom w:val="single" w:color="auto" w:sz="4" w:space="0"/>
              <w:right w:val="single" w:color="auto" w:sz="4" w:space="0"/>
            </w:tcBorders>
          </w:tcPr>
          <w:p w14:paraId="218B69C0">
            <w:pPr>
              <w:spacing w:line="500" w:lineRule="exact"/>
              <w:jc w:val="left"/>
              <w:rPr>
                <w:rFonts w:ascii="宋体" w:hAnsi="宋体" w:eastAsia="宋体"/>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465F3113">
            <w:pPr>
              <w:spacing w:line="500" w:lineRule="exact"/>
              <w:jc w:val="left"/>
              <w:rPr>
                <w:rFonts w:ascii="宋体" w:hAnsi="宋体" w:eastAsia="宋体"/>
                <w:color w:val="auto"/>
                <w:highlight w:val="none"/>
              </w:rPr>
            </w:pPr>
          </w:p>
        </w:tc>
        <w:tc>
          <w:tcPr>
            <w:tcW w:w="622" w:type="pct"/>
            <w:tcBorders>
              <w:top w:val="single" w:color="auto" w:sz="4" w:space="0"/>
              <w:left w:val="single" w:color="auto" w:sz="4" w:space="0"/>
              <w:bottom w:val="single" w:color="auto" w:sz="4" w:space="0"/>
              <w:right w:val="single" w:color="auto" w:sz="4" w:space="0"/>
            </w:tcBorders>
          </w:tcPr>
          <w:p w14:paraId="22A1A2B6">
            <w:pPr>
              <w:spacing w:line="500" w:lineRule="exact"/>
              <w:jc w:val="left"/>
              <w:rPr>
                <w:rFonts w:ascii="宋体" w:hAnsi="宋体" w:eastAsia="宋体"/>
                <w:color w:val="auto"/>
                <w:highlight w:val="none"/>
              </w:rPr>
            </w:pPr>
          </w:p>
        </w:tc>
      </w:tr>
      <w:tr w14:paraId="2DA6836F">
        <w:tblPrEx>
          <w:tblCellMar>
            <w:top w:w="0" w:type="dxa"/>
            <w:left w:w="108" w:type="dxa"/>
            <w:bottom w:w="0" w:type="dxa"/>
            <w:right w:w="108" w:type="dxa"/>
          </w:tblCellMar>
        </w:tblPrEx>
        <w:tc>
          <w:tcPr>
            <w:tcW w:w="1119" w:type="pct"/>
            <w:gridSpan w:val="2"/>
            <w:tcBorders>
              <w:top w:val="single" w:color="auto" w:sz="4" w:space="0"/>
              <w:left w:val="single" w:color="auto" w:sz="4" w:space="0"/>
              <w:bottom w:val="single" w:color="auto" w:sz="4" w:space="0"/>
              <w:right w:val="single" w:color="auto" w:sz="4" w:space="0"/>
            </w:tcBorders>
          </w:tcPr>
          <w:p w14:paraId="3C0BCC6B">
            <w:pPr>
              <w:spacing w:line="500" w:lineRule="exact"/>
              <w:jc w:val="left"/>
              <w:rPr>
                <w:rFonts w:ascii="宋体" w:hAnsi="宋体" w:eastAsia="宋体"/>
                <w:color w:val="auto"/>
                <w:highlight w:val="none"/>
              </w:rPr>
            </w:pPr>
            <w:bookmarkStart w:id="271" w:name="_Toc17638"/>
            <w:r>
              <w:rPr>
                <w:rFonts w:hint="eastAsia" w:ascii="宋体" w:hAnsi="宋体" w:eastAsia="宋体"/>
                <w:color w:val="auto"/>
                <w:highlight w:val="none"/>
              </w:rPr>
              <w:t>最高投标限价：</w:t>
            </w:r>
          </w:p>
        </w:tc>
        <w:tc>
          <w:tcPr>
            <w:tcW w:w="3880" w:type="pct"/>
            <w:gridSpan w:val="6"/>
            <w:tcBorders>
              <w:top w:val="single" w:color="auto" w:sz="4" w:space="0"/>
              <w:left w:val="single" w:color="auto" w:sz="4" w:space="0"/>
              <w:bottom w:val="single" w:color="auto" w:sz="4" w:space="0"/>
              <w:right w:val="single" w:color="auto" w:sz="4" w:space="0"/>
            </w:tcBorders>
          </w:tcPr>
          <w:p w14:paraId="6B6D8BAA">
            <w:pPr>
              <w:spacing w:line="500" w:lineRule="exact"/>
              <w:jc w:val="left"/>
              <w:rPr>
                <w:rFonts w:ascii="宋体" w:hAnsi="宋体" w:eastAsia="宋体"/>
                <w:color w:val="auto"/>
                <w:highlight w:val="none"/>
              </w:rPr>
            </w:pPr>
          </w:p>
        </w:tc>
      </w:tr>
      <w:bookmarkEnd w:id="271"/>
    </w:tbl>
    <w:p w14:paraId="1304B5ED">
      <w:pPr>
        <w:tabs>
          <w:tab w:val="left" w:pos="3600"/>
          <w:tab w:val="left" w:pos="4760"/>
          <w:tab w:val="left" w:pos="5920"/>
          <w:tab w:val="left" w:pos="7060"/>
          <w:tab w:val="left" w:pos="8220"/>
        </w:tabs>
        <w:ind w:left="424" w:leftChars="202" w:right="-20"/>
        <w:jc w:val="left"/>
        <w:rPr>
          <w:rFonts w:ascii="宋体" w:hAnsi="宋体" w:eastAsia="宋体"/>
          <w:color w:val="auto"/>
          <w:highlight w:val="none"/>
        </w:rPr>
      </w:pPr>
      <w:r>
        <w:rPr>
          <w:rFonts w:hint="eastAsia" w:ascii="宋体" w:hAnsi="宋体" w:eastAsia="宋体"/>
          <w:color w:val="auto"/>
          <w:highlight w:val="none"/>
        </w:rPr>
        <w:t>　</w:t>
      </w:r>
    </w:p>
    <w:p w14:paraId="26168E59">
      <w:pPr>
        <w:jc w:val="left"/>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本表仅供参考，具体以开标时的开标记录表为准。</w:t>
      </w:r>
    </w:p>
    <w:p w14:paraId="008FF8A0">
      <w:pPr>
        <w:tabs>
          <w:tab w:val="left" w:pos="2200"/>
          <w:tab w:val="left" w:pos="3040"/>
          <w:tab w:val="left" w:pos="4620"/>
          <w:tab w:val="left" w:pos="5360"/>
          <w:tab w:val="left" w:pos="6940"/>
        </w:tabs>
        <w:ind w:left="424" w:leftChars="202" w:right="-20" w:firstLine="480"/>
        <w:jc w:val="left"/>
        <w:rPr>
          <w:rFonts w:hint="eastAsia" w:ascii="宋体" w:hAnsi="宋体" w:eastAsia="宋体" w:cs="宋体"/>
          <w:color w:val="auto"/>
          <w:position w:val="-2"/>
          <w:sz w:val="21"/>
          <w:szCs w:val="21"/>
          <w:highlight w:val="none"/>
        </w:rPr>
      </w:pPr>
    </w:p>
    <w:p w14:paraId="3657126A">
      <w:pPr>
        <w:tabs>
          <w:tab w:val="left" w:pos="2200"/>
          <w:tab w:val="left" w:pos="3040"/>
          <w:tab w:val="left" w:pos="4620"/>
          <w:tab w:val="left" w:pos="5360"/>
          <w:tab w:val="left" w:pos="6940"/>
        </w:tabs>
        <w:ind w:right="-20"/>
        <w:jc w:val="left"/>
        <w:rPr>
          <w:rFonts w:hint="eastAsia" w:ascii="宋体" w:hAnsi="宋体" w:eastAsia="宋体" w:cs="宋体"/>
          <w:color w:val="auto"/>
          <w:sz w:val="21"/>
          <w:szCs w:val="21"/>
          <w:highlight w:val="none"/>
        </w:rPr>
      </w:pPr>
      <w:r>
        <w:rPr>
          <w:rFonts w:hint="eastAsia" w:ascii="宋体" w:hAnsi="宋体" w:eastAsia="宋体" w:cs="宋体"/>
          <w:color w:val="auto"/>
          <w:position w:val="-2"/>
          <w:sz w:val="21"/>
          <w:szCs w:val="21"/>
          <w:highlight w:val="none"/>
        </w:rPr>
        <w:t>招标</w:t>
      </w:r>
      <w:r>
        <w:rPr>
          <w:rFonts w:hint="eastAsia" w:ascii="宋体" w:hAnsi="宋体" w:eastAsia="宋体" w:cs="宋体"/>
          <w:color w:val="auto"/>
          <w:spacing w:val="-2"/>
          <w:position w:val="-2"/>
          <w:sz w:val="21"/>
          <w:szCs w:val="21"/>
          <w:highlight w:val="none"/>
        </w:rPr>
        <w:t>人</w:t>
      </w:r>
      <w:r>
        <w:rPr>
          <w:rFonts w:hint="eastAsia" w:ascii="宋体" w:hAnsi="宋体" w:eastAsia="宋体" w:cs="宋体"/>
          <w:color w:val="auto"/>
          <w:position w:val="-2"/>
          <w:sz w:val="21"/>
          <w:szCs w:val="21"/>
          <w:highlight w:val="none"/>
        </w:rPr>
        <w:t>代</w:t>
      </w:r>
      <w:r>
        <w:rPr>
          <w:rFonts w:hint="eastAsia" w:ascii="宋体" w:hAnsi="宋体" w:eastAsia="宋体" w:cs="宋体"/>
          <w:color w:val="auto"/>
          <w:spacing w:val="-2"/>
          <w:position w:val="-2"/>
          <w:sz w:val="21"/>
          <w:szCs w:val="21"/>
          <w:highlight w:val="none"/>
        </w:rPr>
        <w:t>表</w:t>
      </w:r>
      <w:r>
        <w:rPr>
          <w:rFonts w:hint="eastAsia" w:ascii="宋体" w:hAnsi="宋体" w:eastAsia="宋体" w:cs="宋体"/>
          <w:color w:val="auto"/>
          <w:position w:val="-2"/>
          <w:sz w:val="21"/>
          <w:szCs w:val="21"/>
          <w:highlight w:val="none"/>
        </w:rPr>
        <w:t>：</w:t>
      </w:r>
      <w:r>
        <w:rPr>
          <w:rFonts w:hint="eastAsia" w:ascii="宋体" w:hAnsi="宋体" w:eastAsia="宋体" w:cs="宋体"/>
          <w:color w:val="auto"/>
          <w:position w:val="-2"/>
          <w:sz w:val="21"/>
          <w:szCs w:val="21"/>
          <w:highlight w:val="none"/>
          <w:u w:val="single"/>
        </w:rPr>
        <w:tab/>
      </w:r>
      <w:r>
        <w:rPr>
          <w:rFonts w:hint="eastAsia" w:ascii="宋体" w:hAnsi="宋体" w:eastAsia="宋体" w:cs="宋体"/>
          <w:color w:val="auto"/>
          <w:position w:val="-2"/>
          <w:sz w:val="21"/>
          <w:szCs w:val="21"/>
          <w:highlight w:val="none"/>
        </w:rPr>
        <w:tab/>
      </w:r>
      <w:r>
        <w:rPr>
          <w:rFonts w:hint="eastAsia" w:ascii="宋体" w:hAnsi="宋体" w:eastAsia="宋体" w:cs="宋体"/>
          <w:color w:val="auto"/>
          <w:spacing w:val="-2"/>
          <w:position w:val="-2"/>
          <w:sz w:val="21"/>
          <w:szCs w:val="21"/>
          <w:highlight w:val="none"/>
        </w:rPr>
        <w:t>记</w:t>
      </w:r>
      <w:r>
        <w:rPr>
          <w:rFonts w:hint="eastAsia" w:ascii="宋体" w:hAnsi="宋体" w:eastAsia="宋体" w:cs="宋体"/>
          <w:color w:val="auto"/>
          <w:position w:val="-2"/>
          <w:sz w:val="21"/>
          <w:szCs w:val="21"/>
          <w:highlight w:val="none"/>
        </w:rPr>
        <w:t>录</w:t>
      </w:r>
      <w:r>
        <w:rPr>
          <w:rFonts w:hint="eastAsia" w:ascii="宋体" w:hAnsi="宋体" w:eastAsia="宋体" w:cs="宋体"/>
          <w:color w:val="auto"/>
          <w:spacing w:val="-2"/>
          <w:position w:val="-2"/>
          <w:sz w:val="21"/>
          <w:szCs w:val="21"/>
          <w:highlight w:val="none"/>
        </w:rPr>
        <w:t>人</w:t>
      </w:r>
      <w:r>
        <w:rPr>
          <w:rFonts w:hint="eastAsia" w:ascii="宋体" w:hAnsi="宋体" w:eastAsia="宋体" w:cs="宋体"/>
          <w:color w:val="auto"/>
          <w:position w:val="-2"/>
          <w:sz w:val="21"/>
          <w:szCs w:val="21"/>
          <w:highlight w:val="none"/>
        </w:rPr>
        <w:t>：</w:t>
      </w:r>
      <w:r>
        <w:rPr>
          <w:rFonts w:hint="eastAsia" w:ascii="宋体" w:hAnsi="宋体" w:eastAsia="宋体" w:cs="宋体"/>
          <w:color w:val="auto"/>
          <w:position w:val="-2"/>
          <w:sz w:val="21"/>
          <w:szCs w:val="21"/>
          <w:highlight w:val="none"/>
          <w:u w:val="single"/>
        </w:rPr>
        <w:tab/>
      </w:r>
      <w:r>
        <w:rPr>
          <w:rFonts w:hint="eastAsia" w:ascii="宋体" w:hAnsi="宋体" w:eastAsia="宋体" w:cs="宋体"/>
          <w:color w:val="auto"/>
          <w:position w:val="-2"/>
          <w:sz w:val="21"/>
          <w:szCs w:val="21"/>
          <w:highlight w:val="none"/>
        </w:rPr>
        <w:tab/>
      </w:r>
      <w:r>
        <w:rPr>
          <w:rFonts w:hint="eastAsia" w:ascii="宋体" w:hAnsi="宋体" w:eastAsia="宋体" w:cs="宋体"/>
          <w:color w:val="auto"/>
          <w:spacing w:val="-2"/>
          <w:position w:val="-2"/>
          <w:sz w:val="21"/>
          <w:szCs w:val="21"/>
          <w:highlight w:val="none"/>
        </w:rPr>
        <w:t>监</w:t>
      </w:r>
      <w:r>
        <w:rPr>
          <w:rFonts w:hint="eastAsia" w:ascii="宋体" w:hAnsi="宋体" w:eastAsia="宋体" w:cs="宋体"/>
          <w:color w:val="auto"/>
          <w:position w:val="-2"/>
          <w:sz w:val="21"/>
          <w:szCs w:val="21"/>
          <w:highlight w:val="none"/>
        </w:rPr>
        <w:t>标</w:t>
      </w:r>
      <w:r>
        <w:rPr>
          <w:rFonts w:hint="eastAsia" w:ascii="宋体" w:hAnsi="宋体" w:eastAsia="宋体" w:cs="宋体"/>
          <w:color w:val="auto"/>
          <w:spacing w:val="-2"/>
          <w:position w:val="-2"/>
          <w:sz w:val="21"/>
          <w:szCs w:val="21"/>
          <w:highlight w:val="none"/>
        </w:rPr>
        <w:t>人</w:t>
      </w:r>
      <w:r>
        <w:rPr>
          <w:rFonts w:hint="eastAsia" w:ascii="宋体" w:hAnsi="宋体" w:eastAsia="宋体" w:cs="宋体"/>
          <w:color w:val="auto"/>
          <w:position w:val="-2"/>
          <w:sz w:val="21"/>
          <w:szCs w:val="21"/>
          <w:highlight w:val="none"/>
        </w:rPr>
        <w:t>：</w:t>
      </w:r>
      <w:r>
        <w:rPr>
          <w:rFonts w:hint="eastAsia" w:ascii="宋体" w:hAnsi="宋体" w:eastAsia="宋体" w:cs="宋体"/>
          <w:color w:val="auto"/>
          <w:position w:val="-2"/>
          <w:sz w:val="21"/>
          <w:szCs w:val="21"/>
          <w:highlight w:val="none"/>
          <w:u w:val="single"/>
        </w:rPr>
        <w:tab/>
      </w:r>
    </w:p>
    <w:p w14:paraId="190714B7">
      <w:pPr>
        <w:tabs>
          <w:tab w:val="left" w:pos="720"/>
          <w:tab w:val="left" w:pos="1680"/>
          <w:tab w:val="left" w:pos="2620"/>
        </w:tabs>
        <w:ind w:right="96" w:firstLine="480"/>
        <w:jc w:val="right"/>
        <w:rPr>
          <w:rFonts w:hint="eastAsia" w:ascii="宋体" w:hAnsi="宋体" w:eastAsia="宋体" w:cs="宋体"/>
          <w:color w:val="auto"/>
          <w:position w:val="-1"/>
          <w:sz w:val="21"/>
          <w:szCs w:val="21"/>
          <w:highlight w:val="none"/>
          <w:u w:val="single"/>
        </w:rPr>
      </w:pPr>
    </w:p>
    <w:p w14:paraId="6E162798">
      <w:pPr>
        <w:tabs>
          <w:tab w:val="left" w:pos="720"/>
          <w:tab w:val="left" w:pos="1680"/>
          <w:tab w:val="left" w:pos="2620"/>
        </w:tabs>
        <w:ind w:right="96" w:firstLine="480"/>
        <w:jc w:val="right"/>
        <w:rPr>
          <w:rFonts w:hint="eastAsia" w:ascii="宋体" w:hAnsi="宋体" w:eastAsia="宋体" w:cs="宋体"/>
          <w:color w:val="auto"/>
          <w:position w:val="-1"/>
          <w:sz w:val="21"/>
          <w:szCs w:val="21"/>
          <w:highlight w:val="none"/>
          <w:u w:val="single"/>
        </w:rPr>
      </w:pPr>
    </w:p>
    <w:p w14:paraId="4E72BAC9">
      <w:pPr>
        <w:tabs>
          <w:tab w:val="left" w:pos="720"/>
          <w:tab w:val="left" w:pos="1680"/>
          <w:tab w:val="left" w:pos="2620"/>
        </w:tabs>
        <w:ind w:right="96" w:firstLine="480"/>
        <w:jc w:val="right"/>
        <w:rPr>
          <w:rFonts w:hint="eastAsia" w:ascii="宋体" w:hAnsi="宋体" w:eastAsia="宋体" w:cs="宋体"/>
          <w:color w:val="auto"/>
          <w:position w:val="-1"/>
          <w:sz w:val="21"/>
          <w:szCs w:val="21"/>
          <w:highlight w:val="none"/>
          <w:u w:val="single"/>
        </w:rPr>
      </w:pPr>
    </w:p>
    <w:p w14:paraId="73F87FFD">
      <w:pPr>
        <w:tabs>
          <w:tab w:val="left" w:pos="720"/>
          <w:tab w:val="left" w:pos="1680"/>
          <w:tab w:val="left" w:pos="2620"/>
        </w:tabs>
        <w:ind w:right="96" w:firstLine="480"/>
        <w:jc w:val="right"/>
        <w:rPr>
          <w:rFonts w:hint="eastAsia" w:ascii="宋体" w:hAnsi="宋体" w:eastAsia="宋体" w:cs="宋体"/>
          <w:color w:val="auto"/>
          <w:position w:val="-1"/>
          <w:sz w:val="21"/>
          <w:szCs w:val="21"/>
          <w:highlight w:val="none"/>
        </w:rPr>
      </w:pPr>
      <w:r>
        <w:rPr>
          <w:rFonts w:hint="eastAsia" w:ascii="宋体" w:hAnsi="宋体" w:eastAsia="宋体" w:cs="宋体"/>
          <w:color w:val="auto"/>
          <w:position w:val="-1"/>
          <w:sz w:val="21"/>
          <w:szCs w:val="21"/>
          <w:highlight w:val="none"/>
          <w:u w:val="single"/>
        </w:rPr>
        <w:tab/>
      </w:r>
      <w:r>
        <w:rPr>
          <w:rFonts w:hint="eastAsia" w:ascii="宋体" w:hAnsi="宋体" w:eastAsia="宋体" w:cs="宋体"/>
          <w:color w:val="auto"/>
          <w:position w:val="-1"/>
          <w:sz w:val="21"/>
          <w:szCs w:val="21"/>
          <w:highlight w:val="none"/>
        </w:rPr>
        <w:t>年</w:t>
      </w:r>
      <w:r>
        <w:rPr>
          <w:rFonts w:hint="eastAsia" w:ascii="宋体" w:hAnsi="宋体" w:eastAsia="宋体" w:cs="宋体"/>
          <w:color w:val="auto"/>
          <w:position w:val="-1"/>
          <w:sz w:val="21"/>
          <w:szCs w:val="21"/>
          <w:highlight w:val="none"/>
          <w:u w:val="single"/>
        </w:rPr>
        <w:tab/>
      </w:r>
      <w:r>
        <w:rPr>
          <w:rFonts w:hint="eastAsia" w:ascii="宋体" w:hAnsi="宋体" w:eastAsia="宋体" w:cs="宋体"/>
          <w:color w:val="auto"/>
          <w:spacing w:val="-2"/>
          <w:position w:val="-1"/>
          <w:sz w:val="21"/>
          <w:szCs w:val="21"/>
          <w:highlight w:val="none"/>
        </w:rPr>
        <w:t>月</w:t>
      </w:r>
      <w:r>
        <w:rPr>
          <w:rFonts w:hint="eastAsia" w:ascii="宋体" w:hAnsi="宋体" w:eastAsia="宋体" w:cs="宋体"/>
          <w:color w:val="auto"/>
          <w:position w:val="-1"/>
          <w:sz w:val="21"/>
          <w:szCs w:val="21"/>
          <w:highlight w:val="none"/>
          <w:u w:val="single"/>
        </w:rPr>
        <w:tab/>
      </w:r>
      <w:r>
        <w:rPr>
          <w:rFonts w:hint="eastAsia" w:ascii="宋体" w:hAnsi="宋体" w:eastAsia="宋体" w:cs="宋体"/>
          <w:color w:val="auto"/>
          <w:position w:val="-1"/>
          <w:sz w:val="21"/>
          <w:szCs w:val="21"/>
          <w:highlight w:val="none"/>
        </w:rPr>
        <w:t>日</w:t>
      </w:r>
    </w:p>
    <w:p w14:paraId="1C3635B5">
      <w:pPr>
        <w:spacing w:line="440" w:lineRule="exact"/>
        <w:rPr>
          <w:rFonts w:ascii="宋体" w:hAnsi="宋体" w:eastAsia="宋体"/>
          <w:color w:val="auto"/>
          <w:highlight w:val="none"/>
        </w:rPr>
      </w:pPr>
      <w:r>
        <w:rPr>
          <w:rFonts w:ascii="宋体" w:hAnsi="宋体" w:eastAsia="宋体"/>
          <w:color w:val="auto"/>
          <w:highlight w:val="none"/>
        </w:rPr>
        <w:br w:type="page"/>
      </w:r>
    </w:p>
    <w:p w14:paraId="55D1DBF3">
      <w:pPr>
        <w:pStyle w:val="3"/>
        <w:ind w:firstLine="602"/>
        <w:jc w:val="center"/>
        <w:rPr>
          <w:rFonts w:hint="eastAsia" w:ascii="宋体" w:hAnsi="宋体" w:eastAsia="宋体" w:cs="宋体"/>
          <w:color w:val="auto"/>
          <w:highlight w:val="none"/>
        </w:rPr>
      </w:pPr>
      <w:bookmarkStart w:id="272" w:name="_Toc133420523"/>
      <w:bookmarkStart w:id="273" w:name="_Toc51055767"/>
      <w:bookmarkStart w:id="274" w:name="_Toc45266449"/>
      <w:bookmarkStart w:id="275" w:name="_Toc22368"/>
      <w:r>
        <w:rPr>
          <w:rFonts w:hint="eastAsia" w:ascii="宋体" w:hAnsi="宋体" w:eastAsia="宋体" w:cs="宋体"/>
          <w:color w:val="auto"/>
          <w:highlight w:val="none"/>
        </w:rPr>
        <w:t>附件二：问题澄清通知</w:t>
      </w:r>
      <w:bookmarkEnd w:id="272"/>
      <w:bookmarkEnd w:id="273"/>
      <w:bookmarkEnd w:id="274"/>
      <w:bookmarkEnd w:id="275"/>
    </w:p>
    <w:p w14:paraId="24D667E1">
      <w:pPr>
        <w:spacing w:line="440" w:lineRule="exact"/>
        <w:ind w:firstLine="560"/>
        <w:jc w:val="center"/>
        <w:rPr>
          <w:rFonts w:hint="eastAsia" w:ascii="宋体" w:hAnsi="宋体" w:eastAsia="宋体"/>
          <w:color w:val="auto"/>
          <w:sz w:val="28"/>
          <w:szCs w:val="28"/>
          <w:highlight w:val="none"/>
        </w:rPr>
      </w:pPr>
      <w:r>
        <w:rPr>
          <w:rFonts w:hint="eastAsia" w:ascii="宋体" w:hAnsi="宋体" w:eastAsia="宋体"/>
          <w:color w:val="auto"/>
          <w:sz w:val="28"/>
          <w:szCs w:val="28"/>
          <w:highlight w:val="none"/>
        </w:rPr>
        <w:t>问题澄清通知</w:t>
      </w:r>
    </w:p>
    <w:p w14:paraId="5C04AEC0">
      <w:pPr>
        <w:tabs>
          <w:tab w:val="left" w:pos="5740"/>
        </w:tabs>
        <w:spacing w:before="62" w:line="360" w:lineRule="auto"/>
        <w:ind w:left="424" w:right="2811" w:firstLine="480"/>
        <w:rPr>
          <w:rFonts w:ascii="宋体" w:hAnsi="宋体" w:eastAsia="宋体" w:cs="宋体"/>
          <w:color w:val="auto"/>
          <w:position w:val="-4"/>
          <w:sz w:val="21"/>
          <w:szCs w:val="21"/>
          <w:highlight w:val="none"/>
        </w:rPr>
      </w:pPr>
      <w:r>
        <w:rPr>
          <w:rFonts w:hint="eastAsia" w:ascii="宋体" w:hAnsi="宋体" w:eastAsia="宋体" w:cs="宋体"/>
          <w:color w:val="auto"/>
          <w:position w:val="-4"/>
          <w:sz w:val="21"/>
          <w:szCs w:val="21"/>
          <w:highlight w:val="none"/>
        </w:rPr>
        <w:t>（编</w:t>
      </w:r>
      <w:r>
        <w:rPr>
          <w:rFonts w:hint="eastAsia" w:ascii="宋体" w:hAnsi="宋体" w:eastAsia="宋体" w:cs="宋体"/>
          <w:color w:val="auto"/>
          <w:spacing w:val="-2"/>
          <w:position w:val="-4"/>
          <w:sz w:val="21"/>
          <w:szCs w:val="21"/>
          <w:highlight w:val="none"/>
        </w:rPr>
        <w:t>号</w:t>
      </w:r>
      <w:r>
        <w:rPr>
          <w:rFonts w:hint="eastAsia" w:ascii="宋体" w:hAnsi="宋体" w:eastAsia="宋体" w:cs="宋体"/>
          <w:color w:val="auto"/>
          <w:position w:val="-4"/>
          <w:sz w:val="21"/>
          <w:szCs w:val="21"/>
          <w:highlight w:val="none"/>
        </w:rPr>
        <w:t>：）</w:t>
      </w:r>
    </w:p>
    <w:p w14:paraId="1691598B">
      <w:pPr>
        <w:tabs>
          <w:tab w:val="left" w:pos="2300"/>
        </w:tabs>
        <w:spacing w:line="360" w:lineRule="auto"/>
        <w:ind w:right="-20" w:firstLine="420" w:firstLineChars="200"/>
        <w:rPr>
          <w:rFonts w:ascii="宋体" w:hAnsi="宋体" w:eastAsia="宋体" w:cs="宋体"/>
          <w:color w:val="auto"/>
          <w:sz w:val="21"/>
          <w:szCs w:val="21"/>
          <w:highlight w:val="none"/>
        </w:rPr>
      </w:pPr>
      <w:r>
        <w:rPr>
          <w:rFonts w:ascii="宋体" w:hAnsi="宋体" w:eastAsia="宋体" w:cs="宋体"/>
          <w:color w:val="auto"/>
          <w:position w:val="-2"/>
          <w:sz w:val="21"/>
          <w:szCs w:val="21"/>
          <w:highlight w:val="none"/>
          <w:u w:val="single"/>
        </w:rPr>
        <w:tab/>
      </w:r>
      <w:r>
        <w:rPr>
          <w:rFonts w:hint="eastAsia" w:ascii="宋体" w:hAnsi="宋体" w:eastAsia="宋体" w:cs="宋体"/>
          <w:color w:val="auto"/>
          <w:spacing w:val="-2"/>
          <w:position w:val="-2"/>
          <w:sz w:val="21"/>
          <w:szCs w:val="21"/>
          <w:highlight w:val="none"/>
        </w:rPr>
        <w:t>（</w:t>
      </w:r>
      <w:r>
        <w:rPr>
          <w:rFonts w:hint="eastAsia" w:ascii="宋体" w:hAnsi="宋体" w:eastAsia="宋体" w:cs="宋体"/>
          <w:color w:val="auto"/>
          <w:position w:val="-2"/>
          <w:sz w:val="21"/>
          <w:szCs w:val="21"/>
          <w:highlight w:val="none"/>
        </w:rPr>
        <w:t>投标</w:t>
      </w:r>
      <w:r>
        <w:rPr>
          <w:rFonts w:hint="eastAsia" w:ascii="宋体" w:hAnsi="宋体" w:eastAsia="宋体" w:cs="宋体"/>
          <w:color w:val="auto"/>
          <w:spacing w:val="-2"/>
          <w:position w:val="-2"/>
          <w:sz w:val="21"/>
          <w:szCs w:val="21"/>
          <w:highlight w:val="none"/>
        </w:rPr>
        <w:t>人</w:t>
      </w:r>
      <w:r>
        <w:rPr>
          <w:rFonts w:hint="eastAsia" w:ascii="宋体" w:hAnsi="宋体" w:eastAsia="宋体" w:cs="宋体"/>
          <w:color w:val="auto"/>
          <w:position w:val="-2"/>
          <w:sz w:val="21"/>
          <w:szCs w:val="21"/>
          <w:highlight w:val="none"/>
        </w:rPr>
        <w:t>名</w:t>
      </w:r>
      <w:r>
        <w:rPr>
          <w:rFonts w:hint="eastAsia" w:ascii="宋体" w:hAnsi="宋体" w:eastAsia="宋体" w:cs="宋体"/>
          <w:color w:val="auto"/>
          <w:spacing w:val="-2"/>
          <w:position w:val="-2"/>
          <w:sz w:val="21"/>
          <w:szCs w:val="21"/>
          <w:highlight w:val="none"/>
        </w:rPr>
        <w:t>称</w:t>
      </w:r>
      <w:r>
        <w:rPr>
          <w:rFonts w:hint="eastAsia" w:ascii="宋体" w:hAnsi="宋体" w:eastAsia="宋体" w:cs="宋体"/>
          <w:color w:val="auto"/>
          <w:spacing w:val="-106"/>
          <w:position w:val="-2"/>
          <w:sz w:val="21"/>
          <w:szCs w:val="21"/>
          <w:highlight w:val="none"/>
        </w:rPr>
        <w:t>）</w:t>
      </w:r>
      <w:r>
        <w:rPr>
          <w:rFonts w:hint="eastAsia" w:ascii="宋体" w:hAnsi="宋体" w:eastAsia="宋体" w:cs="宋体"/>
          <w:color w:val="auto"/>
          <w:position w:val="-2"/>
          <w:sz w:val="21"/>
          <w:szCs w:val="21"/>
          <w:highlight w:val="none"/>
        </w:rPr>
        <w:t>：</w:t>
      </w:r>
    </w:p>
    <w:p w14:paraId="0C35F078">
      <w:pPr>
        <w:spacing w:line="360" w:lineRule="auto"/>
        <w:ind w:left="424" w:right="-20" w:firstLine="480"/>
        <w:rPr>
          <w:rFonts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评标委员会</w:t>
      </w:r>
      <w:r>
        <w:rPr>
          <w:rFonts w:hint="eastAsia" w:ascii="宋体" w:hAnsi="宋体" w:eastAsia="宋体" w:cs="宋体"/>
          <w:color w:val="auto"/>
          <w:spacing w:val="-2"/>
          <w:position w:val="-1"/>
          <w:sz w:val="21"/>
          <w:szCs w:val="21"/>
          <w:highlight w:val="none"/>
        </w:rPr>
        <w:t>对</w:t>
      </w:r>
      <w:r>
        <w:rPr>
          <w:rFonts w:hint="eastAsia" w:ascii="宋体" w:hAnsi="宋体" w:eastAsia="宋体" w:cs="宋体"/>
          <w:color w:val="auto"/>
          <w:position w:val="-1"/>
          <w:sz w:val="21"/>
          <w:szCs w:val="21"/>
          <w:highlight w:val="none"/>
        </w:rPr>
        <w:t>你方</w:t>
      </w:r>
      <w:r>
        <w:rPr>
          <w:rFonts w:hint="eastAsia" w:ascii="宋体" w:hAnsi="宋体" w:eastAsia="宋体" w:cs="宋体"/>
          <w:color w:val="auto"/>
          <w:spacing w:val="-2"/>
          <w:position w:val="-1"/>
          <w:sz w:val="21"/>
          <w:szCs w:val="21"/>
          <w:highlight w:val="none"/>
        </w:rPr>
        <w:t>的</w:t>
      </w:r>
      <w:r>
        <w:rPr>
          <w:rFonts w:hint="eastAsia" w:ascii="宋体" w:hAnsi="宋体" w:eastAsia="宋体" w:cs="宋体"/>
          <w:color w:val="auto"/>
          <w:position w:val="-1"/>
          <w:sz w:val="21"/>
          <w:szCs w:val="21"/>
          <w:highlight w:val="none"/>
        </w:rPr>
        <w:t>投标文件进行了</w:t>
      </w:r>
      <w:r>
        <w:rPr>
          <w:rFonts w:hint="eastAsia" w:ascii="宋体" w:hAnsi="宋体" w:eastAsia="宋体" w:cs="宋体"/>
          <w:color w:val="auto"/>
          <w:spacing w:val="-2"/>
          <w:position w:val="-1"/>
          <w:sz w:val="21"/>
          <w:szCs w:val="21"/>
          <w:highlight w:val="none"/>
        </w:rPr>
        <w:t>仔</w:t>
      </w:r>
      <w:r>
        <w:rPr>
          <w:rFonts w:hint="eastAsia" w:ascii="宋体" w:hAnsi="宋体" w:eastAsia="宋体" w:cs="宋体"/>
          <w:color w:val="auto"/>
          <w:position w:val="-1"/>
          <w:sz w:val="21"/>
          <w:szCs w:val="21"/>
          <w:highlight w:val="none"/>
        </w:rPr>
        <w:t>细的</w:t>
      </w:r>
      <w:r>
        <w:rPr>
          <w:rFonts w:hint="eastAsia" w:ascii="宋体" w:hAnsi="宋体" w:eastAsia="宋体" w:cs="宋体"/>
          <w:color w:val="auto"/>
          <w:spacing w:val="-2"/>
          <w:position w:val="-1"/>
          <w:sz w:val="21"/>
          <w:szCs w:val="21"/>
          <w:highlight w:val="none"/>
        </w:rPr>
        <w:t>审</w:t>
      </w:r>
      <w:r>
        <w:rPr>
          <w:rFonts w:hint="eastAsia" w:ascii="宋体" w:hAnsi="宋体" w:eastAsia="宋体" w:cs="宋体"/>
          <w:color w:val="auto"/>
          <w:position w:val="-1"/>
          <w:sz w:val="21"/>
          <w:szCs w:val="21"/>
          <w:highlight w:val="none"/>
        </w:rPr>
        <w:t>查，现需你方对</w:t>
      </w:r>
      <w:r>
        <w:rPr>
          <w:rFonts w:hint="eastAsia" w:ascii="宋体" w:hAnsi="宋体" w:eastAsia="宋体" w:cs="宋体"/>
          <w:color w:val="auto"/>
          <w:spacing w:val="-2"/>
          <w:position w:val="-1"/>
          <w:sz w:val="21"/>
          <w:szCs w:val="21"/>
          <w:highlight w:val="none"/>
        </w:rPr>
        <w:t>下</w:t>
      </w:r>
      <w:r>
        <w:rPr>
          <w:rFonts w:hint="eastAsia" w:ascii="宋体" w:hAnsi="宋体" w:eastAsia="宋体" w:cs="宋体"/>
          <w:color w:val="auto"/>
          <w:position w:val="-1"/>
          <w:sz w:val="21"/>
          <w:szCs w:val="21"/>
          <w:highlight w:val="none"/>
        </w:rPr>
        <w:t>列问</w:t>
      </w:r>
      <w:r>
        <w:rPr>
          <w:rFonts w:hint="eastAsia" w:ascii="宋体" w:hAnsi="宋体" w:eastAsia="宋体" w:cs="宋体"/>
          <w:color w:val="auto"/>
          <w:spacing w:val="-2"/>
          <w:position w:val="-1"/>
          <w:sz w:val="21"/>
          <w:szCs w:val="21"/>
          <w:highlight w:val="none"/>
        </w:rPr>
        <w:t>题</w:t>
      </w:r>
      <w:r>
        <w:rPr>
          <w:rFonts w:hint="eastAsia" w:ascii="宋体" w:hAnsi="宋体" w:eastAsia="宋体" w:cs="宋体"/>
          <w:color w:val="auto"/>
          <w:position w:val="-1"/>
          <w:sz w:val="21"/>
          <w:szCs w:val="21"/>
          <w:highlight w:val="none"/>
        </w:rPr>
        <w:t>以书面形式予</w:t>
      </w:r>
      <w:r>
        <w:rPr>
          <w:rFonts w:hint="eastAsia" w:ascii="宋体" w:hAnsi="宋体" w:eastAsia="宋体" w:cs="宋体"/>
          <w:color w:val="auto"/>
          <w:spacing w:val="-2"/>
          <w:position w:val="-1"/>
          <w:sz w:val="21"/>
          <w:szCs w:val="21"/>
          <w:highlight w:val="none"/>
        </w:rPr>
        <w:t>以</w:t>
      </w:r>
      <w:r>
        <w:rPr>
          <w:rFonts w:hint="eastAsia" w:ascii="宋体" w:hAnsi="宋体" w:eastAsia="宋体" w:cs="宋体"/>
          <w:color w:val="auto"/>
          <w:position w:val="-1"/>
          <w:sz w:val="21"/>
          <w:szCs w:val="21"/>
          <w:highlight w:val="none"/>
        </w:rPr>
        <w:t>澄</w:t>
      </w:r>
      <w:r>
        <w:rPr>
          <w:rFonts w:hint="eastAsia" w:ascii="宋体" w:hAnsi="宋体" w:eastAsia="宋体" w:cs="宋体"/>
          <w:color w:val="auto"/>
          <w:sz w:val="21"/>
          <w:szCs w:val="21"/>
          <w:highlight w:val="none"/>
        </w:rPr>
        <w:t>清、</w:t>
      </w:r>
      <w:r>
        <w:rPr>
          <w:rFonts w:hint="eastAsia" w:ascii="宋体" w:hAnsi="宋体" w:eastAsia="宋体" w:cs="宋体"/>
          <w:color w:val="auto"/>
          <w:spacing w:val="-2"/>
          <w:sz w:val="21"/>
          <w:szCs w:val="21"/>
          <w:highlight w:val="none"/>
        </w:rPr>
        <w:t>说</w:t>
      </w:r>
      <w:r>
        <w:rPr>
          <w:rFonts w:hint="eastAsia" w:ascii="宋体" w:hAnsi="宋体" w:eastAsia="宋体" w:cs="宋体"/>
          <w:color w:val="auto"/>
          <w:sz w:val="21"/>
          <w:szCs w:val="21"/>
          <w:highlight w:val="none"/>
        </w:rPr>
        <w:t>明</w:t>
      </w:r>
      <w:r>
        <w:rPr>
          <w:rFonts w:hint="eastAsia" w:ascii="宋体" w:hAnsi="宋体" w:eastAsia="宋体" w:cs="宋体"/>
          <w:color w:val="auto"/>
          <w:spacing w:val="-2"/>
          <w:sz w:val="21"/>
          <w:szCs w:val="21"/>
          <w:highlight w:val="none"/>
        </w:rPr>
        <w:t>或</w:t>
      </w:r>
      <w:r>
        <w:rPr>
          <w:rFonts w:hint="eastAsia" w:ascii="宋体" w:hAnsi="宋体" w:eastAsia="宋体" w:cs="宋体"/>
          <w:color w:val="auto"/>
          <w:sz w:val="21"/>
          <w:szCs w:val="21"/>
          <w:highlight w:val="none"/>
        </w:rPr>
        <w:t>补</w:t>
      </w:r>
      <w:r>
        <w:rPr>
          <w:rFonts w:hint="eastAsia" w:ascii="宋体" w:hAnsi="宋体" w:eastAsia="宋体" w:cs="宋体"/>
          <w:color w:val="auto"/>
          <w:spacing w:val="-2"/>
          <w:sz w:val="21"/>
          <w:szCs w:val="21"/>
          <w:highlight w:val="none"/>
        </w:rPr>
        <w:t>正</w:t>
      </w:r>
      <w:r>
        <w:rPr>
          <w:rFonts w:hint="eastAsia" w:ascii="宋体" w:hAnsi="宋体" w:eastAsia="宋体" w:cs="宋体"/>
          <w:color w:val="auto"/>
          <w:sz w:val="21"/>
          <w:szCs w:val="21"/>
          <w:highlight w:val="none"/>
        </w:rPr>
        <w:t>：</w:t>
      </w:r>
    </w:p>
    <w:p w14:paraId="26054024">
      <w:pPr>
        <w:spacing w:line="360" w:lineRule="auto"/>
        <w:ind w:left="424" w:right="-20" w:firstLine="480"/>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p w14:paraId="01445C54">
      <w:pPr>
        <w:spacing w:line="360" w:lineRule="auto"/>
        <w:ind w:left="424" w:right="-20" w:firstLine="480"/>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p w14:paraId="5D8BBAC0">
      <w:pPr>
        <w:spacing w:line="360" w:lineRule="auto"/>
        <w:ind w:left="424" w:right="-20" w:firstLine="480"/>
        <w:rPr>
          <w:rFonts w:ascii="宋体" w:hAnsi="宋体" w:eastAsia="宋体" w:cs="宋体"/>
          <w:color w:val="auto"/>
          <w:sz w:val="21"/>
          <w:szCs w:val="21"/>
          <w:highlight w:val="none"/>
        </w:rPr>
      </w:pPr>
      <w:r>
        <w:rPr>
          <w:rFonts w:ascii="宋体" w:hAnsi="宋体" w:eastAsia="宋体" w:cs="宋体"/>
          <w:color w:val="auto"/>
          <w:sz w:val="21"/>
          <w:szCs w:val="21"/>
          <w:highlight w:val="none"/>
        </w:rPr>
        <w:t>.</w:t>
      </w:r>
      <w:r>
        <w:rPr>
          <w:rFonts w:ascii="宋体" w:hAnsi="宋体" w:eastAsia="宋体" w:cs="宋体"/>
          <w:color w:val="auto"/>
          <w:spacing w:val="-2"/>
          <w:sz w:val="21"/>
          <w:szCs w:val="21"/>
          <w:highlight w:val="none"/>
        </w:rPr>
        <w:t>.</w:t>
      </w:r>
      <w:r>
        <w:rPr>
          <w:rFonts w:ascii="宋体" w:hAnsi="宋体" w:eastAsia="宋体" w:cs="宋体"/>
          <w:color w:val="auto"/>
          <w:sz w:val="21"/>
          <w:szCs w:val="21"/>
          <w:highlight w:val="none"/>
        </w:rPr>
        <w:t>....</w:t>
      </w:r>
    </w:p>
    <w:p w14:paraId="1A784A37">
      <w:pPr>
        <w:tabs>
          <w:tab w:val="left" w:pos="4600"/>
          <w:tab w:val="left" w:pos="5540"/>
          <w:tab w:val="left" w:pos="6480"/>
          <w:tab w:val="left" w:pos="7420"/>
        </w:tabs>
        <w:spacing w:line="360" w:lineRule="auto"/>
        <w:ind w:left="424" w:right="-20" w:firstLine="480"/>
        <w:rPr>
          <w:rFonts w:ascii="宋体" w:hAnsi="宋体" w:eastAsia="宋体" w:cs="宋体"/>
          <w:color w:val="auto"/>
          <w:sz w:val="21"/>
          <w:szCs w:val="21"/>
          <w:highlight w:val="none"/>
        </w:rPr>
      </w:pPr>
      <w:r>
        <w:rPr>
          <w:rFonts w:hint="eastAsia" w:ascii="宋体" w:hAnsi="宋体" w:eastAsia="宋体" w:cs="宋体"/>
          <w:color w:val="auto"/>
          <w:position w:val="-4"/>
          <w:sz w:val="21"/>
          <w:szCs w:val="21"/>
          <w:highlight w:val="none"/>
        </w:rPr>
        <w:t>请将</w:t>
      </w:r>
      <w:r>
        <w:rPr>
          <w:rFonts w:hint="eastAsia" w:ascii="宋体" w:hAnsi="宋体" w:eastAsia="宋体" w:cs="宋体"/>
          <w:color w:val="auto"/>
          <w:spacing w:val="-2"/>
          <w:position w:val="-4"/>
          <w:sz w:val="21"/>
          <w:szCs w:val="21"/>
          <w:highlight w:val="none"/>
        </w:rPr>
        <w:t>上</w:t>
      </w:r>
      <w:r>
        <w:rPr>
          <w:rFonts w:hint="eastAsia" w:ascii="宋体" w:hAnsi="宋体" w:eastAsia="宋体" w:cs="宋体"/>
          <w:color w:val="auto"/>
          <w:position w:val="-4"/>
          <w:sz w:val="21"/>
          <w:szCs w:val="21"/>
          <w:highlight w:val="none"/>
        </w:rPr>
        <w:t>述</w:t>
      </w:r>
      <w:r>
        <w:rPr>
          <w:rFonts w:hint="eastAsia" w:ascii="宋体" w:hAnsi="宋体" w:eastAsia="宋体" w:cs="宋体"/>
          <w:color w:val="auto"/>
          <w:spacing w:val="-2"/>
          <w:position w:val="-4"/>
          <w:sz w:val="21"/>
          <w:szCs w:val="21"/>
          <w:highlight w:val="none"/>
        </w:rPr>
        <w:t>问</w:t>
      </w:r>
      <w:r>
        <w:rPr>
          <w:rFonts w:hint="eastAsia" w:ascii="宋体" w:hAnsi="宋体" w:eastAsia="宋体" w:cs="宋体"/>
          <w:color w:val="auto"/>
          <w:position w:val="-4"/>
          <w:sz w:val="21"/>
          <w:szCs w:val="21"/>
          <w:highlight w:val="none"/>
        </w:rPr>
        <w:t>题</w:t>
      </w:r>
      <w:r>
        <w:rPr>
          <w:rFonts w:hint="eastAsia" w:ascii="宋体" w:hAnsi="宋体" w:eastAsia="宋体" w:cs="宋体"/>
          <w:color w:val="auto"/>
          <w:spacing w:val="-2"/>
          <w:position w:val="-4"/>
          <w:sz w:val="21"/>
          <w:szCs w:val="21"/>
          <w:highlight w:val="none"/>
        </w:rPr>
        <w:t>的</w:t>
      </w:r>
      <w:r>
        <w:rPr>
          <w:rFonts w:hint="eastAsia" w:ascii="宋体" w:hAnsi="宋体" w:eastAsia="宋体" w:cs="宋体"/>
          <w:color w:val="auto"/>
          <w:position w:val="-4"/>
          <w:sz w:val="21"/>
          <w:szCs w:val="21"/>
          <w:highlight w:val="none"/>
        </w:rPr>
        <w:t>澄</w:t>
      </w:r>
      <w:r>
        <w:rPr>
          <w:rFonts w:hint="eastAsia" w:ascii="宋体" w:hAnsi="宋体" w:eastAsia="宋体" w:cs="宋体"/>
          <w:color w:val="auto"/>
          <w:spacing w:val="-2"/>
          <w:position w:val="-4"/>
          <w:sz w:val="21"/>
          <w:szCs w:val="21"/>
          <w:highlight w:val="none"/>
        </w:rPr>
        <w:t>清</w:t>
      </w:r>
      <w:r>
        <w:rPr>
          <w:rFonts w:hint="eastAsia" w:ascii="宋体" w:hAnsi="宋体" w:eastAsia="宋体" w:cs="宋体"/>
          <w:color w:val="auto"/>
          <w:position w:val="-4"/>
          <w:sz w:val="21"/>
          <w:szCs w:val="21"/>
          <w:highlight w:val="none"/>
        </w:rPr>
        <w:t>、</w:t>
      </w:r>
      <w:r>
        <w:rPr>
          <w:rFonts w:hint="eastAsia" w:ascii="宋体" w:hAnsi="宋体" w:eastAsia="宋体" w:cs="宋体"/>
          <w:color w:val="auto"/>
          <w:spacing w:val="-2"/>
          <w:position w:val="-4"/>
          <w:sz w:val="21"/>
          <w:szCs w:val="21"/>
          <w:highlight w:val="none"/>
        </w:rPr>
        <w:t>说</w:t>
      </w:r>
      <w:r>
        <w:rPr>
          <w:rFonts w:hint="eastAsia" w:ascii="宋体" w:hAnsi="宋体" w:eastAsia="宋体" w:cs="宋体"/>
          <w:color w:val="auto"/>
          <w:position w:val="-4"/>
          <w:sz w:val="21"/>
          <w:szCs w:val="21"/>
          <w:highlight w:val="none"/>
        </w:rPr>
        <w:t>明或</w:t>
      </w:r>
      <w:r>
        <w:rPr>
          <w:rFonts w:hint="eastAsia" w:ascii="宋体" w:hAnsi="宋体" w:eastAsia="宋体" w:cs="宋体"/>
          <w:color w:val="auto"/>
          <w:spacing w:val="-2"/>
          <w:position w:val="-4"/>
          <w:sz w:val="21"/>
          <w:szCs w:val="21"/>
          <w:highlight w:val="none"/>
        </w:rPr>
        <w:t>补</w:t>
      </w:r>
      <w:r>
        <w:rPr>
          <w:rFonts w:hint="eastAsia" w:ascii="宋体" w:hAnsi="宋体" w:eastAsia="宋体" w:cs="宋体"/>
          <w:color w:val="auto"/>
          <w:position w:val="-4"/>
          <w:sz w:val="21"/>
          <w:szCs w:val="21"/>
          <w:highlight w:val="none"/>
        </w:rPr>
        <w:t>正</w:t>
      </w:r>
      <w:r>
        <w:rPr>
          <w:rFonts w:hint="eastAsia" w:ascii="宋体" w:hAnsi="宋体" w:eastAsia="宋体" w:cs="宋体"/>
          <w:color w:val="auto"/>
          <w:spacing w:val="-2"/>
          <w:position w:val="-4"/>
          <w:sz w:val="21"/>
          <w:szCs w:val="21"/>
          <w:highlight w:val="none"/>
        </w:rPr>
        <w:t>于</w:t>
      </w:r>
      <w:r>
        <w:rPr>
          <w:rFonts w:ascii="宋体" w:hAnsi="宋体" w:eastAsia="宋体" w:cs="宋体"/>
          <w:color w:val="auto"/>
          <w:position w:val="-4"/>
          <w:sz w:val="21"/>
          <w:szCs w:val="21"/>
          <w:highlight w:val="none"/>
          <w:u w:val="single"/>
        </w:rPr>
        <w:tab/>
      </w:r>
      <w:r>
        <w:rPr>
          <w:rFonts w:hint="eastAsia" w:ascii="宋体" w:hAnsi="宋体" w:eastAsia="宋体" w:cs="宋体"/>
          <w:color w:val="auto"/>
          <w:position w:val="-4"/>
          <w:sz w:val="21"/>
          <w:szCs w:val="21"/>
          <w:highlight w:val="none"/>
        </w:rPr>
        <w:t>年</w:t>
      </w:r>
      <w:r>
        <w:rPr>
          <w:rFonts w:ascii="宋体" w:hAnsi="宋体" w:eastAsia="宋体" w:cs="宋体"/>
          <w:color w:val="auto"/>
          <w:position w:val="-4"/>
          <w:sz w:val="21"/>
          <w:szCs w:val="21"/>
          <w:highlight w:val="none"/>
          <w:u w:val="single"/>
        </w:rPr>
        <w:tab/>
      </w:r>
      <w:r>
        <w:rPr>
          <w:rFonts w:hint="eastAsia" w:ascii="宋体" w:hAnsi="宋体" w:eastAsia="宋体" w:cs="宋体"/>
          <w:color w:val="auto"/>
          <w:position w:val="-4"/>
          <w:sz w:val="21"/>
          <w:szCs w:val="21"/>
          <w:highlight w:val="none"/>
        </w:rPr>
        <w:t>月</w:t>
      </w:r>
      <w:r>
        <w:rPr>
          <w:rFonts w:ascii="宋体" w:hAnsi="宋体" w:eastAsia="宋体" w:cs="宋体"/>
          <w:color w:val="auto"/>
          <w:position w:val="-4"/>
          <w:sz w:val="21"/>
          <w:szCs w:val="21"/>
          <w:highlight w:val="none"/>
          <w:u w:val="single"/>
        </w:rPr>
        <w:tab/>
      </w:r>
      <w:r>
        <w:rPr>
          <w:rFonts w:hint="eastAsia" w:ascii="宋体" w:hAnsi="宋体" w:eastAsia="宋体" w:cs="宋体"/>
          <w:color w:val="auto"/>
          <w:spacing w:val="-2"/>
          <w:position w:val="-4"/>
          <w:sz w:val="21"/>
          <w:szCs w:val="21"/>
          <w:highlight w:val="none"/>
        </w:rPr>
        <w:t>日</w:t>
      </w:r>
      <w:r>
        <w:rPr>
          <w:rFonts w:ascii="宋体" w:hAnsi="宋体" w:eastAsia="宋体" w:cs="宋体"/>
          <w:color w:val="auto"/>
          <w:position w:val="-4"/>
          <w:sz w:val="21"/>
          <w:szCs w:val="21"/>
          <w:highlight w:val="none"/>
          <w:u w:val="single"/>
        </w:rPr>
        <w:tab/>
      </w:r>
      <w:r>
        <w:rPr>
          <w:rFonts w:hint="eastAsia" w:ascii="宋体" w:hAnsi="宋体" w:eastAsia="宋体" w:cs="宋体"/>
          <w:color w:val="auto"/>
          <w:spacing w:val="-2"/>
          <w:position w:val="-4"/>
          <w:sz w:val="21"/>
          <w:szCs w:val="21"/>
          <w:highlight w:val="none"/>
        </w:rPr>
        <w:t>时</w:t>
      </w:r>
      <w:r>
        <w:rPr>
          <w:rFonts w:hint="eastAsia" w:ascii="宋体" w:hAnsi="宋体" w:eastAsia="宋体" w:cs="宋体"/>
          <w:color w:val="auto"/>
          <w:position w:val="-4"/>
          <w:sz w:val="21"/>
          <w:szCs w:val="21"/>
          <w:highlight w:val="none"/>
        </w:rPr>
        <w:t>前递</w:t>
      </w:r>
      <w:r>
        <w:rPr>
          <w:rFonts w:hint="eastAsia" w:ascii="宋体" w:hAnsi="宋体" w:eastAsia="宋体" w:cs="宋体"/>
          <w:color w:val="auto"/>
          <w:spacing w:val="-2"/>
          <w:position w:val="-4"/>
          <w:sz w:val="21"/>
          <w:szCs w:val="21"/>
          <w:highlight w:val="none"/>
        </w:rPr>
        <w:t>交</w:t>
      </w:r>
      <w:r>
        <w:rPr>
          <w:rFonts w:hint="eastAsia" w:ascii="宋体" w:hAnsi="宋体" w:eastAsia="宋体" w:cs="宋体"/>
          <w:color w:val="auto"/>
          <w:position w:val="-4"/>
          <w:sz w:val="21"/>
          <w:szCs w:val="21"/>
          <w:highlight w:val="none"/>
        </w:rPr>
        <w:t>至</w:t>
      </w:r>
    </w:p>
    <w:p w14:paraId="5FB5624C">
      <w:pPr>
        <w:tabs>
          <w:tab w:val="left" w:pos="3040"/>
          <w:tab w:val="left" w:pos="7320"/>
        </w:tabs>
        <w:spacing w:line="360" w:lineRule="auto"/>
        <w:ind w:left="424" w:right="-20" w:firstLine="964"/>
        <w:rPr>
          <w:rFonts w:ascii="宋体" w:hAnsi="宋体" w:eastAsia="宋体" w:cs="宋体"/>
          <w:color w:val="auto"/>
          <w:sz w:val="21"/>
          <w:szCs w:val="21"/>
          <w:highlight w:val="none"/>
        </w:rPr>
      </w:pPr>
      <w:r>
        <w:rPr>
          <w:rFonts w:ascii="宋体" w:hAnsi="宋体" w:eastAsia="宋体" w:cs="宋体"/>
          <w:color w:val="auto"/>
          <w:position w:val="-2"/>
          <w:sz w:val="21"/>
          <w:szCs w:val="21"/>
          <w:highlight w:val="none"/>
          <w:u w:val="single"/>
        </w:rPr>
        <w:tab/>
      </w:r>
      <w:r>
        <w:rPr>
          <w:rFonts w:hint="eastAsia" w:ascii="宋体" w:hAnsi="宋体" w:eastAsia="宋体" w:cs="宋体"/>
          <w:color w:val="auto"/>
          <w:position w:val="-2"/>
          <w:sz w:val="21"/>
          <w:szCs w:val="21"/>
          <w:highlight w:val="none"/>
        </w:rPr>
        <w:t>（</w:t>
      </w:r>
      <w:r>
        <w:rPr>
          <w:rFonts w:hint="eastAsia" w:ascii="宋体" w:hAnsi="宋体" w:eastAsia="宋体" w:cs="宋体"/>
          <w:color w:val="auto"/>
          <w:spacing w:val="-2"/>
          <w:position w:val="-2"/>
          <w:sz w:val="21"/>
          <w:szCs w:val="21"/>
          <w:highlight w:val="none"/>
        </w:rPr>
        <w:t>详</w:t>
      </w:r>
      <w:r>
        <w:rPr>
          <w:rFonts w:hint="eastAsia" w:ascii="宋体" w:hAnsi="宋体" w:eastAsia="宋体" w:cs="宋体"/>
          <w:color w:val="auto"/>
          <w:position w:val="-2"/>
          <w:sz w:val="21"/>
          <w:szCs w:val="21"/>
          <w:highlight w:val="none"/>
        </w:rPr>
        <w:t>细</w:t>
      </w:r>
      <w:r>
        <w:rPr>
          <w:rFonts w:hint="eastAsia" w:ascii="宋体" w:hAnsi="宋体" w:eastAsia="宋体" w:cs="宋体"/>
          <w:color w:val="auto"/>
          <w:spacing w:val="-2"/>
          <w:position w:val="-2"/>
          <w:sz w:val="21"/>
          <w:szCs w:val="21"/>
          <w:highlight w:val="none"/>
        </w:rPr>
        <w:t>地址</w:t>
      </w:r>
      <w:r>
        <w:rPr>
          <w:rFonts w:hint="eastAsia" w:ascii="宋体" w:hAnsi="宋体" w:eastAsia="宋体" w:cs="宋体"/>
          <w:color w:val="auto"/>
          <w:spacing w:val="-24"/>
          <w:position w:val="-2"/>
          <w:sz w:val="21"/>
          <w:szCs w:val="21"/>
          <w:highlight w:val="none"/>
        </w:rPr>
        <w:t>）</w:t>
      </w:r>
      <w:r>
        <w:rPr>
          <w:rFonts w:hint="eastAsia" w:ascii="宋体" w:hAnsi="宋体" w:eastAsia="宋体" w:cs="宋体"/>
          <w:color w:val="auto"/>
          <w:spacing w:val="-2"/>
          <w:position w:val="-2"/>
          <w:sz w:val="21"/>
          <w:szCs w:val="21"/>
          <w:highlight w:val="none"/>
        </w:rPr>
        <w:t>或</w:t>
      </w:r>
      <w:r>
        <w:rPr>
          <w:rFonts w:hint="eastAsia" w:ascii="宋体" w:hAnsi="宋体" w:eastAsia="宋体" w:cs="宋体"/>
          <w:color w:val="auto"/>
          <w:position w:val="-2"/>
          <w:sz w:val="21"/>
          <w:szCs w:val="21"/>
          <w:highlight w:val="none"/>
        </w:rPr>
        <w:t>传</w:t>
      </w:r>
      <w:r>
        <w:rPr>
          <w:rFonts w:hint="eastAsia" w:ascii="宋体" w:hAnsi="宋体" w:eastAsia="宋体" w:cs="宋体"/>
          <w:color w:val="auto"/>
          <w:spacing w:val="-2"/>
          <w:position w:val="-2"/>
          <w:sz w:val="21"/>
          <w:szCs w:val="21"/>
          <w:highlight w:val="none"/>
        </w:rPr>
        <w:t>真</w:t>
      </w:r>
      <w:r>
        <w:rPr>
          <w:rFonts w:hint="eastAsia" w:ascii="宋体" w:hAnsi="宋体" w:eastAsia="宋体" w:cs="宋体"/>
          <w:color w:val="auto"/>
          <w:position w:val="-2"/>
          <w:sz w:val="21"/>
          <w:szCs w:val="21"/>
          <w:highlight w:val="none"/>
        </w:rPr>
        <w:t>至</w:t>
      </w:r>
      <w:r>
        <w:rPr>
          <w:rFonts w:ascii="宋体" w:hAnsi="宋体" w:eastAsia="宋体" w:cs="宋体"/>
          <w:color w:val="auto"/>
          <w:position w:val="-2"/>
          <w:sz w:val="21"/>
          <w:szCs w:val="21"/>
          <w:highlight w:val="none"/>
          <w:u w:val="single"/>
        </w:rPr>
        <w:tab/>
      </w:r>
      <w:r>
        <w:rPr>
          <w:rFonts w:hint="eastAsia" w:ascii="宋体" w:hAnsi="宋体" w:eastAsia="宋体" w:cs="宋体"/>
          <w:color w:val="auto"/>
          <w:position w:val="-2"/>
          <w:sz w:val="21"/>
          <w:szCs w:val="21"/>
          <w:highlight w:val="none"/>
        </w:rPr>
        <w:t>（</w:t>
      </w:r>
      <w:r>
        <w:rPr>
          <w:rFonts w:hint="eastAsia" w:ascii="宋体" w:hAnsi="宋体" w:eastAsia="宋体" w:cs="宋体"/>
          <w:color w:val="auto"/>
          <w:spacing w:val="-2"/>
          <w:position w:val="-2"/>
          <w:sz w:val="21"/>
          <w:szCs w:val="21"/>
          <w:highlight w:val="none"/>
        </w:rPr>
        <w:t>传</w:t>
      </w:r>
      <w:r>
        <w:rPr>
          <w:rFonts w:hint="eastAsia" w:ascii="宋体" w:hAnsi="宋体" w:eastAsia="宋体" w:cs="宋体"/>
          <w:color w:val="auto"/>
          <w:position w:val="-2"/>
          <w:sz w:val="21"/>
          <w:szCs w:val="21"/>
          <w:highlight w:val="none"/>
        </w:rPr>
        <w:t>真</w:t>
      </w:r>
      <w:r>
        <w:rPr>
          <w:rFonts w:hint="eastAsia" w:ascii="宋体" w:hAnsi="宋体" w:eastAsia="宋体" w:cs="宋体"/>
          <w:color w:val="auto"/>
          <w:spacing w:val="-2"/>
          <w:position w:val="-2"/>
          <w:sz w:val="21"/>
          <w:szCs w:val="21"/>
          <w:highlight w:val="none"/>
        </w:rPr>
        <w:t>号码</w:t>
      </w:r>
      <w:r>
        <w:rPr>
          <w:rFonts w:hint="eastAsia" w:ascii="宋体" w:hAnsi="宋体" w:eastAsia="宋体" w:cs="宋体"/>
          <w:color w:val="auto"/>
          <w:spacing w:val="-24"/>
          <w:position w:val="-2"/>
          <w:sz w:val="21"/>
          <w:szCs w:val="21"/>
          <w:highlight w:val="none"/>
        </w:rPr>
        <w:t>）</w:t>
      </w:r>
      <w:r>
        <w:rPr>
          <w:rFonts w:hint="eastAsia" w:ascii="宋体" w:hAnsi="宋体" w:eastAsia="宋体" w:cs="宋体"/>
          <w:color w:val="auto"/>
          <w:position w:val="-2"/>
          <w:sz w:val="21"/>
          <w:szCs w:val="21"/>
          <w:highlight w:val="none"/>
        </w:rPr>
        <w:t>或通过</w:t>
      </w:r>
      <w:r>
        <w:rPr>
          <w:rFonts w:hint="eastAsia" w:ascii="宋体" w:hAnsi="宋体" w:eastAsia="宋体" w:cs="宋体"/>
          <w:color w:val="auto"/>
          <w:spacing w:val="-2"/>
          <w:position w:val="-2"/>
          <w:sz w:val="21"/>
          <w:szCs w:val="21"/>
          <w:highlight w:val="none"/>
        </w:rPr>
        <w:t>下</w:t>
      </w:r>
      <w:r>
        <w:rPr>
          <w:rFonts w:hint="eastAsia" w:ascii="宋体" w:hAnsi="宋体" w:eastAsia="宋体" w:cs="宋体"/>
          <w:color w:val="auto"/>
          <w:position w:val="-2"/>
          <w:sz w:val="21"/>
          <w:szCs w:val="21"/>
          <w:highlight w:val="none"/>
        </w:rPr>
        <w:t>载</w:t>
      </w:r>
      <w:r>
        <w:rPr>
          <w:rFonts w:hint="eastAsia" w:ascii="宋体" w:hAnsi="宋体" w:eastAsia="宋体" w:cs="宋体"/>
          <w:color w:val="auto"/>
          <w:spacing w:val="-2"/>
          <w:position w:val="-2"/>
          <w:sz w:val="21"/>
          <w:szCs w:val="21"/>
          <w:highlight w:val="none"/>
        </w:rPr>
        <w:t>招</w:t>
      </w:r>
      <w:r>
        <w:rPr>
          <w:rFonts w:hint="eastAsia" w:ascii="宋体" w:hAnsi="宋体" w:eastAsia="宋体" w:cs="宋体"/>
          <w:color w:val="auto"/>
          <w:position w:val="-2"/>
          <w:sz w:val="21"/>
          <w:szCs w:val="21"/>
          <w:highlight w:val="none"/>
        </w:rPr>
        <w:t>标</w:t>
      </w:r>
      <w:r>
        <w:rPr>
          <w:rFonts w:hint="eastAsia" w:ascii="宋体" w:hAnsi="宋体" w:eastAsia="宋体" w:cs="宋体"/>
          <w:color w:val="auto"/>
          <w:spacing w:val="-2"/>
          <w:position w:val="-2"/>
          <w:sz w:val="21"/>
          <w:szCs w:val="21"/>
          <w:highlight w:val="none"/>
        </w:rPr>
        <w:t>文</w:t>
      </w:r>
      <w:r>
        <w:rPr>
          <w:rFonts w:hint="eastAsia" w:ascii="宋体" w:hAnsi="宋体" w:eastAsia="宋体" w:cs="宋体"/>
          <w:color w:val="auto"/>
          <w:position w:val="-2"/>
          <w:sz w:val="21"/>
          <w:szCs w:val="21"/>
          <w:highlight w:val="none"/>
        </w:rPr>
        <w:t>件</w:t>
      </w:r>
      <w:r>
        <w:rPr>
          <w:rFonts w:hint="eastAsia" w:ascii="宋体" w:hAnsi="宋体" w:eastAsia="宋体" w:cs="宋体"/>
          <w:color w:val="auto"/>
          <w:spacing w:val="-2"/>
          <w:position w:val="-2"/>
          <w:sz w:val="21"/>
          <w:szCs w:val="21"/>
          <w:highlight w:val="none"/>
        </w:rPr>
        <w:t>的</w:t>
      </w:r>
      <w:r>
        <w:rPr>
          <w:rFonts w:hint="eastAsia" w:ascii="宋体" w:hAnsi="宋体" w:eastAsia="宋体" w:cs="宋体"/>
          <w:color w:val="auto"/>
          <w:position w:val="-2"/>
          <w:sz w:val="21"/>
          <w:szCs w:val="21"/>
          <w:highlight w:val="none"/>
        </w:rPr>
        <w:t>电</w:t>
      </w:r>
      <w:r>
        <w:rPr>
          <w:rFonts w:hint="eastAsia" w:ascii="宋体" w:hAnsi="宋体" w:eastAsia="宋体" w:cs="宋体"/>
          <w:color w:val="auto"/>
          <w:spacing w:val="-2"/>
          <w:position w:val="-2"/>
          <w:sz w:val="21"/>
          <w:szCs w:val="21"/>
          <w:highlight w:val="none"/>
        </w:rPr>
        <w:t>子</w:t>
      </w:r>
      <w:r>
        <w:rPr>
          <w:rFonts w:hint="eastAsia" w:ascii="宋体" w:hAnsi="宋体" w:eastAsia="宋体" w:cs="宋体"/>
          <w:color w:val="auto"/>
          <w:position w:val="-2"/>
          <w:sz w:val="21"/>
          <w:szCs w:val="21"/>
          <w:highlight w:val="none"/>
        </w:rPr>
        <w:t>招标</w:t>
      </w:r>
      <w:r>
        <w:rPr>
          <w:rFonts w:hint="eastAsia" w:ascii="宋体" w:hAnsi="宋体" w:eastAsia="宋体" w:cs="宋体"/>
          <w:color w:val="auto"/>
          <w:spacing w:val="-2"/>
          <w:position w:val="-2"/>
          <w:sz w:val="21"/>
          <w:szCs w:val="21"/>
          <w:highlight w:val="none"/>
        </w:rPr>
        <w:t>交</w:t>
      </w:r>
      <w:r>
        <w:rPr>
          <w:rFonts w:hint="eastAsia" w:ascii="宋体" w:hAnsi="宋体" w:eastAsia="宋体" w:cs="宋体"/>
          <w:color w:val="auto"/>
          <w:position w:val="-2"/>
          <w:sz w:val="21"/>
          <w:szCs w:val="21"/>
          <w:highlight w:val="none"/>
        </w:rPr>
        <w:t>易</w:t>
      </w:r>
      <w:r>
        <w:rPr>
          <w:rFonts w:hint="eastAsia" w:ascii="宋体" w:hAnsi="宋体" w:eastAsia="宋体" w:cs="宋体"/>
          <w:color w:val="auto"/>
          <w:spacing w:val="-2"/>
          <w:position w:val="-2"/>
          <w:sz w:val="21"/>
          <w:szCs w:val="21"/>
          <w:highlight w:val="none"/>
        </w:rPr>
        <w:t>平</w:t>
      </w:r>
      <w:r>
        <w:rPr>
          <w:rFonts w:hint="eastAsia" w:ascii="宋体" w:hAnsi="宋体" w:eastAsia="宋体" w:cs="宋体"/>
          <w:color w:val="auto"/>
          <w:position w:val="-2"/>
          <w:sz w:val="21"/>
          <w:szCs w:val="21"/>
          <w:highlight w:val="none"/>
        </w:rPr>
        <w:t>台</w:t>
      </w:r>
      <w:r>
        <w:rPr>
          <w:rFonts w:hint="eastAsia" w:ascii="宋体" w:hAnsi="宋体" w:eastAsia="宋体" w:cs="宋体"/>
          <w:color w:val="auto"/>
          <w:spacing w:val="-2"/>
          <w:position w:val="-2"/>
          <w:sz w:val="21"/>
          <w:szCs w:val="21"/>
          <w:highlight w:val="none"/>
        </w:rPr>
        <w:t>上</w:t>
      </w:r>
      <w:r>
        <w:rPr>
          <w:rFonts w:hint="eastAsia" w:ascii="宋体" w:hAnsi="宋体" w:eastAsia="宋体" w:cs="宋体"/>
          <w:color w:val="auto"/>
          <w:position w:val="-2"/>
          <w:sz w:val="21"/>
          <w:szCs w:val="21"/>
          <w:highlight w:val="none"/>
        </w:rPr>
        <w:t>传</w:t>
      </w:r>
      <w:r>
        <w:rPr>
          <w:rFonts w:hint="eastAsia" w:ascii="宋体" w:hAnsi="宋体" w:eastAsia="宋体" w:cs="宋体"/>
          <w:color w:val="auto"/>
          <w:spacing w:val="-2"/>
          <w:position w:val="-2"/>
          <w:sz w:val="21"/>
          <w:szCs w:val="21"/>
          <w:highlight w:val="none"/>
        </w:rPr>
        <w:t>。</w:t>
      </w:r>
      <w:r>
        <w:rPr>
          <w:rFonts w:hint="eastAsia" w:ascii="宋体" w:hAnsi="宋体" w:eastAsia="宋体" w:cs="宋体"/>
          <w:color w:val="auto"/>
          <w:position w:val="-2"/>
          <w:sz w:val="21"/>
          <w:szCs w:val="21"/>
          <w:highlight w:val="none"/>
        </w:rPr>
        <w:t>采</w:t>
      </w:r>
      <w:r>
        <w:rPr>
          <w:rFonts w:hint="eastAsia" w:ascii="宋体" w:hAnsi="宋体" w:eastAsia="宋体" w:cs="宋体"/>
          <w:color w:val="auto"/>
          <w:spacing w:val="-2"/>
          <w:position w:val="-2"/>
          <w:sz w:val="21"/>
          <w:szCs w:val="21"/>
          <w:highlight w:val="none"/>
        </w:rPr>
        <w:t>用</w:t>
      </w:r>
      <w:r>
        <w:rPr>
          <w:rFonts w:hint="eastAsia" w:ascii="宋体" w:hAnsi="宋体" w:eastAsia="宋体" w:cs="宋体"/>
          <w:color w:val="auto"/>
          <w:position w:val="-2"/>
          <w:sz w:val="21"/>
          <w:szCs w:val="21"/>
          <w:highlight w:val="none"/>
        </w:rPr>
        <w:t>传真</w:t>
      </w:r>
      <w:r>
        <w:rPr>
          <w:rFonts w:hint="eastAsia" w:ascii="宋体" w:hAnsi="宋体" w:eastAsia="宋体" w:cs="宋体"/>
          <w:color w:val="auto"/>
          <w:spacing w:val="-2"/>
          <w:position w:val="-2"/>
          <w:sz w:val="21"/>
          <w:szCs w:val="21"/>
          <w:highlight w:val="none"/>
        </w:rPr>
        <w:t>方</w:t>
      </w:r>
      <w:r>
        <w:rPr>
          <w:rFonts w:hint="eastAsia" w:ascii="宋体" w:hAnsi="宋体" w:eastAsia="宋体" w:cs="宋体"/>
          <w:color w:val="auto"/>
          <w:position w:val="-2"/>
          <w:sz w:val="21"/>
          <w:szCs w:val="21"/>
          <w:highlight w:val="none"/>
        </w:rPr>
        <w:t>式</w:t>
      </w:r>
      <w:r>
        <w:rPr>
          <w:rFonts w:hint="eastAsia" w:ascii="宋体" w:hAnsi="宋体" w:eastAsia="宋体" w:cs="宋体"/>
          <w:color w:val="auto"/>
          <w:spacing w:val="-2"/>
          <w:position w:val="-2"/>
          <w:sz w:val="21"/>
          <w:szCs w:val="21"/>
          <w:highlight w:val="none"/>
        </w:rPr>
        <w:t>的</w:t>
      </w:r>
      <w:r>
        <w:rPr>
          <w:rFonts w:hint="eastAsia" w:ascii="宋体" w:hAnsi="宋体" w:eastAsia="宋体" w:cs="宋体"/>
          <w:color w:val="auto"/>
          <w:position w:val="-2"/>
          <w:sz w:val="21"/>
          <w:szCs w:val="21"/>
          <w:highlight w:val="none"/>
        </w:rPr>
        <w:t>，</w:t>
      </w:r>
      <w:r>
        <w:rPr>
          <w:rFonts w:hint="eastAsia" w:ascii="宋体" w:hAnsi="宋体" w:eastAsia="宋体" w:cs="宋体"/>
          <w:color w:val="auto"/>
          <w:spacing w:val="-2"/>
          <w:position w:val="-2"/>
          <w:sz w:val="21"/>
          <w:szCs w:val="21"/>
          <w:highlight w:val="none"/>
        </w:rPr>
        <w:t>应</w:t>
      </w:r>
      <w:r>
        <w:rPr>
          <w:rFonts w:hint="eastAsia" w:ascii="宋体" w:hAnsi="宋体" w:eastAsia="宋体" w:cs="宋体"/>
          <w:color w:val="auto"/>
          <w:position w:val="-2"/>
          <w:sz w:val="21"/>
          <w:szCs w:val="21"/>
          <w:highlight w:val="none"/>
        </w:rPr>
        <w:t>在</w:t>
      </w:r>
      <w:r>
        <w:rPr>
          <w:rFonts w:ascii="宋体" w:hAnsi="宋体" w:eastAsia="宋体" w:cs="宋体"/>
          <w:color w:val="auto"/>
          <w:position w:val="-2"/>
          <w:sz w:val="21"/>
          <w:szCs w:val="21"/>
          <w:highlight w:val="none"/>
          <w:u w:val="single"/>
        </w:rPr>
        <w:tab/>
      </w:r>
      <w:r>
        <w:rPr>
          <w:rFonts w:hint="eastAsia" w:ascii="宋体" w:hAnsi="宋体" w:eastAsia="宋体" w:cs="宋体"/>
          <w:color w:val="auto"/>
          <w:position w:val="-2"/>
          <w:sz w:val="21"/>
          <w:szCs w:val="21"/>
          <w:highlight w:val="none"/>
        </w:rPr>
        <w:t>年月日</w:t>
      </w:r>
      <w:r>
        <w:rPr>
          <w:rFonts w:hint="eastAsia" w:ascii="宋体" w:hAnsi="宋体" w:eastAsia="宋体" w:cs="宋体"/>
          <w:color w:val="auto"/>
          <w:spacing w:val="-2"/>
          <w:position w:val="-2"/>
          <w:sz w:val="21"/>
          <w:szCs w:val="21"/>
          <w:highlight w:val="none"/>
        </w:rPr>
        <w:t>时</w:t>
      </w:r>
      <w:r>
        <w:rPr>
          <w:rFonts w:hint="eastAsia" w:ascii="宋体" w:hAnsi="宋体" w:eastAsia="宋体" w:cs="宋体"/>
          <w:color w:val="auto"/>
          <w:position w:val="-2"/>
          <w:sz w:val="21"/>
          <w:szCs w:val="21"/>
          <w:highlight w:val="none"/>
        </w:rPr>
        <w:t>前</w:t>
      </w:r>
      <w:r>
        <w:rPr>
          <w:rFonts w:hint="eastAsia" w:ascii="宋体" w:hAnsi="宋体" w:eastAsia="宋体" w:cs="宋体"/>
          <w:color w:val="auto"/>
          <w:spacing w:val="-2"/>
          <w:position w:val="-2"/>
          <w:sz w:val="21"/>
          <w:szCs w:val="21"/>
          <w:highlight w:val="none"/>
        </w:rPr>
        <w:t>将</w:t>
      </w:r>
      <w:r>
        <w:rPr>
          <w:rFonts w:hint="eastAsia" w:ascii="宋体" w:hAnsi="宋体" w:eastAsia="宋体" w:cs="宋体"/>
          <w:color w:val="auto"/>
          <w:position w:val="-2"/>
          <w:sz w:val="21"/>
          <w:szCs w:val="21"/>
          <w:highlight w:val="none"/>
        </w:rPr>
        <w:t>原件</w:t>
      </w:r>
      <w:r>
        <w:rPr>
          <w:rFonts w:hint="eastAsia" w:ascii="宋体" w:hAnsi="宋体" w:eastAsia="宋体" w:cs="宋体"/>
          <w:color w:val="auto"/>
          <w:spacing w:val="-2"/>
          <w:position w:val="-2"/>
          <w:sz w:val="21"/>
          <w:szCs w:val="21"/>
          <w:highlight w:val="none"/>
        </w:rPr>
        <w:t>递</w:t>
      </w:r>
      <w:r>
        <w:rPr>
          <w:rFonts w:hint="eastAsia" w:ascii="宋体" w:hAnsi="宋体" w:eastAsia="宋体" w:cs="宋体"/>
          <w:color w:val="auto"/>
          <w:position w:val="-2"/>
          <w:sz w:val="21"/>
          <w:szCs w:val="21"/>
          <w:highlight w:val="none"/>
        </w:rPr>
        <w:t>交</w:t>
      </w:r>
      <w:r>
        <w:rPr>
          <w:rFonts w:hint="eastAsia" w:ascii="宋体" w:hAnsi="宋体" w:eastAsia="宋体" w:cs="宋体"/>
          <w:color w:val="auto"/>
          <w:spacing w:val="-2"/>
          <w:position w:val="-2"/>
          <w:sz w:val="21"/>
          <w:szCs w:val="21"/>
          <w:highlight w:val="none"/>
        </w:rPr>
        <w:t>至</w:t>
      </w:r>
      <w:r>
        <w:rPr>
          <w:rFonts w:ascii="宋体" w:hAnsi="宋体" w:eastAsia="宋体" w:cs="宋体"/>
          <w:color w:val="auto"/>
          <w:position w:val="-2"/>
          <w:sz w:val="21"/>
          <w:szCs w:val="21"/>
          <w:highlight w:val="none"/>
          <w:u w:val="single"/>
        </w:rPr>
        <w:tab/>
      </w:r>
      <w:r>
        <w:rPr>
          <w:rFonts w:hint="eastAsia" w:ascii="宋体" w:hAnsi="宋体" w:eastAsia="宋体" w:cs="宋体"/>
          <w:color w:val="auto"/>
          <w:spacing w:val="-2"/>
          <w:position w:val="-2"/>
          <w:sz w:val="21"/>
          <w:szCs w:val="21"/>
          <w:highlight w:val="none"/>
        </w:rPr>
        <w:t>（</w:t>
      </w:r>
      <w:r>
        <w:rPr>
          <w:rFonts w:hint="eastAsia" w:ascii="宋体" w:hAnsi="宋体" w:eastAsia="宋体" w:cs="宋体"/>
          <w:color w:val="auto"/>
          <w:position w:val="-2"/>
          <w:sz w:val="21"/>
          <w:szCs w:val="21"/>
          <w:highlight w:val="none"/>
        </w:rPr>
        <w:t>详</w:t>
      </w:r>
      <w:r>
        <w:rPr>
          <w:rFonts w:hint="eastAsia" w:ascii="宋体" w:hAnsi="宋体" w:eastAsia="宋体" w:cs="宋体"/>
          <w:color w:val="auto"/>
          <w:spacing w:val="-2"/>
          <w:position w:val="-2"/>
          <w:sz w:val="21"/>
          <w:szCs w:val="21"/>
          <w:highlight w:val="none"/>
        </w:rPr>
        <w:t>细</w:t>
      </w:r>
      <w:r>
        <w:rPr>
          <w:rFonts w:hint="eastAsia" w:ascii="宋体" w:hAnsi="宋体" w:eastAsia="宋体" w:cs="宋体"/>
          <w:color w:val="auto"/>
          <w:position w:val="-2"/>
          <w:sz w:val="21"/>
          <w:szCs w:val="21"/>
          <w:highlight w:val="none"/>
        </w:rPr>
        <w:t>地</w:t>
      </w:r>
      <w:r>
        <w:rPr>
          <w:rFonts w:hint="eastAsia" w:ascii="宋体" w:hAnsi="宋体" w:eastAsia="宋体" w:cs="宋体"/>
          <w:color w:val="auto"/>
          <w:spacing w:val="-2"/>
          <w:position w:val="-2"/>
          <w:sz w:val="21"/>
          <w:szCs w:val="21"/>
          <w:highlight w:val="none"/>
        </w:rPr>
        <w:t>址</w:t>
      </w:r>
      <w:r>
        <w:rPr>
          <w:rFonts w:hint="eastAsia" w:ascii="宋体" w:hAnsi="宋体" w:eastAsia="宋体" w:cs="宋体"/>
          <w:color w:val="auto"/>
          <w:spacing w:val="-106"/>
          <w:position w:val="-2"/>
          <w:sz w:val="21"/>
          <w:szCs w:val="21"/>
          <w:highlight w:val="none"/>
        </w:rPr>
        <w:t>）。</w:t>
      </w:r>
    </w:p>
    <w:p w14:paraId="406135DF">
      <w:pPr>
        <w:spacing w:before="9" w:line="360" w:lineRule="auto"/>
        <w:ind w:firstLine="480"/>
        <w:rPr>
          <w:rFonts w:ascii="宋体" w:hAnsi="宋体" w:eastAsia="宋体" w:cs="宋体"/>
          <w:color w:val="auto"/>
          <w:sz w:val="21"/>
          <w:szCs w:val="21"/>
          <w:highlight w:val="none"/>
        </w:rPr>
      </w:pPr>
    </w:p>
    <w:p w14:paraId="1CEE212E">
      <w:pPr>
        <w:spacing w:before="9" w:line="360" w:lineRule="auto"/>
        <w:ind w:firstLine="480"/>
        <w:rPr>
          <w:rFonts w:ascii="宋体" w:hAnsi="宋体" w:eastAsia="宋体" w:cs="宋体"/>
          <w:color w:val="auto"/>
          <w:sz w:val="21"/>
          <w:szCs w:val="21"/>
          <w:highlight w:val="none"/>
        </w:rPr>
      </w:pPr>
    </w:p>
    <w:p w14:paraId="345124F6">
      <w:pPr>
        <w:tabs>
          <w:tab w:val="left" w:pos="7020"/>
        </w:tabs>
        <w:spacing w:line="360" w:lineRule="auto"/>
        <w:ind w:right="-20" w:firstLine="1890" w:firstLineChars="900"/>
        <w:rPr>
          <w:rFonts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评标</w:t>
      </w:r>
      <w:r>
        <w:rPr>
          <w:rFonts w:hint="eastAsia" w:ascii="宋体" w:hAnsi="宋体" w:eastAsia="宋体" w:cs="宋体"/>
          <w:color w:val="auto"/>
          <w:spacing w:val="-2"/>
          <w:position w:val="-2"/>
          <w:sz w:val="21"/>
          <w:szCs w:val="21"/>
          <w:highlight w:val="none"/>
        </w:rPr>
        <w:t>委</w:t>
      </w:r>
      <w:r>
        <w:rPr>
          <w:rFonts w:hint="eastAsia" w:ascii="宋体" w:hAnsi="宋体" w:eastAsia="宋体" w:cs="宋体"/>
          <w:color w:val="auto"/>
          <w:position w:val="-2"/>
          <w:sz w:val="21"/>
          <w:szCs w:val="21"/>
          <w:highlight w:val="none"/>
        </w:rPr>
        <w:t>员</w:t>
      </w:r>
      <w:r>
        <w:rPr>
          <w:rFonts w:hint="eastAsia" w:ascii="宋体" w:hAnsi="宋体" w:eastAsia="宋体" w:cs="宋体"/>
          <w:color w:val="auto"/>
          <w:spacing w:val="-2"/>
          <w:position w:val="-2"/>
          <w:sz w:val="21"/>
          <w:szCs w:val="21"/>
          <w:highlight w:val="none"/>
        </w:rPr>
        <w:t>会</w:t>
      </w:r>
      <w:r>
        <w:rPr>
          <w:rFonts w:hint="eastAsia" w:ascii="宋体" w:hAnsi="宋体" w:eastAsia="宋体" w:cs="宋体"/>
          <w:color w:val="auto"/>
          <w:position w:val="-2"/>
          <w:sz w:val="21"/>
          <w:szCs w:val="21"/>
          <w:highlight w:val="none"/>
        </w:rPr>
        <w:t>授</w:t>
      </w:r>
      <w:r>
        <w:rPr>
          <w:rFonts w:hint="eastAsia" w:ascii="宋体" w:hAnsi="宋体" w:eastAsia="宋体" w:cs="宋体"/>
          <w:color w:val="auto"/>
          <w:spacing w:val="-2"/>
          <w:position w:val="-2"/>
          <w:sz w:val="21"/>
          <w:szCs w:val="21"/>
          <w:highlight w:val="none"/>
        </w:rPr>
        <w:t>权</w:t>
      </w:r>
      <w:r>
        <w:rPr>
          <w:rFonts w:hint="eastAsia" w:ascii="宋体" w:hAnsi="宋体" w:eastAsia="宋体" w:cs="宋体"/>
          <w:color w:val="auto"/>
          <w:position w:val="-2"/>
          <w:sz w:val="21"/>
          <w:szCs w:val="21"/>
          <w:highlight w:val="none"/>
        </w:rPr>
        <w:t>的</w:t>
      </w:r>
      <w:r>
        <w:rPr>
          <w:rFonts w:hint="eastAsia" w:ascii="宋体" w:hAnsi="宋体" w:eastAsia="宋体" w:cs="宋体"/>
          <w:color w:val="auto"/>
          <w:spacing w:val="-2"/>
          <w:position w:val="-2"/>
          <w:sz w:val="21"/>
          <w:szCs w:val="21"/>
          <w:highlight w:val="none"/>
        </w:rPr>
        <w:t>招</w:t>
      </w:r>
      <w:r>
        <w:rPr>
          <w:rFonts w:hint="eastAsia" w:ascii="宋体" w:hAnsi="宋体" w:eastAsia="宋体" w:cs="宋体"/>
          <w:color w:val="auto"/>
          <w:position w:val="-2"/>
          <w:sz w:val="21"/>
          <w:szCs w:val="21"/>
          <w:highlight w:val="none"/>
        </w:rPr>
        <w:t>标</w:t>
      </w:r>
      <w:r>
        <w:rPr>
          <w:rFonts w:hint="eastAsia" w:ascii="宋体" w:hAnsi="宋体" w:eastAsia="宋体" w:cs="宋体"/>
          <w:color w:val="auto"/>
          <w:spacing w:val="-2"/>
          <w:position w:val="-2"/>
          <w:sz w:val="21"/>
          <w:szCs w:val="21"/>
          <w:highlight w:val="none"/>
        </w:rPr>
        <w:t>人</w:t>
      </w:r>
      <w:r>
        <w:rPr>
          <w:rFonts w:hint="eastAsia" w:ascii="宋体" w:hAnsi="宋体" w:eastAsia="宋体" w:cs="宋体"/>
          <w:color w:val="auto"/>
          <w:position w:val="-2"/>
          <w:sz w:val="21"/>
          <w:szCs w:val="21"/>
          <w:highlight w:val="none"/>
        </w:rPr>
        <w:t>或招</w:t>
      </w:r>
      <w:r>
        <w:rPr>
          <w:rFonts w:hint="eastAsia" w:ascii="宋体" w:hAnsi="宋体" w:eastAsia="宋体" w:cs="宋体"/>
          <w:color w:val="auto"/>
          <w:spacing w:val="-2"/>
          <w:position w:val="-2"/>
          <w:sz w:val="21"/>
          <w:szCs w:val="21"/>
          <w:highlight w:val="none"/>
        </w:rPr>
        <w:t>标</w:t>
      </w:r>
      <w:r>
        <w:rPr>
          <w:rFonts w:hint="eastAsia" w:ascii="宋体" w:hAnsi="宋体" w:eastAsia="宋体" w:cs="宋体"/>
          <w:color w:val="auto"/>
          <w:position w:val="-2"/>
          <w:sz w:val="21"/>
          <w:szCs w:val="21"/>
          <w:highlight w:val="none"/>
        </w:rPr>
        <w:t>代</w:t>
      </w:r>
      <w:r>
        <w:rPr>
          <w:rFonts w:hint="eastAsia" w:ascii="宋体" w:hAnsi="宋体" w:eastAsia="宋体" w:cs="宋体"/>
          <w:color w:val="auto"/>
          <w:spacing w:val="-2"/>
          <w:position w:val="-2"/>
          <w:sz w:val="21"/>
          <w:szCs w:val="21"/>
          <w:highlight w:val="none"/>
        </w:rPr>
        <w:t>理</w:t>
      </w:r>
      <w:r>
        <w:rPr>
          <w:rFonts w:hint="eastAsia" w:ascii="宋体" w:hAnsi="宋体" w:eastAsia="宋体" w:cs="宋体"/>
          <w:color w:val="auto"/>
          <w:position w:val="-2"/>
          <w:sz w:val="21"/>
          <w:szCs w:val="21"/>
          <w:highlight w:val="none"/>
        </w:rPr>
        <w:t>机</w:t>
      </w:r>
      <w:r>
        <w:rPr>
          <w:rFonts w:hint="eastAsia" w:ascii="宋体" w:hAnsi="宋体" w:eastAsia="宋体" w:cs="宋体"/>
          <w:color w:val="auto"/>
          <w:spacing w:val="-2"/>
          <w:position w:val="-2"/>
          <w:sz w:val="21"/>
          <w:szCs w:val="21"/>
          <w:highlight w:val="none"/>
        </w:rPr>
        <w:t>构</w:t>
      </w:r>
      <w:r>
        <w:rPr>
          <w:rFonts w:hint="eastAsia" w:ascii="宋体" w:hAnsi="宋体" w:eastAsia="宋体" w:cs="宋体"/>
          <w:color w:val="auto"/>
          <w:position w:val="-2"/>
          <w:sz w:val="21"/>
          <w:szCs w:val="21"/>
          <w:highlight w:val="none"/>
        </w:rPr>
        <w:t>：（签</w:t>
      </w:r>
      <w:r>
        <w:rPr>
          <w:rFonts w:hint="eastAsia" w:ascii="宋体" w:hAnsi="宋体" w:eastAsia="宋体" w:cs="宋体"/>
          <w:color w:val="auto"/>
          <w:spacing w:val="-2"/>
          <w:position w:val="-2"/>
          <w:sz w:val="21"/>
          <w:szCs w:val="21"/>
          <w:highlight w:val="none"/>
        </w:rPr>
        <w:t>字</w:t>
      </w:r>
      <w:r>
        <w:rPr>
          <w:rFonts w:hint="eastAsia" w:ascii="宋体" w:hAnsi="宋体" w:eastAsia="宋体" w:cs="宋体"/>
          <w:color w:val="auto"/>
          <w:position w:val="-2"/>
          <w:sz w:val="21"/>
          <w:szCs w:val="21"/>
          <w:highlight w:val="none"/>
        </w:rPr>
        <w:t>或</w:t>
      </w:r>
      <w:r>
        <w:rPr>
          <w:rFonts w:hint="eastAsia" w:ascii="宋体" w:hAnsi="宋体" w:eastAsia="宋体" w:cs="宋体"/>
          <w:color w:val="auto"/>
          <w:spacing w:val="-2"/>
          <w:position w:val="-2"/>
          <w:sz w:val="21"/>
          <w:szCs w:val="21"/>
          <w:highlight w:val="none"/>
        </w:rPr>
        <w:t>盖</w:t>
      </w:r>
      <w:r>
        <w:rPr>
          <w:rFonts w:hint="eastAsia" w:ascii="宋体" w:hAnsi="宋体" w:eastAsia="宋体" w:cs="宋体"/>
          <w:color w:val="auto"/>
          <w:position w:val="-2"/>
          <w:sz w:val="21"/>
          <w:szCs w:val="21"/>
          <w:highlight w:val="none"/>
        </w:rPr>
        <w:t>章）</w:t>
      </w:r>
    </w:p>
    <w:p w14:paraId="2E1C0E83">
      <w:pPr>
        <w:tabs>
          <w:tab w:val="left" w:pos="7020"/>
        </w:tabs>
        <w:spacing w:line="360" w:lineRule="auto"/>
        <w:ind w:right="-20" w:firstLine="1890" w:firstLineChars="900"/>
        <w:rPr>
          <w:rFonts w:ascii="宋体" w:hAnsi="宋体" w:eastAsia="宋体" w:cs="宋体"/>
          <w:color w:val="auto"/>
          <w:sz w:val="21"/>
          <w:szCs w:val="21"/>
          <w:highlight w:val="none"/>
          <w:u w:val="single"/>
        </w:rPr>
      </w:pPr>
      <w:r>
        <w:rPr>
          <w:rFonts w:hint="eastAsia" w:ascii="宋体" w:hAnsi="宋体" w:eastAsia="宋体" w:cs="宋体"/>
          <w:color w:val="auto"/>
          <w:position w:val="-2"/>
          <w:sz w:val="21"/>
          <w:szCs w:val="21"/>
          <w:highlight w:val="none"/>
        </w:rPr>
        <w:t>日期：</w:t>
      </w:r>
      <w:r>
        <w:rPr>
          <w:rFonts w:hint="eastAsia" w:ascii="宋体" w:hAnsi="宋体" w:eastAsia="宋体" w:cs="宋体"/>
          <w:color w:val="auto"/>
          <w:position w:val="-2"/>
          <w:sz w:val="21"/>
          <w:szCs w:val="21"/>
          <w:highlight w:val="none"/>
          <w:lang w:val="en-US" w:eastAsia="zh-CN"/>
        </w:rPr>
        <w:t xml:space="preserve">       </w:t>
      </w:r>
      <w:r>
        <w:rPr>
          <w:rFonts w:hint="eastAsia" w:ascii="宋体" w:hAnsi="宋体" w:eastAsia="宋体" w:cs="宋体"/>
          <w:color w:val="auto"/>
          <w:position w:val="-2"/>
          <w:sz w:val="21"/>
          <w:szCs w:val="21"/>
          <w:highlight w:val="none"/>
        </w:rPr>
        <w:t>年</w:t>
      </w:r>
      <w:r>
        <w:rPr>
          <w:rFonts w:hint="eastAsia" w:ascii="宋体" w:hAnsi="宋体" w:eastAsia="宋体" w:cs="宋体"/>
          <w:color w:val="auto"/>
          <w:position w:val="-2"/>
          <w:sz w:val="21"/>
          <w:szCs w:val="21"/>
          <w:highlight w:val="none"/>
          <w:lang w:val="en-US" w:eastAsia="zh-CN"/>
        </w:rPr>
        <w:t xml:space="preserve">    </w:t>
      </w:r>
      <w:r>
        <w:rPr>
          <w:rFonts w:hint="eastAsia" w:ascii="宋体" w:hAnsi="宋体" w:eastAsia="宋体" w:cs="宋体"/>
          <w:color w:val="auto"/>
          <w:position w:val="-2"/>
          <w:sz w:val="21"/>
          <w:szCs w:val="21"/>
          <w:highlight w:val="none"/>
        </w:rPr>
        <w:t>月</w:t>
      </w:r>
      <w:r>
        <w:rPr>
          <w:rFonts w:hint="eastAsia" w:ascii="宋体" w:hAnsi="宋体" w:eastAsia="宋体" w:cs="宋体"/>
          <w:color w:val="auto"/>
          <w:position w:val="-2"/>
          <w:sz w:val="21"/>
          <w:szCs w:val="21"/>
          <w:highlight w:val="none"/>
          <w:lang w:val="en-US" w:eastAsia="zh-CN"/>
        </w:rPr>
        <w:t xml:space="preserve">     </w:t>
      </w:r>
      <w:r>
        <w:rPr>
          <w:rFonts w:hint="eastAsia" w:ascii="宋体" w:hAnsi="宋体" w:eastAsia="宋体" w:cs="宋体"/>
          <w:color w:val="auto"/>
          <w:position w:val="-2"/>
          <w:sz w:val="21"/>
          <w:szCs w:val="21"/>
          <w:highlight w:val="none"/>
        </w:rPr>
        <w:t>日</w:t>
      </w:r>
    </w:p>
    <w:p w14:paraId="6F495F24">
      <w:pPr>
        <w:widowControl/>
        <w:spacing w:line="360" w:lineRule="auto"/>
        <w:ind w:firstLine="480"/>
        <w:jc w:val="left"/>
        <w:rPr>
          <w:rFonts w:ascii="宋体" w:hAnsi="宋体" w:eastAsia="宋体"/>
          <w:bCs/>
          <w:color w:val="auto"/>
          <w:sz w:val="24"/>
          <w:szCs w:val="24"/>
          <w:highlight w:val="none"/>
        </w:rPr>
      </w:pPr>
      <w:r>
        <w:rPr>
          <w:rFonts w:ascii="宋体" w:hAnsi="宋体" w:eastAsia="宋体"/>
          <w:bCs/>
          <w:color w:val="auto"/>
          <w:sz w:val="24"/>
          <w:szCs w:val="24"/>
          <w:highlight w:val="none"/>
        </w:rPr>
        <w:br w:type="page"/>
      </w:r>
    </w:p>
    <w:p w14:paraId="33BC45A4">
      <w:pPr>
        <w:spacing w:line="360" w:lineRule="auto"/>
        <w:jc w:val="center"/>
        <w:rPr>
          <w:rFonts w:ascii="宋体" w:hAnsi="宋体" w:eastAsia="宋体"/>
          <w:color w:val="auto"/>
          <w:highlight w:val="none"/>
        </w:rPr>
        <w:sectPr>
          <w:pgSz w:w="11906" w:h="16838"/>
          <w:pgMar w:top="1440" w:right="1800" w:bottom="1440" w:left="1800" w:header="720" w:footer="720" w:gutter="0"/>
          <w:pgNumType w:fmt="decimal"/>
          <w:cols w:space="720" w:num="1"/>
          <w:docGrid w:linePitch="285" w:charSpace="0"/>
        </w:sectPr>
      </w:pPr>
    </w:p>
    <w:p w14:paraId="23945939">
      <w:pPr>
        <w:pStyle w:val="3"/>
        <w:ind w:firstLine="602"/>
        <w:jc w:val="center"/>
        <w:rPr>
          <w:rFonts w:hint="eastAsia" w:ascii="宋体" w:hAnsi="宋体" w:eastAsia="宋体" w:cs="宋体"/>
          <w:color w:val="auto"/>
          <w:highlight w:val="none"/>
        </w:rPr>
      </w:pPr>
      <w:bookmarkStart w:id="276" w:name="_Toc51055768"/>
      <w:bookmarkStart w:id="277" w:name="_Toc45266450"/>
      <w:bookmarkStart w:id="278" w:name="_Toc133420524"/>
      <w:bookmarkStart w:id="279" w:name="_Toc15635"/>
      <w:r>
        <w:rPr>
          <w:rFonts w:hint="eastAsia" w:ascii="宋体" w:hAnsi="宋体" w:eastAsia="宋体" w:cs="宋体"/>
          <w:color w:val="auto"/>
          <w:highlight w:val="none"/>
        </w:rPr>
        <w:t>附件三：</w:t>
      </w:r>
      <w:bookmarkEnd w:id="276"/>
      <w:bookmarkEnd w:id="277"/>
      <w:r>
        <w:rPr>
          <w:rFonts w:hint="eastAsia" w:ascii="宋体" w:hAnsi="宋体" w:eastAsia="宋体" w:cs="宋体"/>
          <w:color w:val="auto"/>
          <w:highlight w:val="none"/>
        </w:rPr>
        <w:t>问题的澄清</w:t>
      </w:r>
      <w:bookmarkEnd w:id="278"/>
      <w:bookmarkEnd w:id="279"/>
    </w:p>
    <w:p w14:paraId="79D32D5B">
      <w:pPr>
        <w:spacing w:line="440" w:lineRule="exact"/>
        <w:ind w:firstLine="560"/>
        <w:jc w:val="center"/>
        <w:rPr>
          <w:rFonts w:hint="eastAsia" w:ascii="宋体" w:hAnsi="宋体" w:eastAsia="宋体"/>
          <w:color w:val="auto"/>
          <w:sz w:val="28"/>
          <w:szCs w:val="28"/>
          <w:highlight w:val="none"/>
        </w:rPr>
      </w:pPr>
      <w:r>
        <w:rPr>
          <w:rFonts w:hint="eastAsia" w:ascii="宋体" w:hAnsi="宋体" w:eastAsia="宋体"/>
          <w:color w:val="auto"/>
          <w:sz w:val="28"/>
          <w:szCs w:val="28"/>
          <w:highlight w:val="none"/>
        </w:rPr>
        <w:t>问题的澄清</w:t>
      </w:r>
    </w:p>
    <w:p w14:paraId="602BDD08">
      <w:pPr>
        <w:tabs>
          <w:tab w:val="left" w:pos="5940"/>
        </w:tabs>
        <w:spacing w:before="19" w:line="360" w:lineRule="auto"/>
        <w:ind w:left="424" w:right="-20" w:firstLine="480"/>
        <w:rPr>
          <w:rFonts w:ascii="宋体" w:hAnsi="宋体" w:eastAsia="宋体" w:cs="宋体"/>
          <w:color w:val="auto"/>
          <w:position w:val="-4"/>
          <w:sz w:val="24"/>
          <w:szCs w:val="24"/>
          <w:highlight w:val="none"/>
        </w:rPr>
      </w:pPr>
      <w:r>
        <w:rPr>
          <w:rFonts w:hint="eastAsia" w:ascii="宋体" w:hAnsi="宋体" w:eastAsia="宋体" w:cs="宋体"/>
          <w:color w:val="auto"/>
          <w:position w:val="-4"/>
          <w:sz w:val="24"/>
          <w:szCs w:val="24"/>
          <w:highlight w:val="none"/>
        </w:rPr>
        <w:t>（编</w:t>
      </w:r>
      <w:r>
        <w:rPr>
          <w:rFonts w:hint="eastAsia" w:ascii="宋体" w:hAnsi="宋体" w:eastAsia="宋体" w:cs="宋体"/>
          <w:color w:val="auto"/>
          <w:spacing w:val="-2"/>
          <w:position w:val="-4"/>
          <w:sz w:val="24"/>
          <w:szCs w:val="24"/>
          <w:highlight w:val="none"/>
        </w:rPr>
        <w:t>号</w:t>
      </w:r>
      <w:r>
        <w:rPr>
          <w:rFonts w:hint="eastAsia" w:ascii="宋体" w:hAnsi="宋体" w:eastAsia="宋体" w:cs="宋体"/>
          <w:color w:val="auto"/>
          <w:position w:val="-4"/>
          <w:sz w:val="24"/>
          <w:szCs w:val="24"/>
          <w:highlight w:val="none"/>
        </w:rPr>
        <w:t>：</w:t>
      </w:r>
      <w:r>
        <w:rPr>
          <w:rFonts w:ascii="宋体" w:hAnsi="宋体" w:eastAsia="宋体" w:cs="宋体"/>
          <w:color w:val="auto"/>
          <w:position w:val="-4"/>
          <w:sz w:val="24"/>
          <w:szCs w:val="24"/>
          <w:highlight w:val="none"/>
          <w:u w:val="single"/>
        </w:rPr>
        <w:tab/>
      </w:r>
      <w:r>
        <w:rPr>
          <w:rFonts w:hint="eastAsia" w:ascii="宋体" w:hAnsi="宋体" w:eastAsia="宋体" w:cs="宋体"/>
          <w:color w:val="auto"/>
          <w:position w:val="-4"/>
          <w:sz w:val="24"/>
          <w:szCs w:val="24"/>
          <w:highlight w:val="none"/>
        </w:rPr>
        <w:t>）</w:t>
      </w:r>
    </w:p>
    <w:p w14:paraId="2E5A04CA">
      <w:pPr>
        <w:tabs>
          <w:tab w:val="left" w:pos="5940"/>
        </w:tabs>
        <w:spacing w:before="19" w:line="360" w:lineRule="auto"/>
        <w:ind w:left="424" w:right="-20" w:firstLine="480"/>
        <w:rPr>
          <w:rFonts w:ascii="宋体" w:hAnsi="宋体" w:eastAsia="宋体" w:cs="宋体"/>
          <w:color w:val="auto"/>
          <w:sz w:val="24"/>
          <w:szCs w:val="24"/>
          <w:highlight w:val="none"/>
        </w:rPr>
      </w:pPr>
    </w:p>
    <w:p w14:paraId="14145C23">
      <w:pPr>
        <w:spacing w:line="360" w:lineRule="auto"/>
        <w:ind w:left="424" w:right="-20" w:firstLine="480"/>
        <w:rPr>
          <w:rFonts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评标</w:t>
      </w:r>
      <w:r>
        <w:rPr>
          <w:rFonts w:hint="eastAsia" w:ascii="宋体" w:hAnsi="宋体" w:eastAsia="宋体" w:cs="宋体"/>
          <w:color w:val="auto"/>
          <w:spacing w:val="-2"/>
          <w:position w:val="-1"/>
          <w:sz w:val="21"/>
          <w:szCs w:val="21"/>
          <w:highlight w:val="none"/>
        </w:rPr>
        <w:t>委</w:t>
      </w:r>
      <w:r>
        <w:rPr>
          <w:rFonts w:hint="eastAsia" w:ascii="宋体" w:hAnsi="宋体" w:eastAsia="宋体" w:cs="宋体"/>
          <w:color w:val="auto"/>
          <w:position w:val="-1"/>
          <w:sz w:val="21"/>
          <w:szCs w:val="21"/>
          <w:highlight w:val="none"/>
        </w:rPr>
        <w:t>员</w:t>
      </w:r>
      <w:r>
        <w:rPr>
          <w:rFonts w:hint="eastAsia" w:ascii="宋体" w:hAnsi="宋体" w:eastAsia="宋体" w:cs="宋体"/>
          <w:color w:val="auto"/>
          <w:spacing w:val="-3"/>
          <w:position w:val="-1"/>
          <w:sz w:val="21"/>
          <w:szCs w:val="21"/>
          <w:highlight w:val="none"/>
        </w:rPr>
        <w:t>会</w:t>
      </w:r>
      <w:r>
        <w:rPr>
          <w:rFonts w:hint="eastAsia" w:ascii="宋体" w:hAnsi="宋体" w:eastAsia="宋体" w:cs="宋体"/>
          <w:color w:val="auto"/>
          <w:position w:val="-1"/>
          <w:sz w:val="21"/>
          <w:szCs w:val="21"/>
          <w:highlight w:val="none"/>
        </w:rPr>
        <w:t>：</w:t>
      </w:r>
    </w:p>
    <w:p w14:paraId="4AE3B4CB">
      <w:pPr>
        <w:tabs>
          <w:tab w:val="left" w:pos="3460"/>
        </w:tabs>
        <w:spacing w:line="360" w:lineRule="auto"/>
        <w:ind w:left="424" w:right="-20" w:firstLine="472"/>
        <w:rPr>
          <w:rFonts w:ascii="宋体" w:hAnsi="宋体" w:eastAsia="宋体" w:cs="宋体"/>
          <w:color w:val="auto"/>
          <w:sz w:val="21"/>
          <w:szCs w:val="21"/>
          <w:highlight w:val="none"/>
        </w:rPr>
      </w:pPr>
      <w:r>
        <w:rPr>
          <w:rFonts w:hint="eastAsia" w:ascii="宋体" w:hAnsi="宋体" w:eastAsia="宋体" w:cs="宋体"/>
          <w:color w:val="auto"/>
          <w:spacing w:val="-2"/>
          <w:position w:val="-4"/>
          <w:sz w:val="21"/>
          <w:szCs w:val="21"/>
          <w:highlight w:val="none"/>
        </w:rPr>
        <w:t>问</w:t>
      </w:r>
      <w:r>
        <w:rPr>
          <w:rFonts w:hint="eastAsia" w:ascii="宋体" w:hAnsi="宋体" w:eastAsia="宋体" w:cs="宋体"/>
          <w:color w:val="auto"/>
          <w:position w:val="-4"/>
          <w:sz w:val="21"/>
          <w:szCs w:val="21"/>
          <w:highlight w:val="none"/>
        </w:rPr>
        <w:t>题</w:t>
      </w:r>
      <w:r>
        <w:rPr>
          <w:rFonts w:hint="eastAsia" w:ascii="宋体" w:hAnsi="宋体" w:eastAsia="宋体" w:cs="宋体"/>
          <w:color w:val="auto"/>
          <w:spacing w:val="-2"/>
          <w:position w:val="-4"/>
          <w:sz w:val="21"/>
          <w:szCs w:val="21"/>
          <w:highlight w:val="none"/>
        </w:rPr>
        <w:t>澄</w:t>
      </w:r>
      <w:r>
        <w:rPr>
          <w:rFonts w:hint="eastAsia" w:ascii="宋体" w:hAnsi="宋体" w:eastAsia="宋体" w:cs="宋体"/>
          <w:color w:val="auto"/>
          <w:position w:val="-4"/>
          <w:sz w:val="21"/>
          <w:szCs w:val="21"/>
          <w:highlight w:val="none"/>
        </w:rPr>
        <w:t>清</w:t>
      </w:r>
      <w:r>
        <w:rPr>
          <w:rFonts w:hint="eastAsia" w:ascii="宋体" w:hAnsi="宋体" w:eastAsia="宋体" w:cs="宋体"/>
          <w:color w:val="auto"/>
          <w:spacing w:val="-2"/>
          <w:position w:val="-4"/>
          <w:sz w:val="21"/>
          <w:szCs w:val="21"/>
          <w:highlight w:val="none"/>
        </w:rPr>
        <w:t>通</w:t>
      </w:r>
      <w:r>
        <w:rPr>
          <w:rFonts w:hint="eastAsia" w:ascii="宋体" w:hAnsi="宋体" w:eastAsia="宋体" w:cs="宋体"/>
          <w:color w:val="auto"/>
          <w:position w:val="-4"/>
          <w:sz w:val="21"/>
          <w:szCs w:val="21"/>
          <w:highlight w:val="none"/>
        </w:rPr>
        <w:t>知</w:t>
      </w:r>
      <w:r>
        <w:rPr>
          <w:rFonts w:hint="eastAsia" w:ascii="宋体" w:hAnsi="宋体" w:eastAsia="宋体" w:cs="宋体"/>
          <w:color w:val="auto"/>
          <w:spacing w:val="-2"/>
          <w:position w:val="-4"/>
          <w:sz w:val="21"/>
          <w:szCs w:val="21"/>
          <w:highlight w:val="none"/>
        </w:rPr>
        <w:t>（</w:t>
      </w:r>
      <w:r>
        <w:rPr>
          <w:rFonts w:hint="eastAsia" w:ascii="宋体" w:hAnsi="宋体" w:eastAsia="宋体" w:cs="宋体"/>
          <w:color w:val="auto"/>
          <w:position w:val="-4"/>
          <w:sz w:val="21"/>
          <w:szCs w:val="21"/>
          <w:highlight w:val="none"/>
        </w:rPr>
        <w:t>编</w:t>
      </w:r>
      <w:r>
        <w:rPr>
          <w:rFonts w:hint="eastAsia" w:ascii="宋体" w:hAnsi="宋体" w:eastAsia="宋体" w:cs="宋体"/>
          <w:color w:val="auto"/>
          <w:spacing w:val="-2"/>
          <w:position w:val="-4"/>
          <w:sz w:val="21"/>
          <w:szCs w:val="21"/>
          <w:highlight w:val="none"/>
        </w:rPr>
        <w:t>号</w:t>
      </w:r>
      <w:r>
        <w:rPr>
          <w:rFonts w:hint="eastAsia" w:ascii="宋体" w:hAnsi="宋体" w:eastAsia="宋体" w:cs="宋体"/>
          <w:color w:val="auto"/>
          <w:position w:val="-4"/>
          <w:sz w:val="21"/>
          <w:szCs w:val="21"/>
          <w:highlight w:val="none"/>
        </w:rPr>
        <w:t>：</w:t>
      </w:r>
      <w:r>
        <w:rPr>
          <w:rFonts w:ascii="宋体" w:hAnsi="宋体" w:eastAsia="宋体" w:cs="宋体"/>
          <w:color w:val="auto"/>
          <w:position w:val="-4"/>
          <w:sz w:val="21"/>
          <w:szCs w:val="21"/>
          <w:highlight w:val="none"/>
          <w:u w:val="single"/>
        </w:rPr>
        <w:tab/>
      </w:r>
      <w:r>
        <w:rPr>
          <w:rFonts w:hint="eastAsia" w:ascii="宋体" w:hAnsi="宋体" w:eastAsia="宋体" w:cs="宋体"/>
          <w:color w:val="auto"/>
          <w:position w:val="-4"/>
          <w:sz w:val="21"/>
          <w:szCs w:val="21"/>
          <w:highlight w:val="none"/>
        </w:rPr>
        <w:t>）已收</w:t>
      </w:r>
      <w:r>
        <w:rPr>
          <w:rFonts w:hint="eastAsia" w:ascii="宋体" w:hAnsi="宋体" w:eastAsia="宋体" w:cs="宋体"/>
          <w:color w:val="auto"/>
          <w:spacing w:val="-2"/>
          <w:position w:val="-4"/>
          <w:sz w:val="21"/>
          <w:szCs w:val="21"/>
          <w:highlight w:val="none"/>
        </w:rPr>
        <w:t>悉</w:t>
      </w:r>
      <w:r>
        <w:rPr>
          <w:rFonts w:hint="eastAsia" w:ascii="宋体" w:hAnsi="宋体" w:eastAsia="宋体" w:cs="宋体"/>
          <w:color w:val="auto"/>
          <w:position w:val="-4"/>
          <w:sz w:val="21"/>
          <w:szCs w:val="21"/>
          <w:highlight w:val="none"/>
        </w:rPr>
        <w:t>，</w:t>
      </w:r>
      <w:r>
        <w:rPr>
          <w:rFonts w:hint="eastAsia" w:ascii="宋体" w:hAnsi="宋体" w:eastAsia="宋体" w:cs="宋体"/>
          <w:color w:val="auto"/>
          <w:spacing w:val="-2"/>
          <w:position w:val="-4"/>
          <w:sz w:val="21"/>
          <w:szCs w:val="21"/>
          <w:highlight w:val="none"/>
        </w:rPr>
        <w:t>现</w:t>
      </w:r>
      <w:r>
        <w:rPr>
          <w:rFonts w:hint="eastAsia" w:ascii="宋体" w:hAnsi="宋体" w:eastAsia="宋体" w:cs="宋体"/>
          <w:color w:val="auto"/>
          <w:position w:val="-4"/>
          <w:sz w:val="21"/>
          <w:szCs w:val="21"/>
          <w:highlight w:val="none"/>
        </w:rPr>
        <w:t>澄清</w:t>
      </w:r>
      <w:r>
        <w:rPr>
          <w:rFonts w:hint="eastAsia" w:ascii="宋体" w:hAnsi="宋体" w:eastAsia="宋体" w:cs="宋体"/>
          <w:color w:val="auto"/>
          <w:spacing w:val="-2"/>
          <w:position w:val="-4"/>
          <w:sz w:val="21"/>
          <w:szCs w:val="21"/>
          <w:highlight w:val="none"/>
        </w:rPr>
        <w:t>、</w:t>
      </w:r>
      <w:r>
        <w:rPr>
          <w:rFonts w:hint="eastAsia" w:ascii="宋体" w:hAnsi="宋体" w:eastAsia="宋体" w:cs="宋体"/>
          <w:color w:val="auto"/>
          <w:position w:val="-4"/>
          <w:sz w:val="21"/>
          <w:szCs w:val="21"/>
          <w:highlight w:val="none"/>
        </w:rPr>
        <w:t>说</w:t>
      </w:r>
      <w:r>
        <w:rPr>
          <w:rFonts w:hint="eastAsia" w:ascii="宋体" w:hAnsi="宋体" w:eastAsia="宋体" w:cs="宋体"/>
          <w:color w:val="auto"/>
          <w:spacing w:val="-2"/>
          <w:position w:val="-4"/>
          <w:sz w:val="21"/>
          <w:szCs w:val="21"/>
          <w:highlight w:val="none"/>
        </w:rPr>
        <w:t>明</w:t>
      </w:r>
      <w:r>
        <w:rPr>
          <w:rFonts w:hint="eastAsia" w:ascii="宋体" w:hAnsi="宋体" w:eastAsia="宋体" w:cs="宋体"/>
          <w:color w:val="auto"/>
          <w:position w:val="-4"/>
          <w:sz w:val="21"/>
          <w:szCs w:val="21"/>
          <w:highlight w:val="none"/>
        </w:rPr>
        <w:t>或</w:t>
      </w:r>
      <w:r>
        <w:rPr>
          <w:rFonts w:hint="eastAsia" w:ascii="宋体" w:hAnsi="宋体" w:eastAsia="宋体" w:cs="宋体"/>
          <w:color w:val="auto"/>
          <w:spacing w:val="-2"/>
          <w:position w:val="-4"/>
          <w:sz w:val="21"/>
          <w:szCs w:val="21"/>
          <w:highlight w:val="none"/>
        </w:rPr>
        <w:t>补</w:t>
      </w:r>
      <w:r>
        <w:rPr>
          <w:rFonts w:hint="eastAsia" w:ascii="宋体" w:hAnsi="宋体" w:eastAsia="宋体" w:cs="宋体"/>
          <w:color w:val="auto"/>
          <w:position w:val="-4"/>
          <w:sz w:val="21"/>
          <w:szCs w:val="21"/>
          <w:highlight w:val="none"/>
        </w:rPr>
        <w:t>正</w:t>
      </w:r>
      <w:r>
        <w:rPr>
          <w:rFonts w:hint="eastAsia" w:ascii="宋体" w:hAnsi="宋体" w:eastAsia="宋体" w:cs="宋体"/>
          <w:color w:val="auto"/>
          <w:spacing w:val="-2"/>
          <w:position w:val="-4"/>
          <w:sz w:val="21"/>
          <w:szCs w:val="21"/>
          <w:highlight w:val="none"/>
        </w:rPr>
        <w:t>如</w:t>
      </w:r>
      <w:r>
        <w:rPr>
          <w:rFonts w:hint="eastAsia" w:ascii="宋体" w:hAnsi="宋体" w:eastAsia="宋体" w:cs="宋体"/>
          <w:color w:val="auto"/>
          <w:position w:val="-4"/>
          <w:sz w:val="21"/>
          <w:szCs w:val="21"/>
          <w:highlight w:val="none"/>
        </w:rPr>
        <w:t>下：</w:t>
      </w:r>
    </w:p>
    <w:p w14:paraId="35914C2A">
      <w:pPr>
        <w:spacing w:line="360" w:lineRule="auto"/>
        <w:ind w:left="424" w:right="-20" w:firstLine="480"/>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p w14:paraId="32FD40DB">
      <w:pPr>
        <w:spacing w:line="360" w:lineRule="auto"/>
        <w:ind w:left="424" w:right="-20" w:firstLine="480"/>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p w14:paraId="7AFB615A">
      <w:pPr>
        <w:spacing w:line="360" w:lineRule="auto"/>
        <w:ind w:left="424" w:right="-20" w:firstLine="480"/>
        <w:rPr>
          <w:rFonts w:ascii="宋体" w:hAnsi="宋体" w:eastAsia="宋体" w:cs="宋体"/>
          <w:color w:val="auto"/>
          <w:sz w:val="21"/>
          <w:szCs w:val="21"/>
          <w:highlight w:val="none"/>
        </w:rPr>
      </w:pPr>
      <w:r>
        <w:rPr>
          <w:rFonts w:ascii="宋体" w:hAnsi="宋体" w:eastAsia="宋体" w:cs="宋体"/>
          <w:color w:val="auto"/>
          <w:sz w:val="21"/>
          <w:szCs w:val="21"/>
          <w:highlight w:val="none"/>
        </w:rPr>
        <w:t>.</w:t>
      </w:r>
      <w:r>
        <w:rPr>
          <w:rFonts w:ascii="宋体" w:hAnsi="宋体" w:eastAsia="宋体" w:cs="宋体"/>
          <w:color w:val="auto"/>
          <w:spacing w:val="-2"/>
          <w:sz w:val="21"/>
          <w:szCs w:val="21"/>
          <w:highlight w:val="none"/>
        </w:rPr>
        <w:t>.</w:t>
      </w:r>
      <w:r>
        <w:rPr>
          <w:rFonts w:ascii="宋体" w:hAnsi="宋体" w:eastAsia="宋体" w:cs="宋体"/>
          <w:color w:val="auto"/>
          <w:sz w:val="21"/>
          <w:szCs w:val="21"/>
          <w:highlight w:val="none"/>
        </w:rPr>
        <w:t>....</w:t>
      </w:r>
    </w:p>
    <w:p w14:paraId="0FE95BFE">
      <w:pPr>
        <w:spacing w:line="360" w:lineRule="auto"/>
        <w:ind w:left="424" w:right="43"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上述问题澄清、说</w:t>
      </w:r>
      <w:r>
        <w:rPr>
          <w:rFonts w:hint="eastAsia" w:ascii="宋体" w:hAnsi="宋体" w:eastAsia="宋体" w:cs="宋体"/>
          <w:color w:val="auto"/>
          <w:spacing w:val="-2"/>
          <w:sz w:val="21"/>
          <w:szCs w:val="21"/>
          <w:highlight w:val="none"/>
        </w:rPr>
        <w:t>明</w:t>
      </w:r>
      <w:r>
        <w:rPr>
          <w:rFonts w:hint="eastAsia" w:ascii="宋体" w:hAnsi="宋体" w:eastAsia="宋体" w:cs="宋体"/>
          <w:color w:val="auto"/>
          <w:sz w:val="21"/>
          <w:szCs w:val="21"/>
          <w:highlight w:val="none"/>
        </w:rPr>
        <w:t>或</w:t>
      </w:r>
      <w:r>
        <w:rPr>
          <w:rFonts w:hint="eastAsia" w:ascii="宋体" w:hAnsi="宋体" w:eastAsia="宋体" w:cs="宋体"/>
          <w:color w:val="auto"/>
          <w:spacing w:val="-2"/>
          <w:sz w:val="21"/>
          <w:szCs w:val="21"/>
          <w:highlight w:val="none"/>
        </w:rPr>
        <w:t>补</w:t>
      </w:r>
      <w:r>
        <w:rPr>
          <w:rFonts w:hint="eastAsia" w:ascii="宋体" w:hAnsi="宋体" w:eastAsia="宋体" w:cs="宋体"/>
          <w:color w:val="auto"/>
          <w:sz w:val="21"/>
          <w:szCs w:val="21"/>
          <w:highlight w:val="none"/>
        </w:rPr>
        <w:t>正，不改变我方投</w:t>
      </w:r>
      <w:r>
        <w:rPr>
          <w:rFonts w:hint="eastAsia" w:ascii="宋体" w:hAnsi="宋体" w:eastAsia="宋体" w:cs="宋体"/>
          <w:color w:val="auto"/>
          <w:spacing w:val="-2"/>
          <w:sz w:val="21"/>
          <w:szCs w:val="21"/>
          <w:highlight w:val="none"/>
        </w:rPr>
        <w:t>标</w:t>
      </w:r>
      <w:r>
        <w:rPr>
          <w:rFonts w:hint="eastAsia" w:ascii="宋体" w:hAnsi="宋体" w:eastAsia="宋体" w:cs="宋体"/>
          <w:color w:val="auto"/>
          <w:sz w:val="21"/>
          <w:szCs w:val="21"/>
          <w:highlight w:val="none"/>
        </w:rPr>
        <w:t>文</w:t>
      </w:r>
      <w:r>
        <w:rPr>
          <w:rFonts w:hint="eastAsia" w:ascii="宋体" w:hAnsi="宋体" w:eastAsia="宋体" w:cs="宋体"/>
          <w:color w:val="auto"/>
          <w:spacing w:val="-2"/>
          <w:sz w:val="21"/>
          <w:szCs w:val="21"/>
          <w:highlight w:val="none"/>
        </w:rPr>
        <w:t>件</w:t>
      </w:r>
      <w:r>
        <w:rPr>
          <w:rFonts w:hint="eastAsia" w:ascii="宋体" w:hAnsi="宋体" w:eastAsia="宋体" w:cs="宋体"/>
          <w:color w:val="auto"/>
          <w:sz w:val="21"/>
          <w:szCs w:val="21"/>
          <w:highlight w:val="none"/>
        </w:rPr>
        <w:t>的实质性内容，构</w:t>
      </w:r>
      <w:r>
        <w:rPr>
          <w:rFonts w:hint="eastAsia" w:ascii="宋体" w:hAnsi="宋体" w:eastAsia="宋体" w:cs="宋体"/>
          <w:color w:val="auto"/>
          <w:spacing w:val="-2"/>
          <w:sz w:val="21"/>
          <w:szCs w:val="21"/>
          <w:highlight w:val="none"/>
        </w:rPr>
        <w:t>成</w:t>
      </w:r>
      <w:r>
        <w:rPr>
          <w:rFonts w:hint="eastAsia" w:ascii="宋体" w:hAnsi="宋体" w:eastAsia="宋体" w:cs="宋体"/>
          <w:color w:val="auto"/>
          <w:sz w:val="21"/>
          <w:szCs w:val="21"/>
          <w:highlight w:val="none"/>
        </w:rPr>
        <w:t>我</w:t>
      </w:r>
      <w:r>
        <w:rPr>
          <w:rFonts w:hint="eastAsia" w:ascii="宋体" w:hAnsi="宋体" w:eastAsia="宋体" w:cs="宋体"/>
          <w:color w:val="auto"/>
          <w:spacing w:val="-2"/>
          <w:sz w:val="21"/>
          <w:szCs w:val="21"/>
          <w:highlight w:val="none"/>
        </w:rPr>
        <w:t>方</w:t>
      </w:r>
      <w:r>
        <w:rPr>
          <w:rFonts w:hint="eastAsia" w:ascii="宋体" w:hAnsi="宋体" w:eastAsia="宋体" w:cs="宋体"/>
          <w:color w:val="auto"/>
          <w:sz w:val="21"/>
          <w:szCs w:val="21"/>
          <w:highlight w:val="none"/>
        </w:rPr>
        <w:t>投标文件的组成部</w:t>
      </w:r>
      <w:r>
        <w:rPr>
          <w:rFonts w:hint="eastAsia" w:ascii="宋体" w:hAnsi="宋体" w:eastAsia="宋体" w:cs="宋体"/>
          <w:color w:val="auto"/>
          <w:spacing w:val="-2"/>
          <w:sz w:val="21"/>
          <w:szCs w:val="21"/>
          <w:highlight w:val="none"/>
        </w:rPr>
        <w:t>分</w:t>
      </w:r>
      <w:r>
        <w:rPr>
          <w:rFonts w:hint="eastAsia" w:ascii="宋体" w:hAnsi="宋体" w:eastAsia="宋体" w:cs="宋体"/>
          <w:color w:val="auto"/>
          <w:sz w:val="21"/>
          <w:szCs w:val="21"/>
          <w:highlight w:val="none"/>
        </w:rPr>
        <w:t>。</w:t>
      </w:r>
    </w:p>
    <w:p w14:paraId="03022BC4">
      <w:pPr>
        <w:spacing w:line="360" w:lineRule="auto"/>
        <w:ind w:firstLine="480"/>
        <w:rPr>
          <w:rFonts w:ascii="宋体" w:hAnsi="宋体" w:eastAsia="宋体" w:cs="宋体"/>
          <w:color w:val="auto"/>
          <w:sz w:val="24"/>
          <w:szCs w:val="24"/>
          <w:highlight w:val="none"/>
        </w:rPr>
      </w:pPr>
    </w:p>
    <w:p w14:paraId="2912E75F">
      <w:pPr>
        <w:spacing w:line="360" w:lineRule="auto"/>
        <w:ind w:firstLine="480"/>
        <w:rPr>
          <w:rFonts w:ascii="宋体" w:hAnsi="宋体" w:eastAsia="宋体" w:cs="宋体"/>
          <w:color w:val="auto"/>
          <w:sz w:val="24"/>
          <w:szCs w:val="24"/>
          <w:highlight w:val="none"/>
        </w:rPr>
      </w:pPr>
    </w:p>
    <w:p w14:paraId="4BA4CB0E">
      <w:pPr>
        <w:spacing w:line="360" w:lineRule="auto"/>
        <w:ind w:firstLine="480"/>
        <w:rPr>
          <w:rFonts w:ascii="宋体" w:hAnsi="宋体" w:eastAsia="宋体" w:cs="宋体"/>
          <w:color w:val="auto"/>
          <w:sz w:val="24"/>
          <w:szCs w:val="24"/>
          <w:highlight w:val="none"/>
        </w:rPr>
      </w:pPr>
    </w:p>
    <w:p w14:paraId="09B7F7CD">
      <w:pPr>
        <w:tabs>
          <w:tab w:val="left" w:pos="7140"/>
        </w:tabs>
        <w:spacing w:line="360" w:lineRule="auto"/>
        <w:ind w:left="424" w:right="-20" w:firstLine="480"/>
        <w:rPr>
          <w:rFonts w:ascii="宋体" w:hAnsi="宋体" w:eastAsia="宋体" w:cs="宋体"/>
          <w:color w:val="auto"/>
          <w:sz w:val="21"/>
          <w:szCs w:val="21"/>
          <w:highlight w:val="none"/>
        </w:rPr>
      </w:pPr>
      <w:r>
        <w:rPr>
          <w:rFonts w:hint="eastAsia" w:ascii="宋体" w:hAnsi="宋体" w:eastAsia="宋体" w:cs="宋体"/>
          <w:color w:val="auto"/>
          <w:position w:val="-4"/>
          <w:sz w:val="21"/>
          <w:szCs w:val="21"/>
          <w:highlight w:val="none"/>
        </w:rPr>
        <w:t>投</w:t>
      </w:r>
      <w:r>
        <w:rPr>
          <w:rFonts w:hint="eastAsia" w:ascii="宋体" w:hAnsi="宋体" w:eastAsia="宋体" w:cs="宋体"/>
          <w:color w:val="auto"/>
          <w:spacing w:val="-2"/>
          <w:position w:val="-4"/>
          <w:sz w:val="21"/>
          <w:szCs w:val="21"/>
          <w:highlight w:val="none"/>
        </w:rPr>
        <w:t>标</w:t>
      </w:r>
      <w:r>
        <w:rPr>
          <w:rFonts w:hint="eastAsia" w:ascii="宋体" w:hAnsi="宋体" w:eastAsia="宋体" w:cs="宋体"/>
          <w:color w:val="auto"/>
          <w:position w:val="-4"/>
          <w:sz w:val="21"/>
          <w:szCs w:val="21"/>
          <w:highlight w:val="none"/>
        </w:rPr>
        <w:t>人：</w:t>
      </w:r>
      <w:r>
        <w:rPr>
          <w:rFonts w:ascii="宋体" w:hAnsi="宋体" w:eastAsia="宋体" w:cs="宋体"/>
          <w:color w:val="auto"/>
          <w:position w:val="-4"/>
          <w:sz w:val="21"/>
          <w:szCs w:val="21"/>
          <w:highlight w:val="none"/>
          <w:u w:val="single"/>
        </w:rPr>
        <w:tab/>
      </w:r>
      <w:r>
        <w:rPr>
          <w:rFonts w:hint="eastAsia" w:ascii="宋体" w:hAnsi="宋体" w:eastAsia="宋体" w:cs="宋体"/>
          <w:color w:val="auto"/>
          <w:position w:val="-4"/>
          <w:sz w:val="21"/>
          <w:szCs w:val="21"/>
          <w:highlight w:val="none"/>
        </w:rPr>
        <w:t>（盖</w:t>
      </w:r>
      <w:r>
        <w:rPr>
          <w:rFonts w:hint="eastAsia" w:ascii="宋体" w:hAnsi="宋体" w:eastAsia="宋体" w:cs="宋体"/>
          <w:color w:val="auto"/>
          <w:spacing w:val="-2"/>
          <w:position w:val="-4"/>
          <w:sz w:val="21"/>
          <w:szCs w:val="21"/>
          <w:highlight w:val="none"/>
        </w:rPr>
        <w:t>单</w:t>
      </w:r>
      <w:r>
        <w:rPr>
          <w:rFonts w:hint="eastAsia" w:ascii="宋体" w:hAnsi="宋体" w:eastAsia="宋体" w:cs="宋体"/>
          <w:color w:val="auto"/>
          <w:position w:val="-4"/>
          <w:sz w:val="21"/>
          <w:szCs w:val="21"/>
          <w:highlight w:val="none"/>
        </w:rPr>
        <w:t>位</w:t>
      </w:r>
      <w:r>
        <w:rPr>
          <w:rFonts w:hint="eastAsia" w:ascii="宋体" w:hAnsi="宋体" w:eastAsia="宋体" w:cs="宋体"/>
          <w:color w:val="auto"/>
          <w:spacing w:val="-2"/>
          <w:position w:val="-4"/>
          <w:sz w:val="21"/>
          <w:szCs w:val="21"/>
          <w:highlight w:val="none"/>
        </w:rPr>
        <w:t>章</w:t>
      </w:r>
      <w:r>
        <w:rPr>
          <w:rFonts w:hint="eastAsia" w:ascii="宋体" w:hAnsi="宋体" w:eastAsia="宋体" w:cs="宋体"/>
          <w:color w:val="auto"/>
          <w:position w:val="-4"/>
          <w:sz w:val="21"/>
          <w:szCs w:val="21"/>
          <w:highlight w:val="none"/>
        </w:rPr>
        <w:t>）</w:t>
      </w:r>
    </w:p>
    <w:p w14:paraId="3E2FA34B">
      <w:pPr>
        <w:tabs>
          <w:tab w:val="left" w:pos="6600"/>
        </w:tabs>
        <w:spacing w:line="360" w:lineRule="auto"/>
        <w:ind w:left="424" w:right="-20" w:firstLine="480"/>
        <w:rPr>
          <w:rFonts w:ascii="宋体" w:hAnsi="宋体" w:eastAsia="宋体" w:cs="宋体"/>
          <w:color w:val="auto"/>
          <w:sz w:val="21"/>
          <w:szCs w:val="21"/>
          <w:highlight w:val="none"/>
        </w:rPr>
      </w:pPr>
      <w:r>
        <w:rPr>
          <w:rFonts w:hint="eastAsia" w:ascii="宋体" w:hAnsi="宋体" w:eastAsia="宋体" w:cs="宋体"/>
          <w:color w:val="auto"/>
          <w:position w:val="-2"/>
          <w:sz w:val="21"/>
          <w:szCs w:val="21"/>
          <w:highlight w:val="none"/>
        </w:rPr>
        <w:t>法</w:t>
      </w:r>
      <w:r>
        <w:rPr>
          <w:rFonts w:hint="eastAsia" w:ascii="宋体" w:hAnsi="宋体" w:eastAsia="宋体" w:cs="宋体"/>
          <w:color w:val="auto"/>
          <w:spacing w:val="-2"/>
          <w:position w:val="-2"/>
          <w:sz w:val="21"/>
          <w:szCs w:val="21"/>
          <w:highlight w:val="none"/>
        </w:rPr>
        <w:t>定</w:t>
      </w:r>
      <w:r>
        <w:rPr>
          <w:rFonts w:hint="eastAsia" w:ascii="宋体" w:hAnsi="宋体" w:eastAsia="宋体" w:cs="宋体"/>
          <w:color w:val="auto"/>
          <w:position w:val="-2"/>
          <w:sz w:val="21"/>
          <w:szCs w:val="21"/>
          <w:highlight w:val="none"/>
        </w:rPr>
        <w:t>代</w:t>
      </w:r>
      <w:r>
        <w:rPr>
          <w:rFonts w:hint="eastAsia" w:ascii="宋体" w:hAnsi="宋体" w:eastAsia="宋体" w:cs="宋体"/>
          <w:color w:val="auto"/>
          <w:spacing w:val="-2"/>
          <w:position w:val="-2"/>
          <w:sz w:val="21"/>
          <w:szCs w:val="21"/>
          <w:highlight w:val="none"/>
        </w:rPr>
        <w:t>表</w:t>
      </w:r>
      <w:r>
        <w:rPr>
          <w:rFonts w:hint="eastAsia" w:ascii="宋体" w:hAnsi="宋体" w:eastAsia="宋体" w:cs="宋体"/>
          <w:color w:val="auto"/>
          <w:position w:val="-2"/>
          <w:sz w:val="21"/>
          <w:szCs w:val="21"/>
          <w:highlight w:val="none"/>
        </w:rPr>
        <w:t>人</w:t>
      </w:r>
      <w:r>
        <w:rPr>
          <w:rFonts w:hint="eastAsia" w:ascii="宋体" w:hAnsi="宋体" w:eastAsia="宋体" w:cs="宋体"/>
          <w:color w:val="auto"/>
          <w:spacing w:val="-2"/>
          <w:position w:val="-2"/>
          <w:sz w:val="21"/>
          <w:szCs w:val="21"/>
          <w:highlight w:val="none"/>
        </w:rPr>
        <w:t>或</w:t>
      </w:r>
      <w:r>
        <w:rPr>
          <w:rFonts w:hint="eastAsia" w:ascii="宋体" w:hAnsi="宋体" w:eastAsia="宋体" w:cs="宋体"/>
          <w:color w:val="auto"/>
          <w:position w:val="-2"/>
          <w:sz w:val="21"/>
          <w:szCs w:val="21"/>
          <w:highlight w:val="none"/>
        </w:rPr>
        <w:t>其</w:t>
      </w:r>
      <w:r>
        <w:rPr>
          <w:rFonts w:hint="eastAsia" w:ascii="宋体" w:hAnsi="宋体" w:eastAsia="宋体" w:cs="宋体"/>
          <w:color w:val="auto"/>
          <w:spacing w:val="-2"/>
          <w:position w:val="-2"/>
          <w:sz w:val="21"/>
          <w:szCs w:val="21"/>
          <w:highlight w:val="none"/>
        </w:rPr>
        <w:t>委</w:t>
      </w:r>
      <w:r>
        <w:rPr>
          <w:rFonts w:hint="eastAsia" w:ascii="宋体" w:hAnsi="宋体" w:eastAsia="宋体" w:cs="宋体"/>
          <w:color w:val="auto"/>
          <w:position w:val="-2"/>
          <w:sz w:val="21"/>
          <w:szCs w:val="21"/>
          <w:highlight w:val="none"/>
        </w:rPr>
        <w:t>托</w:t>
      </w:r>
      <w:r>
        <w:rPr>
          <w:rFonts w:hint="eastAsia" w:ascii="宋体" w:hAnsi="宋体" w:eastAsia="宋体" w:cs="宋体"/>
          <w:color w:val="auto"/>
          <w:spacing w:val="-2"/>
          <w:position w:val="-2"/>
          <w:sz w:val="21"/>
          <w:szCs w:val="21"/>
          <w:highlight w:val="none"/>
        </w:rPr>
        <w:t>代理</w:t>
      </w:r>
      <w:r>
        <w:rPr>
          <w:rFonts w:hint="eastAsia" w:ascii="宋体" w:hAnsi="宋体" w:eastAsia="宋体" w:cs="宋体"/>
          <w:color w:val="auto"/>
          <w:position w:val="-2"/>
          <w:sz w:val="21"/>
          <w:szCs w:val="21"/>
          <w:highlight w:val="none"/>
        </w:rPr>
        <w:t>人：</w:t>
      </w:r>
      <w:r>
        <w:rPr>
          <w:rFonts w:ascii="宋体" w:hAnsi="宋体" w:eastAsia="宋体" w:cs="宋体"/>
          <w:color w:val="auto"/>
          <w:position w:val="-2"/>
          <w:sz w:val="21"/>
          <w:szCs w:val="21"/>
          <w:highlight w:val="none"/>
          <w:u w:val="single"/>
        </w:rPr>
        <w:tab/>
      </w:r>
      <w:r>
        <w:rPr>
          <w:rFonts w:hint="eastAsia" w:ascii="宋体" w:hAnsi="宋体" w:eastAsia="宋体" w:cs="宋体"/>
          <w:color w:val="auto"/>
          <w:spacing w:val="-2"/>
          <w:position w:val="-2"/>
          <w:sz w:val="21"/>
          <w:szCs w:val="21"/>
          <w:highlight w:val="none"/>
        </w:rPr>
        <w:t>（</w:t>
      </w:r>
      <w:r>
        <w:rPr>
          <w:rFonts w:hint="eastAsia" w:ascii="宋体" w:hAnsi="宋体" w:eastAsia="宋体" w:cs="宋体"/>
          <w:color w:val="auto"/>
          <w:position w:val="-2"/>
          <w:sz w:val="21"/>
          <w:szCs w:val="21"/>
          <w:highlight w:val="none"/>
        </w:rPr>
        <w:t>签</w:t>
      </w:r>
      <w:r>
        <w:rPr>
          <w:rFonts w:hint="eastAsia" w:ascii="宋体" w:hAnsi="宋体" w:eastAsia="宋体" w:cs="宋体"/>
          <w:color w:val="auto"/>
          <w:spacing w:val="-2"/>
          <w:position w:val="-2"/>
          <w:sz w:val="21"/>
          <w:szCs w:val="21"/>
          <w:highlight w:val="none"/>
        </w:rPr>
        <w:t>字</w:t>
      </w:r>
      <w:r>
        <w:rPr>
          <w:rFonts w:hint="eastAsia" w:ascii="宋体" w:hAnsi="宋体" w:eastAsia="宋体" w:cs="宋体"/>
          <w:color w:val="auto"/>
          <w:position w:val="-2"/>
          <w:sz w:val="21"/>
          <w:szCs w:val="21"/>
          <w:highlight w:val="none"/>
        </w:rPr>
        <w:t>）</w:t>
      </w:r>
    </w:p>
    <w:p w14:paraId="4851E2B2">
      <w:pPr>
        <w:tabs>
          <w:tab w:val="left" w:pos="7020"/>
        </w:tabs>
        <w:spacing w:line="360" w:lineRule="auto"/>
        <w:ind w:right="-20" w:firstLine="2625" w:firstLineChars="1250"/>
        <w:rPr>
          <w:rFonts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日期：</w:t>
      </w:r>
      <w:r>
        <w:rPr>
          <w:rFonts w:hint="eastAsia" w:ascii="宋体" w:hAnsi="宋体" w:eastAsia="宋体" w:cs="宋体"/>
          <w:color w:val="auto"/>
          <w:position w:val="-2"/>
          <w:sz w:val="21"/>
          <w:szCs w:val="21"/>
          <w:highlight w:val="none"/>
          <w:lang w:val="en-US" w:eastAsia="zh-CN"/>
        </w:rPr>
        <w:t xml:space="preserve">    </w:t>
      </w:r>
      <w:r>
        <w:rPr>
          <w:rFonts w:hint="eastAsia" w:ascii="宋体" w:hAnsi="宋体" w:eastAsia="宋体" w:cs="宋体"/>
          <w:color w:val="auto"/>
          <w:position w:val="-2"/>
          <w:sz w:val="21"/>
          <w:szCs w:val="21"/>
          <w:highlight w:val="none"/>
        </w:rPr>
        <w:t>年</w:t>
      </w:r>
      <w:r>
        <w:rPr>
          <w:rFonts w:hint="eastAsia" w:ascii="宋体" w:hAnsi="宋体" w:eastAsia="宋体" w:cs="宋体"/>
          <w:color w:val="auto"/>
          <w:position w:val="-2"/>
          <w:sz w:val="21"/>
          <w:szCs w:val="21"/>
          <w:highlight w:val="none"/>
          <w:lang w:val="en-US" w:eastAsia="zh-CN"/>
        </w:rPr>
        <w:t xml:space="preserve">    </w:t>
      </w:r>
      <w:r>
        <w:rPr>
          <w:rFonts w:hint="eastAsia" w:ascii="宋体" w:hAnsi="宋体" w:eastAsia="宋体" w:cs="宋体"/>
          <w:color w:val="auto"/>
          <w:position w:val="-2"/>
          <w:sz w:val="21"/>
          <w:szCs w:val="21"/>
          <w:highlight w:val="none"/>
        </w:rPr>
        <w:t>月</w:t>
      </w:r>
      <w:r>
        <w:rPr>
          <w:rFonts w:hint="eastAsia" w:ascii="宋体" w:hAnsi="宋体" w:eastAsia="宋体" w:cs="宋体"/>
          <w:color w:val="auto"/>
          <w:position w:val="-2"/>
          <w:sz w:val="21"/>
          <w:szCs w:val="21"/>
          <w:highlight w:val="none"/>
          <w:lang w:val="en-US" w:eastAsia="zh-CN"/>
        </w:rPr>
        <w:t xml:space="preserve">     </w:t>
      </w:r>
      <w:r>
        <w:rPr>
          <w:rFonts w:hint="eastAsia" w:ascii="宋体" w:hAnsi="宋体" w:eastAsia="宋体" w:cs="宋体"/>
          <w:color w:val="auto"/>
          <w:position w:val="-2"/>
          <w:sz w:val="21"/>
          <w:szCs w:val="21"/>
          <w:highlight w:val="none"/>
        </w:rPr>
        <w:t>日</w:t>
      </w:r>
    </w:p>
    <w:p w14:paraId="26EE75E2">
      <w:pPr>
        <w:spacing w:line="360" w:lineRule="auto"/>
        <w:ind w:firstLine="480"/>
        <w:jc w:val="center"/>
        <w:rPr>
          <w:rFonts w:ascii="宋体" w:hAnsi="宋体" w:eastAsia="宋体"/>
          <w:bCs/>
          <w:color w:val="auto"/>
          <w:sz w:val="24"/>
          <w:szCs w:val="24"/>
          <w:highlight w:val="none"/>
        </w:rPr>
      </w:pPr>
    </w:p>
    <w:p w14:paraId="31A7A51B">
      <w:pPr>
        <w:widowControl/>
        <w:ind w:firstLine="480"/>
        <w:jc w:val="left"/>
        <w:rPr>
          <w:rFonts w:ascii="宋体" w:hAnsi="宋体" w:eastAsia="宋体"/>
          <w:bCs/>
          <w:color w:val="auto"/>
          <w:sz w:val="24"/>
          <w:szCs w:val="24"/>
          <w:highlight w:val="none"/>
        </w:rPr>
      </w:pPr>
      <w:r>
        <w:rPr>
          <w:rFonts w:ascii="宋体" w:hAnsi="宋体" w:eastAsia="宋体"/>
          <w:bCs/>
          <w:color w:val="auto"/>
          <w:sz w:val="24"/>
          <w:szCs w:val="24"/>
          <w:highlight w:val="none"/>
        </w:rPr>
        <w:br w:type="page"/>
      </w:r>
    </w:p>
    <w:p w14:paraId="215651D2">
      <w:pPr>
        <w:pStyle w:val="3"/>
        <w:ind w:firstLine="602"/>
        <w:jc w:val="center"/>
        <w:rPr>
          <w:rFonts w:hint="eastAsia" w:ascii="宋体" w:hAnsi="宋体" w:eastAsia="宋体" w:cs="宋体"/>
          <w:color w:val="auto"/>
          <w:highlight w:val="none"/>
        </w:rPr>
      </w:pPr>
      <w:bookmarkStart w:id="280" w:name="_Toc225396600"/>
      <w:bookmarkStart w:id="281" w:name="_Toc210355381"/>
      <w:bookmarkStart w:id="282" w:name="_Toc45266451"/>
      <w:bookmarkStart w:id="283" w:name="_Toc225411535"/>
      <w:bookmarkStart w:id="284" w:name="_Toc225410049"/>
      <w:bookmarkStart w:id="285" w:name="_Toc225411457"/>
      <w:bookmarkStart w:id="286" w:name="_Toc168286983"/>
      <w:bookmarkStart w:id="287" w:name="_Toc162622247"/>
      <w:bookmarkStart w:id="288" w:name="_Toc27948999"/>
      <w:bookmarkStart w:id="289" w:name="_Toc210364705"/>
      <w:bookmarkStart w:id="290" w:name="_Toc225409717"/>
      <w:bookmarkStart w:id="291" w:name="_Toc225410681"/>
      <w:bookmarkStart w:id="292" w:name="_Toc218828569"/>
      <w:bookmarkStart w:id="293" w:name="_Toc210327519"/>
      <w:bookmarkStart w:id="294" w:name="_Toc225415940"/>
      <w:bookmarkStart w:id="295" w:name="_Toc27478"/>
      <w:bookmarkStart w:id="296" w:name="_Toc162619012"/>
      <w:bookmarkStart w:id="297" w:name="_Toc225409833"/>
      <w:bookmarkStart w:id="298" w:name="_Toc225415739"/>
      <w:bookmarkStart w:id="299" w:name="_Toc36466619"/>
      <w:bookmarkStart w:id="300" w:name="_Toc133420525"/>
      <w:bookmarkStart w:id="301" w:name="_Toc225412255"/>
      <w:bookmarkStart w:id="302" w:name="_Toc225409568"/>
      <w:bookmarkStart w:id="303" w:name="_Toc495555561"/>
      <w:bookmarkStart w:id="304" w:name="_Toc225412053"/>
      <w:bookmarkStart w:id="305" w:name="_Toc51055769"/>
      <w:bookmarkStart w:id="306" w:name="_Toc225415538"/>
      <w:bookmarkStart w:id="307" w:name="_Toc532629093"/>
      <w:bookmarkStart w:id="308" w:name="_Toc20084"/>
      <w:r>
        <w:rPr>
          <w:rFonts w:hint="eastAsia" w:ascii="宋体" w:hAnsi="宋体" w:eastAsia="宋体" w:cs="宋体"/>
          <w:color w:val="auto"/>
          <w:highlight w:val="none"/>
        </w:rPr>
        <w:t>附件四：中标通知书</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38A54E96">
      <w:pPr>
        <w:spacing w:line="360" w:lineRule="auto"/>
        <w:ind w:firstLine="480"/>
        <w:jc w:val="center"/>
        <w:rPr>
          <w:rFonts w:ascii="宋体" w:hAnsi="宋体" w:eastAsia="宋体"/>
          <w:color w:val="auto"/>
          <w:sz w:val="24"/>
          <w:szCs w:val="24"/>
          <w:highlight w:val="none"/>
        </w:rPr>
      </w:pPr>
      <w:r>
        <w:rPr>
          <w:rFonts w:hint="eastAsia" w:ascii="宋体" w:hAnsi="宋体" w:eastAsia="宋体"/>
          <w:color w:val="auto"/>
          <w:sz w:val="21"/>
          <w:szCs w:val="21"/>
          <w:highlight w:val="none"/>
        </w:rPr>
        <w:t>以广州交易集团有限公司（广州公共资源交易中心）格式为准。</w:t>
      </w:r>
    </w:p>
    <w:p w14:paraId="4FAEAC07">
      <w:pPr>
        <w:spacing w:line="360" w:lineRule="auto"/>
        <w:ind w:firstLine="480"/>
        <w:rPr>
          <w:rFonts w:ascii="宋体" w:hAnsi="宋体" w:eastAsia="宋体"/>
          <w:color w:val="auto"/>
          <w:sz w:val="24"/>
          <w:szCs w:val="24"/>
          <w:highlight w:val="none"/>
        </w:rPr>
      </w:pPr>
    </w:p>
    <w:p w14:paraId="672F4D8C">
      <w:pPr>
        <w:pStyle w:val="27"/>
        <w:rPr>
          <w:rFonts w:ascii="宋体" w:hAnsi="宋体"/>
          <w:color w:val="auto"/>
          <w:highlight w:val="none"/>
        </w:rPr>
        <w:sectPr>
          <w:pgSz w:w="11906" w:h="16838"/>
          <w:pgMar w:top="1440" w:right="1800" w:bottom="1440" w:left="1800" w:header="720" w:footer="720" w:gutter="0"/>
          <w:pgNumType w:fmt="decimal"/>
          <w:cols w:space="720" w:num="1"/>
          <w:docGrid w:linePitch="285" w:charSpace="0"/>
        </w:sectPr>
      </w:pPr>
    </w:p>
    <w:p w14:paraId="5FF55E16">
      <w:pPr>
        <w:pStyle w:val="2"/>
        <w:ind w:firstLine="643"/>
        <w:rPr>
          <w:rFonts w:hint="eastAsia" w:ascii="宋体" w:hAnsi="宋体" w:eastAsia="宋体" w:cs="宋体"/>
          <w:b/>
          <w:color w:val="auto"/>
          <w:kern w:val="2"/>
          <w:sz w:val="30"/>
          <w:szCs w:val="30"/>
          <w:highlight w:val="none"/>
          <w:lang w:val="en-US" w:eastAsia="zh-CN" w:bidi="ar-SA"/>
        </w:rPr>
      </w:pPr>
      <w:bookmarkStart w:id="309" w:name="_Toc133420526"/>
      <w:bookmarkStart w:id="310" w:name="_Toc31766"/>
      <w:r>
        <w:rPr>
          <w:rFonts w:hint="eastAsia" w:ascii="宋体" w:hAnsi="宋体" w:eastAsia="宋体" w:cs="宋体"/>
          <w:b/>
          <w:color w:val="auto"/>
          <w:kern w:val="2"/>
          <w:sz w:val="30"/>
          <w:szCs w:val="30"/>
          <w:highlight w:val="none"/>
          <w:lang w:val="en-US" w:eastAsia="zh-CN" w:bidi="ar-SA"/>
        </w:rPr>
        <w:t>第三章评标办法（综合评估法）</w:t>
      </w:r>
      <w:bookmarkEnd w:id="309"/>
      <w:bookmarkEnd w:id="310"/>
    </w:p>
    <w:p w14:paraId="030A83A2">
      <w:pPr>
        <w:pStyle w:val="3"/>
        <w:ind w:firstLine="602"/>
        <w:jc w:val="center"/>
        <w:rPr>
          <w:color w:val="auto"/>
          <w:highlight w:val="none"/>
        </w:rPr>
      </w:pPr>
      <w:bookmarkStart w:id="311" w:name="_Toc133420527"/>
      <w:bookmarkStart w:id="312" w:name="_Toc4686"/>
      <w:r>
        <w:rPr>
          <w:rFonts w:hint="eastAsia"/>
          <w:color w:val="auto"/>
          <w:highlight w:val="none"/>
        </w:rPr>
        <w:t>评标办法前附表</w:t>
      </w:r>
      <w:bookmarkEnd w:id="311"/>
      <w:bookmarkEnd w:id="312"/>
    </w:p>
    <w:tbl>
      <w:tblPr>
        <w:tblStyle w:val="29"/>
        <w:tblW w:w="9998" w:type="dxa"/>
        <w:tblInd w:w="-51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4"/>
        <w:gridCol w:w="266"/>
        <w:gridCol w:w="1151"/>
        <w:gridCol w:w="1568"/>
        <w:gridCol w:w="6219"/>
      </w:tblGrid>
      <w:tr w14:paraId="034DC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11" w:type="dxa"/>
            <w:gridSpan w:val="3"/>
            <w:tcBorders>
              <w:top w:val="single" w:color="auto" w:sz="4" w:space="0"/>
              <w:bottom w:val="single" w:color="auto" w:sz="4" w:space="0"/>
              <w:right w:val="single" w:color="auto" w:sz="4" w:space="0"/>
            </w:tcBorders>
            <w:noWrap/>
            <w:vAlign w:val="center"/>
          </w:tcPr>
          <w:p w14:paraId="1BD81350">
            <w:pPr>
              <w:spacing w:line="276" w:lineRule="auto"/>
              <w:ind w:firstLine="422"/>
              <w:jc w:val="center"/>
              <w:rPr>
                <w:rFonts w:ascii="宋体" w:hAnsi="宋体" w:eastAsia="宋体"/>
                <w:b/>
                <w:color w:val="auto"/>
                <w:szCs w:val="21"/>
                <w:highlight w:val="none"/>
              </w:rPr>
            </w:pPr>
            <w:r>
              <w:rPr>
                <w:rFonts w:ascii="宋体" w:hAnsi="宋体" w:eastAsia="宋体"/>
                <w:b/>
                <w:color w:val="auto"/>
                <w:szCs w:val="21"/>
                <w:highlight w:val="none"/>
              </w:rPr>
              <w:t>条款号</w:t>
            </w:r>
          </w:p>
        </w:tc>
        <w:tc>
          <w:tcPr>
            <w:tcW w:w="1568" w:type="dxa"/>
            <w:tcBorders>
              <w:top w:val="single" w:color="auto" w:sz="4" w:space="0"/>
              <w:left w:val="single" w:color="auto" w:sz="4" w:space="0"/>
              <w:bottom w:val="single" w:color="auto" w:sz="4" w:space="0"/>
              <w:right w:val="single" w:color="auto" w:sz="4" w:space="0"/>
            </w:tcBorders>
            <w:noWrap/>
            <w:vAlign w:val="center"/>
          </w:tcPr>
          <w:p w14:paraId="5592136D">
            <w:pPr>
              <w:spacing w:line="276" w:lineRule="auto"/>
              <w:ind w:firstLine="422"/>
              <w:jc w:val="center"/>
              <w:rPr>
                <w:rFonts w:ascii="宋体" w:hAnsi="宋体" w:eastAsia="宋体"/>
                <w:b/>
                <w:color w:val="auto"/>
                <w:szCs w:val="21"/>
                <w:highlight w:val="none"/>
              </w:rPr>
            </w:pPr>
            <w:r>
              <w:rPr>
                <w:rFonts w:ascii="宋体" w:hAnsi="宋体" w:eastAsia="宋体"/>
                <w:b/>
                <w:color w:val="auto"/>
                <w:szCs w:val="21"/>
                <w:highlight w:val="none"/>
              </w:rPr>
              <w:t>评审因素</w:t>
            </w:r>
          </w:p>
        </w:tc>
        <w:tc>
          <w:tcPr>
            <w:tcW w:w="6219" w:type="dxa"/>
            <w:tcBorders>
              <w:top w:val="single" w:color="auto" w:sz="4" w:space="0"/>
              <w:left w:val="single" w:color="auto" w:sz="4" w:space="0"/>
              <w:bottom w:val="single" w:color="auto" w:sz="4" w:space="0"/>
              <w:right w:val="single" w:color="auto" w:sz="4" w:space="0"/>
            </w:tcBorders>
            <w:noWrap/>
            <w:vAlign w:val="center"/>
          </w:tcPr>
          <w:p w14:paraId="4E31C605">
            <w:pPr>
              <w:spacing w:line="276" w:lineRule="auto"/>
              <w:ind w:firstLine="422"/>
              <w:jc w:val="center"/>
              <w:rPr>
                <w:rFonts w:ascii="宋体" w:hAnsi="宋体" w:eastAsia="宋体"/>
                <w:b/>
                <w:color w:val="auto"/>
                <w:szCs w:val="21"/>
                <w:highlight w:val="none"/>
              </w:rPr>
            </w:pPr>
            <w:r>
              <w:rPr>
                <w:rFonts w:ascii="宋体" w:hAnsi="宋体" w:eastAsia="宋体"/>
                <w:b/>
                <w:color w:val="auto"/>
                <w:szCs w:val="21"/>
                <w:highlight w:val="none"/>
              </w:rPr>
              <w:t>评审标准</w:t>
            </w:r>
          </w:p>
        </w:tc>
      </w:tr>
      <w:tr w14:paraId="073E3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794" w:type="dxa"/>
            <w:tcBorders>
              <w:top w:val="single" w:color="auto" w:sz="4" w:space="0"/>
              <w:left w:val="single" w:color="auto" w:sz="4" w:space="0"/>
              <w:bottom w:val="single" w:color="auto" w:sz="4" w:space="0"/>
              <w:right w:val="single" w:color="auto" w:sz="4" w:space="0"/>
            </w:tcBorders>
            <w:noWrap/>
            <w:vAlign w:val="center"/>
          </w:tcPr>
          <w:p w14:paraId="15A9055E">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1</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2D5E732A">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评标方法</w:t>
            </w:r>
          </w:p>
        </w:tc>
        <w:tc>
          <w:tcPr>
            <w:tcW w:w="1568" w:type="dxa"/>
            <w:tcBorders>
              <w:top w:val="single" w:color="auto" w:sz="4" w:space="0"/>
              <w:left w:val="single" w:color="auto" w:sz="4" w:space="0"/>
              <w:bottom w:val="single" w:color="auto" w:sz="4" w:space="0"/>
              <w:right w:val="single" w:color="auto" w:sz="4" w:space="0"/>
            </w:tcBorders>
            <w:noWrap/>
            <w:vAlign w:val="center"/>
          </w:tcPr>
          <w:p w14:paraId="42660F9C">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中标候选人排序方法</w:t>
            </w:r>
          </w:p>
        </w:tc>
        <w:tc>
          <w:tcPr>
            <w:tcW w:w="6219" w:type="dxa"/>
            <w:tcBorders>
              <w:top w:val="single" w:color="auto" w:sz="4" w:space="0"/>
              <w:left w:val="single" w:color="auto" w:sz="4" w:space="0"/>
              <w:bottom w:val="single" w:color="auto" w:sz="4" w:space="0"/>
              <w:right w:val="single" w:color="auto" w:sz="4" w:space="0"/>
            </w:tcBorders>
            <w:noWrap/>
          </w:tcPr>
          <w:p w14:paraId="7A71397C">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1.本次评标采用综合评估法。</w:t>
            </w:r>
          </w:p>
          <w:p w14:paraId="374E4458">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2.评标委员会对满足招标文件实质性要求的投标文件，按照本章第2.2款规定的评分标准进行打分，并按得分由高到低顺序推荐中标候选人，或根据招标人授权直接确定中标人，但投标报价低于其成本的除外。综合得分相等时，以投标报价低的优先；投标报价也相等的，以技术分较高的排前，如仍存在相同情况，则以评标委员会记名投票方式确定中标候选人顺序，得票多的靠前。</w:t>
            </w:r>
          </w:p>
        </w:tc>
      </w:tr>
      <w:tr w14:paraId="43551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trPr>
        <w:tc>
          <w:tcPr>
            <w:tcW w:w="794" w:type="dxa"/>
            <w:vMerge w:val="restart"/>
            <w:tcBorders>
              <w:top w:val="single" w:color="auto" w:sz="4" w:space="0"/>
              <w:right w:val="single" w:color="auto" w:sz="4" w:space="0"/>
            </w:tcBorders>
            <w:noWrap/>
            <w:vAlign w:val="center"/>
          </w:tcPr>
          <w:p w14:paraId="248131F7">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2.1.1</w:t>
            </w:r>
          </w:p>
        </w:tc>
        <w:tc>
          <w:tcPr>
            <w:tcW w:w="1417" w:type="dxa"/>
            <w:gridSpan w:val="2"/>
            <w:vMerge w:val="restart"/>
            <w:tcBorders>
              <w:top w:val="single" w:color="auto" w:sz="4" w:space="0"/>
              <w:right w:val="single" w:color="auto" w:sz="4" w:space="0"/>
            </w:tcBorders>
            <w:noWrap/>
            <w:vAlign w:val="center"/>
          </w:tcPr>
          <w:p w14:paraId="08CCE733">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形式评审标准</w:t>
            </w:r>
          </w:p>
        </w:tc>
        <w:tc>
          <w:tcPr>
            <w:tcW w:w="1568" w:type="dxa"/>
            <w:tcBorders>
              <w:top w:val="single" w:color="auto" w:sz="4" w:space="0"/>
              <w:left w:val="single" w:color="auto" w:sz="4" w:space="0"/>
              <w:bottom w:val="single" w:color="auto" w:sz="4" w:space="0"/>
              <w:right w:val="single" w:color="auto" w:sz="4" w:space="0"/>
            </w:tcBorders>
            <w:noWrap/>
            <w:vAlign w:val="center"/>
          </w:tcPr>
          <w:p w14:paraId="1F52758E">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投标人名称</w:t>
            </w:r>
          </w:p>
        </w:tc>
        <w:tc>
          <w:tcPr>
            <w:tcW w:w="6219" w:type="dxa"/>
            <w:tcBorders>
              <w:top w:val="single" w:color="auto" w:sz="4" w:space="0"/>
              <w:left w:val="single" w:color="auto" w:sz="4" w:space="0"/>
              <w:bottom w:val="single" w:color="auto" w:sz="4" w:space="0"/>
              <w:right w:val="single" w:color="auto" w:sz="4" w:space="0"/>
            </w:tcBorders>
            <w:noWrap/>
            <w:vAlign w:val="center"/>
          </w:tcPr>
          <w:p w14:paraId="34500DDD">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与营业执照、资质证书一致。</w:t>
            </w:r>
          </w:p>
        </w:tc>
      </w:tr>
      <w:tr w14:paraId="7E339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94" w:type="dxa"/>
            <w:vMerge w:val="continue"/>
            <w:tcBorders>
              <w:right w:val="single" w:color="auto" w:sz="4" w:space="0"/>
            </w:tcBorders>
            <w:noWrap/>
            <w:vAlign w:val="center"/>
          </w:tcPr>
          <w:p w14:paraId="7EE45B6D">
            <w:pPr>
              <w:spacing w:line="276" w:lineRule="auto"/>
              <w:rPr>
                <w:rFonts w:ascii="宋体" w:hAnsi="宋体" w:eastAsia="宋体"/>
                <w:color w:val="auto"/>
                <w:szCs w:val="21"/>
                <w:highlight w:val="none"/>
              </w:rPr>
            </w:pPr>
          </w:p>
        </w:tc>
        <w:tc>
          <w:tcPr>
            <w:tcW w:w="1417" w:type="dxa"/>
            <w:gridSpan w:val="2"/>
            <w:vMerge w:val="continue"/>
            <w:tcBorders>
              <w:right w:val="single" w:color="auto" w:sz="4" w:space="0"/>
            </w:tcBorders>
            <w:noWrap/>
            <w:vAlign w:val="center"/>
          </w:tcPr>
          <w:p w14:paraId="5F5C655A">
            <w:pPr>
              <w:spacing w:line="276" w:lineRule="auto"/>
              <w:rPr>
                <w:rFonts w:ascii="宋体" w:hAnsi="宋体" w:eastAsia="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ign w:val="center"/>
          </w:tcPr>
          <w:p w14:paraId="43F39CE1">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投标函签字盖章</w:t>
            </w:r>
          </w:p>
        </w:tc>
        <w:tc>
          <w:tcPr>
            <w:tcW w:w="6219" w:type="dxa"/>
            <w:tcBorders>
              <w:top w:val="single" w:color="auto" w:sz="4" w:space="0"/>
              <w:left w:val="single" w:color="auto" w:sz="4" w:space="0"/>
              <w:bottom w:val="single" w:color="auto" w:sz="4" w:space="0"/>
              <w:right w:val="single" w:color="auto" w:sz="4" w:space="0"/>
            </w:tcBorders>
            <w:noWrap/>
            <w:vAlign w:val="center"/>
          </w:tcPr>
          <w:p w14:paraId="04AC5CF5">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投标函格式及签字盖章符合招标文件要求，由法定代表人签字的，应附法定代表人身份证明书；由代理人签字的，应附授权委托书，法定代表人身份证明书、授权委托书应符合第六章“投标文件格式”的规定。</w:t>
            </w:r>
          </w:p>
        </w:tc>
      </w:tr>
      <w:tr w14:paraId="5BC084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94" w:type="dxa"/>
            <w:vMerge w:val="continue"/>
            <w:tcBorders>
              <w:right w:val="single" w:color="auto" w:sz="4" w:space="0"/>
            </w:tcBorders>
            <w:noWrap/>
            <w:vAlign w:val="center"/>
          </w:tcPr>
          <w:p w14:paraId="2C5330D3">
            <w:pPr>
              <w:spacing w:line="276" w:lineRule="auto"/>
              <w:rPr>
                <w:rFonts w:ascii="宋体" w:hAnsi="宋体" w:eastAsia="宋体"/>
                <w:color w:val="auto"/>
                <w:szCs w:val="21"/>
                <w:highlight w:val="none"/>
              </w:rPr>
            </w:pPr>
          </w:p>
        </w:tc>
        <w:tc>
          <w:tcPr>
            <w:tcW w:w="1417" w:type="dxa"/>
            <w:gridSpan w:val="2"/>
            <w:vMerge w:val="continue"/>
            <w:tcBorders>
              <w:right w:val="single" w:color="auto" w:sz="4" w:space="0"/>
            </w:tcBorders>
            <w:noWrap/>
            <w:vAlign w:val="center"/>
          </w:tcPr>
          <w:p w14:paraId="24F9104B">
            <w:pPr>
              <w:spacing w:line="276" w:lineRule="auto"/>
              <w:rPr>
                <w:rFonts w:ascii="宋体" w:hAnsi="宋体" w:eastAsia="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ign w:val="center"/>
          </w:tcPr>
          <w:p w14:paraId="723D3674">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投标文件格式</w:t>
            </w:r>
          </w:p>
        </w:tc>
        <w:tc>
          <w:tcPr>
            <w:tcW w:w="6219" w:type="dxa"/>
            <w:tcBorders>
              <w:top w:val="single" w:color="auto" w:sz="4" w:space="0"/>
              <w:left w:val="single" w:color="auto" w:sz="4" w:space="0"/>
              <w:bottom w:val="single" w:color="auto" w:sz="4" w:space="0"/>
              <w:right w:val="single" w:color="auto" w:sz="4" w:space="0"/>
            </w:tcBorders>
            <w:noWrap/>
            <w:vAlign w:val="center"/>
          </w:tcPr>
          <w:p w14:paraId="3AC5B8C0">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符合第六章“投标文件格式”的规定。（具体为第六章“投标文件格式”格式一、格式四、格式六)</w:t>
            </w:r>
          </w:p>
        </w:tc>
      </w:tr>
      <w:tr w14:paraId="266CEC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94" w:type="dxa"/>
            <w:vMerge w:val="continue"/>
            <w:tcBorders>
              <w:right w:val="single" w:color="auto" w:sz="4" w:space="0"/>
            </w:tcBorders>
            <w:noWrap/>
            <w:vAlign w:val="center"/>
          </w:tcPr>
          <w:p w14:paraId="16DF4F26">
            <w:pPr>
              <w:spacing w:line="276" w:lineRule="auto"/>
              <w:rPr>
                <w:rFonts w:ascii="宋体" w:hAnsi="宋体" w:eastAsia="宋体"/>
                <w:color w:val="auto"/>
                <w:szCs w:val="21"/>
                <w:highlight w:val="none"/>
              </w:rPr>
            </w:pPr>
          </w:p>
        </w:tc>
        <w:tc>
          <w:tcPr>
            <w:tcW w:w="1417" w:type="dxa"/>
            <w:gridSpan w:val="2"/>
            <w:vMerge w:val="continue"/>
            <w:tcBorders>
              <w:right w:val="single" w:color="auto" w:sz="4" w:space="0"/>
            </w:tcBorders>
            <w:noWrap/>
            <w:vAlign w:val="center"/>
          </w:tcPr>
          <w:p w14:paraId="4314296B">
            <w:pPr>
              <w:spacing w:line="276" w:lineRule="auto"/>
              <w:rPr>
                <w:rFonts w:ascii="宋体" w:hAnsi="宋体" w:eastAsia="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ign w:val="center"/>
          </w:tcPr>
          <w:p w14:paraId="6AD977C5">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备选投标方案</w:t>
            </w:r>
          </w:p>
        </w:tc>
        <w:tc>
          <w:tcPr>
            <w:tcW w:w="6219" w:type="dxa"/>
            <w:tcBorders>
              <w:top w:val="single" w:color="auto" w:sz="4" w:space="0"/>
              <w:left w:val="single" w:color="auto" w:sz="4" w:space="0"/>
              <w:bottom w:val="single" w:color="auto" w:sz="4" w:space="0"/>
              <w:right w:val="single" w:color="auto" w:sz="4" w:space="0"/>
            </w:tcBorders>
            <w:noWrap/>
            <w:vAlign w:val="center"/>
          </w:tcPr>
          <w:p w14:paraId="53E95082">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不允许。</w:t>
            </w:r>
          </w:p>
        </w:tc>
      </w:tr>
      <w:tr w14:paraId="779F7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94" w:type="dxa"/>
            <w:vMerge w:val="continue"/>
            <w:tcBorders>
              <w:right w:val="single" w:color="auto" w:sz="4" w:space="0"/>
            </w:tcBorders>
            <w:noWrap/>
            <w:vAlign w:val="center"/>
          </w:tcPr>
          <w:p w14:paraId="17B6540C">
            <w:pPr>
              <w:spacing w:line="276" w:lineRule="auto"/>
              <w:rPr>
                <w:rFonts w:ascii="宋体" w:hAnsi="宋体" w:eastAsia="宋体"/>
                <w:color w:val="auto"/>
                <w:szCs w:val="21"/>
                <w:highlight w:val="none"/>
              </w:rPr>
            </w:pPr>
          </w:p>
        </w:tc>
        <w:tc>
          <w:tcPr>
            <w:tcW w:w="1417" w:type="dxa"/>
            <w:gridSpan w:val="2"/>
            <w:vMerge w:val="continue"/>
            <w:tcBorders>
              <w:right w:val="single" w:color="auto" w:sz="4" w:space="0"/>
            </w:tcBorders>
            <w:noWrap/>
            <w:vAlign w:val="center"/>
          </w:tcPr>
          <w:p w14:paraId="671E0451">
            <w:pPr>
              <w:spacing w:line="276" w:lineRule="auto"/>
              <w:rPr>
                <w:rFonts w:ascii="宋体" w:hAnsi="宋体" w:eastAsia="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ign w:val="center"/>
          </w:tcPr>
          <w:p w14:paraId="25EE881C">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投标人机器码</w:t>
            </w:r>
          </w:p>
        </w:tc>
        <w:tc>
          <w:tcPr>
            <w:tcW w:w="6219" w:type="dxa"/>
            <w:tcBorders>
              <w:top w:val="single" w:color="auto" w:sz="4" w:space="0"/>
              <w:left w:val="single" w:color="auto" w:sz="4" w:space="0"/>
              <w:bottom w:val="single" w:color="auto" w:sz="4" w:space="0"/>
              <w:right w:val="single" w:color="auto" w:sz="4" w:space="0"/>
            </w:tcBorders>
            <w:noWrap/>
          </w:tcPr>
          <w:p w14:paraId="7E76A749">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投标人与其他投标人加密打包投标文件电脑机器特征码一致的(以广州交易集团有限公司（广州公共资源交易中心）评标系统的检索信息为准)将被否决。</w:t>
            </w:r>
          </w:p>
        </w:tc>
      </w:tr>
      <w:tr w14:paraId="08B444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4" w:hRule="atLeast"/>
        </w:trPr>
        <w:tc>
          <w:tcPr>
            <w:tcW w:w="794" w:type="dxa"/>
            <w:vMerge w:val="restart"/>
            <w:tcBorders>
              <w:top w:val="single" w:color="auto" w:sz="4" w:space="0"/>
              <w:bottom w:val="single" w:color="auto" w:sz="4" w:space="0"/>
              <w:right w:val="single" w:color="auto" w:sz="4" w:space="0"/>
            </w:tcBorders>
            <w:noWrap/>
            <w:vAlign w:val="center"/>
          </w:tcPr>
          <w:p w14:paraId="7BDE2083">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2.1.2</w:t>
            </w:r>
          </w:p>
        </w:tc>
        <w:tc>
          <w:tcPr>
            <w:tcW w:w="1417" w:type="dxa"/>
            <w:gridSpan w:val="2"/>
            <w:vMerge w:val="restart"/>
            <w:tcBorders>
              <w:top w:val="single" w:color="auto" w:sz="4" w:space="0"/>
              <w:left w:val="single" w:color="auto" w:sz="4" w:space="0"/>
              <w:bottom w:val="single" w:color="auto" w:sz="4" w:space="0"/>
              <w:right w:val="single" w:color="auto" w:sz="4" w:space="0"/>
            </w:tcBorders>
            <w:noWrap/>
            <w:vAlign w:val="center"/>
          </w:tcPr>
          <w:p w14:paraId="2D5FF413">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资格评审标准</w:t>
            </w:r>
          </w:p>
        </w:tc>
        <w:tc>
          <w:tcPr>
            <w:tcW w:w="1568" w:type="dxa"/>
            <w:tcBorders>
              <w:top w:val="single" w:color="auto" w:sz="4" w:space="0"/>
              <w:left w:val="single" w:color="auto" w:sz="4" w:space="0"/>
              <w:bottom w:val="single" w:color="auto" w:sz="4" w:space="0"/>
              <w:right w:val="single" w:color="auto" w:sz="4" w:space="0"/>
            </w:tcBorders>
            <w:noWrap/>
            <w:vAlign w:val="center"/>
          </w:tcPr>
          <w:p w14:paraId="166DF76B">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营业执照</w:t>
            </w:r>
          </w:p>
        </w:tc>
        <w:tc>
          <w:tcPr>
            <w:tcW w:w="6219" w:type="dxa"/>
            <w:tcBorders>
              <w:top w:val="single" w:color="auto" w:sz="4" w:space="0"/>
              <w:left w:val="single" w:color="auto" w:sz="4" w:space="0"/>
              <w:bottom w:val="single" w:color="auto" w:sz="4" w:space="0"/>
              <w:right w:val="single" w:color="auto" w:sz="4" w:space="0"/>
            </w:tcBorders>
            <w:noWrap/>
            <w:vAlign w:val="center"/>
          </w:tcPr>
          <w:p w14:paraId="221B8AE2">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应</w:t>
            </w:r>
            <w:r>
              <w:rPr>
                <w:rFonts w:hint="eastAsia" w:ascii="宋体" w:hAnsi="宋体" w:eastAsia="宋体"/>
                <w:color w:val="auto"/>
                <w:szCs w:val="21"/>
                <w:highlight w:val="none"/>
                <w:lang w:val="en-US" w:eastAsia="zh-CN"/>
              </w:rPr>
              <w:t>提供</w:t>
            </w:r>
            <w:r>
              <w:rPr>
                <w:rFonts w:hint="eastAsia" w:ascii="宋体" w:hAnsi="宋体" w:eastAsia="宋体"/>
                <w:color w:val="auto"/>
                <w:szCs w:val="21"/>
                <w:highlight w:val="none"/>
              </w:rPr>
              <w:t>投标人营业执照原件清晰彩色扫描件。</w:t>
            </w:r>
          </w:p>
        </w:tc>
      </w:tr>
      <w:tr w14:paraId="5FFB9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794" w:type="dxa"/>
            <w:vMerge w:val="continue"/>
            <w:tcBorders>
              <w:top w:val="single" w:color="auto" w:sz="4" w:space="0"/>
              <w:bottom w:val="single" w:color="auto" w:sz="4" w:space="0"/>
              <w:right w:val="single" w:color="auto" w:sz="4" w:space="0"/>
            </w:tcBorders>
            <w:noWrap/>
            <w:vAlign w:val="center"/>
          </w:tcPr>
          <w:p w14:paraId="608D49BA">
            <w:pPr>
              <w:spacing w:line="276" w:lineRule="auto"/>
              <w:rPr>
                <w:rFonts w:ascii="宋体" w:hAnsi="宋体" w:eastAsia="宋体"/>
                <w:color w:val="auto"/>
                <w:szCs w:val="21"/>
                <w:highlight w:val="none"/>
              </w:rPr>
            </w:pPr>
          </w:p>
        </w:tc>
        <w:tc>
          <w:tcPr>
            <w:tcW w:w="1417"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F4BB99C">
            <w:pPr>
              <w:spacing w:line="276" w:lineRule="auto"/>
              <w:rPr>
                <w:rFonts w:ascii="宋体" w:hAnsi="宋体" w:eastAsia="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ign w:val="center"/>
          </w:tcPr>
          <w:p w14:paraId="732C0114">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资质要求</w:t>
            </w:r>
          </w:p>
        </w:tc>
        <w:tc>
          <w:tcPr>
            <w:tcW w:w="6219" w:type="dxa"/>
            <w:tcBorders>
              <w:top w:val="single" w:color="auto" w:sz="4" w:space="0"/>
              <w:left w:val="single" w:color="auto" w:sz="4" w:space="0"/>
              <w:bottom w:val="single" w:color="auto" w:sz="4" w:space="0"/>
              <w:right w:val="single" w:color="auto" w:sz="4" w:space="0"/>
            </w:tcBorders>
            <w:noWrap/>
            <w:vAlign w:val="center"/>
          </w:tcPr>
          <w:p w14:paraId="126C547E">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lang w:val="en-US" w:eastAsia="zh-CN"/>
              </w:rPr>
              <w:t>联合体主办方</w:t>
            </w:r>
            <w:r>
              <w:rPr>
                <w:rFonts w:hint="eastAsia" w:ascii="宋体" w:hAnsi="宋体" w:eastAsia="宋体"/>
                <w:color w:val="auto"/>
                <w:szCs w:val="21"/>
                <w:highlight w:val="none"/>
              </w:rPr>
              <w:t>应提供有效的乙级或以上城乡规划编制资质证书。</w:t>
            </w:r>
          </w:p>
        </w:tc>
      </w:tr>
      <w:tr w14:paraId="581A6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94" w:type="dxa"/>
            <w:vMerge w:val="continue"/>
            <w:tcBorders>
              <w:top w:val="single" w:color="auto" w:sz="4" w:space="0"/>
              <w:bottom w:val="single" w:color="auto" w:sz="4" w:space="0"/>
              <w:right w:val="single" w:color="auto" w:sz="4" w:space="0"/>
            </w:tcBorders>
            <w:noWrap/>
            <w:vAlign w:val="center"/>
          </w:tcPr>
          <w:p w14:paraId="7B090137">
            <w:pPr>
              <w:spacing w:line="276" w:lineRule="auto"/>
              <w:rPr>
                <w:rFonts w:ascii="宋体" w:hAnsi="宋体" w:eastAsia="宋体"/>
                <w:color w:val="auto"/>
                <w:szCs w:val="21"/>
                <w:highlight w:val="none"/>
              </w:rPr>
            </w:pPr>
          </w:p>
        </w:tc>
        <w:tc>
          <w:tcPr>
            <w:tcW w:w="1417"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125123E">
            <w:pPr>
              <w:spacing w:line="276" w:lineRule="auto"/>
              <w:rPr>
                <w:rFonts w:ascii="宋体" w:hAnsi="宋体" w:eastAsia="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ign w:val="center"/>
          </w:tcPr>
          <w:p w14:paraId="7DBAB09E">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联合体投标人</w:t>
            </w:r>
          </w:p>
        </w:tc>
        <w:tc>
          <w:tcPr>
            <w:tcW w:w="6219" w:type="dxa"/>
            <w:tcBorders>
              <w:top w:val="single" w:color="auto" w:sz="4" w:space="0"/>
              <w:left w:val="single" w:color="auto" w:sz="4" w:space="0"/>
              <w:bottom w:val="single" w:color="auto" w:sz="4" w:space="0"/>
              <w:right w:val="single" w:color="auto" w:sz="4" w:space="0"/>
            </w:tcBorders>
            <w:noWrap/>
            <w:vAlign w:val="center"/>
          </w:tcPr>
          <w:p w14:paraId="4734DF6B">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应提供联合体协议书（格式见招标公告附件</w:t>
            </w:r>
            <w:r>
              <w:rPr>
                <w:rFonts w:hint="eastAsia" w:ascii="宋体" w:hAnsi="宋体" w:eastAsia="宋体"/>
                <w:color w:val="auto"/>
                <w:szCs w:val="21"/>
                <w:highlight w:val="none"/>
                <w:lang w:val="en-US" w:eastAsia="zh-CN"/>
              </w:rPr>
              <w:t>一</w:t>
            </w:r>
            <w:r>
              <w:rPr>
                <w:rFonts w:hint="eastAsia" w:ascii="宋体" w:hAnsi="宋体" w:eastAsia="宋体"/>
                <w:color w:val="auto"/>
                <w:szCs w:val="21"/>
                <w:highlight w:val="none"/>
              </w:rPr>
              <w:t>）</w:t>
            </w:r>
          </w:p>
        </w:tc>
      </w:tr>
      <w:tr w14:paraId="53663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94" w:type="dxa"/>
            <w:vMerge w:val="continue"/>
            <w:tcBorders>
              <w:top w:val="single" w:color="auto" w:sz="4" w:space="0"/>
              <w:bottom w:val="single" w:color="auto" w:sz="4" w:space="0"/>
              <w:right w:val="single" w:color="auto" w:sz="4" w:space="0"/>
            </w:tcBorders>
            <w:noWrap/>
            <w:vAlign w:val="center"/>
          </w:tcPr>
          <w:p w14:paraId="10C3EA19">
            <w:pPr>
              <w:spacing w:line="276" w:lineRule="auto"/>
              <w:rPr>
                <w:rFonts w:ascii="宋体" w:hAnsi="宋体" w:eastAsia="宋体"/>
                <w:color w:val="auto"/>
                <w:szCs w:val="21"/>
                <w:highlight w:val="none"/>
              </w:rPr>
            </w:pPr>
          </w:p>
        </w:tc>
        <w:tc>
          <w:tcPr>
            <w:tcW w:w="1417"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2E902A8">
            <w:pPr>
              <w:spacing w:line="276" w:lineRule="auto"/>
              <w:rPr>
                <w:rFonts w:ascii="宋体" w:hAnsi="宋体" w:eastAsia="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ign w:val="center"/>
          </w:tcPr>
          <w:p w14:paraId="769E2969">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其他要求</w:t>
            </w:r>
          </w:p>
        </w:tc>
        <w:tc>
          <w:tcPr>
            <w:tcW w:w="6219" w:type="dxa"/>
            <w:tcBorders>
              <w:top w:val="single" w:color="auto" w:sz="4" w:space="0"/>
              <w:left w:val="single" w:color="auto" w:sz="4" w:space="0"/>
              <w:bottom w:val="single" w:color="auto" w:sz="4" w:space="0"/>
              <w:right w:val="single" w:color="auto" w:sz="4" w:space="0"/>
            </w:tcBorders>
            <w:noWrap/>
            <w:vAlign w:val="center"/>
          </w:tcPr>
          <w:p w14:paraId="13531843">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符合第二章“投标人须知”第1.4.1项规定。</w:t>
            </w:r>
          </w:p>
        </w:tc>
      </w:tr>
      <w:tr w14:paraId="30055C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94" w:type="dxa"/>
            <w:vMerge w:val="continue"/>
            <w:tcBorders>
              <w:top w:val="single" w:color="auto" w:sz="4" w:space="0"/>
              <w:bottom w:val="single" w:color="auto" w:sz="4" w:space="0"/>
              <w:right w:val="single" w:color="auto" w:sz="4" w:space="0"/>
            </w:tcBorders>
            <w:noWrap/>
            <w:vAlign w:val="center"/>
          </w:tcPr>
          <w:p w14:paraId="476F2A5A">
            <w:pPr>
              <w:spacing w:line="276" w:lineRule="auto"/>
              <w:rPr>
                <w:rFonts w:ascii="宋体" w:hAnsi="宋体" w:eastAsia="宋体"/>
                <w:color w:val="auto"/>
                <w:szCs w:val="21"/>
                <w:highlight w:val="none"/>
              </w:rPr>
            </w:pPr>
          </w:p>
        </w:tc>
        <w:tc>
          <w:tcPr>
            <w:tcW w:w="1417"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309E008">
            <w:pPr>
              <w:spacing w:line="276" w:lineRule="auto"/>
              <w:rPr>
                <w:rFonts w:ascii="宋体" w:hAnsi="宋体" w:eastAsia="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ign w:val="center"/>
          </w:tcPr>
          <w:p w14:paraId="0787C112">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不存在禁止投标的情形</w:t>
            </w:r>
          </w:p>
        </w:tc>
        <w:tc>
          <w:tcPr>
            <w:tcW w:w="6219" w:type="dxa"/>
            <w:tcBorders>
              <w:top w:val="single" w:color="auto" w:sz="4" w:space="0"/>
              <w:left w:val="single" w:color="auto" w:sz="4" w:space="0"/>
              <w:bottom w:val="single" w:color="auto" w:sz="4" w:space="0"/>
              <w:right w:val="single" w:color="auto" w:sz="4" w:space="0"/>
            </w:tcBorders>
            <w:noWrap/>
            <w:vAlign w:val="center"/>
          </w:tcPr>
          <w:p w14:paraId="6C24426B">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不存在第二章“投标人须知”第1.4.3项规定的任何一种情形。</w:t>
            </w:r>
          </w:p>
        </w:tc>
      </w:tr>
      <w:tr w14:paraId="4C535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1" w:hRule="atLeast"/>
        </w:trPr>
        <w:tc>
          <w:tcPr>
            <w:tcW w:w="794" w:type="dxa"/>
            <w:vMerge w:val="restart"/>
            <w:tcBorders>
              <w:top w:val="single" w:color="auto" w:sz="4" w:space="0"/>
              <w:right w:val="single" w:color="auto" w:sz="4" w:space="0"/>
            </w:tcBorders>
            <w:noWrap/>
            <w:vAlign w:val="center"/>
          </w:tcPr>
          <w:p w14:paraId="1FBEE03A">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2.1.3</w:t>
            </w:r>
          </w:p>
        </w:tc>
        <w:tc>
          <w:tcPr>
            <w:tcW w:w="1417" w:type="dxa"/>
            <w:gridSpan w:val="2"/>
            <w:vMerge w:val="restart"/>
            <w:tcBorders>
              <w:top w:val="single" w:color="auto" w:sz="4" w:space="0"/>
              <w:left w:val="single" w:color="auto" w:sz="4" w:space="0"/>
              <w:right w:val="single" w:color="auto" w:sz="4" w:space="0"/>
            </w:tcBorders>
            <w:noWrap/>
            <w:vAlign w:val="center"/>
          </w:tcPr>
          <w:p w14:paraId="4FE1AFBA">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响应性评审标准</w:t>
            </w:r>
          </w:p>
        </w:tc>
        <w:tc>
          <w:tcPr>
            <w:tcW w:w="1568" w:type="dxa"/>
            <w:tcBorders>
              <w:top w:val="single" w:color="auto" w:sz="4" w:space="0"/>
              <w:left w:val="single" w:color="auto" w:sz="4" w:space="0"/>
              <w:right w:val="single" w:color="auto" w:sz="4" w:space="0"/>
            </w:tcBorders>
            <w:noWrap/>
            <w:vAlign w:val="center"/>
          </w:tcPr>
          <w:p w14:paraId="7474059F">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投标报价</w:t>
            </w:r>
          </w:p>
        </w:tc>
        <w:tc>
          <w:tcPr>
            <w:tcW w:w="6219" w:type="dxa"/>
            <w:tcBorders>
              <w:top w:val="single" w:color="auto" w:sz="4" w:space="0"/>
              <w:left w:val="single" w:color="auto" w:sz="4" w:space="0"/>
            </w:tcBorders>
            <w:noWrap/>
            <w:vAlign w:val="center"/>
          </w:tcPr>
          <w:p w14:paraId="7C388B11">
            <w:pPr>
              <w:spacing w:line="276" w:lineRule="auto"/>
              <w:rPr>
                <w:rFonts w:ascii="宋体" w:hAnsi="宋体" w:eastAsia="宋体"/>
                <w:color w:val="auto"/>
                <w:szCs w:val="21"/>
                <w:highlight w:val="none"/>
              </w:rPr>
            </w:pPr>
            <w:r>
              <w:rPr>
                <w:rFonts w:ascii="宋体" w:hAnsi="宋体" w:eastAsia="宋体"/>
                <w:color w:val="auto"/>
                <w:szCs w:val="21"/>
                <w:highlight w:val="none"/>
              </w:rPr>
              <w:t>符合第二章“投标人须知”第3.2款规定</w:t>
            </w:r>
            <w:r>
              <w:rPr>
                <w:rFonts w:hint="eastAsia" w:ascii="宋体" w:hAnsi="宋体" w:eastAsia="宋体"/>
                <w:color w:val="auto"/>
                <w:szCs w:val="21"/>
                <w:highlight w:val="none"/>
              </w:rPr>
              <w:t>进行投标报价的。</w:t>
            </w:r>
          </w:p>
        </w:tc>
      </w:tr>
      <w:tr w14:paraId="2CBF0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94" w:type="dxa"/>
            <w:vMerge w:val="continue"/>
            <w:tcBorders>
              <w:right w:val="single" w:color="auto" w:sz="4" w:space="0"/>
            </w:tcBorders>
            <w:noWrap/>
            <w:vAlign w:val="center"/>
          </w:tcPr>
          <w:p w14:paraId="1F1F8FA9">
            <w:pPr>
              <w:spacing w:line="276" w:lineRule="auto"/>
              <w:jc w:val="center"/>
              <w:rPr>
                <w:rFonts w:ascii="宋体" w:hAnsi="宋体" w:eastAsia="宋体"/>
                <w:color w:val="auto"/>
                <w:szCs w:val="21"/>
                <w:highlight w:val="none"/>
              </w:rPr>
            </w:pPr>
          </w:p>
        </w:tc>
        <w:tc>
          <w:tcPr>
            <w:tcW w:w="1417" w:type="dxa"/>
            <w:gridSpan w:val="2"/>
            <w:vMerge w:val="continue"/>
            <w:tcBorders>
              <w:left w:val="single" w:color="auto" w:sz="4" w:space="0"/>
              <w:right w:val="single" w:color="auto" w:sz="4" w:space="0"/>
            </w:tcBorders>
            <w:noWrap/>
            <w:vAlign w:val="center"/>
          </w:tcPr>
          <w:p w14:paraId="4F9D44AF">
            <w:pPr>
              <w:spacing w:line="276" w:lineRule="auto"/>
              <w:jc w:val="center"/>
              <w:rPr>
                <w:rFonts w:ascii="宋体" w:hAnsi="宋体" w:eastAsia="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ign w:val="center"/>
          </w:tcPr>
          <w:p w14:paraId="26596589">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投标内容</w:t>
            </w:r>
          </w:p>
        </w:tc>
        <w:tc>
          <w:tcPr>
            <w:tcW w:w="6219" w:type="dxa"/>
            <w:tcBorders>
              <w:top w:val="single" w:color="auto" w:sz="4" w:space="0"/>
              <w:left w:val="single" w:color="auto" w:sz="4" w:space="0"/>
              <w:bottom w:val="single" w:color="auto" w:sz="4" w:space="0"/>
            </w:tcBorders>
            <w:noWrap/>
            <w:vAlign w:val="center"/>
          </w:tcPr>
          <w:p w14:paraId="044B231F">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符合第二章“投标人须知”第</w:t>
            </w:r>
            <w:r>
              <w:rPr>
                <w:rFonts w:ascii="宋体" w:hAnsi="宋体" w:eastAsia="宋体"/>
                <w:color w:val="auto"/>
                <w:szCs w:val="21"/>
                <w:highlight w:val="none"/>
              </w:rPr>
              <w:t>1.3.1项规定。</w:t>
            </w:r>
          </w:p>
        </w:tc>
      </w:tr>
      <w:tr w14:paraId="55E5D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794" w:type="dxa"/>
            <w:vMerge w:val="continue"/>
            <w:tcBorders>
              <w:right w:val="single" w:color="auto" w:sz="4" w:space="0"/>
            </w:tcBorders>
            <w:noWrap/>
            <w:vAlign w:val="center"/>
          </w:tcPr>
          <w:p w14:paraId="3992C12C">
            <w:pPr>
              <w:spacing w:line="276" w:lineRule="auto"/>
              <w:jc w:val="center"/>
              <w:rPr>
                <w:rFonts w:ascii="宋体" w:hAnsi="宋体" w:eastAsia="宋体"/>
                <w:color w:val="auto"/>
                <w:szCs w:val="21"/>
                <w:highlight w:val="none"/>
              </w:rPr>
            </w:pPr>
          </w:p>
        </w:tc>
        <w:tc>
          <w:tcPr>
            <w:tcW w:w="1417" w:type="dxa"/>
            <w:gridSpan w:val="2"/>
            <w:vMerge w:val="continue"/>
            <w:tcBorders>
              <w:left w:val="single" w:color="auto" w:sz="4" w:space="0"/>
              <w:right w:val="single" w:color="auto" w:sz="4" w:space="0"/>
            </w:tcBorders>
            <w:noWrap/>
            <w:vAlign w:val="center"/>
          </w:tcPr>
          <w:p w14:paraId="22748E2D">
            <w:pPr>
              <w:spacing w:line="276" w:lineRule="auto"/>
              <w:jc w:val="center"/>
              <w:rPr>
                <w:rFonts w:ascii="宋体" w:hAnsi="宋体" w:eastAsia="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ign w:val="center"/>
          </w:tcPr>
          <w:p w14:paraId="29B2F12C">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服务期限</w:t>
            </w:r>
          </w:p>
        </w:tc>
        <w:tc>
          <w:tcPr>
            <w:tcW w:w="6219" w:type="dxa"/>
            <w:tcBorders>
              <w:top w:val="single" w:color="auto" w:sz="4" w:space="0"/>
              <w:left w:val="single" w:color="auto" w:sz="4" w:space="0"/>
              <w:bottom w:val="single" w:color="auto" w:sz="4" w:space="0"/>
            </w:tcBorders>
            <w:noWrap/>
            <w:vAlign w:val="center"/>
          </w:tcPr>
          <w:p w14:paraId="27EA9077">
            <w:pPr>
              <w:spacing w:line="276" w:lineRule="auto"/>
              <w:rPr>
                <w:rFonts w:ascii="宋体" w:hAnsi="宋体" w:eastAsia="宋体"/>
                <w:color w:val="auto"/>
                <w:szCs w:val="21"/>
                <w:highlight w:val="none"/>
              </w:rPr>
            </w:pPr>
            <w:r>
              <w:rPr>
                <w:rFonts w:ascii="宋体" w:hAnsi="宋体" w:eastAsia="宋体"/>
                <w:color w:val="auto"/>
                <w:szCs w:val="21"/>
                <w:highlight w:val="none"/>
              </w:rPr>
              <w:t>符合第二章“投标人须知”第1.3.2项规定</w:t>
            </w:r>
            <w:r>
              <w:rPr>
                <w:rFonts w:hint="eastAsia" w:ascii="宋体" w:hAnsi="宋体" w:eastAsia="宋体"/>
                <w:color w:val="auto"/>
                <w:szCs w:val="21"/>
                <w:highlight w:val="none"/>
              </w:rPr>
              <w:t>。</w:t>
            </w:r>
          </w:p>
        </w:tc>
      </w:tr>
      <w:tr w14:paraId="79A2F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794" w:type="dxa"/>
            <w:vMerge w:val="continue"/>
            <w:tcBorders>
              <w:right w:val="single" w:color="auto" w:sz="4" w:space="0"/>
            </w:tcBorders>
            <w:noWrap/>
            <w:vAlign w:val="center"/>
          </w:tcPr>
          <w:p w14:paraId="0D718CB2">
            <w:pPr>
              <w:spacing w:line="276" w:lineRule="auto"/>
              <w:jc w:val="center"/>
              <w:rPr>
                <w:rFonts w:ascii="宋体" w:hAnsi="宋体" w:eastAsia="宋体"/>
                <w:color w:val="auto"/>
                <w:szCs w:val="21"/>
                <w:highlight w:val="none"/>
              </w:rPr>
            </w:pPr>
          </w:p>
        </w:tc>
        <w:tc>
          <w:tcPr>
            <w:tcW w:w="1417" w:type="dxa"/>
            <w:gridSpan w:val="2"/>
            <w:vMerge w:val="continue"/>
            <w:tcBorders>
              <w:left w:val="single" w:color="auto" w:sz="4" w:space="0"/>
              <w:right w:val="single" w:color="auto" w:sz="4" w:space="0"/>
            </w:tcBorders>
            <w:noWrap/>
            <w:vAlign w:val="center"/>
          </w:tcPr>
          <w:p w14:paraId="2A5A9D87">
            <w:pPr>
              <w:spacing w:line="276" w:lineRule="auto"/>
              <w:jc w:val="center"/>
              <w:rPr>
                <w:rFonts w:ascii="宋体" w:hAnsi="宋体" w:eastAsia="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ign w:val="center"/>
          </w:tcPr>
          <w:p w14:paraId="57559D05">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质量标准</w:t>
            </w:r>
          </w:p>
        </w:tc>
        <w:tc>
          <w:tcPr>
            <w:tcW w:w="6219" w:type="dxa"/>
            <w:tcBorders>
              <w:top w:val="single" w:color="auto" w:sz="4" w:space="0"/>
              <w:left w:val="single" w:color="auto" w:sz="4" w:space="0"/>
              <w:bottom w:val="single" w:color="auto" w:sz="4" w:space="0"/>
            </w:tcBorders>
            <w:noWrap/>
            <w:vAlign w:val="center"/>
          </w:tcPr>
          <w:p w14:paraId="4204E2B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符合第二章“投标人须知”第</w:t>
            </w:r>
            <w:r>
              <w:rPr>
                <w:rFonts w:ascii="宋体" w:hAnsi="宋体" w:eastAsia="宋体"/>
                <w:color w:val="auto"/>
                <w:szCs w:val="21"/>
                <w:highlight w:val="none"/>
              </w:rPr>
              <w:t>1.3.3项规定。</w:t>
            </w:r>
          </w:p>
        </w:tc>
      </w:tr>
      <w:tr w14:paraId="2CE79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794" w:type="dxa"/>
            <w:vMerge w:val="continue"/>
            <w:tcBorders>
              <w:right w:val="single" w:color="auto" w:sz="4" w:space="0"/>
            </w:tcBorders>
            <w:noWrap/>
            <w:vAlign w:val="center"/>
          </w:tcPr>
          <w:p w14:paraId="78B2A4EF">
            <w:pPr>
              <w:spacing w:line="276" w:lineRule="auto"/>
              <w:rPr>
                <w:rFonts w:ascii="宋体" w:hAnsi="宋体" w:eastAsia="宋体"/>
                <w:color w:val="auto"/>
                <w:szCs w:val="21"/>
                <w:highlight w:val="none"/>
              </w:rPr>
            </w:pPr>
          </w:p>
        </w:tc>
        <w:tc>
          <w:tcPr>
            <w:tcW w:w="1417" w:type="dxa"/>
            <w:gridSpan w:val="2"/>
            <w:vMerge w:val="continue"/>
            <w:tcBorders>
              <w:left w:val="single" w:color="auto" w:sz="4" w:space="0"/>
              <w:right w:val="single" w:color="auto" w:sz="4" w:space="0"/>
            </w:tcBorders>
            <w:noWrap/>
            <w:vAlign w:val="center"/>
          </w:tcPr>
          <w:p w14:paraId="0787421C">
            <w:pPr>
              <w:spacing w:line="276" w:lineRule="auto"/>
              <w:rPr>
                <w:rFonts w:ascii="宋体" w:hAnsi="宋体" w:eastAsia="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ign w:val="center"/>
          </w:tcPr>
          <w:p w14:paraId="4208C6D4">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投标有效期</w:t>
            </w:r>
          </w:p>
        </w:tc>
        <w:tc>
          <w:tcPr>
            <w:tcW w:w="6219" w:type="dxa"/>
            <w:tcBorders>
              <w:top w:val="single" w:color="auto" w:sz="4" w:space="0"/>
              <w:left w:val="single" w:color="auto" w:sz="4" w:space="0"/>
              <w:bottom w:val="single" w:color="auto" w:sz="4" w:space="0"/>
            </w:tcBorders>
            <w:noWrap/>
            <w:vAlign w:val="center"/>
          </w:tcPr>
          <w:p w14:paraId="647CA44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符合第二章“投标人须知”第</w:t>
            </w:r>
            <w:r>
              <w:rPr>
                <w:rFonts w:ascii="宋体" w:hAnsi="宋体" w:eastAsia="宋体"/>
                <w:color w:val="auto"/>
                <w:szCs w:val="21"/>
                <w:highlight w:val="none"/>
              </w:rPr>
              <w:t>3.3.1项规定。</w:t>
            </w:r>
          </w:p>
        </w:tc>
      </w:tr>
      <w:tr w14:paraId="65999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4" w:hRule="atLeast"/>
        </w:trPr>
        <w:tc>
          <w:tcPr>
            <w:tcW w:w="794" w:type="dxa"/>
            <w:vMerge w:val="continue"/>
            <w:tcBorders>
              <w:right w:val="single" w:color="auto" w:sz="4" w:space="0"/>
            </w:tcBorders>
            <w:noWrap/>
            <w:vAlign w:val="center"/>
          </w:tcPr>
          <w:p w14:paraId="03F7BCB5">
            <w:pPr>
              <w:spacing w:line="276" w:lineRule="auto"/>
              <w:rPr>
                <w:rFonts w:ascii="宋体" w:hAnsi="宋体" w:eastAsia="宋体"/>
                <w:color w:val="auto"/>
                <w:szCs w:val="21"/>
                <w:highlight w:val="none"/>
              </w:rPr>
            </w:pPr>
          </w:p>
        </w:tc>
        <w:tc>
          <w:tcPr>
            <w:tcW w:w="1417" w:type="dxa"/>
            <w:gridSpan w:val="2"/>
            <w:vMerge w:val="continue"/>
            <w:tcBorders>
              <w:left w:val="single" w:color="auto" w:sz="4" w:space="0"/>
              <w:right w:val="single" w:color="auto" w:sz="4" w:space="0"/>
            </w:tcBorders>
            <w:noWrap/>
            <w:vAlign w:val="center"/>
          </w:tcPr>
          <w:p w14:paraId="5F16EE88">
            <w:pPr>
              <w:spacing w:line="276" w:lineRule="auto"/>
              <w:rPr>
                <w:rFonts w:ascii="宋体" w:hAnsi="宋体" w:eastAsia="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ign w:val="center"/>
          </w:tcPr>
          <w:p w14:paraId="1FE2F156">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串通投标情形</w:t>
            </w:r>
          </w:p>
        </w:tc>
        <w:tc>
          <w:tcPr>
            <w:tcW w:w="6219" w:type="dxa"/>
            <w:tcBorders>
              <w:top w:val="single" w:color="auto" w:sz="4" w:space="0"/>
              <w:left w:val="single" w:color="auto" w:sz="4" w:space="0"/>
              <w:bottom w:val="single" w:color="auto" w:sz="4" w:space="0"/>
            </w:tcBorders>
            <w:noWrap/>
          </w:tcPr>
          <w:p w14:paraId="50B9DB0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不存在串通投标情形（串通投标情形以《中华人民共和国招标投标法实施条例》和《广东省实施</w:t>
            </w:r>
            <w:r>
              <w:rPr>
                <w:rFonts w:ascii="宋体" w:hAnsi="宋体" w:eastAsia="宋体"/>
                <w:color w:val="auto"/>
                <w:szCs w:val="21"/>
                <w:highlight w:val="none"/>
              </w:rPr>
              <w:t>&lt;中华人民共和国招标投标法&gt;办法》的规定为准）。</w:t>
            </w:r>
          </w:p>
        </w:tc>
      </w:tr>
      <w:tr w14:paraId="0C081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211" w:type="dxa"/>
            <w:gridSpan w:val="3"/>
            <w:tcBorders>
              <w:top w:val="single" w:color="auto" w:sz="4" w:space="0"/>
              <w:bottom w:val="single" w:color="auto" w:sz="4" w:space="0"/>
              <w:right w:val="single" w:color="auto" w:sz="4" w:space="0"/>
            </w:tcBorders>
            <w:noWrap/>
            <w:vAlign w:val="center"/>
          </w:tcPr>
          <w:p w14:paraId="4424184C">
            <w:pPr>
              <w:spacing w:line="276" w:lineRule="auto"/>
              <w:ind w:firstLine="422"/>
              <w:jc w:val="center"/>
              <w:rPr>
                <w:rFonts w:ascii="宋体" w:hAnsi="宋体" w:eastAsia="宋体"/>
                <w:b/>
                <w:color w:val="auto"/>
                <w:szCs w:val="21"/>
                <w:highlight w:val="none"/>
              </w:rPr>
            </w:pPr>
            <w:r>
              <w:rPr>
                <w:rFonts w:ascii="宋体" w:hAnsi="宋体" w:eastAsia="宋体"/>
                <w:b/>
                <w:color w:val="auto"/>
                <w:szCs w:val="21"/>
                <w:highlight w:val="none"/>
              </w:rPr>
              <w:t>条款号</w:t>
            </w:r>
          </w:p>
        </w:tc>
        <w:tc>
          <w:tcPr>
            <w:tcW w:w="1568" w:type="dxa"/>
            <w:tcBorders>
              <w:top w:val="single" w:color="auto" w:sz="4" w:space="0"/>
              <w:left w:val="single" w:color="auto" w:sz="4" w:space="0"/>
              <w:bottom w:val="single" w:color="auto" w:sz="4" w:space="0"/>
              <w:right w:val="single" w:color="auto" w:sz="4" w:space="0"/>
            </w:tcBorders>
            <w:noWrap/>
            <w:vAlign w:val="center"/>
          </w:tcPr>
          <w:p w14:paraId="0CACD467">
            <w:pPr>
              <w:spacing w:line="276" w:lineRule="auto"/>
              <w:ind w:firstLine="422"/>
              <w:jc w:val="center"/>
              <w:rPr>
                <w:rFonts w:ascii="宋体" w:hAnsi="宋体" w:eastAsia="宋体"/>
                <w:b/>
                <w:color w:val="auto"/>
                <w:szCs w:val="21"/>
                <w:highlight w:val="none"/>
              </w:rPr>
            </w:pPr>
            <w:r>
              <w:rPr>
                <w:rFonts w:ascii="宋体" w:hAnsi="宋体" w:eastAsia="宋体"/>
                <w:b/>
                <w:color w:val="auto"/>
                <w:szCs w:val="21"/>
                <w:highlight w:val="none"/>
              </w:rPr>
              <w:t>条款内容</w:t>
            </w:r>
          </w:p>
        </w:tc>
        <w:tc>
          <w:tcPr>
            <w:tcW w:w="6219" w:type="dxa"/>
            <w:tcBorders>
              <w:top w:val="single" w:color="auto" w:sz="4" w:space="0"/>
              <w:left w:val="single" w:color="auto" w:sz="4" w:space="0"/>
              <w:bottom w:val="single" w:color="auto" w:sz="4" w:space="0"/>
              <w:right w:val="single" w:color="auto" w:sz="4" w:space="0"/>
            </w:tcBorders>
            <w:noWrap/>
            <w:vAlign w:val="center"/>
          </w:tcPr>
          <w:p w14:paraId="2B9B4FA4">
            <w:pPr>
              <w:spacing w:line="276" w:lineRule="auto"/>
              <w:ind w:firstLine="422"/>
              <w:jc w:val="center"/>
              <w:rPr>
                <w:rFonts w:ascii="宋体" w:hAnsi="宋体" w:eastAsia="宋体"/>
                <w:b/>
                <w:color w:val="auto"/>
                <w:szCs w:val="21"/>
                <w:highlight w:val="none"/>
              </w:rPr>
            </w:pPr>
            <w:r>
              <w:rPr>
                <w:rFonts w:ascii="宋体" w:hAnsi="宋体" w:eastAsia="宋体"/>
                <w:b/>
                <w:color w:val="auto"/>
                <w:szCs w:val="21"/>
                <w:highlight w:val="none"/>
              </w:rPr>
              <w:t>编列内容</w:t>
            </w:r>
          </w:p>
        </w:tc>
      </w:tr>
      <w:tr w14:paraId="1F188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2211" w:type="dxa"/>
            <w:gridSpan w:val="3"/>
            <w:tcBorders>
              <w:bottom w:val="single" w:color="auto" w:sz="4" w:space="0"/>
              <w:right w:val="single" w:color="auto" w:sz="4" w:space="0"/>
            </w:tcBorders>
            <w:noWrap/>
            <w:vAlign w:val="center"/>
          </w:tcPr>
          <w:p w14:paraId="7248114C">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2.2.1</w:t>
            </w:r>
          </w:p>
        </w:tc>
        <w:tc>
          <w:tcPr>
            <w:tcW w:w="1568" w:type="dxa"/>
            <w:tcBorders>
              <w:top w:val="single" w:color="auto" w:sz="4" w:space="0"/>
              <w:left w:val="single" w:color="auto" w:sz="4" w:space="0"/>
              <w:bottom w:val="single" w:color="auto" w:sz="4" w:space="0"/>
              <w:right w:val="single" w:color="auto" w:sz="4" w:space="0"/>
            </w:tcBorders>
            <w:noWrap/>
            <w:vAlign w:val="center"/>
          </w:tcPr>
          <w:p w14:paraId="16DE0E0D">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分值构成</w:t>
            </w:r>
          </w:p>
          <w:p w14:paraId="0B6B497D">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(总分100分)</w:t>
            </w:r>
          </w:p>
        </w:tc>
        <w:tc>
          <w:tcPr>
            <w:tcW w:w="6219" w:type="dxa"/>
            <w:tcBorders>
              <w:top w:val="single" w:color="auto" w:sz="4" w:space="0"/>
              <w:left w:val="single" w:color="auto" w:sz="4" w:space="0"/>
              <w:bottom w:val="single" w:color="auto" w:sz="4" w:space="0"/>
              <w:right w:val="single" w:color="auto" w:sz="4" w:space="0"/>
            </w:tcBorders>
            <w:noWrap/>
            <w:vAlign w:val="center"/>
          </w:tcPr>
          <w:p w14:paraId="52B9E64D">
            <w:pPr>
              <w:spacing w:line="276" w:lineRule="auto"/>
              <w:rPr>
                <w:rFonts w:ascii="宋体" w:hAnsi="宋体" w:eastAsia="宋体"/>
                <w:color w:val="auto"/>
                <w:szCs w:val="21"/>
                <w:highlight w:val="none"/>
              </w:rPr>
            </w:pPr>
            <w:r>
              <w:rPr>
                <w:rFonts w:ascii="宋体" w:hAnsi="宋体" w:eastAsia="宋体"/>
                <w:color w:val="auto"/>
                <w:szCs w:val="21"/>
                <w:highlight w:val="none"/>
              </w:rPr>
              <w:t>1商务部分：45</w:t>
            </w:r>
            <w:r>
              <w:rPr>
                <w:rFonts w:hint="eastAsia" w:ascii="宋体" w:hAnsi="宋体" w:eastAsia="宋体"/>
                <w:color w:val="auto"/>
                <w:szCs w:val="21"/>
                <w:highlight w:val="none"/>
              </w:rPr>
              <w:t>分</w:t>
            </w:r>
          </w:p>
          <w:p w14:paraId="172C8E6C">
            <w:pPr>
              <w:spacing w:line="276" w:lineRule="auto"/>
              <w:rPr>
                <w:rFonts w:ascii="宋体" w:hAnsi="宋体" w:eastAsia="宋体"/>
                <w:color w:val="auto"/>
                <w:szCs w:val="21"/>
                <w:highlight w:val="none"/>
              </w:rPr>
            </w:pPr>
            <w:r>
              <w:rPr>
                <w:rFonts w:ascii="宋体" w:hAnsi="宋体" w:eastAsia="宋体"/>
                <w:color w:val="auto"/>
                <w:szCs w:val="21"/>
                <w:highlight w:val="none"/>
              </w:rPr>
              <w:t>2</w:t>
            </w:r>
            <w:r>
              <w:rPr>
                <w:rFonts w:ascii="宋体" w:hAnsi="宋体" w:eastAsia="宋体"/>
                <w:color w:val="auto"/>
                <w:highlight w:val="none"/>
              </w:rPr>
              <w:t>技术服务方案部分</w:t>
            </w:r>
            <w:r>
              <w:rPr>
                <w:rFonts w:ascii="宋体" w:hAnsi="宋体" w:eastAsia="宋体"/>
                <w:color w:val="auto"/>
                <w:szCs w:val="21"/>
                <w:highlight w:val="none"/>
              </w:rPr>
              <w:t>：45</w:t>
            </w:r>
            <w:r>
              <w:rPr>
                <w:rFonts w:hint="eastAsia" w:ascii="宋体" w:hAnsi="宋体" w:eastAsia="宋体"/>
                <w:color w:val="auto"/>
                <w:szCs w:val="21"/>
                <w:highlight w:val="none"/>
              </w:rPr>
              <w:t>分</w:t>
            </w:r>
          </w:p>
          <w:p w14:paraId="594FED5E">
            <w:pPr>
              <w:spacing w:line="276" w:lineRule="auto"/>
              <w:rPr>
                <w:rFonts w:ascii="宋体" w:hAnsi="宋体" w:eastAsia="宋体"/>
                <w:color w:val="auto"/>
                <w:szCs w:val="21"/>
                <w:highlight w:val="none"/>
              </w:rPr>
            </w:pPr>
            <w:r>
              <w:rPr>
                <w:rFonts w:ascii="宋体" w:hAnsi="宋体" w:eastAsia="宋体"/>
                <w:color w:val="auto"/>
                <w:szCs w:val="21"/>
                <w:highlight w:val="none"/>
              </w:rPr>
              <w:t>3投标报价：10</w:t>
            </w:r>
            <w:r>
              <w:rPr>
                <w:rFonts w:hint="eastAsia" w:ascii="宋体" w:hAnsi="宋体" w:eastAsia="宋体"/>
                <w:color w:val="auto"/>
                <w:szCs w:val="21"/>
                <w:highlight w:val="none"/>
              </w:rPr>
              <w:t>分</w:t>
            </w:r>
          </w:p>
          <w:p w14:paraId="64F3B2B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注：投标人的综合得分为各评委的评分汇总后，</w:t>
            </w:r>
            <w:r>
              <w:rPr>
                <w:rFonts w:ascii="宋体" w:hAnsi="宋体" w:eastAsia="宋体"/>
                <w:color w:val="auto"/>
                <w:szCs w:val="21"/>
                <w:highlight w:val="none"/>
              </w:rPr>
              <w:t>去一个最高和一个最低</w:t>
            </w:r>
            <w:r>
              <w:rPr>
                <w:rFonts w:hint="eastAsia" w:ascii="宋体" w:hAnsi="宋体" w:eastAsia="宋体"/>
                <w:color w:val="auto"/>
                <w:szCs w:val="21"/>
                <w:highlight w:val="none"/>
              </w:rPr>
              <w:t>的，</w:t>
            </w:r>
            <w:r>
              <w:rPr>
                <w:rFonts w:ascii="宋体" w:hAnsi="宋体" w:eastAsia="宋体"/>
                <w:color w:val="auto"/>
                <w:szCs w:val="21"/>
                <w:highlight w:val="none"/>
              </w:rPr>
              <w:t>剩余</w:t>
            </w:r>
            <w:r>
              <w:rPr>
                <w:rFonts w:hint="eastAsia" w:ascii="宋体" w:hAnsi="宋体" w:eastAsia="宋体"/>
                <w:color w:val="auto"/>
                <w:szCs w:val="21"/>
                <w:highlight w:val="none"/>
              </w:rPr>
              <w:t>的算术平均值（分数出现小数点时，保留小数点后二位，第三位小数四舍五入）。</w:t>
            </w:r>
          </w:p>
        </w:tc>
      </w:tr>
      <w:tr w14:paraId="09247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11" w:type="dxa"/>
            <w:gridSpan w:val="3"/>
            <w:tcBorders>
              <w:top w:val="single" w:color="auto" w:sz="4" w:space="0"/>
              <w:bottom w:val="single" w:color="auto" w:sz="4" w:space="0"/>
              <w:right w:val="single" w:color="auto" w:sz="4" w:space="0"/>
            </w:tcBorders>
            <w:noWrap/>
            <w:vAlign w:val="center"/>
          </w:tcPr>
          <w:p w14:paraId="2631DF71">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2.2.2</w:t>
            </w:r>
          </w:p>
        </w:tc>
        <w:tc>
          <w:tcPr>
            <w:tcW w:w="1568" w:type="dxa"/>
            <w:tcBorders>
              <w:top w:val="single" w:color="auto" w:sz="4" w:space="0"/>
              <w:left w:val="single" w:color="auto" w:sz="4" w:space="0"/>
              <w:bottom w:val="single" w:color="auto" w:sz="4" w:space="0"/>
              <w:right w:val="single" w:color="auto" w:sz="4" w:space="0"/>
            </w:tcBorders>
            <w:noWrap/>
            <w:vAlign w:val="center"/>
          </w:tcPr>
          <w:p w14:paraId="15881FA5">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评标基准价计算方法</w:t>
            </w:r>
          </w:p>
        </w:tc>
        <w:tc>
          <w:tcPr>
            <w:tcW w:w="6219" w:type="dxa"/>
            <w:tcBorders>
              <w:top w:val="single" w:color="auto" w:sz="4" w:space="0"/>
              <w:left w:val="single" w:color="auto" w:sz="4" w:space="0"/>
              <w:bottom w:val="single" w:color="auto" w:sz="4" w:space="0"/>
              <w:right w:val="single" w:color="auto" w:sz="4" w:space="0"/>
            </w:tcBorders>
            <w:noWrap/>
            <w:vAlign w:val="center"/>
          </w:tcPr>
          <w:p w14:paraId="13F88178">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通过形式、资格、响应性评审的有效投标人中：</w:t>
            </w:r>
          </w:p>
          <w:p w14:paraId="521C8DBF">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若位于</w:t>
            </w:r>
            <w:r>
              <w:rPr>
                <w:rFonts w:ascii="宋体" w:hAnsi="宋体" w:eastAsia="宋体"/>
                <w:color w:val="auto"/>
                <w:szCs w:val="21"/>
                <w:highlight w:val="none"/>
              </w:rPr>
              <w:t>[最高投标限价×80%，最高投标限价]区间的投标报价</w:t>
            </w:r>
            <w:r>
              <w:rPr>
                <w:rFonts w:hint="eastAsia" w:ascii="宋体" w:hAnsi="宋体" w:eastAsia="宋体"/>
                <w:color w:val="auto"/>
                <w:szCs w:val="21"/>
                <w:highlight w:val="none"/>
              </w:rPr>
              <w:t>大于三家</w:t>
            </w:r>
            <w:r>
              <w:rPr>
                <w:rFonts w:ascii="宋体" w:hAnsi="宋体" w:eastAsia="宋体"/>
                <w:color w:val="auto"/>
                <w:szCs w:val="21"/>
                <w:highlight w:val="none"/>
              </w:rPr>
              <w:t>，去一个最高价和一个最低价后，剩余报价的算术平均值为评标基准价。</w:t>
            </w:r>
          </w:p>
          <w:p w14:paraId="63E2CA32">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若位于</w:t>
            </w:r>
            <w:r>
              <w:rPr>
                <w:rFonts w:ascii="宋体" w:hAnsi="宋体" w:eastAsia="宋体"/>
                <w:color w:val="auto"/>
                <w:szCs w:val="21"/>
                <w:highlight w:val="none"/>
              </w:rPr>
              <w:t>[最高投标限价×80%，最高投标限价]区间的投标价少于</w:t>
            </w:r>
            <w:r>
              <w:rPr>
                <w:rFonts w:hint="eastAsia" w:ascii="宋体" w:hAnsi="宋体" w:eastAsia="宋体"/>
                <w:color w:val="auto"/>
                <w:szCs w:val="21"/>
                <w:highlight w:val="none"/>
              </w:rPr>
              <w:t>或等于三</w:t>
            </w:r>
            <w:r>
              <w:rPr>
                <w:rFonts w:ascii="宋体" w:hAnsi="宋体" w:eastAsia="宋体"/>
                <w:color w:val="auto"/>
                <w:szCs w:val="21"/>
                <w:highlight w:val="none"/>
              </w:rPr>
              <w:t>个，直接取区间中的报价的算术平均值为评标基准价。</w:t>
            </w:r>
          </w:p>
          <w:p w14:paraId="07F137F5">
            <w:pPr>
              <w:spacing w:line="276" w:lineRule="auto"/>
              <w:jc w:val="left"/>
              <w:rPr>
                <w:rFonts w:ascii="宋体" w:hAnsi="宋体" w:eastAsia="宋体"/>
                <w:color w:val="auto"/>
                <w:szCs w:val="21"/>
                <w:highlight w:val="none"/>
              </w:rPr>
            </w:pPr>
            <w:r>
              <w:rPr>
                <w:rFonts w:ascii="宋体" w:hAnsi="宋体" w:eastAsia="宋体"/>
                <w:color w:val="auto"/>
                <w:szCs w:val="21"/>
                <w:highlight w:val="none"/>
              </w:rPr>
              <w:t>评标参考价按四舍五入原则保留至“分”。</w:t>
            </w:r>
          </w:p>
          <w:p w14:paraId="07683352">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若没有投标报价位于</w:t>
            </w:r>
            <w:r>
              <w:rPr>
                <w:rFonts w:ascii="宋体" w:hAnsi="宋体" w:eastAsia="宋体"/>
                <w:color w:val="auto"/>
                <w:szCs w:val="21"/>
                <w:highlight w:val="none"/>
              </w:rPr>
              <w:t>[最高投标限价×80%，最高投标限价]区间，</w:t>
            </w:r>
            <w:r>
              <w:rPr>
                <w:rFonts w:hint="default" w:ascii="宋体" w:hAnsi="宋体" w:eastAsia="宋体" w:cstheme="minorBidi"/>
                <w:color w:val="auto"/>
                <w:szCs w:val="21"/>
                <w:highlight w:val="none"/>
              </w:rPr>
              <w:t>以“最高投标限价×80%”作为评标基准价</w:t>
            </w:r>
            <w:r>
              <w:rPr>
                <w:rFonts w:ascii="宋体" w:hAnsi="宋体" w:eastAsia="宋体"/>
                <w:color w:val="auto"/>
                <w:szCs w:val="21"/>
                <w:highlight w:val="none"/>
              </w:rPr>
              <w:t>。</w:t>
            </w:r>
          </w:p>
        </w:tc>
      </w:tr>
      <w:tr w14:paraId="1D49F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2211" w:type="dxa"/>
            <w:gridSpan w:val="3"/>
            <w:tcBorders>
              <w:top w:val="single" w:color="auto" w:sz="4" w:space="0"/>
              <w:bottom w:val="single" w:color="auto" w:sz="4" w:space="0"/>
              <w:right w:val="single" w:color="auto" w:sz="4" w:space="0"/>
            </w:tcBorders>
            <w:noWrap/>
            <w:vAlign w:val="center"/>
          </w:tcPr>
          <w:p w14:paraId="67C8A8DE">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2.2.3</w:t>
            </w:r>
          </w:p>
        </w:tc>
        <w:tc>
          <w:tcPr>
            <w:tcW w:w="1568" w:type="dxa"/>
            <w:tcBorders>
              <w:top w:val="single" w:color="auto" w:sz="4" w:space="0"/>
              <w:left w:val="single" w:color="auto" w:sz="4" w:space="0"/>
              <w:bottom w:val="single" w:color="auto" w:sz="4" w:space="0"/>
              <w:right w:val="single" w:color="auto" w:sz="4" w:space="0"/>
            </w:tcBorders>
            <w:noWrap/>
            <w:vAlign w:val="center"/>
          </w:tcPr>
          <w:p w14:paraId="769655A1">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投标报价的偏差率计算公式</w:t>
            </w:r>
          </w:p>
        </w:tc>
        <w:tc>
          <w:tcPr>
            <w:tcW w:w="6219" w:type="dxa"/>
            <w:tcBorders>
              <w:top w:val="single" w:color="auto" w:sz="4" w:space="0"/>
              <w:left w:val="single" w:color="auto" w:sz="4" w:space="0"/>
              <w:bottom w:val="single" w:color="auto" w:sz="4" w:space="0"/>
              <w:right w:val="single" w:color="auto" w:sz="4" w:space="0"/>
            </w:tcBorders>
            <w:noWrap/>
            <w:vAlign w:val="center"/>
          </w:tcPr>
          <w:p w14:paraId="4ED59BF9">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偏差率</w:t>
            </w:r>
            <w:r>
              <w:rPr>
                <w:rFonts w:ascii="宋体" w:hAnsi="宋体" w:eastAsia="宋体"/>
                <w:color w:val="auto"/>
                <w:szCs w:val="21"/>
                <w:highlight w:val="none"/>
              </w:rPr>
              <w:t xml:space="preserve">=（投标报价-评标基准价）/ 评标基准价×100% </w:t>
            </w:r>
          </w:p>
        </w:tc>
      </w:tr>
      <w:tr w14:paraId="35530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2211" w:type="dxa"/>
            <w:gridSpan w:val="3"/>
            <w:tcBorders>
              <w:top w:val="single" w:color="auto" w:sz="4" w:space="0"/>
              <w:bottom w:val="single" w:color="auto" w:sz="4" w:space="0"/>
              <w:right w:val="single" w:color="auto" w:sz="4" w:space="0"/>
            </w:tcBorders>
            <w:noWrap/>
            <w:vAlign w:val="center"/>
          </w:tcPr>
          <w:p w14:paraId="1546C850">
            <w:pPr>
              <w:widowControl/>
              <w:spacing w:line="276" w:lineRule="auto"/>
              <w:ind w:firstLine="422"/>
              <w:jc w:val="center"/>
              <w:rPr>
                <w:rFonts w:ascii="宋体" w:hAnsi="宋体" w:eastAsia="宋体"/>
                <w:b/>
                <w:color w:val="auto"/>
                <w:szCs w:val="21"/>
                <w:highlight w:val="none"/>
              </w:rPr>
            </w:pPr>
            <w:r>
              <w:rPr>
                <w:rFonts w:hint="eastAsia" w:ascii="宋体" w:hAnsi="宋体" w:eastAsia="宋体"/>
                <w:b/>
                <w:color w:val="auto"/>
                <w:szCs w:val="21"/>
                <w:highlight w:val="none"/>
              </w:rPr>
              <w:t>条款号</w:t>
            </w:r>
          </w:p>
        </w:tc>
        <w:tc>
          <w:tcPr>
            <w:tcW w:w="1568" w:type="dxa"/>
            <w:tcBorders>
              <w:top w:val="single" w:color="auto" w:sz="4" w:space="0"/>
              <w:left w:val="single" w:color="auto" w:sz="4" w:space="0"/>
              <w:bottom w:val="single" w:color="auto" w:sz="4" w:space="0"/>
              <w:right w:val="single" w:color="auto" w:sz="4" w:space="0"/>
            </w:tcBorders>
            <w:noWrap/>
            <w:vAlign w:val="center"/>
          </w:tcPr>
          <w:p w14:paraId="13EB1312">
            <w:pPr>
              <w:widowControl/>
              <w:spacing w:line="276" w:lineRule="auto"/>
              <w:ind w:firstLine="422"/>
              <w:jc w:val="center"/>
              <w:rPr>
                <w:rFonts w:ascii="宋体" w:hAnsi="宋体" w:eastAsia="宋体"/>
                <w:b/>
                <w:color w:val="auto"/>
                <w:szCs w:val="21"/>
                <w:highlight w:val="none"/>
              </w:rPr>
            </w:pPr>
            <w:r>
              <w:rPr>
                <w:rFonts w:hint="eastAsia" w:ascii="宋体" w:hAnsi="宋体" w:eastAsia="宋体"/>
                <w:b/>
                <w:color w:val="auto"/>
                <w:szCs w:val="21"/>
                <w:highlight w:val="none"/>
              </w:rPr>
              <w:t>评分因素（偏差率）</w:t>
            </w:r>
          </w:p>
        </w:tc>
        <w:tc>
          <w:tcPr>
            <w:tcW w:w="6219" w:type="dxa"/>
            <w:tcBorders>
              <w:top w:val="single" w:color="auto" w:sz="4" w:space="0"/>
              <w:left w:val="single" w:color="auto" w:sz="4" w:space="0"/>
              <w:bottom w:val="single" w:color="auto" w:sz="4" w:space="0"/>
              <w:right w:val="single" w:color="auto" w:sz="4" w:space="0"/>
            </w:tcBorders>
            <w:noWrap/>
            <w:vAlign w:val="center"/>
          </w:tcPr>
          <w:p w14:paraId="4F75FCD5">
            <w:pPr>
              <w:widowControl/>
              <w:spacing w:line="276" w:lineRule="auto"/>
              <w:ind w:firstLine="422"/>
              <w:jc w:val="center"/>
              <w:rPr>
                <w:rFonts w:ascii="宋体" w:hAnsi="宋体" w:eastAsia="宋体"/>
                <w:b/>
                <w:color w:val="auto"/>
                <w:szCs w:val="21"/>
                <w:highlight w:val="none"/>
              </w:rPr>
            </w:pPr>
            <w:r>
              <w:rPr>
                <w:rFonts w:hint="eastAsia" w:ascii="宋体" w:hAnsi="宋体" w:eastAsia="宋体"/>
                <w:b/>
                <w:color w:val="auto"/>
                <w:szCs w:val="21"/>
                <w:highlight w:val="none"/>
              </w:rPr>
              <w:t>评分标准</w:t>
            </w:r>
          </w:p>
        </w:tc>
      </w:tr>
      <w:tr w14:paraId="4FF7C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7" w:hRule="atLeast"/>
        </w:trPr>
        <w:tc>
          <w:tcPr>
            <w:tcW w:w="1060" w:type="dxa"/>
            <w:gridSpan w:val="2"/>
            <w:vMerge w:val="restart"/>
            <w:tcBorders>
              <w:top w:val="single" w:color="auto" w:sz="4" w:space="0"/>
              <w:right w:val="single" w:color="auto" w:sz="4" w:space="0"/>
            </w:tcBorders>
            <w:noWrap/>
            <w:vAlign w:val="center"/>
          </w:tcPr>
          <w:p w14:paraId="79A17AB8">
            <w:pPr>
              <w:widowControl/>
              <w:spacing w:line="276" w:lineRule="auto"/>
              <w:jc w:val="center"/>
              <w:rPr>
                <w:rFonts w:ascii="宋体" w:hAnsi="宋体" w:eastAsia="宋体"/>
                <w:color w:val="auto"/>
                <w:szCs w:val="21"/>
                <w:highlight w:val="none"/>
              </w:rPr>
            </w:pPr>
            <w:r>
              <w:rPr>
                <w:rFonts w:ascii="宋体" w:hAnsi="宋体" w:eastAsia="宋体"/>
                <w:color w:val="auto"/>
                <w:szCs w:val="21"/>
                <w:highlight w:val="none"/>
              </w:rPr>
              <w:t>2.2.4（1）</w:t>
            </w:r>
          </w:p>
        </w:tc>
        <w:tc>
          <w:tcPr>
            <w:tcW w:w="1151" w:type="dxa"/>
            <w:vMerge w:val="restart"/>
            <w:tcBorders>
              <w:top w:val="single" w:color="auto" w:sz="4" w:space="0"/>
              <w:right w:val="single" w:color="auto" w:sz="4" w:space="0"/>
            </w:tcBorders>
            <w:vAlign w:val="center"/>
          </w:tcPr>
          <w:p w14:paraId="17AE0203">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商务部分评分标准（</w:t>
            </w:r>
            <w:r>
              <w:rPr>
                <w:rFonts w:ascii="宋体" w:hAnsi="宋体" w:eastAsia="宋体"/>
                <w:color w:val="auto"/>
                <w:szCs w:val="21"/>
                <w:highlight w:val="none"/>
              </w:rPr>
              <w:t>45分）</w:t>
            </w:r>
          </w:p>
        </w:tc>
        <w:tc>
          <w:tcPr>
            <w:tcW w:w="1568" w:type="dxa"/>
            <w:tcBorders>
              <w:top w:val="single" w:color="auto" w:sz="4" w:space="0"/>
              <w:left w:val="single" w:color="auto" w:sz="4" w:space="0"/>
              <w:right w:val="single" w:color="auto" w:sz="4" w:space="0"/>
            </w:tcBorders>
            <w:noWrap/>
            <w:vAlign w:val="center"/>
          </w:tcPr>
          <w:p w14:paraId="63E60445">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项目业绩</w:t>
            </w:r>
          </w:p>
          <w:p w14:paraId="7785646F">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（10.0分）</w:t>
            </w:r>
          </w:p>
        </w:tc>
        <w:tc>
          <w:tcPr>
            <w:tcW w:w="6219" w:type="dxa"/>
            <w:tcBorders>
              <w:top w:val="single" w:color="auto" w:sz="4" w:space="0"/>
              <w:left w:val="single" w:color="auto" w:sz="4" w:space="0"/>
              <w:right w:val="single" w:color="auto" w:sz="4" w:space="0"/>
            </w:tcBorders>
            <w:noWrap/>
            <w:vAlign w:val="center"/>
          </w:tcPr>
          <w:p w14:paraId="6B32E266">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投标人</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若联合体投标，指联合体主办方）</w:t>
            </w:r>
            <w:r>
              <w:rPr>
                <w:rFonts w:hint="eastAsia" w:ascii="宋体" w:hAnsi="宋体" w:eastAsia="宋体"/>
                <w:color w:val="auto"/>
                <w:szCs w:val="21"/>
                <w:highlight w:val="none"/>
              </w:rPr>
              <w:t>自2019年1月1日以来，承接过控制性详细规划（含修编或调整）或更新单元详细规划类的项目的，每项</w:t>
            </w:r>
            <w:r>
              <w:rPr>
                <w:rFonts w:hint="eastAsia" w:ascii="宋体" w:hAnsi="宋体" w:eastAsia="宋体"/>
                <w:color w:val="auto"/>
                <w:szCs w:val="21"/>
                <w:highlight w:val="none"/>
                <w:lang w:eastAsia="zh-CN"/>
              </w:rPr>
              <w:t>1</w:t>
            </w:r>
            <w:r>
              <w:rPr>
                <w:rFonts w:hint="eastAsia" w:ascii="宋体" w:hAnsi="宋体" w:eastAsia="宋体"/>
                <w:color w:val="auto"/>
                <w:szCs w:val="21"/>
                <w:highlight w:val="none"/>
              </w:rPr>
              <w:t>分，本项最高得</w:t>
            </w: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0</w:t>
            </w:r>
            <w:r>
              <w:rPr>
                <w:rFonts w:hint="eastAsia" w:ascii="宋体" w:hAnsi="宋体" w:eastAsia="宋体"/>
                <w:color w:val="auto"/>
                <w:szCs w:val="21"/>
                <w:highlight w:val="none"/>
              </w:rPr>
              <w:t xml:space="preserve">分。 </w:t>
            </w:r>
          </w:p>
          <w:p w14:paraId="24DB9250">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注：本大项最高得10分，同一项目业绩只计算一次得分，需附上合同关键页复印件（含签订合同双方的单位名称、合同项目名称、含签订合同双方的落款盖章、签订日期的关键页），否则不得分。</w:t>
            </w:r>
          </w:p>
        </w:tc>
      </w:tr>
      <w:tr w14:paraId="2618A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7" w:hRule="atLeast"/>
        </w:trPr>
        <w:tc>
          <w:tcPr>
            <w:tcW w:w="1060" w:type="dxa"/>
            <w:gridSpan w:val="2"/>
            <w:vMerge w:val="continue"/>
            <w:tcBorders>
              <w:right w:val="single" w:color="auto" w:sz="4" w:space="0"/>
            </w:tcBorders>
            <w:noWrap/>
            <w:vAlign w:val="center"/>
          </w:tcPr>
          <w:p w14:paraId="1E36F7D3">
            <w:pPr>
              <w:widowControl/>
              <w:spacing w:line="276" w:lineRule="auto"/>
              <w:jc w:val="center"/>
              <w:rPr>
                <w:rFonts w:ascii="宋体" w:hAnsi="宋体" w:eastAsia="宋体"/>
                <w:color w:val="auto"/>
                <w:szCs w:val="21"/>
                <w:highlight w:val="none"/>
              </w:rPr>
            </w:pPr>
          </w:p>
        </w:tc>
        <w:tc>
          <w:tcPr>
            <w:tcW w:w="1151" w:type="dxa"/>
            <w:vMerge w:val="continue"/>
            <w:tcBorders>
              <w:right w:val="single" w:color="auto" w:sz="4" w:space="0"/>
            </w:tcBorders>
            <w:vAlign w:val="center"/>
          </w:tcPr>
          <w:p w14:paraId="1B9A3365">
            <w:pPr>
              <w:spacing w:line="276" w:lineRule="auto"/>
              <w:jc w:val="center"/>
              <w:rPr>
                <w:rFonts w:ascii="宋体" w:hAnsi="宋体" w:eastAsia="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ign w:val="center"/>
          </w:tcPr>
          <w:p w14:paraId="3C442005">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获奖情况（10.0分）</w:t>
            </w:r>
          </w:p>
        </w:tc>
        <w:tc>
          <w:tcPr>
            <w:tcW w:w="6219" w:type="dxa"/>
            <w:tcBorders>
              <w:top w:val="single" w:color="auto" w:sz="4" w:space="0"/>
              <w:left w:val="single" w:color="auto" w:sz="4" w:space="0"/>
              <w:bottom w:val="single" w:color="auto" w:sz="4" w:space="0"/>
              <w:right w:val="single" w:color="auto" w:sz="4" w:space="0"/>
            </w:tcBorders>
            <w:noWrap/>
            <w:vAlign w:val="center"/>
          </w:tcPr>
          <w:p w14:paraId="24888AC7">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投标人</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若联合体投标，指联合体主办方）</w:t>
            </w:r>
            <w:r>
              <w:rPr>
                <w:rFonts w:hint="eastAsia" w:ascii="宋体" w:hAnsi="宋体" w:eastAsia="宋体"/>
                <w:color w:val="auto"/>
                <w:szCs w:val="21"/>
                <w:highlight w:val="none"/>
              </w:rPr>
              <w:t xml:space="preserve">自2019年1月1日以来承担的项目获奖情况（以获奖证书颁发时间为准）：   </w:t>
            </w:r>
          </w:p>
          <w:p w14:paraId="432253F4">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（1）获得过国家级优秀城乡（市）规划设计类奖项的，每提供1个得2分，本项最高得4分；</w:t>
            </w:r>
          </w:p>
          <w:p w14:paraId="0CF206E3">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（2）获得过省级优秀城乡（市）规划设计类奖项的，每提供1个得1分，本项最高得4分；</w:t>
            </w:r>
          </w:p>
          <w:p w14:paraId="26045322">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（3）获得过市级优秀城乡（市）规划设计类奖项的，每提供1个得0.5分。本项累计最高得2分。</w:t>
            </w:r>
          </w:p>
          <w:p w14:paraId="74ACD312">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注：本大项最高得10分，需提供获奖证书扫描件，否则不得分；同一个项目获奖情况按最高级别计算，不可累计得分。</w:t>
            </w:r>
          </w:p>
        </w:tc>
      </w:tr>
      <w:tr w14:paraId="49E66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060" w:type="dxa"/>
            <w:gridSpan w:val="2"/>
            <w:vMerge w:val="continue"/>
            <w:tcBorders>
              <w:right w:val="single" w:color="auto" w:sz="4" w:space="0"/>
            </w:tcBorders>
            <w:noWrap/>
            <w:vAlign w:val="center"/>
          </w:tcPr>
          <w:p w14:paraId="1E6CC735">
            <w:pPr>
              <w:widowControl/>
              <w:spacing w:line="276" w:lineRule="auto"/>
              <w:jc w:val="center"/>
              <w:rPr>
                <w:rFonts w:ascii="宋体" w:hAnsi="宋体" w:eastAsia="宋体"/>
                <w:color w:val="auto"/>
                <w:szCs w:val="21"/>
                <w:highlight w:val="none"/>
              </w:rPr>
            </w:pPr>
          </w:p>
        </w:tc>
        <w:tc>
          <w:tcPr>
            <w:tcW w:w="1151" w:type="dxa"/>
            <w:vMerge w:val="continue"/>
            <w:tcBorders>
              <w:right w:val="single" w:color="auto" w:sz="4" w:space="0"/>
            </w:tcBorders>
            <w:vAlign w:val="center"/>
          </w:tcPr>
          <w:p w14:paraId="1814FE6B">
            <w:pPr>
              <w:spacing w:line="276" w:lineRule="auto"/>
              <w:jc w:val="center"/>
              <w:rPr>
                <w:rFonts w:ascii="宋体" w:hAnsi="宋体" w:eastAsia="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ign w:val="center"/>
          </w:tcPr>
          <w:p w14:paraId="64B3107D">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项目总统筹人</w:t>
            </w:r>
          </w:p>
          <w:p w14:paraId="3D42E2BF">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（6.0分）</w:t>
            </w:r>
          </w:p>
        </w:tc>
        <w:tc>
          <w:tcPr>
            <w:tcW w:w="6219" w:type="dxa"/>
            <w:tcBorders>
              <w:top w:val="single" w:color="auto" w:sz="4" w:space="0"/>
              <w:left w:val="single" w:color="auto" w:sz="4" w:space="0"/>
              <w:bottom w:val="single" w:color="auto" w:sz="4" w:space="0"/>
              <w:right w:val="single" w:color="auto" w:sz="4" w:space="0"/>
            </w:tcBorders>
            <w:noWrap/>
            <w:vAlign w:val="center"/>
          </w:tcPr>
          <w:p w14:paraId="2A12DF97">
            <w:pPr>
              <w:numPr>
                <w:ilvl w:val="0"/>
                <w:numId w:val="1"/>
              </w:numPr>
              <w:spacing w:line="276" w:lineRule="auto"/>
              <w:rPr>
                <w:rFonts w:ascii="宋体" w:hAnsi="宋体" w:eastAsia="宋体"/>
                <w:color w:val="auto"/>
                <w:szCs w:val="21"/>
                <w:highlight w:val="none"/>
              </w:rPr>
            </w:pPr>
            <w:r>
              <w:rPr>
                <w:rFonts w:hint="eastAsia" w:ascii="宋体" w:hAnsi="宋体" w:eastAsia="宋体"/>
                <w:color w:val="auto"/>
                <w:szCs w:val="21"/>
                <w:highlight w:val="none"/>
              </w:rPr>
              <w:t>拟投入的项目总统筹人具备城乡（市）规划专业教授级（正高级）工程师职称的，得3分。</w:t>
            </w:r>
          </w:p>
          <w:p w14:paraId="24FAE2A6">
            <w:pPr>
              <w:numPr>
                <w:ilvl w:val="0"/>
                <w:numId w:val="1"/>
              </w:numPr>
              <w:spacing w:line="276" w:lineRule="auto"/>
              <w:rPr>
                <w:rFonts w:ascii="宋体" w:hAnsi="宋体" w:eastAsia="宋体"/>
                <w:color w:val="auto"/>
                <w:szCs w:val="21"/>
                <w:highlight w:val="none"/>
              </w:rPr>
            </w:pPr>
            <w:r>
              <w:rPr>
                <w:rFonts w:hint="eastAsia" w:ascii="宋体" w:hAnsi="宋体" w:eastAsia="宋体"/>
                <w:color w:val="auto"/>
                <w:szCs w:val="21"/>
                <w:highlight w:val="none"/>
              </w:rPr>
              <w:t>拟投入的项目总统筹人具备注册城乡（市）规划师资格，得3分。</w:t>
            </w:r>
          </w:p>
          <w:p w14:paraId="624CA7BE">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注：本大项最高得6分，需提供职称证或资格证扫描件。提供投标截止前近三个月内任意一个月社会保险参保人员证明或劳动合同扫描件，否则不得分。</w:t>
            </w:r>
          </w:p>
        </w:tc>
      </w:tr>
      <w:tr w14:paraId="5D2D9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060" w:type="dxa"/>
            <w:gridSpan w:val="2"/>
            <w:vMerge w:val="continue"/>
            <w:tcBorders>
              <w:right w:val="single" w:color="auto" w:sz="4" w:space="0"/>
            </w:tcBorders>
            <w:noWrap/>
            <w:vAlign w:val="center"/>
          </w:tcPr>
          <w:p w14:paraId="7710AFBC">
            <w:pPr>
              <w:widowControl/>
              <w:spacing w:line="276" w:lineRule="auto"/>
              <w:jc w:val="center"/>
              <w:rPr>
                <w:rFonts w:ascii="宋体" w:hAnsi="宋体" w:eastAsia="宋体"/>
                <w:color w:val="auto"/>
                <w:szCs w:val="21"/>
                <w:highlight w:val="none"/>
              </w:rPr>
            </w:pPr>
          </w:p>
        </w:tc>
        <w:tc>
          <w:tcPr>
            <w:tcW w:w="1151" w:type="dxa"/>
            <w:vMerge w:val="continue"/>
            <w:tcBorders>
              <w:right w:val="single" w:color="auto" w:sz="4" w:space="0"/>
            </w:tcBorders>
            <w:vAlign w:val="center"/>
          </w:tcPr>
          <w:p w14:paraId="035AC1FF">
            <w:pPr>
              <w:spacing w:line="276" w:lineRule="auto"/>
              <w:jc w:val="center"/>
              <w:rPr>
                <w:rFonts w:ascii="宋体" w:hAnsi="宋体" w:eastAsia="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ign w:val="center"/>
          </w:tcPr>
          <w:p w14:paraId="25B9E65F">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项目团队配备（除项目总统筹人）情况 （13.0分）</w:t>
            </w:r>
          </w:p>
        </w:tc>
        <w:tc>
          <w:tcPr>
            <w:tcW w:w="6219" w:type="dxa"/>
            <w:tcBorders>
              <w:top w:val="single" w:color="auto" w:sz="4" w:space="0"/>
              <w:left w:val="single" w:color="auto" w:sz="4" w:space="0"/>
              <w:bottom w:val="single" w:color="auto" w:sz="4" w:space="0"/>
              <w:right w:val="single" w:color="auto" w:sz="4" w:space="0"/>
            </w:tcBorders>
            <w:noWrap/>
            <w:vAlign w:val="center"/>
          </w:tcPr>
          <w:p w14:paraId="62991F3A">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（1）控规项目负责人：具备注册城乡（市）规划师执业资格，得3分，本小项最高得3分；</w:t>
            </w:r>
          </w:p>
          <w:p w14:paraId="3FFD07F7">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2）项目团队人员（不含项目总统筹人、控规项目负责人）需要配置包含规划相关（含城乡规划、城市规划、城市规划与设计等）、建筑相关（含建筑学、建筑设计及其理论、历史建筑保护工程、风景园林等）、交通相关（含交通运输、交通工程、交通运输规划与管理等）、市政相关（给水排水工程专业、环境工程等）专业人员的，每配备一个相关专业得0.5分，同一相关专业不重复得分，本小项最高得2分；</w:t>
            </w:r>
          </w:p>
          <w:p w14:paraId="51DF3C34">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（3）项目团队人员（不含项目总统筹人、控规项目负责人）具备高级</w:t>
            </w:r>
            <w:r>
              <w:rPr>
                <w:rFonts w:hint="eastAsia" w:ascii="宋体" w:hAnsi="宋体" w:eastAsia="宋体"/>
                <w:color w:val="auto"/>
                <w:szCs w:val="21"/>
                <w:highlight w:val="none"/>
                <w:lang w:val="en-US" w:eastAsia="zh-CN"/>
              </w:rPr>
              <w:t>或</w:t>
            </w:r>
            <w:r>
              <w:rPr>
                <w:rFonts w:hint="eastAsia" w:ascii="宋体" w:hAnsi="宋体" w:eastAsia="宋体"/>
                <w:color w:val="auto"/>
                <w:szCs w:val="21"/>
                <w:highlight w:val="none"/>
              </w:rPr>
              <w:t>以上职称证书，每个得1分，本小项最高得5分；</w:t>
            </w:r>
          </w:p>
          <w:p w14:paraId="143292DA">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 xml:space="preserve">（4）项目团队人员（不含项目总统筹人、控规项目负责人）具备中级职称证书，每个得0.5分，本小项最高得3分。 </w:t>
            </w:r>
          </w:p>
          <w:p w14:paraId="57936BF3">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注：本大项合计最高得13分；需提供相应教育背景的学位（或学历）证明（同一人双学历的按一个专业计算）、职称证书、资格证书复印件或网页查询截图（显示查询网址）；一人同时提供中级和高级（或以上）的职称证书，不重复累计得分；需提供相关专业人员投标截止前近三个月内任意一个月的社会保险参保人员证明或劳动合同扫描件，否则不得分。</w:t>
            </w:r>
          </w:p>
        </w:tc>
      </w:tr>
      <w:tr w14:paraId="2B6D6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060" w:type="dxa"/>
            <w:gridSpan w:val="2"/>
            <w:tcBorders>
              <w:right w:val="single" w:color="auto" w:sz="4" w:space="0"/>
            </w:tcBorders>
            <w:noWrap/>
            <w:vAlign w:val="center"/>
          </w:tcPr>
          <w:p w14:paraId="3D79BE37">
            <w:pPr>
              <w:widowControl/>
              <w:spacing w:line="276" w:lineRule="auto"/>
              <w:jc w:val="center"/>
              <w:rPr>
                <w:rFonts w:ascii="宋体" w:hAnsi="宋体" w:eastAsia="宋体"/>
                <w:color w:val="auto"/>
                <w:szCs w:val="21"/>
                <w:highlight w:val="none"/>
              </w:rPr>
            </w:pPr>
          </w:p>
        </w:tc>
        <w:tc>
          <w:tcPr>
            <w:tcW w:w="1151" w:type="dxa"/>
            <w:tcBorders>
              <w:right w:val="single" w:color="auto" w:sz="4" w:space="0"/>
            </w:tcBorders>
            <w:vAlign w:val="center"/>
          </w:tcPr>
          <w:p w14:paraId="1330E959">
            <w:pPr>
              <w:spacing w:line="276" w:lineRule="auto"/>
              <w:jc w:val="center"/>
              <w:rPr>
                <w:rFonts w:ascii="宋体" w:hAnsi="宋体" w:eastAsia="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ign w:val="center"/>
          </w:tcPr>
          <w:p w14:paraId="36F381BA">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企业管理体系</w:t>
            </w:r>
          </w:p>
          <w:p w14:paraId="5D30F138">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（6.0分）</w:t>
            </w:r>
          </w:p>
        </w:tc>
        <w:tc>
          <w:tcPr>
            <w:tcW w:w="6219" w:type="dxa"/>
            <w:tcBorders>
              <w:top w:val="single" w:color="auto" w:sz="4" w:space="0"/>
              <w:left w:val="single" w:color="auto" w:sz="4" w:space="0"/>
              <w:bottom w:val="single" w:color="auto" w:sz="4" w:space="0"/>
              <w:right w:val="single" w:color="auto" w:sz="4" w:space="0"/>
            </w:tcBorders>
            <w:noWrap/>
            <w:vAlign w:val="center"/>
          </w:tcPr>
          <w:p w14:paraId="701ACFDA">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投标人</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若联合体投标，指联合体主办方）</w:t>
            </w:r>
            <w:r>
              <w:rPr>
                <w:rFonts w:hint="eastAsia" w:ascii="宋体" w:hAnsi="宋体" w:eastAsia="宋体"/>
                <w:color w:val="auto"/>
                <w:szCs w:val="21"/>
                <w:highlight w:val="none"/>
              </w:rPr>
              <w:t>具有质量管理体系认证证书、环境管理体系认证证书、职业健康安全管理体系认证证书的，每个管理体系认证证书得2分。</w:t>
            </w:r>
          </w:p>
          <w:p w14:paraId="6145148B">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注：本大项最高得6分。提供有效期内的证书复印件或网页查询截图（显示查询网址），否则不得分。</w:t>
            </w:r>
          </w:p>
        </w:tc>
      </w:tr>
      <w:tr w14:paraId="1819E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1060" w:type="dxa"/>
            <w:gridSpan w:val="2"/>
            <w:vMerge w:val="restart"/>
            <w:tcBorders>
              <w:top w:val="single" w:color="auto" w:sz="4" w:space="0"/>
              <w:right w:val="single" w:color="auto" w:sz="4" w:space="0"/>
            </w:tcBorders>
            <w:noWrap/>
            <w:vAlign w:val="center"/>
          </w:tcPr>
          <w:p w14:paraId="67CAE692">
            <w:pPr>
              <w:widowControl/>
              <w:spacing w:line="276" w:lineRule="auto"/>
              <w:jc w:val="center"/>
              <w:rPr>
                <w:rFonts w:ascii="宋体" w:hAnsi="宋体" w:eastAsia="宋体"/>
                <w:color w:val="auto"/>
                <w:szCs w:val="21"/>
                <w:highlight w:val="none"/>
              </w:rPr>
            </w:pPr>
            <w:r>
              <w:rPr>
                <w:rFonts w:ascii="宋体" w:hAnsi="宋体" w:eastAsia="宋体"/>
                <w:color w:val="auto"/>
                <w:szCs w:val="21"/>
                <w:highlight w:val="none"/>
              </w:rPr>
              <w:t>2.2.4</w:t>
            </w:r>
          </w:p>
          <w:p w14:paraId="28C04FD0">
            <w:pPr>
              <w:widowControl/>
              <w:spacing w:line="276" w:lineRule="auto"/>
              <w:jc w:val="center"/>
              <w:rPr>
                <w:rFonts w:ascii="宋体" w:hAnsi="宋体" w:eastAsia="宋体"/>
                <w:color w:val="auto"/>
                <w:szCs w:val="21"/>
                <w:highlight w:val="none"/>
              </w:rPr>
            </w:pPr>
            <w:r>
              <w:rPr>
                <w:rFonts w:ascii="宋体" w:hAnsi="宋体" w:eastAsia="宋体"/>
                <w:color w:val="auto"/>
                <w:szCs w:val="21"/>
                <w:highlight w:val="none"/>
              </w:rPr>
              <w:t>（2）</w:t>
            </w:r>
          </w:p>
        </w:tc>
        <w:tc>
          <w:tcPr>
            <w:tcW w:w="1151" w:type="dxa"/>
            <w:vMerge w:val="restart"/>
            <w:tcBorders>
              <w:top w:val="single" w:color="auto" w:sz="4" w:space="0"/>
              <w:right w:val="single" w:color="auto" w:sz="4" w:space="0"/>
            </w:tcBorders>
            <w:vAlign w:val="center"/>
          </w:tcPr>
          <w:p w14:paraId="27D2AA25">
            <w:pPr>
              <w:spacing w:line="276" w:lineRule="auto"/>
              <w:ind w:right="27" w:rightChars="13"/>
              <w:jc w:val="center"/>
              <w:rPr>
                <w:rFonts w:ascii="宋体" w:hAnsi="宋体" w:eastAsia="宋体"/>
                <w:color w:val="auto"/>
                <w:szCs w:val="21"/>
                <w:highlight w:val="none"/>
              </w:rPr>
            </w:pPr>
            <w:r>
              <w:rPr>
                <w:rFonts w:hint="eastAsia" w:ascii="宋体" w:hAnsi="宋体" w:eastAsia="宋体"/>
                <w:color w:val="auto"/>
                <w:szCs w:val="21"/>
                <w:highlight w:val="none"/>
              </w:rPr>
              <w:t>技术服务方案部分评分标准（</w:t>
            </w:r>
            <w:r>
              <w:rPr>
                <w:rFonts w:ascii="宋体" w:hAnsi="宋体" w:eastAsia="宋体"/>
                <w:color w:val="auto"/>
                <w:szCs w:val="21"/>
                <w:highlight w:val="none"/>
              </w:rPr>
              <w:t>45分）</w:t>
            </w:r>
          </w:p>
        </w:tc>
        <w:tc>
          <w:tcPr>
            <w:tcW w:w="1568" w:type="dxa"/>
            <w:tcBorders>
              <w:top w:val="single" w:color="auto" w:sz="4" w:space="0"/>
              <w:left w:val="single" w:color="auto" w:sz="4" w:space="0"/>
              <w:bottom w:val="single" w:color="auto" w:sz="4" w:space="0"/>
              <w:right w:val="single" w:color="auto" w:sz="4" w:space="0"/>
            </w:tcBorders>
            <w:noWrap/>
            <w:vAlign w:val="center"/>
          </w:tcPr>
          <w:p w14:paraId="5B7C7665">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对项目的熟悉和了解程度</w:t>
            </w:r>
          </w:p>
          <w:p w14:paraId="0CD1A4DB">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（6.0分）</w:t>
            </w:r>
          </w:p>
        </w:tc>
        <w:tc>
          <w:tcPr>
            <w:tcW w:w="6219" w:type="dxa"/>
            <w:tcBorders>
              <w:top w:val="single" w:color="auto" w:sz="4" w:space="0"/>
              <w:left w:val="single" w:color="auto" w:sz="4" w:space="0"/>
              <w:bottom w:val="single" w:color="auto" w:sz="4" w:space="0"/>
              <w:right w:val="single" w:color="auto" w:sz="4" w:space="0"/>
            </w:tcBorders>
            <w:noWrap/>
            <w:vAlign w:val="center"/>
          </w:tcPr>
          <w:p w14:paraId="6A7FF894">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投标人对项目工作背景、目标和内容的理解深度及合理性的了解情况：</w:t>
            </w:r>
          </w:p>
          <w:p w14:paraId="7BC67D4E">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（1）对本项目工作背景、目标了解充分准确，内容科学合理，得6分；</w:t>
            </w:r>
          </w:p>
          <w:p w14:paraId="62BAA29C">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（2）对本项目工作背景、目标了解较为准确，内容较为科学合理，得4分；</w:t>
            </w:r>
          </w:p>
          <w:p w14:paraId="73F64DBF">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（3）对本项目工作背景、目标了解程度一般，内容基本科学合理，得2分；</w:t>
            </w:r>
          </w:p>
          <w:p w14:paraId="34D62E94">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（4）无或其他不得分。</w:t>
            </w:r>
          </w:p>
        </w:tc>
      </w:tr>
      <w:tr w14:paraId="74B11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1060" w:type="dxa"/>
            <w:gridSpan w:val="2"/>
            <w:vMerge w:val="continue"/>
            <w:tcBorders>
              <w:top w:val="single" w:color="auto" w:sz="4" w:space="0"/>
              <w:right w:val="single" w:color="auto" w:sz="4" w:space="0"/>
            </w:tcBorders>
            <w:noWrap/>
            <w:vAlign w:val="center"/>
          </w:tcPr>
          <w:p w14:paraId="6A96751F">
            <w:pPr>
              <w:widowControl/>
              <w:spacing w:line="276" w:lineRule="auto"/>
              <w:jc w:val="center"/>
              <w:rPr>
                <w:rFonts w:ascii="宋体" w:hAnsi="宋体" w:eastAsia="宋体"/>
                <w:color w:val="auto"/>
                <w:szCs w:val="21"/>
                <w:highlight w:val="none"/>
              </w:rPr>
            </w:pPr>
          </w:p>
        </w:tc>
        <w:tc>
          <w:tcPr>
            <w:tcW w:w="1151" w:type="dxa"/>
            <w:vMerge w:val="continue"/>
            <w:tcBorders>
              <w:top w:val="single" w:color="auto" w:sz="4" w:space="0"/>
              <w:right w:val="single" w:color="auto" w:sz="4" w:space="0"/>
            </w:tcBorders>
            <w:vAlign w:val="center"/>
          </w:tcPr>
          <w:p w14:paraId="7D3E0CC7">
            <w:pPr>
              <w:spacing w:line="276" w:lineRule="auto"/>
              <w:ind w:right="134" w:rightChars="64"/>
              <w:jc w:val="center"/>
              <w:rPr>
                <w:rFonts w:ascii="宋体" w:hAnsi="宋体" w:eastAsia="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ign w:val="center"/>
          </w:tcPr>
          <w:p w14:paraId="3EBD9987">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对项目相关规划的解读情况（8.0分）</w:t>
            </w:r>
          </w:p>
        </w:tc>
        <w:tc>
          <w:tcPr>
            <w:tcW w:w="6219" w:type="dxa"/>
            <w:tcBorders>
              <w:top w:val="single" w:color="auto" w:sz="4" w:space="0"/>
              <w:left w:val="single" w:color="auto" w:sz="4" w:space="0"/>
              <w:bottom w:val="single" w:color="auto" w:sz="4" w:space="0"/>
              <w:right w:val="single" w:color="auto" w:sz="4" w:space="0"/>
            </w:tcBorders>
            <w:noWrap/>
            <w:vAlign w:val="center"/>
          </w:tcPr>
          <w:p w14:paraId="2CB63ADA">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投标人对项目上层次规划、相关规划的资料和情况，以及项目所在地现行的技术标准与准则、相关管理及运作的掌握情况：</w:t>
            </w:r>
          </w:p>
          <w:p w14:paraId="71F1E040">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（1）对上层次及相关规划解读充分、全面的，得8分；</w:t>
            </w:r>
          </w:p>
          <w:p w14:paraId="1CC424B1">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（2）对上层次及相关规划解读比较充分、不够全面的，得5分；</w:t>
            </w:r>
          </w:p>
          <w:p w14:paraId="557933CD">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（3）对上层次及相关规划解读有一定认识的，得2分；</w:t>
            </w:r>
          </w:p>
          <w:p w14:paraId="7BD77CBD">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（4）无或其他不得分。</w:t>
            </w:r>
          </w:p>
        </w:tc>
      </w:tr>
      <w:tr w14:paraId="174DA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1060" w:type="dxa"/>
            <w:gridSpan w:val="2"/>
            <w:vMerge w:val="continue"/>
            <w:tcBorders>
              <w:top w:val="single" w:color="auto" w:sz="4" w:space="0"/>
              <w:right w:val="single" w:color="auto" w:sz="4" w:space="0"/>
            </w:tcBorders>
            <w:noWrap/>
            <w:vAlign w:val="center"/>
          </w:tcPr>
          <w:p w14:paraId="2274BA46">
            <w:pPr>
              <w:widowControl/>
              <w:spacing w:line="276" w:lineRule="auto"/>
              <w:jc w:val="center"/>
              <w:rPr>
                <w:rFonts w:ascii="宋体" w:hAnsi="宋体" w:eastAsia="宋体"/>
                <w:color w:val="auto"/>
                <w:szCs w:val="21"/>
                <w:highlight w:val="none"/>
              </w:rPr>
            </w:pPr>
          </w:p>
        </w:tc>
        <w:tc>
          <w:tcPr>
            <w:tcW w:w="1151" w:type="dxa"/>
            <w:vMerge w:val="continue"/>
            <w:tcBorders>
              <w:top w:val="single" w:color="auto" w:sz="4" w:space="0"/>
              <w:right w:val="single" w:color="auto" w:sz="4" w:space="0"/>
            </w:tcBorders>
            <w:vAlign w:val="center"/>
          </w:tcPr>
          <w:p w14:paraId="31CF1D48">
            <w:pPr>
              <w:spacing w:line="276" w:lineRule="auto"/>
              <w:ind w:right="134" w:rightChars="64"/>
              <w:jc w:val="center"/>
              <w:rPr>
                <w:rFonts w:ascii="宋体" w:hAnsi="宋体" w:eastAsia="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ign w:val="center"/>
          </w:tcPr>
          <w:p w14:paraId="01F6D455">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对项目工作基础掌握情况（8.0分）</w:t>
            </w:r>
          </w:p>
        </w:tc>
        <w:tc>
          <w:tcPr>
            <w:tcW w:w="6219" w:type="dxa"/>
            <w:tcBorders>
              <w:top w:val="single" w:color="auto" w:sz="4" w:space="0"/>
              <w:left w:val="single" w:color="auto" w:sz="4" w:space="0"/>
              <w:bottom w:val="single" w:color="auto" w:sz="4" w:space="0"/>
              <w:right w:val="single" w:color="auto" w:sz="4" w:space="0"/>
            </w:tcBorders>
            <w:noWrap/>
            <w:vAlign w:val="center"/>
          </w:tcPr>
          <w:p w14:paraId="2113E2D1">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投标人需熟悉掌握项目的现状基础情况，对现状问题的分析进行准确判断：</w:t>
            </w:r>
          </w:p>
          <w:p w14:paraId="634486DA">
            <w:pPr>
              <w:numPr>
                <w:ilvl w:val="0"/>
                <w:numId w:val="2"/>
              </w:num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对现状基础情况、项目所在地现行的技术标准与准则、相关管理及运作认识深刻、清晰深入的，得8分；</w:t>
            </w:r>
          </w:p>
          <w:p w14:paraId="1682AFB6">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（2）对现状基础情况、项目所在地现行的技术标准与准则、相关管理及运作认识较为深刻、不够深入的，得5分；</w:t>
            </w:r>
          </w:p>
          <w:p w14:paraId="00B7D35A">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（3）对现状基础情况、项目所在地现行的技术标准与准则、相关管理及运作有一定认识的，得2分；</w:t>
            </w:r>
          </w:p>
          <w:p w14:paraId="50011719">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（4）无或其他不得分。</w:t>
            </w:r>
          </w:p>
        </w:tc>
      </w:tr>
      <w:tr w14:paraId="3B6FC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1060" w:type="dxa"/>
            <w:gridSpan w:val="2"/>
            <w:vMerge w:val="continue"/>
            <w:tcBorders>
              <w:top w:val="single" w:color="auto" w:sz="4" w:space="0"/>
              <w:right w:val="single" w:color="auto" w:sz="4" w:space="0"/>
            </w:tcBorders>
            <w:noWrap/>
            <w:vAlign w:val="center"/>
          </w:tcPr>
          <w:p w14:paraId="6382ED99">
            <w:pPr>
              <w:widowControl/>
              <w:spacing w:line="276" w:lineRule="auto"/>
              <w:jc w:val="center"/>
              <w:rPr>
                <w:rFonts w:ascii="宋体" w:hAnsi="宋体" w:eastAsia="宋体"/>
                <w:color w:val="auto"/>
                <w:szCs w:val="21"/>
                <w:highlight w:val="none"/>
              </w:rPr>
            </w:pPr>
          </w:p>
        </w:tc>
        <w:tc>
          <w:tcPr>
            <w:tcW w:w="1151" w:type="dxa"/>
            <w:vMerge w:val="continue"/>
            <w:tcBorders>
              <w:top w:val="single" w:color="auto" w:sz="4" w:space="0"/>
              <w:right w:val="single" w:color="auto" w:sz="4" w:space="0"/>
            </w:tcBorders>
            <w:vAlign w:val="center"/>
          </w:tcPr>
          <w:p w14:paraId="746F4E33">
            <w:pPr>
              <w:spacing w:line="276" w:lineRule="auto"/>
              <w:ind w:right="134" w:rightChars="64"/>
              <w:jc w:val="center"/>
              <w:rPr>
                <w:rFonts w:ascii="宋体" w:hAnsi="宋体" w:eastAsia="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ign w:val="center"/>
          </w:tcPr>
          <w:p w14:paraId="7CBCBF56">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项目技术路线、工作思路、理念策略</w:t>
            </w:r>
          </w:p>
          <w:p w14:paraId="2E25ADD7">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（10.0分）</w:t>
            </w:r>
          </w:p>
        </w:tc>
        <w:tc>
          <w:tcPr>
            <w:tcW w:w="6219" w:type="dxa"/>
            <w:tcBorders>
              <w:top w:val="single" w:color="auto" w:sz="4" w:space="0"/>
              <w:left w:val="single" w:color="auto" w:sz="4" w:space="0"/>
              <w:bottom w:val="single" w:color="auto" w:sz="4" w:space="0"/>
              <w:right w:val="single" w:color="auto" w:sz="4" w:space="0"/>
            </w:tcBorders>
            <w:noWrap/>
            <w:vAlign w:val="center"/>
          </w:tcPr>
          <w:p w14:paraId="3DED773D">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投标人需拟定符合项目发展需要的技术路线，提出初步的工作思路、设计理念和规划策略等：</w:t>
            </w:r>
          </w:p>
          <w:p w14:paraId="7BBEC6B9">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（1）项目技术路线、工作思路、理念策略科学、合理，得10分；</w:t>
            </w:r>
          </w:p>
          <w:p w14:paraId="096D3572">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（2）项目技术路线、工作思路、理念策略基本科学，但合理性较低，得7分；</w:t>
            </w:r>
          </w:p>
          <w:p w14:paraId="23A10368">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（3）项目技术路线、工作思路、理念策略科学性不足、合理性较低，得3分；</w:t>
            </w:r>
          </w:p>
          <w:p w14:paraId="6C65B18A">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（4）无或其他不得分。</w:t>
            </w:r>
          </w:p>
        </w:tc>
      </w:tr>
      <w:tr w14:paraId="745B3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1060" w:type="dxa"/>
            <w:gridSpan w:val="2"/>
            <w:vMerge w:val="continue"/>
            <w:tcBorders>
              <w:top w:val="single" w:color="auto" w:sz="4" w:space="0"/>
              <w:right w:val="single" w:color="auto" w:sz="4" w:space="0"/>
            </w:tcBorders>
            <w:noWrap/>
            <w:vAlign w:val="center"/>
          </w:tcPr>
          <w:p w14:paraId="4A65DE36">
            <w:pPr>
              <w:widowControl/>
              <w:spacing w:line="276" w:lineRule="auto"/>
              <w:jc w:val="center"/>
              <w:rPr>
                <w:rFonts w:ascii="宋体" w:hAnsi="宋体" w:eastAsia="宋体"/>
                <w:color w:val="auto"/>
                <w:szCs w:val="21"/>
                <w:highlight w:val="none"/>
              </w:rPr>
            </w:pPr>
          </w:p>
        </w:tc>
        <w:tc>
          <w:tcPr>
            <w:tcW w:w="1151" w:type="dxa"/>
            <w:vMerge w:val="continue"/>
            <w:tcBorders>
              <w:top w:val="single" w:color="auto" w:sz="4" w:space="0"/>
              <w:right w:val="single" w:color="auto" w:sz="4" w:space="0"/>
            </w:tcBorders>
            <w:vAlign w:val="center"/>
          </w:tcPr>
          <w:p w14:paraId="78F19EDE">
            <w:pPr>
              <w:spacing w:line="276" w:lineRule="auto"/>
              <w:ind w:right="134" w:rightChars="64"/>
              <w:jc w:val="center"/>
              <w:rPr>
                <w:rFonts w:ascii="宋体" w:hAnsi="宋体" w:eastAsia="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ign w:val="center"/>
          </w:tcPr>
          <w:p w14:paraId="08F1BEF6">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项目重点难点</w:t>
            </w:r>
          </w:p>
          <w:p w14:paraId="294974FC">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（7.0分）</w:t>
            </w:r>
          </w:p>
        </w:tc>
        <w:tc>
          <w:tcPr>
            <w:tcW w:w="6219" w:type="dxa"/>
            <w:tcBorders>
              <w:top w:val="single" w:color="auto" w:sz="4" w:space="0"/>
              <w:left w:val="single" w:color="auto" w:sz="4" w:space="0"/>
              <w:bottom w:val="single" w:color="auto" w:sz="4" w:space="0"/>
              <w:right w:val="single" w:color="auto" w:sz="4" w:space="0"/>
            </w:tcBorders>
            <w:noWrap/>
            <w:vAlign w:val="center"/>
          </w:tcPr>
          <w:p w14:paraId="07AE244C">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投标人需结合采购需求充分总结本项目重点难点：</w:t>
            </w:r>
          </w:p>
          <w:p w14:paraId="1B9FE6B6">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（1）重点、难点明确突出且精准，针对重点难点工作思路清晰，应对措施详细、合理可操作，并能根据项目性质或采购需求提出合理可行的建议，完全满足或优于采购需求，得7分；</w:t>
            </w:r>
          </w:p>
          <w:p w14:paraId="4B28EBB8">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（2）重点、难点明确突出且精准，针对重点难点工作思路清晰，应对措施满足采购需求，但未能根据项目性质或采购需求提出合理可行的建议，得5分；</w:t>
            </w:r>
          </w:p>
          <w:p w14:paraId="6A09674B">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（3）重点、难点不够突出，针对重点难点工作思路清晰，应对措施合理可操作较弱，但未能根据项目性质或采购需求提出合理可行的建议，得2分；</w:t>
            </w:r>
          </w:p>
          <w:p w14:paraId="59CDFAA2">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（4）无或其他不得分。</w:t>
            </w:r>
          </w:p>
        </w:tc>
      </w:tr>
      <w:tr w14:paraId="4B921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1060" w:type="dxa"/>
            <w:gridSpan w:val="2"/>
            <w:vMerge w:val="continue"/>
            <w:tcBorders>
              <w:top w:val="single" w:color="auto" w:sz="4" w:space="0"/>
              <w:right w:val="single" w:color="auto" w:sz="4" w:space="0"/>
            </w:tcBorders>
            <w:noWrap/>
            <w:vAlign w:val="center"/>
          </w:tcPr>
          <w:p w14:paraId="40A3C914">
            <w:pPr>
              <w:widowControl/>
              <w:spacing w:line="276" w:lineRule="auto"/>
              <w:jc w:val="center"/>
              <w:rPr>
                <w:rFonts w:ascii="宋体" w:hAnsi="宋体" w:eastAsia="宋体"/>
                <w:color w:val="auto"/>
                <w:szCs w:val="21"/>
                <w:highlight w:val="none"/>
              </w:rPr>
            </w:pPr>
          </w:p>
        </w:tc>
        <w:tc>
          <w:tcPr>
            <w:tcW w:w="1151" w:type="dxa"/>
            <w:vMerge w:val="continue"/>
            <w:tcBorders>
              <w:top w:val="single" w:color="auto" w:sz="4" w:space="0"/>
              <w:right w:val="single" w:color="auto" w:sz="4" w:space="0"/>
            </w:tcBorders>
            <w:vAlign w:val="center"/>
          </w:tcPr>
          <w:p w14:paraId="2DAA8B34">
            <w:pPr>
              <w:spacing w:line="276" w:lineRule="auto"/>
              <w:ind w:right="134" w:rightChars="64"/>
              <w:jc w:val="center"/>
              <w:rPr>
                <w:rFonts w:ascii="宋体" w:hAnsi="宋体" w:eastAsia="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ign w:val="center"/>
          </w:tcPr>
          <w:p w14:paraId="54EEA766">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项目进度计划</w:t>
            </w:r>
          </w:p>
          <w:p w14:paraId="3B67816F">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（3.0分）</w:t>
            </w:r>
          </w:p>
        </w:tc>
        <w:tc>
          <w:tcPr>
            <w:tcW w:w="6219" w:type="dxa"/>
            <w:tcBorders>
              <w:top w:val="single" w:color="auto" w:sz="4" w:space="0"/>
              <w:left w:val="single" w:color="auto" w:sz="4" w:space="0"/>
              <w:bottom w:val="single" w:color="auto" w:sz="4" w:space="0"/>
              <w:right w:val="single" w:color="auto" w:sz="4" w:space="0"/>
            </w:tcBorders>
            <w:noWrap/>
            <w:vAlign w:val="center"/>
          </w:tcPr>
          <w:p w14:paraId="4CB999A4">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 xml:space="preserve">投标人需针对本项目制定详细完整的工作进度计划： </w:t>
            </w:r>
          </w:p>
          <w:p w14:paraId="691A9462">
            <w:pPr>
              <w:numPr>
                <w:ilvl w:val="0"/>
                <w:numId w:val="3"/>
              </w:num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工作进度计划安排详细、完整、合理，满足任务要求，得3分；</w:t>
            </w:r>
          </w:p>
          <w:p w14:paraId="686B615B">
            <w:pPr>
              <w:numPr>
                <w:ilvl w:val="0"/>
                <w:numId w:val="3"/>
              </w:num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工作进度计划安排较详细、完整，基本满足任务要求，得2分；</w:t>
            </w:r>
          </w:p>
          <w:p w14:paraId="0AFBB53F">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（3）工作进度计划安排详细度不足，部分满足任务要求，得1分； （4）无或其他不得分。</w:t>
            </w:r>
          </w:p>
        </w:tc>
      </w:tr>
      <w:tr w14:paraId="1F602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1060" w:type="dxa"/>
            <w:gridSpan w:val="2"/>
            <w:vMerge w:val="continue"/>
            <w:tcBorders>
              <w:top w:val="single" w:color="auto" w:sz="4" w:space="0"/>
              <w:right w:val="single" w:color="auto" w:sz="4" w:space="0"/>
            </w:tcBorders>
            <w:noWrap/>
            <w:vAlign w:val="center"/>
          </w:tcPr>
          <w:p w14:paraId="487C761B">
            <w:pPr>
              <w:widowControl/>
              <w:spacing w:line="276" w:lineRule="auto"/>
              <w:jc w:val="center"/>
              <w:rPr>
                <w:rFonts w:ascii="宋体" w:hAnsi="宋体" w:eastAsia="宋体"/>
                <w:color w:val="auto"/>
                <w:szCs w:val="21"/>
                <w:highlight w:val="none"/>
              </w:rPr>
            </w:pPr>
          </w:p>
        </w:tc>
        <w:tc>
          <w:tcPr>
            <w:tcW w:w="1151" w:type="dxa"/>
            <w:vMerge w:val="continue"/>
            <w:tcBorders>
              <w:top w:val="single" w:color="auto" w:sz="4" w:space="0"/>
              <w:right w:val="single" w:color="auto" w:sz="4" w:space="0"/>
            </w:tcBorders>
            <w:vAlign w:val="center"/>
          </w:tcPr>
          <w:p w14:paraId="7B0D3724">
            <w:pPr>
              <w:spacing w:line="276" w:lineRule="auto"/>
              <w:ind w:right="134" w:rightChars="64"/>
              <w:jc w:val="center"/>
              <w:rPr>
                <w:rFonts w:ascii="宋体" w:hAnsi="宋体" w:eastAsia="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ign w:val="center"/>
          </w:tcPr>
          <w:p w14:paraId="6748818F">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质量技术保障措施和后期服务</w:t>
            </w:r>
          </w:p>
          <w:p w14:paraId="14AC34A5">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（3.0分）</w:t>
            </w:r>
          </w:p>
        </w:tc>
        <w:tc>
          <w:tcPr>
            <w:tcW w:w="6219" w:type="dxa"/>
            <w:tcBorders>
              <w:top w:val="single" w:color="auto" w:sz="4" w:space="0"/>
              <w:left w:val="single" w:color="auto" w:sz="4" w:space="0"/>
              <w:bottom w:val="single" w:color="auto" w:sz="4" w:space="0"/>
              <w:right w:val="single" w:color="auto" w:sz="4" w:space="0"/>
            </w:tcBorders>
            <w:noWrap/>
            <w:vAlign w:val="center"/>
          </w:tcPr>
          <w:p w14:paraId="64A2B702">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投标人需针对本项目制定质量技术保障措施，并提供后期服务：</w:t>
            </w:r>
          </w:p>
          <w:p w14:paraId="73120696">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（1）质量保证体系和措施全面、完善、科学合理、针对性强，全力配合采购人项目工作的推进，服务方案所提供的服务承诺响应时间快，提供的后续技术服务措施全面并切实可行，得3分；</w:t>
            </w:r>
          </w:p>
          <w:p w14:paraId="2981F45F">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（2）质量保证体系和措施基本科学合理，基本可提供后续技术服务措施，得1分；</w:t>
            </w:r>
          </w:p>
          <w:p w14:paraId="22F6DD61">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（3）无或其他不得分。</w:t>
            </w:r>
          </w:p>
        </w:tc>
      </w:tr>
      <w:tr w14:paraId="65381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1060" w:type="dxa"/>
            <w:gridSpan w:val="2"/>
            <w:tcBorders>
              <w:top w:val="single" w:color="auto" w:sz="4" w:space="0"/>
              <w:bottom w:val="single" w:color="auto" w:sz="4" w:space="0"/>
              <w:right w:val="single" w:color="auto" w:sz="4" w:space="0"/>
            </w:tcBorders>
            <w:noWrap/>
            <w:vAlign w:val="center"/>
          </w:tcPr>
          <w:p w14:paraId="1ABA0E61">
            <w:pPr>
              <w:widowControl/>
              <w:spacing w:line="276" w:lineRule="auto"/>
              <w:jc w:val="center"/>
              <w:rPr>
                <w:rFonts w:ascii="宋体" w:hAnsi="宋体" w:eastAsia="宋体"/>
                <w:color w:val="auto"/>
                <w:szCs w:val="21"/>
                <w:highlight w:val="none"/>
              </w:rPr>
            </w:pPr>
            <w:r>
              <w:rPr>
                <w:rFonts w:ascii="宋体" w:hAnsi="宋体" w:eastAsia="宋体"/>
                <w:color w:val="auto"/>
                <w:szCs w:val="21"/>
                <w:highlight w:val="none"/>
              </w:rPr>
              <w:t>2.2.4（3</w:t>
            </w:r>
            <w:r>
              <w:rPr>
                <w:rFonts w:hint="eastAsia" w:ascii="宋体" w:hAnsi="宋体" w:eastAsia="宋体"/>
                <w:color w:val="auto"/>
                <w:szCs w:val="21"/>
                <w:highlight w:val="none"/>
              </w:rPr>
              <w:t>）</w:t>
            </w:r>
          </w:p>
        </w:tc>
        <w:tc>
          <w:tcPr>
            <w:tcW w:w="1151" w:type="dxa"/>
            <w:tcBorders>
              <w:top w:val="single" w:color="auto" w:sz="4" w:space="0"/>
              <w:bottom w:val="single" w:color="auto" w:sz="4" w:space="0"/>
              <w:right w:val="single" w:color="auto" w:sz="4" w:space="0"/>
            </w:tcBorders>
            <w:vAlign w:val="center"/>
          </w:tcPr>
          <w:p w14:paraId="4B2C317C">
            <w:pPr>
              <w:spacing w:line="276" w:lineRule="auto"/>
              <w:ind w:right="27" w:rightChars="13"/>
              <w:jc w:val="center"/>
              <w:rPr>
                <w:rFonts w:ascii="宋体" w:hAnsi="宋体" w:eastAsia="宋体"/>
                <w:color w:val="auto"/>
                <w:szCs w:val="21"/>
                <w:highlight w:val="none"/>
              </w:rPr>
            </w:pPr>
            <w:r>
              <w:rPr>
                <w:rFonts w:hint="eastAsia" w:ascii="宋体" w:hAnsi="宋体" w:eastAsia="宋体"/>
                <w:color w:val="auto"/>
                <w:szCs w:val="21"/>
                <w:highlight w:val="none"/>
              </w:rPr>
              <w:t>投标报价评分标准（</w:t>
            </w:r>
            <w:r>
              <w:rPr>
                <w:rFonts w:ascii="宋体" w:hAnsi="宋体" w:eastAsia="宋体"/>
                <w:color w:val="auto"/>
                <w:szCs w:val="21"/>
                <w:highlight w:val="none"/>
              </w:rPr>
              <w:t>10分）</w:t>
            </w:r>
          </w:p>
        </w:tc>
        <w:tc>
          <w:tcPr>
            <w:tcW w:w="7787" w:type="dxa"/>
            <w:gridSpan w:val="2"/>
            <w:tcBorders>
              <w:top w:val="single" w:color="auto" w:sz="4" w:space="0"/>
              <w:left w:val="single" w:color="auto" w:sz="4" w:space="0"/>
              <w:bottom w:val="single" w:color="auto" w:sz="4" w:space="0"/>
              <w:right w:val="single" w:color="auto" w:sz="4" w:space="0"/>
            </w:tcBorders>
            <w:noWrap/>
            <w:vAlign w:val="center"/>
          </w:tcPr>
          <w:p w14:paraId="62EFD5A0">
            <w:pPr>
              <w:spacing w:line="276" w:lineRule="auto"/>
              <w:ind w:right="134" w:rightChars="64"/>
              <w:rPr>
                <w:rFonts w:ascii="宋体" w:hAnsi="宋体" w:eastAsia="宋体"/>
                <w:color w:val="auto"/>
                <w:szCs w:val="21"/>
                <w:highlight w:val="none"/>
              </w:rPr>
            </w:pPr>
            <w:r>
              <w:rPr>
                <w:rFonts w:hint="eastAsia" w:ascii="宋体" w:hAnsi="宋体" w:eastAsia="宋体"/>
                <w:color w:val="auto"/>
                <w:szCs w:val="21"/>
                <w:highlight w:val="none"/>
              </w:rPr>
              <w:t>以评标基准价作为计算各有效投标价得分的基础，当有效投标报价等于评标基准价时得</w:t>
            </w:r>
            <w:r>
              <w:rPr>
                <w:rFonts w:ascii="宋体" w:hAnsi="宋体" w:eastAsia="宋体"/>
                <w:color w:val="auto"/>
                <w:szCs w:val="21"/>
                <w:highlight w:val="none"/>
              </w:rPr>
              <w:t>10分；投标有效报价与评标基准价相比，每上偏1%扣</w:t>
            </w:r>
            <w:r>
              <w:rPr>
                <w:rFonts w:hint="eastAsia" w:ascii="宋体" w:hAnsi="宋体" w:eastAsia="宋体"/>
                <w:color w:val="auto"/>
                <w:szCs w:val="21"/>
                <w:highlight w:val="none"/>
              </w:rPr>
              <w:t>0.5</w:t>
            </w:r>
            <w:r>
              <w:rPr>
                <w:rFonts w:ascii="宋体" w:hAnsi="宋体" w:eastAsia="宋体"/>
                <w:color w:val="auto"/>
                <w:szCs w:val="21"/>
                <w:highlight w:val="none"/>
              </w:rPr>
              <w:t>分，下偏1%扣0.</w:t>
            </w:r>
            <w:r>
              <w:rPr>
                <w:rFonts w:hint="eastAsia" w:ascii="宋体" w:hAnsi="宋体" w:eastAsia="宋体"/>
                <w:color w:val="auto"/>
                <w:szCs w:val="21"/>
                <w:highlight w:val="none"/>
              </w:rPr>
              <w:t>35分。（得分扣至</w:t>
            </w:r>
            <w:r>
              <w:rPr>
                <w:rFonts w:ascii="宋体" w:hAnsi="宋体" w:eastAsia="宋体"/>
                <w:color w:val="auto"/>
                <w:szCs w:val="21"/>
                <w:highlight w:val="none"/>
              </w:rPr>
              <w:t>0分止）</w:t>
            </w:r>
          </w:p>
        </w:tc>
      </w:tr>
      <w:tr w14:paraId="7C8833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1060" w:type="dxa"/>
            <w:gridSpan w:val="2"/>
            <w:tcBorders>
              <w:top w:val="single" w:color="auto" w:sz="4" w:space="0"/>
              <w:bottom w:val="single" w:color="auto" w:sz="4" w:space="0"/>
              <w:right w:val="single" w:color="auto" w:sz="4" w:space="0"/>
            </w:tcBorders>
            <w:noWrap/>
            <w:vAlign w:val="center"/>
          </w:tcPr>
          <w:p w14:paraId="7EF6585A">
            <w:pPr>
              <w:widowControl/>
              <w:spacing w:line="276" w:lineRule="auto"/>
              <w:jc w:val="center"/>
              <w:rPr>
                <w:rFonts w:ascii="宋体" w:hAnsi="宋体" w:eastAsia="宋体"/>
                <w:color w:val="auto"/>
                <w:szCs w:val="21"/>
                <w:highlight w:val="none"/>
              </w:rPr>
            </w:pPr>
            <w:r>
              <w:rPr>
                <w:rFonts w:ascii="宋体" w:hAnsi="宋体" w:eastAsia="宋体"/>
                <w:color w:val="auto"/>
                <w:szCs w:val="21"/>
                <w:highlight w:val="none"/>
              </w:rPr>
              <w:t>2.2.4</w:t>
            </w:r>
          </w:p>
          <w:p w14:paraId="78E9A962">
            <w:pPr>
              <w:pStyle w:val="111"/>
              <w:spacing w:line="276" w:lineRule="auto"/>
              <w:ind w:firstLine="210" w:firstLineChars="100"/>
              <w:jc w:val="both"/>
              <w:rPr>
                <w:rFonts w:ascii="宋体" w:hAnsi="宋体"/>
                <w:color w:val="auto"/>
                <w:szCs w:val="21"/>
                <w:highlight w:val="none"/>
              </w:rPr>
            </w:pPr>
            <w:r>
              <w:rPr>
                <w:rFonts w:hint="eastAsia" w:ascii="宋体" w:hAnsi="宋体"/>
                <w:color w:val="auto"/>
                <w:szCs w:val="21"/>
                <w:highlight w:val="none"/>
              </w:rPr>
              <w:t>说明</w:t>
            </w:r>
          </w:p>
        </w:tc>
        <w:tc>
          <w:tcPr>
            <w:tcW w:w="8938" w:type="dxa"/>
            <w:gridSpan w:val="3"/>
            <w:tcBorders>
              <w:top w:val="single" w:color="auto" w:sz="4" w:space="0"/>
              <w:bottom w:val="single" w:color="auto" w:sz="4" w:space="0"/>
              <w:right w:val="single" w:color="auto" w:sz="4" w:space="0"/>
            </w:tcBorders>
            <w:vAlign w:val="center"/>
          </w:tcPr>
          <w:p w14:paraId="58A8EAAF">
            <w:pPr>
              <w:snapToGrid w:val="0"/>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投标人的综合得分为各评委的评分汇总后，</w:t>
            </w:r>
            <w:r>
              <w:rPr>
                <w:rFonts w:ascii="宋体" w:hAnsi="宋体" w:eastAsia="宋体"/>
                <w:color w:val="auto"/>
                <w:szCs w:val="21"/>
                <w:highlight w:val="none"/>
              </w:rPr>
              <w:t>去一个最高和一个最低</w:t>
            </w:r>
            <w:r>
              <w:rPr>
                <w:rFonts w:hint="eastAsia" w:ascii="宋体" w:hAnsi="宋体" w:eastAsia="宋体"/>
                <w:color w:val="auto"/>
                <w:szCs w:val="21"/>
                <w:highlight w:val="none"/>
              </w:rPr>
              <w:t>的，</w:t>
            </w:r>
            <w:r>
              <w:rPr>
                <w:rFonts w:ascii="宋体" w:hAnsi="宋体" w:eastAsia="宋体"/>
                <w:color w:val="auto"/>
                <w:szCs w:val="21"/>
                <w:highlight w:val="none"/>
              </w:rPr>
              <w:t>剩余</w:t>
            </w:r>
            <w:r>
              <w:rPr>
                <w:rFonts w:hint="eastAsia" w:ascii="宋体" w:hAnsi="宋体" w:eastAsia="宋体"/>
                <w:color w:val="auto"/>
                <w:szCs w:val="21"/>
                <w:highlight w:val="none"/>
              </w:rPr>
              <w:t>的算术平均值（分数出现小数点时，保留小数点后二位，第三位小数四舍五入）。</w:t>
            </w:r>
          </w:p>
        </w:tc>
      </w:tr>
    </w:tbl>
    <w:p w14:paraId="2B7E4CC5">
      <w:pPr>
        <w:widowControl/>
        <w:jc w:val="left"/>
        <w:rPr>
          <w:rFonts w:ascii="宋体" w:hAnsi="宋体" w:eastAsia="宋体"/>
          <w:color w:val="auto"/>
          <w:highlight w:val="none"/>
        </w:rPr>
      </w:pPr>
      <w:r>
        <w:rPr>
          <w:rFonts w:ascii="宋体" w:hAnsi="宋体" w:eastAsia="宋体"/>
          <w:color w:val="auto"/>
          <w:highlight w:val="none"/>
        </w:rPr>
        <w:br w:type="page"/>
      </w:r>
    </w:p>
    <w:p w14:paraId="00A7B656">
      <w:pPr>
        <w:pStyle w:val="3"/>
        <w:ind w:firstLine="602"/>
        <w:rPr>
          <w:color w:val="auto"/>
          <w:highlight w:val="none"/>
        </w:rPr>
      </w:pPr>
      <w:bookmarkStart w:id="313" w:name="_Toc133420528"/>
      <w:bookmarkStart w:id="314" w:name="_Toc492300628"/>
      <w:bookmarkStart w:id="315" w:name="_Toc25854"/>
      <w:r>
        <w:rPr>
          <w:color w:val="auto"/>
          <w:highlight w:val="none"/>
        </w:rPr>
        <w:t xml:space="preserve">1. </w:t>
      </w:r>
      <w:r>
        <w:rPr>
          <w:rFonts w:hint="eastAsia"/>
          <w:color w:val="auto"/>
          <w:highlight w:val="none"/>
        </w:rPr>
        <w:t>评标方法</w:t>
      </w:r>
      <w:bookmarkEnd w:id="313"/>
      <w:bookmarkEnd w:id="314"/>
      <w:bookmarkEnd w:id="315"/>
    </w:p>
    <w:p w14:paraId="507D8B5B">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本次评标采用综合评估法。评标委员会对满足招标文件实质性要求的投标文件，按照本章第</w:t>
      </w:r>
      <w:r>
        <w:rPr>
          <w:rFonts w:ascii="宋体" w:hAnsi="宋体" w:eastAsia="宋体"/>
          <w:color w:val="auto"/>
          <w:highlight w:val="none"/>
        </w:rPr>
        <w:t>2.2款规定的评分标准进行打分，并按得分由高到低顺序推荐中标候选人，或根据招标人授权直接确定中标人，但投标报价低于其成本的除</w:t>
      </w:r>
      <w:bookmarkStart w:id="316" w:name="_Toc361508646"/>
      <w:bookmarkStart w:id="317" w:name="_Toc300835008"/>
      <w:bookmarkStart w:id="318" w:name="_Toc247514022"/>
      <w:bookmarkStart w:id="319" w:name="_Toc4497"/>
      <w:bookmarkStart w:id="320" w:name="_Toc144974565"/>
      <w:bookmarkStart w:id="321" w:name="_Toc152045598"/>
      <w:bookmarkStart w:id="322" w:name="_Toc152042375"/>
      <w:bookmarkStart w:id="323" w:name="_Toc352691533"/>
      <w:bookmarkStart w:id="324" w:name="_Toc247527623"/>
      <w:bookmarkStart w:id="325" w:name="_Toc384308272"/>
      <w:bookmarkStart w:id="326" w:name="_Toc369531577"/>
      <w:r>
        <w:rPr>
          <w:rFonts w:hint="eastAsia" w:ascii="宋体" w:hAnsi="宋体" w:eastAsia="宋体"/>
          <w:color w:val="auto"/>
          <w:highlight w:val="none"/>
        </w:rPr>
        <w:t>外。</w:t>
      </w:r>
      <w:bookmarkEnd w:id="316"/>
      <w:bookmarkEnd w:id="317"/>
      <w:bookmarkEnd w:id="318"/>
      <w:bookmarkEnd w:id="319"/>
      <w:bookmarkEnd w:id="320"/>
      <w:bookmarkEnd w:id="321"/>
      <w:bookmarkEnd w:id="322"/>
      <w:bookmarkEnd w:id="323"/>
      <w:bookmarkEnd w:id="324"/>
      <w:bookmarkEnd w:id="325"/>
      <w:bookmarkEnd w:id="326"/>
      <w:r>
        <w:rPr>
          <w:rFonts w:hint="eastAsia" w:ascii="宋体" w:hAnsi="宋体" w:eastAsia="宋体"/>
          <w:color w:val="auto"/>
          <w:szCs w:val="21"/>
          <w:highlight w:val="none"/>
        </w:rPr>
        <w:t>综合得分相等时，以投标报价低的优先；投标报价也相等的，以技术分较高的排前，如仍存在相同情况，则以评标委员会记名投票方式确定中标候选人顺序，得票</w:t>
      </w:r>
      <w:r>
        <w:rPr>
          <w:rFonts w:hint="eastAsia" w:ascii="宋体" w:hAnsi="宋体" w:eastAsia="宋体"/>
          <w:color w:val="auto"/>
          <w:szCs w:val="21"/>
          <w:highlight w:val="none"/>
          <w:lang w:val="en-US" w:eastAsia="zh-CN"/>
        </w:rPr>
        <w:t>多</w:t>
      </w:r>
      <w:r>
        <w:rPr>
          <w:rFonts w:hint="eastAsia" w:ascii="宋体" w:hAnsi="宋体" w:eastAsia="宋体"/>
          <w:color w:val="auto"/>
          <w:szCs w:val="21"/>
          <w:highlight w:val="none"/>
        </w:rPr>
        <w:t>的靠前。</w:t>
      </w:r>
    </w:p>
    <w:p w14:paraId="1301FB76">
      <w:pPr>
        <w:pStyle w:val="3"/>
        <w:ind w:firstLine="602"/>
        <w:rPr>
          <w:color w:val="auto"/>
          <w:highlight w:val="none"/>
        </w:rPr>
      </w:pPr>
      <w:bookmarkStart w:id="327" w:name="_Toc133420529"/>
      <w:bookmarkStart w:id="328" w:name="_Toc492300629"/>
      <w:bookmarkStart w:id="329" w:name="_Toc5332"/>
      <w:r>
        <w:rPr>
          <w:color w:val="auto"/>
          <w:highlight w:val="none"/>
        </w:rPr>
        <w:t xml:space="preserve">2. </w:t>
      </w:r>
      <w:r>
        <w:rPr>
          <w:rFonts w:hint="eastAsia"/>
          <w:color w:val="auto"/>
          <w:highlight w:val="none"/>
        </w:rPr>
        <w:t>评审标准</w:t>
      </w:r>
      <w:bookmarkEnd w:id="327"/>
      <w:bookmarkEnd w:id="328"/>
      <w:bookmarkEnd w:id="329"/>
    </w:p>
    <w:p w14:paraId="49861F4B">
      <w:pPr>
        <w:pStyle w:val="4"/>
        <w:spacing w:before="0" w:after="0" w:line="360" w:lineRule="auto"/>
        <w:ind w:firstLine="560" w:firstLineChars="200"/>
        <w:rPr>
          <w:rFonts w:ascii="宋体" w:hAnsi="宋体" w:eastAsia="宋体"/>
          <w:color w:val="auto"/>
          <w:highlight w:val="none"/>
        </w:rPr>
      </w:pPr>
      <w:bookmarkStart w:id="330" w:name="_Toc51055774"/>
      <w:bookmarkStart w:id="331" w:name="_Toc36466626"/>
      <w:bookmarkStart w:id="332" w:name="_Toc133420530"/>
      <w:bookmarkStart w:id="333" w:name="_Toc492300630"/>
      <w:bookmarkStart w:id="334" w:name="_Toc45266456"/>
      <w:bookmarkStart w:id="335" w:name="_Toc5587"/>
      <w:r>
        <w:rPr>
          <w:rFonts w:ascii="宋体" w:hAnsi="宋体" w:eastAsia="宋体"/>
          <w:color w:val="auto"/>
          <w:highlight w:val="none"/>
        </w:rPr>
        <w:t xml:space="preserve">2.1 </w:t>
      </w:r>
      <w:r>
        <w:rPr>
          <w:rFonts w:hint="eastAsia" w:ascii="宋体" w:hAnsi="宋体" w:eastAsia="宋体"/>
          <w:color w:val="auto"/>
          <w:highlight w:val="none"/>
        </w:rPr>
        <w:t>初步评审标准</w:t>
      </w:r>
      <w:bookmarkEnd w:id="330"/>
      <w:bookmarkEnd w:id="331"/>
      <w:bookmarkEnd w:id="332"/>
      <w:bookmarkEnd w:id="333"/>
      <w:bookmarkEnd w:id="334"/>
      <w:bookmarkEnd w:id="335"/>
    </w:p>
    <w:p w14:paraId="20A1F7AE">
      <w:pPr>
        <w:spacing w:line="360" w:lineRule="auto"/>
        <w:ind w:firstLine="420" w:firstLineChars="200"/>
        <w:rPr>
          <w:rFonts w:ascii="宋体" w:hAnsi="宋体" w:eastAsia="宋体"/>
          <w:color w:val="auto"/>
          <w:highlight w:val="none"/>
        </w:rPr>
      </w:pPr>
      <w:r>
        <w:rPr>
          <w:rFonts w:ascii="宋体" w:hAnsi="宋体" w:eastAsia="宋体"/>
          <w:color w:val="auto"/>
          <w:highlight w:val="none"/>
        </w:rPr>
        <w:t xml:space="preserve">2.1.1 </w:t>
      </w:r>
      <w:r>
        <w:rPr>
          <w:rFonts w:hint="eastAsia" w:ascii="宋体" w:hAnsi="宋体" w:eastAsia="宋体"/>
          <w:color w:val="auto"/>
          <w:highlight w:val="none"/>
        </w:rPr>
        <w:t>形式评审标准：见评标办法前附表。</w:t>
      </w:r>
    </w:p>
    <w:p w14:paraId="1396C007">
      <w:pPr>
        <w:spacing w:line="360" w:lineRule="auto"/>
        <w:ind w:firstLine="420" w:firstLineChars="200"/>
        <w:rPr>
          <w:rFonts w:ascii="宋体" w:hAnsi="宋体" w:eastAsia="宋体"/>
          <w:color w:val="auto"/>
          <w:highlight w:val="none"/>
        </w:rPr>
      </w:pPr>
      <w:r>
        <w:rPr>
          <w:rFonts w:ascii="宋体" w:hAnsi="宋体" w:eastAsia="宋体"/>
          <w:color w:val="auto"/>
          <w:highlight w:val="none"/>
        </w:rPr>
        <w:t xml:space="preserve">2.1.2 </w:t>
      </w:r>
      <w:r>
        <w:rPr>
          <w:rFonts w:hint="eastAsia" w:ascii="宋体" w:hAnsi="宋体" w:eastAsia="宋体"/>
          <w:color w:val="auto"/>
          <w:highlight w:val="none"/>
        </w:rPr>
        <w:t>资格评审标准：见评标办法前附表。</w:t>
      </w:r>
    </w:p>
    <w:p w14:paraId="7544A3F9">
      <w:pPr>
        <w:spacing w:line="360" w:lineRule="auto"/>
        <w:ind w:firstLine="420" w:firstLineChars="200"/>
        <w:rPr>
          <w:rFonts w:ascii="宋体" w:hAnsi="宋体" w:eastAsia="宋体"/>
          <w:color w:val="auto"/>
          <w:highlight w:val="none"/>
        </w:rPr>
      </w:pPr>
      <w:r>
        <w:rPr>
          <w:rFonts w:ascii="宋体" w:hAnsi="宋体" w:eastAsia="宋体"/>
          <w:color w:val="auto"/>
          <w:highlight w:val="none"/>
        </w:rPr>
        <w:t xml:space="preserve">2.1.3 </w:t>
      </w:r>
      <w:r>
        <w:rPr>
          <w:rFonts w:hint="eastAsia" w:ascii="宋体" w:hAnsi="宋体" w:eastAsia="宋体"/>
          <w:color w:val="auto"/>
          <w:highlight w:val="none"/>
        </w:rPr>
        <w:t>响应性评审标准：见评标办法前附表。</w:t>
      </w:r>
    </w:p>
    <w:p w14:paraId="2DF89BC2">
      <w:pPr>
        <w:pStyle w:val="4"/>
        <w:spacing w:before="0" w:after="0" w:line="360" w:lineRule="auto"/>
        <w:ind w:firstLine="560" w:firstLineChars="200"/>
        <w:rPr>
          <w:rFonts w:ascii="宋体" w:hAnsi="宋体" w:eastAsia="宋体"/>
          <w:color w:val="auto"/>
          <w:highlight w:val="none"/>
        </w:rPr>
      </w:pPr>
      <w:bookmarkStart w:id="336" w:name="_Toc45266457"/>
      <w:bookmarkStart w:id="337" w:name="_Toc492300631"/>
      <w:bookmarkStart w:id="338" w:name="_Toc36466627"/>
      <w:bookmarkStart w:id="339" w:name="_Toc133420531"/>
      <w:bookmarkStart w:id="340" w:name="_Toc51055775"/>
      <w:bookmarkStart w:id="341" w:name="_Toc2237"/>
      <w:r>
        <w:rPr>
          <w:rFonts w:ascii="宋体" w:hAnsi="宋体" w:eastAsia="宋体"/>
          <w:color w:val="auto"/>
          <w:highlight w:val="none"/>
        </w:rPr>
        <w:t xml:space="preserve">2.2 </w:t>
      </w:r>
      <w:r>
        <w:rPr>
          <w:rFonts w:hint="eastAsia" w:ascii="宋体" w:hAnsi="宋体" w:eastAsia="宋体"/>
          <w:color w:val="auto"/>
          <w:highlight w:val="none"/>
        </w:rPr>
        <w:t>分值构成与评分标准</w:t>
      </w:r>
      <w:bookmarkEnd w:id="336"/>
      <w:bookmarkEnd w:id="337"/>
      <w:bookmarkEnd w:id="338"/>
      <w:bookmarkEnd w:id="339"/>
      <w:bookmarkEnd w:id="340"/>
      <w:bookmarkEnd w:id="341"/>
    </w:p>
    <w:p w14:paraId="49A92EDC">
      <w:pPr>
        <w:spacing w:line="360" w:lineRule="auto"/>
        <w:ind w:firstLine="420" w:firstLineChars="200"/>
        <w:rPr>
          <w:rFonts w:ascii="宋体" w:hAnsi="宋体" w:eastAsia="宋体"/>
          <w:color w:val="auto"/>
          <w:highlight w:val="none"/>
        </w:rPr>
      </w:pPr>
      <w:r>
        <w:rPr>
          <w:rFonts w:ascii="宋体" w:hAnsi="宋体" w:eastAsia="宋体"/>
          <w:color w:val="auto"/>
          <w:highlight w:val="none"/>
        </w:rPr>
        <w:t xml:space="preserve">2.2.1 </w:t>
      </w:r>
      <w:r>
        <w:rPr>
          <w:rFonts w:hint="eastAsia" w:ascii="宋体" w:hAnsi="宋体" w:eastAsia="宋体"/>
          <w:color w:val="auto"/>
          <w:highlight w:val="none"/>
        </w:rPr>
        <w:t>分值构成</w:t>
      </w:r>
    </w:p>
    <w:p w14:paraId="69EA32AA">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1）商务部分：见评标办法前附表；</w:t>
      </w:r>
    </w:p>
    <w:p w14:paraId="5CB624FD">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2）技术服务方案部分：见评标办法前附表；</w:t>
      </w:r>
    </w:p>
    <w:p w14:paraId="3E670AE1">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3）投标报价：见评标办法前附表；</w:t>
      </w:r>
    </w:p>
    <w:p w14:paraId="643757FC">
      <w:pPr>
        <w:spacing w:line="360" w:lineRule="auto"/>
        <w:ind w:firstLine="420" w:firstLineChars="200"/>
        <w:rPr>
          <w:rFonts w:ascii="宋体" w:hAnsi="宋体" w:eastAsia="宋体"/>
          <w:color w:val="auto"/>
          <w:highlight w:val="none"/>
        </w:rPr>
      </w:pPr>
      <w:r>
        <w:rPr>
          <w:rFonts w:ascii="宋体" w:hAnsi="宋体" w:eastAsia="宋体"/>
          <w:color w:val="auto"/>
          <w:highlight w:val="none"/>
        </w:rPr>
        <w:t xml:space="preserve">2.2.2 </w:t>
      </w:r>
      <w:r>
        <w:rPr>
          <w:rFonts w:hint="eastAsia" w:ascii="宋体" w:hAnsi="宋体" w:eastAsia="宋体"/>
          <w:color w:val="auto"/>
          <w:highlight w:val="none"/>
        </w:rPr>
        <w:t>评标基准价计算</w:t>
      </w:r>
    </w:p>
    <w:p w14:paraId="3AA8B14C">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评标基准价计算方法：见评标办法前附表。</w:t>
      </w:r>
    </w:p>
    <w:p w14:paraId="3B4F1B45">
      <w:pPr>
        <w:spacing w:line="360" w:lineRule="auto"/>
        <w:ind w:firstLine="420" w:firstLineChars="200"/>
        <w:rPr>
          <w:rFonts w:ascii="宋体" w:hAnsi="宋体" w:eastAsia="宋体"/>
          <w:color w:val="auto"/>
          <w:highlight w:val="none"/>
        </w:rPr>
      </w:pPr>
      <w:r>
        <w:rPr>
          <w:rFonts w:ascii="宋体" w:hAnsi="宋体" w:eastAsia="宋体"/>
          <w:color w:val="auto"/>
          <w:highlight w:val="none"/>
        </w:rPr>
        <w:t xml:space="preserve">2.2.3 </w:t>
      </w:r>
      <w:r>
        <w:rPr>
          <w:rFonts w:hint="eastAsia" w:ascii="宋体" w:hAnsi="宋体" w:eastAsia="宋体"/>
          <w:color w:val="auto"/>
          <w:highlight w:val="none"/>
        </w:rPr>
        <w:t>投标报价的偏差率计算</w:t>
      </w:r>
    </w:p>
    <w:p w14:paraId="0C89F750">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投标报价的偏差率计算公式：见评标办法前附表。</w:t>
      </w:r>
    </w:p>
    <w:p w14:paraId="64BCE4A9">
      <w:pPr>
        <w:spacing w:line="360" w:lineRule="auto"/>
        <w:ind w:firstLine="420" w:firstLineChars="200"/>
        <w:rPr>
          <w:rFonts w:ascii="宋体" w:hAnsi="宋体" w:eastAsia="宋体"/>
          <w:color w:val="auto"/>
          <w:highlight w:val="none"/>
        </w:rPr>
      </w:pPr>
      <w:r>
        <w:rPr>
          <w:rFonts w:ascii="宋体" w:hAnsi="宋体" w:eastAsia="宋体"/>
          <w:color w:val="auto"/>
          <w:highlight w:val="none"/>
        </w:rPr>
        <w:t xml:space="preserve">2.2.4 </w:t>
      </w:r>
      <w:r>
        <w:rPr>
          <w:rFonts w:hint="eastAsia" w:ascii="宋体" w:hAnsi="宋体" w:eastAsia="宋体"/>
          <w:color w:val="auto"/>
          <w:highlight w:val="none"/>
        </w:rPr>
        <w:t>评分标准</w:t>
      </w:r>
    </w:p>
    <w:p w14:paraId="2C76A1C8">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1）商务部分评分标准：见评标办法前附表；</w:t>
      </w:r>
    </w:p>
    <w:p w14:paraId="42CA4808">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2）技术服务方案评分标准：见评标办法前附表；</w:t>
      </w:r>
    </w:p>
    <w:p w14:paraId="1CB55F04">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3）投标报价评分标准：见评标办法前附表；</w:t>
      </w:r>
    </w:p>
    <w:p w14:paraId="46F1FD8F">
      <w:pPr>
        <w:pStyle w:val="3"/>
        <w:ind w:firstLine="602"/>
        <w:rPr>
          <w:color w:val="auto"/>
          <w:highlight w:val="none"/>
        </w:rPr>
      </w:pPr>
      <w:bookmarkStart w:id="342" w:name="_Toc492300632"/>
      <w:bookmarkStart w:id="343" w:name="_Toc133420532"/>
      <w:bookmarkStart w:id="344" w:name="_Toc6140"/>
      <w:r>
        <w:rPr>
          <w:color w:val="auto"/>
          <w:highlight w:val="none"/>
        </w:rPr>
        <w:t xml:space="preserve">3. </w:t>
      </w:r>
      <w:r>
        <w:rPr>
          <w:rFonts w:hint="eastAsia"/>
          <w:color w:val="auto"/>
          <w:highlight w:val="none"/>
        </w:rPr>
        <w:t>评标程序</w:t>
      </w:r>
      <w:bookmarkEnd w:id="342"/>
      <w:bookmarkEnd w:id="343"/>
      <w:bookmarkEnd w:id="344"/>
    </w:p>
    <w:p w14:paraId="7947EE13">
      <w:pPr>
        <w:pStyle w:val="4"/>
        <w:spacing w:before="0" w:after="0" w:line="360" w:lineRule="auto"/>
        <w:ind w:firstLine="560" w:firstLineChars="200"/>
        <w:rPr>
          <w:rFonts w:ascii="宋体" w:hAnsi="宋体" w:eastAsia="宋体"/>
          <w:color w:val="auto"/>
          <w:highlight w:val="none"/>
        </w:rPr>
      </w:pPr>
      <w:bookmarkStart w:id="345" w:name="_Toc45266459"/>
      <w:bookmarkStart w:id="346" w:name="_Toc51055777"/>
      <w:bookmarkStart w:id="347" w:name="_Toc492300633"/>
      <w:bookmarkStart w:id="348" w:name="_Toc36466629"/>
      <w:bookmarkStart w:id="349" w:name="_Toc133420533"/>
      <w:bookmarkStart w:id="350" w:name="_Toc5434"/>
      <w:r>
        <w:rPr>
          <w:rFonts w:ascii="宋体" w:hAnsi="宋体" w:eastAsia="宋体"/>
          <w:color w:val="auto"/>
          <w:highlight w:val="none"/>
        </w:rPr>
        <w:t xml:space="preserve">3.1 </w:t>
      </w:r>
      <w:r>
        <w:rPr>
          <w:rFonts w:hint="eastAsia" w:ascii="宋体" w:hAnsi="宋体" w:eastAsia="宋体"/>
          <w:color w:val="auto"/>
          <w:highlight w:val="none"/>
        </w:rPr>
        <w:t>初步评审</w:t>
      </w:r>
      <w:bookmarkEnd w:id="345"/>
      <w:bookmarkEnd w:id="346"/>
      <w:bookmarkEnd w:id="347"/>
      <w:bookmarkEnd w:id="348"/>
      <w:bookmarkEnd w:id="349"/>
      <w:bookmarkEnd w:id="350"/>
    </w:p>
    <w:p w14:paraId="4A5462E4">
      <w:pPr>
        <w:spacing w:line="360" w:lineRule="auto"/>
        <w:ind w:firstLine="420" w:firstLineChars="200"/>
        <w:rPr>
          <w:rFonts w:ascii="宋体" w:hAnsi="宋体" w:eastAsia="宋体"/>
          <w:color w:val="auto"/>
          <w:highlight w:val="none"/>
        </w:rPr>
      </w:pPr>
      <w:r>
        <w:rPr>
          <w:rFonts w:ascii="宋体" w:hAnsi="宋体" w:eastAsia="宋体"/>
          <w:color w:val="auto"/>
          <w:highlight w:val="none"/>
        </w:rPr>
        <w:t xml:space="preserve">3.1.1 </w:t>
      </w:r>
      <w:r>
        <w:rPr>
          <w:rFonts w:hint="eastAsia" w:ascii="宋体" w:hAnsi="宋体" w:eastAsia="宋体"/>
          <w:color w:val="auto"/>
          <w:highlight w:val="none"/>
        </w:rPr>
        <w:t>评标委员会可以要求投标人提交第二章“投标人须知”规定的有关证明和证件的原件，以便核验。评标委员会依据本章第</w:t>
      </w:r>
      <w:r>
        <w:rPr>
          <w:rFonts w:ascii="宋体" w:hAnsi="宋体" w:eastAsia="宋体"/>
          <w:color w:val="auto"/>
          <w:highlight w:val="none"/>
        </w:rPr>
        <w:t>2.1款规定的标准对投标文件进行初步评审。有一项不符合评审标准的，评标委员会应当否决其投标。</w:t>
      </w:r>
    </w:p>
    <w:p w14:paraId="094BA5C9">
      <w:pPr>
        <w:spacing w:line="360" w:lineRule="auto"/>
        <w:ind w:firstLine="420" w:firstLineChars="200"/>
        <w:rPr>
          <w:rFonts w:ascii="宋体" w:hAnsi="宋体" w:eastAsia="宋体"/>
          <w:color w:val="auto"/>
          <w:highlight w:val="none"/>
        </w:rPr>
      </w:pPr>
      <w:r>
        <w:rPr>
          <w:rFonts w:ascii="宋体" w:hAnsi="宋体" w:eastAsia="宋体"/>
          <w:color w:val="auto"/>
          <w:highlight w:val="none"/>
        </w:rPr>
        <w:t xml:space="preserve">3.1.2 </w:t>
      </w:r>
      <w:r>
        <w:rPr>
          <w:rFonts w:hint="eastAsia" w:ascii="宋体" w:hAnsi="宋体" w:eastAsia="宋体"/>
          <w:color w:val="auto"/>
          <w:highlight w:val="none"/>
        </w:rPr>
        <w:t>投标人有以下情形之一的，评标委员会应当否决其投标：</w:t>
      </w:r>
    </w:p>
    <w:p w14:paraId="3CCE44A1">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1）投标文件没有对招标文件的实质性要求和条件作出响应，或者对招标文件的偏差</w:t>
      </w:r>
      <w:r>
        <w:rPr>
          <w:rFonts w:hint="eastAsia" w:ascii="宋体" w:hAnsi="宋体" w:eastAsia="宋体"/>
          <w:color w:val="auto"/>
          <w:highlight w:val="none"/>
        </w:rPr>
        <w:t>超出招标文件规定的偏差范围或最高项数；</w:t>
      </w:r>
    </w:p>
    <w:p w14:paraId="26D40231">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2）有串通投标、弄虚作假、行贿等违法行为。</w:t>
      </w:r>
    </w:p>
    <w:p w14:paraId="762EE577">
      <w:pPr>
        <w:spacing w:line="360" w:lineRule="auto"/>
        <w:ind w:firstLine="420" w:firstLineChars="200"/>
        <w:rPr>
          <w:rFonts w:ascii="宋体" w:hAnsi="宋体" w:eastAsia="宋体"/>
          <w:color w:val="auto"/>
          <w:highlight w:val="none"/>
        </w:rPr>
      </w:pPr>
      <w:r>
        <w:rPr>
          <w:rFonts w:ascii="宋体" w:hAnsi="宋体" w:eastAsia="宋体"/>
          <w:color w:val="auto"/>
          <w:highlight w:val="none"/>
        </w:rPr>
        <w:t xml:space="preserve">3.1.3 </w:t>
      </w:r>
      <w:r>
        <w:rPr>
          <w:rFonts w:hint="eastAsia" w:ascii="宋体" w:hAnsi="宋体" w:eastAsia="宋体"/>
          <w:color w:val="auto"/>
          <w:highlight w:val="none"/>
        </w:rPr>
        <w:t>投标报价有算术错误及其他错误的，评标委员会按以下原则要求投标人对投标报价进</w:t>
      </w:r>
      <w:bookmarkStart w:id="351" w:name="_Toc352691538"/>
      <w:bookmarkStart w:id="352" w:name="_Toc369531582"/>
      <w:bookmarkStart w:id="353" w:name="_Toc384308277"/>
      <w:bookmarkStart w:id="354" w:name="_Toc152042380"/>
      <w:bookmarkStart w:id="355" w:name="_Toc152045603"/>
      <w:bookmarkStart w:id="356" w:name="_Toc247527628"/>
      <w:bookmarkStart w:id="357" w:name="_Toc144974570"/>
      <w:bookmarkStart w:id="358" w:name="_Toc2907"/>
      <w:bookmarkStart w:id="359" w:name="_Toc361508651"/>
      <w:bookmarkStart w:id="360" w:name="_Toc247514027"/>
      <w:bookmarkStart w:id="361" w:name="_Toc300835013"/>
      <w:r>
        <w:rPr>
          <w:rFonts w:hint="eastAsia" w:ascii="宋体" w:hAnsi="宋体" w:eastAsia="宋体"/>
          <w:color w:val="auto"/>
          <w:highlight w:val="none"/>
        </w:rPr>
        <w:t>行修正，并要求投标人书面澄清确认。</w:t>
      </w:r>
      <w:bookmarkEnd w:id="351"/>
      <w:bookmarkEnd w:id="352"/>
      <w:bookmarkEnd w:id="353"/>
      <w:bookmarkEnd w:id="354"/>
      <w:bookmarkEnd w:id="355"/>
      <w:bookmarkEnd w:id="356"/>
      <w:bookmarkEnd w:id="357"/>
      <w:bookmarkEnd w:id="358"/>
      <w:bookmarkEnd w:id="359"/>
      <w:bookmarkEnd w:id="360"/>
      <w:bookmarkEnd w:id="361"/>
      <w:r>
        <w:rPr>
          <w:rFonts w:hint="eastAsia" w:ascii="宋体" w:hAnsi="宋体" w:eastAsia="宋体"/>
          <w:color w:val="auto"/>
          <w:highlight w:val="none"/>
        </w:rPr>
        <w:t>投标人拒不澄清确认的，评标委员会应当否决其投标：</w:t>
      </w:r>
    </w:p>
    <w:p w14:paraId="01687FED">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1）投标文件中的大写金额与小写金额不一致的，以大写金额为准；</w:t>
      </w:r>
    </w:p>
    <w:p w14:paraId="2FBB3BFD">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2）总价金额与单价金额不一致的，以单价金额为准，但单价金额小数点有明显错误的除外。</w:t>
      </w:r>
    </w:p>
    <w:p w14:paraId="4CBFAEF6">
      <w:pPr>
        <w:pStyle w:val="4"/>
        <w:spacing w:before="0" w:after="0" w:line="360" w:lineRule="auto"/>
        <w:ind w:firstLine="560" w:firstLineChars="200"/>
        <w:rPr>
          <w:rFonts w:ascii="宋体" w:hAnsi="宋体" w:eastAsia="宋体"/>
          <w:color w:val="auto"/>
          <w:highlight w:val="none"/>
        </w:rPr>
      </w:pPr>
      <w:bookmarkStart w:id="362" w:name="_Toc133420534"/>
      <w:bookmarkStart w:id="363" w:name="_Toc51055778"/>
      <w:bookmarkStart w:id="364" w:name="_Toc36466630"/>
      <w:bookmarkStart w:id="365" w:name="_Toc492300634"/>
      <w:bookmarkStart w:id="366" w:name="_Toc45266460"/>
      <w:bookmarkStart w:id="367" w:name="_Toc13246"/>
      <w:r>
        <w:rPr>
          <w:rFonts w:ascii="宋体" w:hAnsi="宋体" w:eastAsia="宋体"/>
          <w:color w:val="auto"/>
          <w:highlight w:val="none"/>
        </w:rPr>
        <w:t xml:space="preserve">3.2 </w:t>
      </w:r>
      <w:r>
        <w:rPr>
          <w:rFonts w:hint="eastAsia" w:ascii="宋体" w:hAnsi="宋体" w:eastAsia="宋体"/>
          <w:color w:val="auto"/>
          <w:highlight w:val="none"/>
        </w:rPr>
        <w:t>详细评审</w:t>
      </w:r>
      <w:bookmarkEnd w:id="362"/>
      <w:bookmarkEnd w:id="363"/>
      <w:bookmarkEnd w:id="364"/>
      <w:bookmarkEnd w:id="365"/>
      <w:bookmarkEnd w:id="366"/>
      <w:bookmarkEnd w:id="367"/>
    </w:p>
    <w:p w14:paraId="13B514F5">
      <w:pPr>
        <w:spacing w:line="360" w:lineRule="auto"/>
        <w:ind w:firstLine="630" w:firstLineChars="300"/>
        <w:rPr>
          <w:rFonts w:ascii="宋体" w:hAnsi="宋体" w:eastAsia="宋体"/>
          <w:color w:val="auto"/>
          <w:highlight w:val="none"/>
        </w:rPr>
      </w:pPr>
      <w:r>
        <w:rPr>
          <w:rFonts w:ascii="宋体" w:hAnsi="宋体" w:eastAsia="宋体"/>
          <w:color w:val="auto"/>
          <w:highlight w:val="none"/>
        </w:rPr>
        <w:t xml:space="preserve">3.2.1 </w:t>
      </w:r>
      <w:r>
        <w:rPr>
          <w:rFonts w:hint="eastAsia" w:ascii="宋体" w:hAnsi="宋体" w:eastAsia="宋体"/>
          <w:color w:val="auto"/>
          <w:highlight w:val="none"/>
        </w:rPr>
        <w:t>评标委员会按本章第</w:t>
      </w:r>
      <w:r>
        <w:rPr>
          <w:rFonts w:ascii="宋体" w:hAnsi="宋体" w:eastAsia="宋体"/>
          <w:color w:val="auto"/>
          <w:highlight w:val="none"/>
        </w:rPr>
        <w:t>2.2款规定的量化因素和分值进行打分，并计算出综合评估得分。</w:t>
      </w:r>
    </w:p>
    <w:p w14:paraId="6D5277F0">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1）按本章第2.2.4（1）目规定的评审因素和分值对商务部分计算出得分</w:t>
      </w:r>
      <w:r>
        <w:rPr>
          <w:rFonts w:hint="eastAsia" w:ascii="宋体" w:hAnsi="宋体" w:eastAsia="宋体"/>
          <w:color w:val="auto"/>
          <w:highlight w:val="none"/>
        </w:rPr>
        <w:t>1</w:t>
      </w:r>
      <w:r>
        <w:rPr>
          <w:rFonts w:ascii="宋体" w:hAnsi="宋体" w:eastAsia="宋体"/>
          <w:color w:val="auto"/>
          <w:highlight w:val="none"/>
        </w:rPr>
        <w:t>；</w:t>
      </w:r>
    </w:p>
    <w:p w14:paraId="5D088F75">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2）按本章第2.2.4（2）目规定的评审因素和分值对技术服务方案计算出得分</w:t>
      </w:r>
      <w:r>
        <w:rPr>
          <w:rFonts w:hint="eastAsia" w:ascii="宋体" w:hAnsi="宋体" w:eastAsia="宋体"/>
          <w:color w:val="auto"/>
          <w:highlight w:val="none"/>
        </w:rPr>
        <w:t>2</w:t>
      </w:r>
      <w:r>
        <w:rPr>
          <w:rFonts w:ascii="宋体" w:hAnsi="宋体" w:eastAsia="宋体"/>
          <w:color w:val="auto"/>
          <w:highlight w:val="none"/>
        </w:rPr>
        <w:t>；</w:t>
      </w:r>
    </w:p>
    <w:p w14:paraId="112AC85A">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3）按本章第2.2.4（3）目规定的评审因素和</w:t>
      </w:r>
      <w:bookmarkStart w:id="368" w:name="_Toc152042381"/>
      <w:bookmarkStart w:id="369" w:name="_Toc144974571"/>
      <w:bookmarkStart w:id="370" w:name="_Toc361508652"/>
      <w:bookmarkStart w:id="371" w:name="_Toc384308278"/>
      <w:bookmarkStart w:id="372" w:name="_Toc247514028"/>
      <w:bookmarkStart w:id="373" w:name="_Toc352691539"/>
      <w:bookmarkStart w:id="374" w:name="_Toc300835014"/>
      <w:bookmarkStart w:id="375" w:name="_Toc152045604"/>
      <w:bookmarkStart w:id="376" w:name="_Toc247527629"/>
      <w:bookmarkStart w:id="377" w:name="_Toc24330"/>
      <w:bookmarkStart w:id="378" w:name="_Toc369531583"/>
      <w:r>
        <w:rPr>
          <w:rFonts w:hint="eastAsia" w:ascii="宋体" w:hAnsi="宋体" w:eastAsia="宋体"/>
          <w:color w:val="auto"/>
          <w:highlight w:val="none"/>
        </w:rPr>
        <w:t>分值对</w:t>
      </w:r>
      <w:bookmarkEnd w:id="368"/>
      <w:bookmarkEnd w:id="369"/>
      <w:bookmarkEnd w:id="370"/>
      <w:bookmarkEnd w:id="371"/>
      <w:bookmarkEnd w:id="372"/>
      <w:bookmarkEnd w:id="373"/>
      <w:bookmarkEnd w:id="374"/>
      <w:bookmarkEnd w:id="375"/>
      <w:bookmarkEnd w:id="376"/>
      <w:bookmarkEnd w:id="377"/>
      <w:bookmarkEnd w:id="378"/>
      <w:r>
        <w:rPr>
          <w:rFonts w:hint="eastAsia" w:ascii="宋体" w:hAnsi="宋体" w:eastAsia="宋体"/>
          <w:color w:val="auto"/>
          <w:highlight w:val="none"/>
        </w:rPr>
        <w:t>投标报价计</w:t>
      </w:r>
      <w:bookmarkStart w:id="379" w:name="_Toc247527630"/>
      <w:bookmarkStart w:id="380" w:name="_Toc352691540"/>
      <w:bookmarkStart w:id="381" w:name="_Toc152045605"/>
      <w:bookmarkStart w:id="382" w:name="_Toc247514029"/>
      <w:bookmarkStart w:id="383" w:name="_Toc144974572"/>
      <w:bookmarkStart w:id="384" w:name="_Toc384308279"/>
      <w:bookmarkStart w:id="385" w:name="_Toc361508653"/>
      <w:bookmarkStart w:id="386" w:name="_Toc369531584"/>
      <w:bookmarkStart w:id="387" w:name="_Toc300835015"/>
      <w:bookmarkStart w:id="388" w:name="_Toc152042382"/>
      <w:bookmarkStart w:id="389" w:name="_Toc18141"/>
      <w:r>
        <w:rPr>
          <w:rFonts w:hint="eastAsia" w:ascii="宋体" w:hAnsi="宋体" w:eastAsia="宋体"/>
          <w:color w:val="auto"/>
          <w:highlight w:val="none"/>
        </w:rPr>
        <w:t>算出得分3</w:t>
      </w:r>
      <w:r>
        <w:rPr>
          <w:rFonts w:ascii="宋体" w:hAnsi="宋体" w:eastAsia="宋体"/>
          <w:color w:val="auto"/>
          <w:highlight w:val="none"/>
        </w:rPr>
        <w:t>；</w:t>
      </w:r>
    </w:p>
    <w:bookmarkEnd w:id="379"/>
    <w:bookmarkEnd w:id="380"/>
    <w:bookmarkEnd w:id="381"/>
    <w:bookmarkEnd w:id="382"/>
    <w:bookmarkEnd w:id="383"/>
    <w:bookmarkEnd w:id="384"/>
    <w:bookmarkEnd w:id="385"/>
    <w:bookmarkEnd w:id="386"/>
    <w:bookmarkEnd w:id="387"/>
    <w:bookmarkEnd w:id="388"/>
    <w:bookmarkEnd w:id="389"/>
    <w:p w14:paraId="67B66C84">
      <w:pPr>
        <w:spacing w:line="360" w:lineRule="auto"/>
        <w:ind w:firstLine="630" w:firstLineChars="300"/>
        <w:rPr>
          <w:rFonts w:ascii="宋体" w:hAnsi="宋体" w:eastAsia="宋体"/>
          <w:color w:val="auto"/>
          <w:highlight w:val="none"/>
        </w:rPr>
      </w:pPr>
      <w:r>
        <w:rPr>
          <w:rFonts w:ascii="宋体" w:hAnsi="宋体" w:eastAsia="宋体"/>
          <w:color w:val="auto"/>
          <w:highlight w:val="none"/>
        </w:rPr>
        <w:t xml:space="preserve">3.2.2 </w:t>
      </w:r>
      <w:r>
        <w:rPr>
          <w:rFonts w:hint="eastAsia" w:ascii="宋体" w:hAnsi="宋体" w:eastAsia="宋体"/>
          <w:color w:val="auto"/>
          <w:highlight w:val="none"/>
        </w:rPr>
        <w:t>评分分值计算保留小数点后两位，小数点后第三位“四舍五入”。</w:t>
      </w:r>
    </w:p>
    <w:p w14:paraId="10215A59">
      <w:pPr>
        <w:spacing w:line="360" w:lineRule="auto"/>
        <w:ind w:firstLine="630" w:firstLineChars="300"/>
        <w:rPr>
          <w:rFonts w:hint="eastAsia" w:ascii="宋体" w:hAnsi="宋体" w:eastAsia="宋体"/>
          <w:color w:val="auto"/>
          <w:szCs w:val="21"/>
          <w:highlight w:val="none"/>
          <w:lang w:eastAsia="zh-CN"/>
        </w:rPr>
      </w:pPr>
      <w:r>
        <w:rPr>
          <w:rFonts w:ascii="宋体" w:hAnsi="宋体" w:eastAsia="宋体"/>
          <w:color w:val="auto"/>
          <w:highlight w:val="none"/>
        </w:rPr>
        <w:t xml:space="preserve">3.2.3 </w:t>
      </w:r>
      <w:r>
        <w:rPr>
          <w:rFonts w:hint="eastAsia" w:ascii="宋体" w:hAnsi="宋体" w:eastAsia="宋体"/>
          <w:color w:val="auto"/>
          <w:highlight w:val="none"/>
        </w:rPr>
        <w:t>投标人</w:t>
      </w:r>
      <w:r>
        <w:rPr>
          <w:rFonts w:hint="eastAsia" w:ascii="宋体" w:hAnsi="宋体" w:eastAsia="宋体"/>
          <w:color w:val="auto"/>
          <w:szCs w:val="21"/>
          <w:highlight w:val="none"/>
        </w:rPr>
        <w:t>综合</w:t>
      </w:r>
      <w:r>
        <w:rPr>
          <w:rFonts w:hint="eastAsia" w:ascii="宋体" w:hAnsi="宋体" w:eastAsia="宋体"/>
          <w:color w:val="auto"/>
          <w:highlight w:val="none"/>
        </w:rPr>
        <w:t>得分</w:t>
      </w:r>
      <w:r>
        <w:rPr>
          <w:rFonts w:hint="eastAsia" w:ascii="宋体" w:hAnsi="宋体" w:eastAsia="宋体"/>
          <w:color w:val="auto"/>
          <w:szCs w:val="21"/>
          <w:highlight w:val="none"/>
        </w:rPr>
        <w:t>为各评委的评分汇总后，</w:t>
      </w:r>
      <w:r>
        <w:rPr>
          <w:rFonts w:ascii="宋体" w:hAnsi="宋体" w:eastAsia="宋体"/>
          <w:color w:val="auto"/>
          <w:szCs w:val="21"/>
          <w:highlight w:val="none"/>
        </w:rPr>
        <w:t>去一个最高和一个最低</w:t>
      </w:r>
      <w:r>
        <w:rPr>
          <w:rFonts w:hint="eastAsia" w:ascii="宋体" w:hAnsi="宋体" w:eastAsia="宋体"/>
          <w:color w:val="auto"/>
          <w:szCs w:val="21"/>
          <w:highlight w:val="none"/>
        </w:rPr>
        <w:t>的，</w:t>
      </w:r>
      <w:r>
        <w:rPr>
          <w:rFonts w:ascii="宋体" w:hAnsi="宋体" w:eastAsia="宋体"/>
          <w:color w:val="auto"/>
          <w:szCs w:val="21"/>
          <w:highlight w:val="none"/>
        </w:rPr>
        <w:t>剩余</w:t>
      </w:r>
      <w:r>
        <w:rPr>
          <w:rFonts w:hint="eastAsia" w:ascii="宋体" w:hAnsi="宋体" w:eastAsia="宋体"/>
          <w:color w:val="auto"/>
          <w:szCs w:val="21"/>
          <w:highlight w:val="none"/>
        </w:rPr>
        <w:t>的算术平均值</w:t>
      </w:r>
      <w:r>
        <w:rPr>
          <w:rFonts w:hint="eastAsia" w:ascii="宋体" w:hAnsi="宋体" w:eastAsia="宋体"/>
          <w:color w:val="auto"/>
          <w:szCs w:val="21"/>
          <w:highlight w:val="none"/>
          <w:lang w:eastAsia="zh-CN"/>
        </w:rPr>
        <w:t>。</w:t>
      </w:r>
    </w:p>
    <w:p w14:paraId="563C1BAC">
      <w:pPr>
        <w:spacing w:line="360" w:lineRule="auto"/>
        <w:ind w:firstLine="630" w:firstLineChars="300"/>
        <w:rPr>
          <w:rFonts w:ascii="宋体" w:hAnsi="宋体" w:eastAsia="宋体"/>
          <w:color w:val="auto"/>
          <w:highlight w:val="none"/>
        </w:rPr>
      </w:pPr>
      <w:r>
        <w:rPr>
          <w:rFonts w:ascii="宋体" w:hAnsi="宋体" w:eastAsia="宋体"/>
          <w:color w:val="auto"/>
          <w:highlight w:val="none"/>
        </w:rPr>
        <w:t xml:space="preserve">3.2.4 </w:t>
      </w:r>
      <w:r>
        <w:rPr>
          <w:rFonts w:hint="eastAsia" w:ascii="宋体" w:hAnsi="宋体" w:eastAsia="宋体"/>
          <w:color w:val="auto"/>
          <w:highlight w:val="none"/>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63C6624C">
      <w:pPr>
        <w:pStyle w:val="4"/>
        <w:spacing w:before="0" w:after="0" w:line="360" w:lineRule="auto"/>
        <w:ind w:firstLine="560" w:firstLineChars="200"/>
        <w:rPr>
          <w:rFonts w:ascii="宋体" w:hAnsi="宋体" w:eastAsia="宋体"/>
          <w:color w:val="auto"/>
          <w:highlight w:val="none"/>
        </w:rPr>
      </w:pPr>
      <w:bookmarkStart w:id="390" w:name="_Toc133420535"/>
      <w:bookmarkStart w:id="391" w:name="_Toc51055779"/>
      <w:bookmarkStart w:id="392" w:name="_Toc492300635"/>
      <w:bookmarkStart w:id="393" w:name="_Toc36466631"/>
      <w:bookmarkStart w:id="394" w:name="_Toc45266461"/>
      <w:bookmarkStart w:id="395" w:name="_Toc4078"/>
      <w:r>
        <w:rPr>
          <w:rFonts w:ascii="宋体" w:hAnsi="宋体" w:eastAsia="宋体"/>
          <w:color w:val="auto"/>
          <w:highlight w:val="none"/>
        </w:rPr>
        <w:t xml:space="preserve">3.3 </w:t>
      </w:r>
      <w:r>
        <w:rPr>
          <w:rFonts w:hint="eastAsia" w:ascii="宋体" w:hAnsi="宋体" w:eastAsia="宋体"/>
          <w:color w:val="auto"/>
          <w:highlight w:val="none"/>
        </w:rPr>
        <w:t>投标文件的澄清</w:t>
      </w:r>
      <w:bookmarkEnd w:id="390"/>
      <w:bookmarkEnd w:id="391"/>
      <w:bookmarkEnd w:id="392"/>
      <w:bookmarkEnd w:id="393"/>
      <w:bookmarkEnd w:id="394"/>
      <w:bookmarkEnd w:id="395"/>
    </w:p>
    <w:p w14:paraId="28F6992A">
      <w:pPr>
        <w:spacing w:line="360" w:lineRule="auto"/>
        <w:ind w:firstLine="630" w:firstLineChars="300"/>
        <w:rPr>
          <w:rFonts w:ascii="宋体" w:hAnsi="宋体" w:eastAsia="宋体"/>
          <w:color w:val="auto"/>
          <w:highlight w:val="none"/>
        </w:rPr>
      </w:pPr>
      <w:r>
        <w:rPr>
          <w:rFonts w:ascii="宋体" w:hAnsi="宋体" w:eastAsia="宋体"/>
          <w:color w:val="auto"/>
          <w:highlight w:val="none"/>
        </w:rPr>
        <w:t xml:space="preserve">3.3.1 </w:t>
      </w:r>
      <w:r>
        <w:rPr>
          <w:rFonts w:hint="eastAsia" w:ascii="宋体" w:hAnsi="宋体" w:eastAsia="宋体"/>
          <w:color w:val="auto"/>
          <w:highlight w:val="none"/>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7D6BECBC">
      <w:pPr>
        <w:spacing w:line="360" w:lineRule="auto"/>
        <w:ind w:firstLine="630" w:firstLineChars="300"/>
        <w:rPr>
          <w:rFonts w:ascii="宋体" w:hAnsi="宋体" w:eastAsia="宋体"/>
          <w:color w:val="auto"/>
          <w:highlight w:val="none"/>
        </w:rPr>
      </w:pPr>
      <w:r>
        <w:rPr>
          <w:rFonts w:ascii="宋体" w:hAnsi="宋体" w:eastAsia="宋体"/>
          <w:color w:val="auto"/>
          <w:highlight w:val="none"/>
        </w:rPr>
        <w:t xml:space="preserve">3.3.2 </w:t>
      </w:r>
      <w:r>
        <w:rPr>
          <w:rFonts w:hint="eastAsia" w:ascii="宋体" w:hAnsi="宋体" w:eastAsia="宋体"/>
          <w:color w:val="auto"/>
          <w:highlight w:val="none"/>
        </w:rPr>
        <w:t>澄清、说明或补正不得超出投标文件的范围且不得改变投标文件的实质性内容，并构成投标文件的组成部分。</w:t>
      </w:r>
    </w:p>
    <w:p w14:paraId="37AA1412">
      <w:pPr>
        <w:spacing w:line="360" w:lineRule="auto"/>
        <w:ind w:firstLine="630" w:firstLineChars="300"/>
        <w:rPr>
          <w:rFonts w:ascii="宋体" w:hAnsi="宋体" w:eastAsia="宋体"/>
          <w:color w:val="auto"/>
          <w:highlight w:val="none"/>
        </w:rPr>
      </w:pPr>
      <w:r>
        <w:rPr>
          <w:rFonts w:ascii="宋体" w:hAnsi="宋体" w:eastAsia="宋体"/>
          <w:color w:val="auto"/>
          <w:highlight w:val="none"/>
        </w:rPr>
        <w:t xml:space="preserve">3.3.3 </w:t>
      </w:r>
      <w:r>
        <w:rPr>
          <w:rFonts w:hint="eastAsia" w:ascii="宋体" w:hAnsi="宋体" w:eastAsia="宋体"/>
          <w:color w:val="auto"/>
          <w:highlight w:val="none"/>
        </w:rPr>
        <w:t>评标委员会对投标人提交的澄清、说明或补正有疑问的，可以要求投标人进一步澄清、说明或补正，直至满足评标委员会的要求。</w:t>
      </w:r>
    </w:p>
    <w:p w14:paraId="0C74D814">
      <w:pPr>
        <w:pStyle w:val="4"/>
        <w:spacing w:before="0" w:after="0" w:line="360" w:lineRule="auto"/>
        <w:ind w:firstLine="560" w:firstLineChars="200"/>
        <w:rPr>
          <w:rFonts w:ascii="宋体" w:hAnsi="宋体" w:eastAsia="宋体"/>
          <w:color w:val="auto"/>
          <w:highlight w:val="none"/>
        </w:rPr>
      </w:pPr>
      <w:bookmarkStart w:id="396" w:name="_Toc492300636"/>
      <w:bookmarkStart w:id="397" w:name="_Toc51055780"/>
      <w:bookmarkStart w:id="398" w:name="_Toc36466632"/>
      <w:bookmarkStart w:id="399" w:name="_Toc133420536"/>
      <w:bookmarkStart w:id="400" w:name="_Toc45266462"/>
      <w:bookmarkStart w:id="401" w:name="_Toc9432"/>
      <w:r>
        <w:rPr>
          <w:rFonts w:ascii="宋体" w:hAnsi="宋体" w:eastAsia="宋体"/>
          <w:color w:val="auto"/>
          <w:highlight w:val="none"/>
        </w:rPr>
        <w:t xml:space="preserve">3.4 </w:t>
      </w:r>
      <w:r>
        <w:rPr>
          <w:rFonts w:hint="eastAsia" w:ascii="宋体" w:hAnsi="宋体" w:eastAsia="宋体"/>
          <w:color w:val="auto"/>
          <w:highlight w:val="none"/>
        </w:rPr>
        <w:t>评标结果</w:t>
      </w:r>
      <w:bookmarkEnd w:id="396"/>
      <w:bookmarkEnd w:id="397"/>
      <w:bookmarkEnd w:id="398"/>
      <w:bookmarkEnd w:id="399"/>
      <w:bookmarkEnd w:id="400"/>
      <w:bookmarkEnd w:id="401"/>
    </w:p>
    <w:p w14:paraId="70BE597A">
      <w:pPr>
        <w:spacing w:line="360" w:lineRule="auto"/>
        <w:ind w:firstLine="630" w:firstLineChars="300"/>
        <w:rPr>
          <w:rFonts w:ascii="宋体" w:hAnsi="宋体" w:eastAsia="宋体"/>
          <w:color w:val="auto"/>
          <w:highlight w:val="none"/>
        </w:rPr>
      </w:pPr>
      <w:r>
        <w:rPr>
          <w:rFonts w:ascii="宋体" w:hAnsi="宋体" w:eastAsia="宋体"/>
          <w:color w:val="auto"/>
          <w:highlight w:val="none"/>
        </w:rPr>
        <w:t xml:space="preserve">3.4.1 </w:t>
      </w:r>
      <w:r>
        <w:rPr>
          <w:rFonts w:hint="eastAsia" w:ascii="宋体" w:hAnsi="宋体" w:eastAsia="宋体"/>
          <w:color w:val="auto"/>
          <w:highlight w:val="none"/>
        </w:rPr>
        <w:t>除第二章“投标人须知”前附表授权直接确定中标人外，评标委员会按照得分由高到低的顺序推荐中标候选人，并标明排序。</w:t>
      </w:r>
    </w:p>
    <w:p w14:paraId="254E0C43">
      <w:pPr>
        <w:spacing w:line="360" w:lineRule="auto"/>
        <w:ind w:firstLine="420" w:firstLineChars="200"/>
        <w:rPr>
          <w:rFonts w:ascii="宋体" w:hAnsi="宋体" w:eastAsia="宋体"/>
          <w:color w:val="auto"/>
          <w:highlight w:val="none"/>
        </w:rPr>
      </w:pPr>
    </w:p>
    <w:p w14:paraId="0C23E018">
      <w:pPr>
        <w:spacing w:line="360" w:lineRule="auto"/>
        <w:ind w:firstLine="420" w:firstLineChars="200"/>
        <w:rPr>
          <w:rFonts w:ascii="宋体" w:hAnsi="宋体" w:eastAsia="宋体"/>
          <w:color w:val="auto"/>
          <w:highlight w:val="none"/>
        </w:rPr>
      </w:pPr>
      <w:r>
        <w:rPr>
          <w:rFonts w:ascii="宋体" w:hAnsi="宋体" w:eastAsia="宋体"/>
          <w:color w:val="auto"/>
          <w:highlight w:val="none"/>
        </w:rPr>
        <w:t xml:space="preserve">3.4.2 </w:t>
      </w:r>
      <w:r>
        <w:rPr>
          <w:rFonts w:hint="eastAsia" w:ascii="宋体" w:hAnsi="宋体" w:eastAsia="宋体"/>
          <w:color w:val="auto"/>
          <w:highlight w:val="none"/>
        </w:rPr>
        <w:t>评标委员会完成评标后，应当向招标人提交书面评标报告和中标候选人名单。</w:t>
      </w:r>
    </w:p>
    <w:p w14:paraId="4B0B847E">
      <w:pPr>
        <w:pStyle w:val="3"/>
        <w:ind w:firstLine="602"/>
        <w:rPr>
          <w:color w:val="auto"/>
          <w:highlight w:val="none"/>
        </w:rPr>
        <w:sectPr>
          <w:pgSz w:w="11906" w:h="16838"/>
          <w:pgMar w:top="1440" w:right="1800" w:bottom="1440" w:left="1800" w:header="720" w:footer="720" w:gutter="0"/>
          <w:pgNumType w:fmt="decimal"/>
          <w:cols w:space="720" w:num="1"/>
          <w:docGrid w:linePitch="286" w:charSpace="0"/>
        </w:sectPr>
      </w:pPr>
    </w:p>
    <w:p w14:paraId="27DBA62C">
      <w:pPr>
        <w:pStyle w:val="2"/>
        <w:rPr>
          <w:rFonts w:hint="eastAsia"/>
        </w:rPr>
      </w:pPr>
      <w:bookmarkStart w:id="402" w:name="_Toc14234"/>
      <w:bookmarkStart w:id="403" w:name="_Toc133420537"/>
      <w:r>
        <w:rPr>
          <w:rFonts w:hint="eastAsia"/>
        </w:rPr>
        <w:t>第四章合同条款及格式</w:t>
      </w:r>
      <w:bookmarkEnd w:id="402"/>
    </w:p>
    <w:p w14:paraId="73B07F2D">
      <w:pPr>
        <w:adjustRightInd/>
        <w:snapToGrid/>
        <w:spacing w:line="360" w:lineRule="auto"/>
        <w:ind w:firstLine="3780" w:firstLineChars="1800"/>
        <w:jc w:val="left"/>
        <w:rPr>
          <w:rFonts w:hint="eastAsia" w:ascii="宋体" w:hAnsi="宋体" w:eastAsia="宋体" w:cstheme="minorBidi"/>
          <w:b w:val="0"/>
          <w:bCs w:val="0"/>
          <w:color w:val="auto"/>
          <w:sz w:val="21"/>
          <w:szCs w:val="22"/>
          <w:highlight w:val="none"/>
          <w:lang w:eastAsia="zh-CN"/>
        </w:rPr>
      </w:pPr>
      <w:r>
        <w:rPr>
          <w:rFonts w:hint="eastAsia" w:ascii="宋体" w:hAnsi="宋体" w:eastAsia="宋体" w:cstheme="minorBidi"/>
          <w:b w:val="0"/>
          <w:bCs w:val="0"/>
          <w:color w:val="auto"/>
          <w:sz w:val="21"/>
          <w:szCs w:val="22"/>
          <w:highlight w:val="none"/>
          <w:lang w:eastAsia="zh-CN"/>
        </w:rPr>
        <w:t>（</w:t>
      </w:r>
      <w:r>
        <w:rPr>
          <w:rFonts w:hint="eastAsia" w:ascii="宋体" w:hAnsi="宋体" w:eastAsia="宋体" w:cstheme="minorBidi"/>
          <w:b w:val="0"/>
          <w:bCs w:val="0"/>
          <w:color w:val="auto"/>
          <w:sz w:val="21"/>
          <w:szCs w:val="22"/>
          <w:highlight w:val="none"/>
          <w:lang w:val="en-US" w:eastAsia="zh-CN"/>
        </w:rPr>
        <w:t>另册</w:t>
      </w:r>
      <w:r>
        <w:rPr>
          <w:rFonts w:hint="eastAsia" w:ascii="宋体" w:hAnsi="宋体" w:eastAsia="宋体" w:cstheme="minorBidi"/>
          <w:b w:val="0"/>
          <w:bCs w:val="0"/>
          <w:color w:val="auto"/>
          <w:sz w:val="21"/>
          <w:szCs w:val="22"/>
          <w:highlight w:val="none"/>
          <w:lang w:eastAsia="zh-CN"/>
        </w:rPr>
        <w:t>）</w:t>
      </w:r>
    </w:p>
    <w:p w14:paraId="6B89C0AD">
      <w:pPr>
        <w:adjustRightInd w:val="0"/>
        <w:snapToGrid w:val="0"/>
        <w:spacing w:line="360" w:lineRule="auto"/>
        <w:rPr>
          <w:rFonts w:ascii="Times New Roman" w:hAnsi="Times New Roman" w:eastAsia="黑体" w:cs="Times New Roman"/>
          <w:sz w:val="28"/>
          <w:szCs w:val="24"/>
          <w:highlight w:val="none"/>
        </w:rPr>
      </w:pPr>
    </w:p>
    <w:p w14:paraId="127596A9">
      <w:pPr>
        <w:adjustRightInd w:val="0"/>
        <w:snapToGrid w:val="0"/>
        <w:spacing w:line="360" w:lineRule="auto"/>
        <w:jc w:val="left"/>
        <w:rPr>
          <w:rFonts w:ascii="Times New Roman" w:hAnsi="Times New Roman" w:eastAsia="宋体" w:cs="Times New Roman"/>
          <w:sz w:val="24"/>
          <w:szCs w:val="24"/>
          <w:highlight w:val="none"/>
        </w:rPr>
      </w:pPr>
    </w:p>
    <w:p w14:paraId="4AE067ED">
      <w:pPr>
        <w:adjustRightInd w:val="0"/>
        <w:snapToGrid w:val="0"/>
        <w:spacing w:line="360" w:lineRule="auto"/>
        <w:jc w:val="left"/>
        <w:rPr>
          <w:rFonts w:ascii="Times New Roman" w:hAnsi="Times New Roman" w:eastAsia="宋体" w:cs="Times New Roman"/>
          <w:sz w:val="24"/>
          <w:szCs w:val="24"/>
          <w:highlight w:val="none"/>
        </w:rPr>
      </w:pPr>
    </w:p>
    <w:p w14:paraId="5F8B4DA3">
      <w:pPr>
        <w:adjustRightInd w:val="0"/>
        <w:snapToGrid w:val="0"/>
        <w:spacing w:line="360" w:lineRule="auto"/>
        <w:jc w:val="left"/>
        <w:rPr>
          <w:rFonts w:ascii="Times New Roman" w:hAnsi="Times New Roman" w:eastAsia="宋体" w:cs="Times New Roman"/>
          <w:sz w:val="24"/>
          <w:szCs w:val="24"/>
          <w:highlight w:val="none"/>
        </w:rPr>
      </w:pPr>
    </w:p>
    <w:p w14:paraId="47B187A1">
      <w:pPr>
        <w:adjustRightInd w:val="0"/>
        <w:snapToGrid w:val="0"/>
        <w:spacing w:line="360" w:lineRule="auto"/>
        <w:jc w:val="left"/>
        <w:rPr>
          <w:rFonts w:ascii="Times New Roman" w:hAnsi="Times New Roman" w:eastAsia="宋体" w:cs="Times New Roman"/>
          <w:sz w:val="24"/>
          <w:szCs w:val="24"/>
          <w:highlight w:val="none"/>
        </w:rPr>
      </w:pPr>
    </w:p>
    <w:p w14:paraId="1BB89494">
      <w:pPr>
        <w:adjustRightInd w:val="0"/>
        <w:snapToGrid w:val="0"/>
        <w:spacing w:line="360" w:lineRule="auto"/>
        <w:jc w:val="left"/>
        <w:rPr>
          <w:rFonts w:ascii="Times New Roman" w:hAnsi="Times New Roman" w:eastAsia="宋体" w:cs="Times New Roman"/>
          <w:sz w:val="24"/>
          <w:szCs w:val="24"/>
          <w:highlight w:val="none"/>
        </w:rPr>
      </w:pPr>
    </w:p>
    <w:p w14:paraId="6874E732">
      <w:pPr>
        <w:adjustRightInd w:val="0"/>
        <w:snapToGrid w:val="0"/>
        <w:spacing w:line="360" w:lineRule="auto"/>
        <w:jc w:val="left"/>
        <w:rPr>
          <w:rFonts w:ascii="Times New Roman" w:hAnsi="Times New Roman" w:eastAsia="宋体" w:cs="Times New Roman"/>
          <w:sz w:val="24"/>
          <w:szCs w:val="24"/>
          <w:highlight w:val="none"/>
        </w:rPr>
      </w:pPr>
    </w:p>
    <w:p w14:paraId="07EC6C3F">
      <w:pPr>
        <w:adjustRightInd w:val="0"/>
        <w:snapToGrid w:val="0"/>
        <w:spacing w:line="360" w:lineRule="auto"/>
        <w:jc w:val="left"/>
        <w:rPr>
          <w:rFonts w:ascii="Times New Roman" w:hAnsi="Times New Roman" w:eastAsia="宋体" w:cs="Times New Roman"/>
          <w:sz w:val="24"/>
          <w:szCs w:val="24"/>
          <w:highlight w:val="none"/>
        </w:rPr>
      </w:pPr>
    </w:p>
    <w:p w14:paraId="40D2E713">
      <w:pPr>
        <w:adjustRightInd w:val="0"/>
        <w:snapToGrid w:val="0"/>
        <w:spacing w:line="360" w:lineRule="auto"/>
        <w:jc w:val="left"/>
        <w:rPr>
          <w:rFonts w:ascii="Times New Roman" w:hAnsi="Times New Roman" w:eastAsia="宋体" w:cs="Times New Roman"/>
          <w:sz w:val="24"/>
          <w:szCs w:val="24"/>
          <w:highlight w:val="none"/>
        </w:rPr>
      </w:pPr>
    </w:p>
    <w:p w14:paraId="69A04FDF">
      <w:pPr>
        <w:adjustRightInd w:val="0"/>
        <w:snapToGrid w:val="0"/>
        <w:spacing w:line="360" w:lineRule="auto"/>
        <w:jc w:val="left"/>
        <w:rPr>
          <w:rFonts w:ascii="Times New Roman" w:hAnsi="Times New Roman" w:eastAsia="宋体" w:cs="Times New Roman"/>
          <w:sz w:val="24"/>
          <w:szCs w:val="24"/>
          <w:highlight w:val="none"/>
        </w:rPr>
      </w:pPr>
    </w:p>
    <w:p w14:paraId="4B98AE10">
      <w:pPr>
        <w:adjustRightInd w:val="0"/>
        <w:snapToGrid w:val="0"/>
        <w:spacing w:line="360" w:lineRule="auto"/>
        <w:jc w:val="left"/>
        <w:rPr>
          <w:rFonts w:ascii="Times New Roman" w:hAnsi="Times New Roman" w:eastAsia="宋体" w:cs="Times New Roman"/>
          <w:sz w:val="24"/>
          <w:szCs w:val="24"/>
          <w:highlight w:val="none"/>
        </w:rPr>
      </w:pPr>
    </w:p>
    <w:p w14:paraId="4874C522">
      <w:pPr>
        <w:adjustRightInd w:val="0"/>
        <w:snapToGrid w:val="0"/>
        <w:spacing w:line="360" w:lineRule="auto"/>
        <w:jc w:val="left"/>
        <w:rPr>
          <w:rFonts w:ascii="Times New Roman" w:hAnsi="Times New Roman" w:eastAsia="宋体" w:cs="Times New Roman"/>
          <w:sz w:val="24"/>
          <w:szCs w:val="24"/>
          <w:highlight w:val="none"/>
        </w:rPr>
      </w:pPr>
    </w:p>
    <w:p w14:paraId="0E9E3824">
      <w:pPr>
        <w:adjustRightInd w:val="0"/>
        <w:snapToGrid w:val="0"/>
        <w:spacing w:line="360" w:lineRule="auto"/>
        <w:jc w:val="left"/>
        <w:rPr>
          <w:rFonts w:ascii="Times New Roman" w:hAnsi="Times New Roman" w:eastAsia="宋体" w:cs="Times New Roman"/>
          <w:sz w:val="24"/>
          <w:szCs w:val="24"/>
          <w:highlight w:val="none"/>
        </w:rPr>
      </w:pPr>
    </w:p>
    <w:p w14:paraId="1BB00756">
      <w:pPr>
        <w:adjustRightInd w:val="0"/>
        <w:snapToGrid w:val="0"/>
        <w:spacing w:line="360" w:lineRule="auto"/>
        <w:jc w:val="left"/>
        <w:rPr>
          <w:rFonts w:ascii="Times New Roman" w:hAnsi="Times New Roman" w:eastAsia="宋体" w:cs="Times New Roman"/>
          <w:sz w:val="24"/>
          <w:szCs w:val="24"/>
          <w:highlight w:val="none"/>
        </w:rPr>
      </w:pPr>
    </w:p>
    <w:p w14:paraId="5149126D">
      <w:pPr>
        <w:adjustRightInd w:val="0"/>
        <w:snapToGrid w:val="0"/>
        <w:spacing w:line="360" w:lineRule="auto"/>
        <w:jc w:val="left"/>
        <w:rPr>
          <w:rFonts w:ascii="Times New Roman" w:hAnsi="Times New Roman" w:eastAsia="宋体" w:cs="Times New Roman"/>
          <w:sz w:val="24"/>
          <w:szCs w:val="24"/>
          <w:highlight w:val="none"/>
        </w:rPr>
      </w:pPr>
    </w:p>
    <w:p w14:paraId="18A724D8">
      <w:pPr>
        <w:adjustRightInd w:val="0"/>
        <w:snapToGrid w:val="0"/>
        <w:spacing w:line="360" w:lineRule="auto"/>
        <w:jc w:val="left"/>
        <w:rPr>
          <w:rFonts w:ascii="Times New Roman" w:hAnsi="Times New Roman" w:eastAsia="宋体" w:cs="Times New Roman"/>
          <w:sz w:val="24"/>
          <w:szCs w:val="24"/>
          <w:highlight w:val="none"/>
        </w:rPr>
      </w:pPr>
    </w:p>
    <w:p w14:paraId="731C54D5">
      <w:pPr>
        <w:adjustRightInd w:val="0"/>
        <w:snapToGrid w:val="0"/>
        <w:spacing w:line="360" w:lineRule="auto"/>
        <w:jc w:val="left"/>
        <w:rPr>
          <w:rFonts w:ascii="Times New Roman" w:hAnsi="Times New Roman" w:eastAsia="宋体" w:cs="Times New Roman"/>
          <w:sz w:val="24"/>
          <w:szCs w:val="24"/>
          <w:highlight w:val="none"/>
        </w:rPr>
      </w:pPr>
    </w:p>
    <w:p w14:paraId="600399CD">
      <w:pPr>
        <w:adjustRightInd w:val="0"/>
        <w:snapToGrid w:val="0"/>
        <w:spacing w:line="360" w:lineRule="auto"/>
        <w:jc w:val="left"/>
        <w:rPr>
          <w:rFonts w:ascii="Times New Roman" w:hAnsi="Times New Roman" w:eastAsia="宋体" w:cs="Times New Roman"/>
          <w:sz w:val="24"/>
          <w:szCs w:val="24"/>
          <w:highlight w:val="none"/>
        </w:rPr>
      </w:pPr>
    </w:p>
    <w:p w14:paraId="78415334">
      <w:pPr>
        <w:adjustRightInd w:val="0"/>
        <w:snapToGrid w:val="0"/>
        <w:spacing w:line="360" w:lineRule="auto"/>
        <w:jc w:val="left"/>
        <w:rPr>
          <w:rFonts w:ascii="Times New Roman" w:hAnsi="Times New Roman" w:eastAsia="宋体" w:cs="Times New Roman"/>
          <w:sz w:val="24"/>
          <w:szCs w:val="24"/>
          <w:highlight w:val="none"/>
        </w:rPr>
      </w:pPr>
    </w:p>
    <w:p w14:paraId="2204CA51">
      <w:pPr>
        <w:adjustRightInd w:val="0"/>
        <w:snapToGrid w:val="0"/>
        <w:spacing w:line="360" w:lineRule="auto"/>
        <w:jc w:val="left"/>
        <w:rPr>
          <w:rFonts w:ascii="Times New Roman" w:hAnsi="Times New Roman" w:eastAsia="宋体" w:cs="Times New Roman"/>
          <w:sz w:val="24"/>
          <w:szCs w:val="24"/>
          <w:highlight w:val="none"/>
        </w:rPr>
      </w:pPr>
    </w:p>
    <w:p w14:paraId="28AEF41A">
      <w:pPr>
        <w:adjustRightInd w:val="0"/>
        <w:snapToGrid w:val="0"/>
        <w:spacing w:line="360" w:lineRule="auto"/>
        <w:jc w:val="left"/>
        <w:rPr>
          <w:rFonts w:ascii="Times New Roman" w:hAnsi="Times New Roman" w:eastAsia="宋体" w:cs="Times New Roman"/>
          <w:sz w:val="24"/>
          <w:szCs w:val="24"/>
          <w:highlight w:val="none"/>
        </w:rPr>
      </w:pPr>
    </w:p>
    <w:p w14:paraId="4D26F454">
      <w:pPr>
        <w:adjustRightInd w:val="0"/>
        <w:snapToGrid w:val="0"/>
        <w:spacing w:line="360" w:lineRule="auto"/>
        <w:jc w:val="left"/>
        <w:rPr>
          <w:rFonts w:ascii="Times New Roman" w:hAnsi="Times New Roman" w:eastAsia="宋体" w:cs="Times New Roman"/>
          <w:sz w:val="24"/>
          <w:szCs w:val="24"/>
          <w:highlight w:val="none"/>
        </w:rPr>
      </w:pPr>
    </w:p>
    <w:p w14:paraId="1A567A30">
      <w:pPr>
        <w:adjustRightInd w:val="0"/>
        <w:snapToGrid w:val="0"/>
        <w:spacing w:line="360" w:lineRule="auto"/>
        <w:jc w:val="left"/>
        <w:rPr>
          <w:rFonts w:ascii="Times New Roman" w:hAnsi="Times New Roman" w:eastAsia="宋体" w:cs="Times New Roman"/>
          <w:sz w:val="24"/>
          <w:szCs w:val="24"/>
          <w:highlight w:val="none"/>
        </w:rPr>
      </w:pPr>
    </w:p>
    <w:p w14:paraId="4835F28B">
      <w:pPr>
        <w:adjustRightInd w:val="0"/>
        <w:snapToGrid w:val="0"/>
        <w:spacing w:line="360" w:lineRule="auto"/>
        <w:jc w:val="left"/>
        <w:rPr>
          <w:rFonts w:ascii="Times New Roman" w:hAnsi="Times New Roman" w:eastAsia="宋体" w:cs="Times New Roman"/>
          <w:sz w:val="24"/>
          <w:szCs w:val="24"/>
          <w:highlight w:val="none"/>
        </w:rPr>
      </w:pPr>
    </w:p>
    <w:p w14:paraId="5793BFAA">
      <w:pPr>
        <w:adjustRightInd w:val="0"/>
        <w:snapToGrid w:val="0"/>
        <w:spacing w:line="360" w:lineRule="auto"/>
        <w:jc w:val="left"/>
        <w:rPr>
          <w:rFonts w:ascii="Times New Roman" w:hAnsi="Times New Roman" w:eastAsia="宋体" w:cs="Times New Roman"/>
          <w:sz w:val="24"/>
          <w:szCs w:val="24"/>
          <w:highlight w:val="none"/>
        </w:rPr>
      </w:pPr>
    </w:p>
    <w:p w14:paraId="010EEAA8">
      <w:pPr>
        <w:adjustRightInd w:val="0"/>
        <w:snapToGrid w:val="0"/>
        <w:spacing w:line="360" w:lineRule="auto"/>
        <w:jc w:val="left"/>
        <w:rPr>
          <w:rFonts w:ascii="Times New Roman" w:hAnsi="Times New Roman" w:eastAsia="宋体" w:cs="Times New Roman"/>
          <w:sz w:val="24"/>
          <w:szCs w:val="24"/>
          <w:highlight w:val="none"/>
        </w:rPr>
      </w:pPr>
    </w:p>
    <w:p w14:paraId="395149B6">
      <w:pPr>
        <w:adjustRightInd w:val="0"/>
        <w:snapToGrid w:val="0"/>
        <w:spacing w:line="360" w:lineRule="auto"/>
        <w:jc w:val="left"/>
        <w:rPr>
          <w:rFonts w:ascii="Times New Roman" w:hAnsi="Times New Roman" w:eastAsia="宋体" w:cs="Times New Roman"/>
          <w:sz w:val="24"/>
          <w:szCs w:val="24"/>
          <w:highlight w:val="none"/>
        </w:rPr>
      </w:pPr>
    </w:p>
    <w:p w14:paraId="53ABE464">
      <w:pPr>
        <w:adjustRightInd w:val="0"/>
        <w:snapToGrid w:val="0"/>
        <w:spacing w:line="360" w:lineRule="auto"/>
        <w:jc w:val="left"/>
        <w:rPr>
          <w:rFonts w:ascii="Times New Roman" w:hAnsi="Times New Roman" w:eastAsia="宋体" w:cs="Times New Roman"/>
          <w:sz w:val="24"/>
          <w:szCs w:val="24"/>
          <w:highlight w:val="none"/>
        </w:rPr>
      </w:pPr>
    </w:p>
    <w:p w14:paraId="52C0E824">
      <w:pPr>
        <w:adjustRightInd w:val="0"/>
        <w:snapToGrid w:val="0"/>
        <w:spacing w:line="360" w:lineRule="auto"/>
        <w:jc w:val="left"/>
        <w:rPr>
          <w:rFonts w:ascii="Times New Roman" w:hAnsi="Times New Roman" w:eastAsia="宋体" w:cs="Times New Roman"/>
          <w:sz w:val="24"/>
          <w:szCs w:val="24"/>
          <w:highlight w:val="none"/>
        </w:rPr>
      </w:pPr>
    </w:p>
    <w:p w14:paraId="4326DF87">
      <w:pPr>
        <w:adjustRightInd w:val="0"/>
        <w:snapToGrid w:val="0"/>
        <w:spacing w:line="360" w:lineRule="auto"/>
        <w:jc w:val="left"/>
        <w:rPr>
          <w:rFonts w:ascii="Times New Roman" w:hAnsi="Times New Roman" w:eastAsia="宋体" w:cs="Times New Roman"/>
          <w:sz w:val="24"/>
          <w:szCs w:val="24"/>
          <w:highlight w:val="none"/>
        </w:rPr>
      </w:pPr>
    </w:p>
    <w:p w14:paraId="1032E404">
      <w:pPr>
        <w:adjustRightInd/>
        <w:snapToGrid/>
        <w:spacing w:line="240" w:lineRule="auto"/>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br w:type="page"/>
      </w:r>
    </w:p>
    <w:bookmarkEnd w:id="403"/>
    <w:p w14:paraId="196D69E9">
      <w:pPr>
        <w:pStyle w:val="2"/>
        <w:numPr>
          <w:ilvl w:val="0"/>
          <w:numId w:val="4"/>
        </w:numPr>
        <w:ind w:firstLine="643"/>
        <w:rPr>
          <w:color w:val="auto"/>
          <w:highlight w:val="none"/>
        </w:rPr>
      </w:pPr>
      <w:bookmarkStart w:id="404" w:name="_Toc133420538"/>
      <w:bookmarkStart w:id="405" w:name="_Toc24836"/>
      <w:bookmarkStart w:id="406" w:name="_Toc247514197"/>
      <w:bookmarkStart w:id="407" w:name="_Toc247527798"/>
      <w:bookmarkStart w:id="408" w:name="_Toc184635122"/>
      <w:bookmarkStart w:id="409" w:name="_Toc144974829"/>
      <w:bookmarkStart w:id="410" w:name="_Toc144974578"/>
      <w:bookmarkStart w:id="411" w:name="_Toc152042549"/>
      <w:bookmarkStart w:id="412" w:name="_Toc300835199"/>
      <w:bookmarkStart w:id="413" w:name="_Toc152045610"/>
      <w:bookmarkStart w:id="414" w:name="_Toc152042388"/>
      <w:r>
        <w:rPr>
          <w:rFonts w:hint="eastAsia"/>
          <w:color w:val="auto"/>
          <w:highlight w:val="none"/>
        </w:rPr>
        <w:t>委托人要求</w:t>
      </w:r>
      <w:bookmarkEnd w:id="404"/>
      <w:bookmarkEnd w:id="405"/>
    </w:p>
    <w:p w14:paraId="6C9AFC26">
      <w:pPr>
        <w:ind w:firstLine="420" w:firstLineChars="200"/>
        <w:jc w:val="left"/>
        <w:rPr>
          <w:color w:val="auto"/>
          <w:sz w:val="21"/>
          <w:szCs w:val="21"/>
          <w:highlight w:val="none"/>
        </w:rPr>
      </w:pPr>
      <w:r>
        <w:rPr>
          <w:rFonts w:hint="eastAsia" w:ascii="宋体" w:hAnsi="宋体" w:eastAsia="宋体" w:cs="Cambria Math"/>
          <w:color w:val="auto"/>
          <w:sz w:val="21"/>
          <w:szCs w:val="21"/>
          <w:highlight w:val="none"/>
        </w:rPr>
        <w:t>详见第四章合同条款及格式的附件</w:t>
      </w:r>
      <w:r>
        <w:rPr>
          <w:rFonts w:hint="eastAsia" w:ascii="宋体" w:hAnsi="宋体" w:eastAsia="宋体" w:cs="Cambria Math"/>
          <w:color w:val="auto"/>
          <w:sz w:val="21"/>
          <w:szCs w:val="21"/>
          <w:highlight w:val="none"/>
          <w:lang w:val="en-US" w:eastAsia="zh-CN"/>
        </w:rPr>
        <w:t>1</w:t>
      </w:r>
      <w:r>
        <w:rPr>
          <w:rFonts w:hint="eastAsia" w:ascii="宋体" w:hAnsi="宋体" w:eastAsia="宋体" w:cs="Cambria Math"/>
          <w:color w:val="auto"/>
          <w:sz w:val="21"/>
          <w:szCs w:val="21"/>
          <w:highlight w:val="none"/>
        </w:rPr>
        <w:t>《</w:t>
      </w:r>
      <w:r>
        <w:rPr>
          <w:rFonts w:hint="eastAsia" w:ascii="宋体" w:hAnsi="宋体" w:eastAsia="宋体" w:cs="Cambria Math"/>
          <w:color w:val="auto"/>
          <w:sz w:val="21"/>
          <w:szCs w:val="21"/>
          <w:highlight w:val="none"/>
          <w:lang w:eastAsia="zh-CN"/>
        </w:rPr>
        <w:t>天河区柯木塱村城中村改造项目（北片区）更新单元详细规划及相关专项</w:t>
      </w:r>
      <w:r>
        <w:rPr>
          <w:rFonts w:hint="eastAsia" w:ascii="宋体" w:hAnsi="宋体" w:eastAsia="宋体" w:cs="Cambria Math"/>
          <w:color w:val="auto"/>
          <w:sz w:val="21"/>
          <w:szCs w:val="21"/>
          <w:highlight w:val="none"/>
        </w:rPr>
        <w:t>工作任务书》</w:t>
      </w:r>
    </w:p>
    <w:p w14:paraId="6E072A03">
      <w:pPr>
        <w:pStyle w:val="2"/>
        <w:ind w:firstLine="643"/>
        <w:rPr>
          <w:color w:val="auto"/>
          <w:highlight w:val="none"/>
        </w:rPr>
      </w:pPr>
      <w:bookmarkStart w:id="415" w:name="_Toc133420539"/>
      <w:bookmarkStart w:id="416" w:name="_Toc32036"/>
      <w:r>
        <w:rPr>
          <w:rFonts w:hint="eastAsia"/>
          <w:color w:val="auto"/>
          <w:highlight w:val="none"/>
        </w:rPr>
        <w:t>第六章投标文件格式</w:t>
      </w:r>
      <w:bookmarkEnd w:id="415"/>
      <w:bookmarkEnd w:id="416"/>
    </w:p>
    <w:p w14:paraId="50EF6594">
      <w:pPr>
        <w:spacing w:line="400" w:lineRule="exact"/>
        <w:rPr>
          <w:rFonts w:ascii="宋体" w:hAnsi="宋体" w:eastAsia="宋体"/>
          <w:color w:val="auto"/>
          <w:highlight w:val="none"/>
        </w:rPr>
      </w:pPr>
      <w:r>
        <w:rPr>
          <w:rFonts w:ascii="宋体" w:hAnsi="宋体" w:eastAsia="宋体"/>
          <w:color w:val="auto"/>
          <w:highlight w:val="none"/>
        </w:rPr>
        <w:br w:type="page"/>
      </w:r>
      <w:r>
        <w:rPr>
          <w:rFonts w:ascii="宋体" w:hAnsi="宋体" w:eastAsia="宋体"/>
          <w:color w:val="auto"/>
          <w:highlight w:val="none"/>
        </w:rPr>
        <w:t>封面</w:t>
      </w:r>
    </w:p>
    <w:p w14:paraId="2E94A653">
      <w:pPr>
        <w:spacing w:line="400" w:lineRule="exact"/>
        <w:ind w:firstLine="560"/>
        <w:rPr>
          <w:rFonts w:ascii="宋体" w:hAnsi="宋体" w:eastAsia="宋体"/>
          <w:color w:val="auto"/>
          <w:sz w:val="28"/>
          <w:szCs w:val="28"/>
          <w:highlight w:val="none"/>
        </w:rPr>
      </w:pPr>
    </w:p>
    <w:p w14:paraId="75808B8F">
      <w:pPr>
        <w:ind w:firstLine="560"/>
        <w:jc w:val="center"/>
        <w:rPr>
          <w:rFonts w:ascii="宋体" w:hAnsi="宋体" w:eastAsia="宋体"/>
          <w:color w:val="auto"/>
          <w:sz w:val="28"/>
          <w:szCs w:val="28"/>
          <w:highlight w:val="none"/>
        </w:rPr>
      </w:pPr>
    </w:p>
    <w:p w14:paraId="4F46647F">
      <w:pPr>
        <w:ind w:firstLine="560"/>
        <w:jc w:val="center"/>
        <w:rPr>
          <w:rFonts w:hint="eastAsia" w:ascii="宋体" w:hAnsi="宋体" w:eastAsia="宋体"/>
          <w:color w:val="auto"/>
          <w:sz w:val="28"/>
          <w:szCs w:val="28"/>
          <w:highlight w:val="none"/>
          <w:lang w:eastAsia="zh-CN"/>
        </w:rPr>
      </w:pPr>
      <w:r>
        <w:rPr>
          <w:rFonts w:hint="eastAsia" w:ascii="宋体" w:hAnsi="宋体" w:eastAsia="宋体"/>
          <w:color w:val="auto"/>
          <w:sz w:val="44"/>
          <w:szCs w:val="44"/>
          <w:highlight w:val="none"/>
          <w:lang w:eastAsia="zh-CN"/>
        </w:rPr>
        <w:t>天河区柯木塱村城中村改造项目（北片区）更新单元详细规划及相关专项</w:t>
      </w:r>
    </w:p>
    <w:p w14:paraId="4A616E48">
      <w:pPr>
        <w:ind w:firstLine="560"/>
        <w:jc w:val="center"/>
        <w:rPr>
          <w:rFonts w:ascii="宋体" w:hAnsi="宋体" w:eastAsia="宋体"/>
          <w:color w:val="auto"/>
          <w:sz w:val="28"/>
          <w:szCs w:val="28"/>
          <w:highlight w:val="none"/>
        </w:rPr>
      </w:pPr>
    </w:p>
    <w:p w14:paraId="5C256642">
      <w:pPr>
        <w:ind w:firstLine="560"/>
        <w:jc w:val="center"/>
        <w:rPr>
          <w:rFonts w:ascii="宋体" w:hAnsi="宋体" w:eastAsia="宋体"/>
          <w:color w:val="auto"/>
          <w:sz w:val="28"/>
          <w:szCs w:val="28"/>
          <w:highlight w:val="none"/>
        </w:rPr>
      </w:pPr>
    </w:p>
    <w:p w14:paraId="0C343C28">
      <w:pPr>
        <w:ind w:firstLine="560"/>
        <w:rPr>
          <w:rFonts w:ascii="宋体" w:hAnsi="宋体" w:eastAsia="宋体"/>
          <w:color w:val="auto"/>
          <w:sz w:val="28"/>
          <w:szCs w:val="28"/>
          <w:highlight w:val="none"/>
        </w:rPr>
      </w:pPr>
    </w:p>
    <w:p w14:paraId="6B0B80A7">
      <w:pPr>
        <w:ind w:firstLine="560"/>
        <w:rPr>
          <w:rFonts w:ascii="宋体" w:hAnsi="宋体" w:eastAsia="宋体"/>
          <w:color w:val="auto"/>
          <w:sz w:val="28"/>
          <w:szCs w:val="28"/>
          <w:highlight w:val="none"/>
        </w:rPr>
      </w:pPr>
    </w:p>
    <w:p w14:paraId="5BC601D8">
      <w:pPr>
        <w:ind w:firstLine="560"/>
        <w:rPr>
          <w:rFonts w:ascii="宋体" w:hAnsi="宋体" w:eastAsia="宋体"/>
          <w:color w:val="auto"/>
          <w:sz w:val="28"/>
          <w:szCs w:val="28"/>
          <w:highlight w:val="none"/>
        </w:rPr>
      </w:pPr>
    </w:p>
    <w:p w14:paraId="3CBB00B0">
      <w:pPr>
        <w:ind w:firstLine="560"/>
        <w:rPr>
          <w:rFonts w:ascii="宋体" w:hAnsi="宋体" w:eastAsia="宋体"/>
          <w:color w:val="auto"/>
          <w:sz w:val="28"/>
          <w:szCs w:val="28"/>
          <w:highlight w:val="none"/>
        </w:rPr>
      </w:pPr>
    </w:p>
    <w:p w14:paraId="45D16C4D">
      <w:pPr>
        <w:ind w:firstLine="560"/>
        <w:rPr>
          <w:rFonts w:ascii="宋体" w:hAnsi="宋体" w:eastAsia="宋体"/>
          <w:color w:val="auto"/>
          <w:sz w:val="28"/>
          <w:szCs w:val="28"/>
          <w:highlight w:val="none"/>
        </w:rPr>
      </w:pPr>
    </w:p>
    <w:p w14:paraId="44385767">
      <w:pPr>
        <w:ind w:firstLine="560"/>
        <w:rPr>
          <w:rFonts w:ascii="宋体" w:hAnsi="宋体" w:eastAsia="宋体"/>
          <w:color w:val="auto"/>
          <w:sz w:val="28"/>
          <w:szCs w:val="28"/>
          <w:highlight w:val="none"/>
        </w:rPr>
      </w:pPr>
    </w:p>
    <w:p w14:paraId="31CD82E8">
      <w:pPr>
        <w:ind w:firstLine="880"/>
        <w:jc w:val="center"/>
        <w:rPr>
          <w:rFonts w:ascii="宋体" w:hAnsi="宋体" w:eastAsia="宋体"/>
          <w:color w:val="auto"/>
          <w:sz w:val="44"/>
          <w:szCs w:val="44"/>
          <w:highlight w:val="none"/>
        </w:rPr>
      </w:pPr>
      <w:r>
        <w:rPr>
          <w:rFonts w:hint="eastAsia" w:ascii="宋体" w:hAnsi="宋体" w:eastAsia="宋体"/>
          <w:color w:val="auto"/>
          <w:sz w:val="44"/>
          <w:szCs w:val="44"/>
          <w:highlight w:val="none"/>
        </w:rPr>
        <w:t>投标文件</w:t>
      </w:r>
    </w:p>
    <w:p w14:paraId="3CD8AC14">
      <w:pPr>
        <w:ind w:firstLine="560"/>
        <w:rPr>
          <w:rFonts w:ascii="宋体" w:hAnsi="宋体" w:eastAsia="宋体"/>
          <w:color w:val="auto"/>
          <w:sz w:val="28"/>
          <w:szCs w:val="28"/>
          <w:highlight w:val="none"/>
        </w:rPr>
      </w:pPr>
    </w:p>
    <w:p w14:paraId="782995DB">
      <w:pPr>
        <w:ind w:firstLine="560"/>
        <w:rPr>
          <w:rFonts w:ascii="宋体" w:hAnsi="宋体" w:eastAsia="宋体"/>
          <w:color w:val="auto"/>
          <w:sz w:val="28"/>
          <w:szCs w:val="28"/>
          <w:highlight w:val="none"/>
        </w:rPr>
      </w:pPr>
    </w:p>
    <w:p w14:paraId="6A0DDFDA">
      <w:pPr>
        <w:ind w:firstLine="560"/>
        <w:rPr>
          <w:rFonts w:ascii="宋体" w:hAnsi="宋体" w:eastAsia="宋体"/>
          <w:color w:val="auto"/>
          <w:sz w:val="28"/>
          <w:szCs w:val="28"/>
          <w:highlight w:val="none"/>
        </w:rPr>
      </w:pPr>
    </w:p>
    <w:p w14:paraId="6AD160CB">
      <w:pPr>
        <w:ind w:firstLine="560"/>
        <w:rPr>
          <w:rFonts w:ascii="宋体" w:hAnsi="宋体" w:eastAsia="宋体"/>
          <w:color w:val="auto"/>
          <w:sz w:val="28"/>
          <w:szCs w:val="28"/>
          <w:highlight w:val="none"/>
        </w:rPr>
      </w:pPr>
    </w:p>
    <w:p w14:paraId="35719A38">
      <w:pPr>
        <w:ind w:firstLine="560"/>
        <w:rPr>
          <w:rFonts w:ascii="宋体" w:hAnsi="宋体" w:eastAsia="宋体"/>
          <w:color w:val="auto"/>
          <w:sz w:val="28"/>
          <w:szCs w:val="28"/>
          <w:highlight w:val="none"/>
        </w:rPr>
      </w:pPr>
    </w:p>
    <w:p w14:paraId="7DB42D81">
      <w:pPr>
        <w:ind w:firstLine="560"/>
        <w:rPr>
          <w:rFonts w:ascii="宋体" w:hAnsi="宋体" w:eastAsia="宋体"/>
          <w:color w:val="auto"/>
          <w:sz w:val="28"/>
          <w:szCs w:val="28"/>
          <w:highlight w:val="none"/>
        </w:rPr>
      </w:pPr>
    </w:p>
    <w:p w14:paraId="0D8DE620">
      <w:pPr>
        <w:ind w:firstLine="560"/>
        <w:rPr>
          <w:rFonts w:ascii="宋体" w:hAnsi="宋体" w:eastAsia="宋体"/>
          <w:color w:val="auto"/>
          <w:sz w:val="28"/>
          <w:szCs w:val="28"/>
          <w:highlight w:val="none"/>
        </w:rPr>
      </w:pPr>
    </w:p>
    <w:p w14:paraId="2A56CAAF">
      <w:pPr>
        <w:ind w:firstLine="560"/>
        <w:rPr>
          <w:rFonts w:ascii="宋体" w:hAnsi="宋体" w:eastAsia="宋体"/>
          <w:color w:val="auto"/>
          <w:sz w:val="28"/>
          <w:szCs w:val="28"/>
          <w:highlight w:val="none"/>
        </w:rPr>
      </w:pPr>
    </w:p>
    <w:p w14:paraId="23C974EE">
      <w:pPr>
        <w:ind w:firstLine="560"/>
        <w:rPr>
          <w:rFonts w:ascii="宋体" w:hAnsi="宋体" w:eastAsia="宋体"/>
          <w:color w:val="auto"/>
          <w:sz w:val="28"/>
          <w:szCs w:val="28"/>
          <w:highlight w:val="none"/>
        </w:rPr>
      </w:pPr>
    </w:p>
    <w:p w14:paraId="1428A8BD">
      <w:pPr>
        <w:ind w:firstLine="560"/>
        <w:rPr>
          <w:rFonts w:ascii="宋体" w:hAnsi="宋体" w:eastAsia="宋体"/>
          <w:color w:val="auto"/>
          <w:sz w:val="28"/>
          <w:szCs w:val="28"/>
          <w:highlight w:val="none"/>
        </w:rPr>
      </w:pPr>
    </w:p>
    <w:p w14:paraId="3954E5AE">
      <w:pPr>
        <w:spacing w:line="360" w:lineRule="auto"/>
        <w:ind w:firstLine="560"/>
        <w:rPr>
          <w:rFonts w:ascii="宋体" w:hAnsi="宋体" w:eastAsia="宋体"/>
          <w:color w:val="auto"/>
          <w:sz w:val="28"/>
          <w:szCs w:val="28"/>
          <w:highlight w:val="none"/>
        </w:rPr>
      </w:pPr>
    </w:p>
    <w:p w14:paraId="49E70783">
      <w:pPr>
        <w:spacing w:line="360" w:lineRule="auto"/>
        <w:ind w:firstLine="1120" w:firstLineChars="400"/>
        <w:rPr>
          <w:rFonts w:ascii="宋体" w:hAnsi="宋体" w:eastAsia="宋体"/>
          <w:color w:val="auto"/>
          <w:sz w:val="28"/>
          <w:szCs w:val="28"/>
          <w:highlight w:val="none"/>
        </w:rPr>
      </w:pPr>
      <w:r>
        <w:rPr>
          <w:rFonts w:hint="eastAsia" w:ascii="宋体" w:hAnsi="宋体" w:eastAsia="宋体"/>
          <w:color w:val="auto"/>
          <w:sz w:val="28"/>
          <w:szCs w:val="28"/>
          <w:highlight w:val="none"/>
        </w:rPr>
        <w:t>投标人：（盖单位章）</w:t>
      </w:r>
    </w:p>
    <w:p w14:paraId="0CAF0195">
      <w:pPr>
        <w:spacing w:line="360" w:lineRule="auto"/>
        <w:ind w:firstLine="1120" w:firstLineChars="400"/>
        <w:jc w:val="left"/>
        <w:rPr>
          <w:rFonts w:ascii="宋体" w:hAnsi="宋体" w:eastAsia="宋体"/>
          <w:color w:val="auto"/>
          <w:sz w:val="28"/>
          <w:szCs w:val="28"/>
          <w:highlight w:val="none"/>
        </w:rPr>
      </w:pPr>
      <w:r>
        <w:rPr>
          <w:rFonts w:hint="eastAsia" w:ascii="宋体" w:hAnsi="宋体" w:eastAsia="宋体"/>
          <w:color w:val="auto"/>
          <w:sz w:val="28"/>
          <w:szCs w:val="28"/>
          <w:highlight w:val="none"/>
        </w:rPr>
        <w:t>法定代表人或其委托代理人：（签字或盖章）</w:t>
      </w:r>
    </w:p>
    <w:p w14:paraId="56D978E1">
      <w:pPr>
        <w:ind w:firstLine="560"/>
        <w:jc w:val="center"/>
        <w:rPr>
          <w:rFonts w:ascii="宋体" w:hAnsi="宋体" w:eastAsia="宋体"/>
          <w:color w:val="auto"/>
          <w:sz w:val="28"/>
          <w:szCs w:val="28"/>
          <w:highlight w:val="none"/>
        </w:rPr>
      </w:pPr>
    </w:p>
    <w:p w14:paraId="7699BD89">
      <w:pPr>
        <w:spacing w:line="400" w:lineRule="exact"/>
        <w:ind w:firstLine="560"/>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年</w:t>
      </w:r>
      <w:r>
        <w:rPr>
          <w:rFonts w:hint="eastAsia" w:ascii="宋体" w:hAnsi="宋体" w:eastAsia="宋体"/>
          <w:color w:val="auto"/>
          <w:sz w:val="28"/>
          <w:szCs w:val="28"/>
          <w:highlight w:val="none"/>
          <w:lang w:val="en-US" w:eastAsia="zh-CN"/>
        </w:rPr>
        <w:t xml:space="preserve">    </w:t>
      </w:r>
      <w:r>
        <w:rPr>
          <w:rFonts w:hint="eastAsia" w:ascii="宋体" w:hAnsi="宋体" w:eastAsia="宋体"/>
          <w:color w:val="auto"/>
          <w:sz w:val="28"/>
          <w:szCs w:val="28"/>
          <w:highlight w:val="none"/>
        </w:rPr>
        <w:t>月</w:t>
      </w:r>
      <w:r>
        <w:rPr>
          <w:rFonts w:hint="eastAsia" w:ascii="宋体" w:hAnsi="宋体" w:eastAsia="宋体"/>
          <w:color w:val="auto"/>
          <w:sz w:val="28"/>
          <w:szCs w:val="28"/>
          <w:highlight w:val="none"/>
          <w:lang w:val="en-US" w:eastAsia="zh-CN"/>
        </w:rPr>
        <w:t xml:space="preserve">     </w:t>
      </w:r>
      <w:r>
        <w:rPr>
          <w:rFonts w:hint="eastAsia" w:ascii="宋体" w:hAnsi="宋体" w:eastAsia="宋体"/>
          <w:color w:val="auto"/>
          <w:sz w:val="28"/>
          <w:szCs w:val="28"/>
          <w:highlight w:val="none"/>
        </w:rPr>
        <w:t>日</w:t>
      </w:r>
    </w:p>
    <w:p w14:paraId="2FE5A64F">
      <w:pPr>
        <w:widowControl/>
        <w:ind w:firstLine="560"/>
        <w:jc w:val="left"/>
        <w:rPr>
          <w:rFonts w:ascii="宋体" w:hAnsi="宋体" w:eastAsia="宋体"/>
          <w:color w:val="auto"/>
          <w:sz w:val="28"/>
          <w:szCs w:val="28"/>
          <w:highlight w:val="none"/>
        </w:rPr>
      </w:pPr>
      <w:r>
        <w:rPr>
          <w:rFonts w:ascii="宋体" w:hAnsi="宋体" w:eastAsia="宋体"/>
          <w:color w:val="auto"/>
          <w:sz w:val="28"/>
          <w:szCs w:val="28"/>
          <w:highlight w:val="none"/>
        </w:rPr>
        <w:br w:type="page"/>
      </w:r>
    </w:p>
    <w:p w14:paraId="1860D88A">
      <w:pPr>
        <w:pStyle w:val="3"/>
        <w:ind w:firstLine="602"/>
        <w:rPr>
          <w:color w:val="auto"/>
          <w:highlight w:val="none"/>
        </w:rPr>
        <w:sectPr>
          <w:headerReference r:id="rId4" w:type="default"/>
          <w:footerReference r:id="rId5" w:type="default"/>
          <w:pgSz w:w="11906" w:h="16838"/>
          <w:pgMar w:top="1327" w:right="1689" w:bottom="1327" w:left="1689" w:header="720" w:footer="720" w:gutter="0"/>
          <w:pgNumType w:fmt="decimal"/>
          <w:cols w:space="720" w:num="1"/>
          <w:docGrid w:linePitch="286" w:charSpace="0"/>
        </w:sectPr>
      </w:pPr>
    </w:p>
    <w:p w14:paraId="256B6E13">
      <w:pPr>
        <w:pStyle w:val="3"/>
        <w:ind w:firstLine="602"/>
        <w:jc w:val="center"/>
        <w:rPr>
          <w:color w:val="auto"/>
          <w:highlight w:val="none"/>
        </w:rPr>
      </w:pPr>
      <w:bookmarkStart w:id="417" w:name="_Toc133420540"/>
      <w:bookmarkStart w:id="418" w:name="_Toc26459"/>
      <w:r>
        <w:rPr>
          <w:rFonts w:hint="eastAsia"/>
          <w:color w:val="auto"/>
          <w:highlight w:val="none"/>
        </w:rPr>
        <w:t>目录</w:t>
      </w:r>
      <w:bookmarkEnd w:id="417"/>
      <w:bookmarkEnd w:id="418"/>
    </w:p>
    <w:p w14:paraId="26B01474">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一、投标函及附录；</w:t>
      </w:r>
    </w:p>
    <w:p w14:paraId="3211FC11">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二、法定代表人证明书及授权委托书；</w:t>
      </w:r>
    </w:p>
    <w:p w14:paraId="0FD7E829">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三</w:t>
      </w:r>
      <w:r>
        <w:rPr>
          <w:rFonts w:hint="eastAsia" w:ascii="宋体" w:hAnsi="宋体" w:eastAsia="宋体"/>
          <w:color w:val="auto"/>
          <w:sz w:val="24"/>
          <w:szCs w:val="24"/>
          <w:highlight w:val="none"/>
        </w:rPr>
        <w:t>、投标报价</w:t>
      </w:r>
      <w:r>
        <w:rPr>
          <w:rFonts w:hint="eastAsia" w:ascii="宋体" w:hAnsi="宋体" w:eastAsia="宋体"/>
          <w:color w:val="auto"/>
          <w:sz w:val="24"/>
          <w:szCs w:val="24"/>
          <w:highlight w:val="none"/>
          <w:lang w:val="en-US" w:eastAsia="zh-CN"/>
        </w:rPr>
        <w:t>表</w:t>
      </w:r>
      <w:r>
        <w:rPr>
          <w:rFonts w:hint="eastAsia" w:ascii="宋体" w:hAnsi="宋体" w:eastAsia="宋体"/>
          <w:color w:val="auto"/>
          <w:sz w:val="24"/>
          <w:szCs w:val="24"/>
          <w:highlight w:val="none"/>
        </w:rPr>
        <w:t>；</w:t>
      </w:r>
    </w:p>
    <w:p w14:paraId="429D6F34">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四</w:t>
      </w:r>
      <w:r>
        <w:rPr>
          <w:rFonts w:hint="eastAsia" w:ascii="宋体" w:hAnsi="宋体" w:eastAsia="宋体"/>
          <w:color w:val="auto"/>
          <w:sz w:val="24"/>
          <w:szCs w:val="24"/>
          <w:highlight w:val="none"/>
        </w:rPr>
        <w:t>、资格审查资料；</w:t>
      </w:r>
    </w:p>
    <w:p w14:paraId="517CB58B">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五</w:t>
      </w:r>
      <w:r>
        <w:rPr>
          <w:rFonts w:hint="eastAsia" w:ascii="宋体" w:hAnsi="宋体" w:eastAsia="宋体"/>
          <w:color w:val="auto"/>
          <w:sz w:val="24"/>
          <w:szCs w:val="24"/>
          <w:highlight w:val="none"/>
        </w:rPr>
        <w:t>、投标人声明；</w:t>
      </w:r>
    </w:p>
    <w:p w14:paraId="27811A4B">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六</w:t>
      </w:r>
      <w:r>
        <w:rPr>
          <w:rFonts w:hint="eastAsia" w:ascii="宋体" w:hAnsi="宋体" w:eastAsia="宋体"/>
          <w:color w:val="auto"/>
          <w:sz w:val="24"/>
          <w:szCs w:val="24"/>
          <w:highlight w:val="none"/>
        </w:rPr>
        <w:t>、联合体协议书</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如有</w:t>
      </w:r>
      <w:r>
        <w:rPr>
          <w:rFonts w:hint="eastAsia" w:ascii="宋体" w:hAnsi="宋体" w:eastAsia="宋体"/>
          <w:color w:val="auto"/>
          <w:sz w:val="24"/>
          <w:szCs w:val="24"/>
          <w:highlight w:val="none"/>
          <w:lang w:eastAsia="zh-CN"/>
        </w:rPr>
        <w:t>）；</w:t>
      </w:r>
    </w:p>
    <w:p w14:paraId="47EA9D41">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七</w:t>
      </w:r>
      <w:r>
        <w:rPr>
          <w:rFonts w:hint="eastAsia" w:ascii="宋体" w:hAnsi="宋体" w:eastAsia="宋体"/>
          <w:color w:val="auto"/>
          <w:sz w:val="24"/>
          <w:szCs w:val="24"/>
          <w:highlight w:val="none"/>
        </w:rPr>
        <w:t>、商务部分证明材料；</w:t>
      </w:r>
    </w:p>
    <w:p w14:paraId="2E1DB57F">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八</w:t>
      </w:r>
      <w:r>
        <w:rPr>
          <w:rFonts w:hint="eastAsia" w:ascii="宋体" w:hAnsi="宋体" w:eastAsia="宋体"/>
          <w:color w:val="auto"/>
          <w:sz w:val="24"/>
          <w:szCs w:val="24"/>
          <w:highlight w:val="none"/>
        </w:rPr>
        <w:t>、技术服务方案部分；</w:t>
      </w:r>
    </w:p>
    <w:p w14:paraId="4E56E690">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九</w:t>
      </w:r>
      <w:r>
        <w:rPr>
          <w:rFonts w:hint="eastAsia" w:ascii="宋体" w:hAnsi="宋体" w:eastAsia="宋体"/>
          <w:color w:val="auto"/>
          <w:sz w:val="24"/>
          <w:szCs w:val="24"/>
          <w:highlight w:val="none"/>
        </w:rPr>
        <w:t>、其他资料。</w:t>
      </w:r>
    </w:p>
    <w:p w14:paraId="60A25125">
      <w:pPr>
        <w:widowControl/>
        <w:jc w:val="left"/>
        <w:rPr>
          <w:rFonts w:ascii="宋体" w:hAnsi="宋体" w:eastAsia="宋体" w:cs="Times New Roman"/>
          <w:b/>
          <w:color w:val="auto"/>
          <w:sz w:val="30"/>
          <w:szCs w:val="30"/>
          <w:highlight w:val="none"/>
        </w:rPr>
      </w:pPr>
      <w:bookmarkStart w:id="419" w:name="_Toc533084443"/>
      <w:r>
        <w:rPr>
          <w:rFonts w:ascii="宋体" w:hAnsi="宋体" w:eastAsia="宋体"/>
          <w:color w:val="auto"/>
          <w:highlight w:val="none"/>
        </w:rPr>
        <w:br w:type="page"/>
      </w:r>
    </w:p>
    <w:p w14:paraId="220619D5">
      <w:pPr>
        <w:pStyle w:val="3"/>
        <w:ind w:firstLine="602"/>
        <w:jc w:val="center"/>
        <w:rPr>
          <w:color w:val="auto"/>
          <w:highlight w:val="none"/>
        </w:rPr>
      </w:pPr>
      <w:bookmarkStart w:id="420" w:name="_Toc133420541"/>
      <w:bookmarkStart w:id="421" w:name="_Toc5604"/>
      <w:r>
        <w:rPr>
          <w:rFonts w:hint="eastAsia"/>
          <w:color w:val="auto"/>
          <w:highlight w:val="none"/>
        </w:rPr>
        <w:t>一、投标函及附</w:t>
      </w:r>
      <w:bookmarkEnd w:id="419"/>
      <w:r>
        <w:rPr>
          <w:rFonts w:hint="eastAsia"/>
          <w:color w:val="auto"/>
          <w:highlight w:val="none"/>
        </w:rPr>
        <w:t>录</w:t>
      </w:r>
      <w:bookmarkEnd w:id="420"/>
      <w:bookmarkEnd w:id="421"/>
    </w:p>
    <w:p w14:paraId="45665C84">
      <w:pPr>
        <w:pStyle w:val="4"/>
        <w:keepNext w:val="0"/>
        <w:keepLines w:val="0"/>
        <w:spacing w:before="120" w:after="120" w:line="360" w:lineRule="auto"/>
        <w:ind w:firstLine="0" w:firstLineChars="0"/>
        <w:jc w:val="center"/>
        <w:rPr>
          <w:rFonts w:ascii="宋体" w:hAnsi="宋体" w:eastAsia="宋体"/>
          <w:color w:val="auto"/>
          <w:highlight w:val="none"/>
        </w:rPr>
      </w:pPr>
      <w:bookmarkStart w:id="422" w:name="_Toc533084444"/>
      <w:bookmarkStart w:id="423" w:name="_Toc133420542"/>
      <w:bookmarkStart w:id="424" w:name="_Toc2027"/>
      <w:r>
        <w:rPr>
          <w:rFonts w:hint="eastAsia" w:ascii="宋体" w:hAnsi="宋体" w:eastAsia="宋体"/>
          <w:color w:val="auto"/>
          <w:highlight w:val="none"/>
        </w:rPr>
        <w:t>（一）投标函</w:t>
      </w:r>
      <w:bookmarkEnd w:id="422"/>
      <w:bookmarkEnd w:id="423"/>
      <w:bookmarkEnd w:id="424"/>
    </w:p>
    <w:p w14:paraId="79BC1AE6">
      <w:pPr>
        <w:autoSpaceDE w:val="0"/>
        <w:autoSpaceDN w:val="0"/>
        <w:spacing w:line="360" w:lineRule="auto"/>
        <w:ind w:firstLine="0"/>
        <w:jc w:val="left"/>
        <w:rPr>
          <w:rFonts w:hint="eastAsia" w:ascii="宋体" w:hAnsi="宋体" w:eastAsiaTheme="minorEastAsia"/>
          <w:color w:val="auto"/>
          <w:kern w:val="0"/>
          <w:sz w:val="21"/>
          <w:szCs w:val="21"/>
          <w:highlight w:val="none"/>
          <w:lang w:eastAsia="zh-CN"/>
        </w:rPr>
      </w:pPr>
      <w:r>
        <w:rPr>
          <w:rFonts w:hint="eastAsia" w:ascii="宋体" w:hAnsi="宋体" w:eastAsia="宋体" w:cs="宋体"/>
          <w:color w:val="auto"/>
          <w:kern w:val="0"/>
          <w:sz w:val="21"/>
          <w:szCs w:val="21"/>
          <w:highlight w:val="none"/>
        </w:rPr>
        <w:t>致</w:t>
      </w:r>
      <w:r>
        <w:rPr>
          <w:rFonts w:hint="eastAsia" w:ascii="宋体" w:hAnsi="宋体" w:eastAsia="宋体" w:cs="宋体"/>
          <w:color w:val="auto"/>
          <w:kern w:val="0"/>
          <w:sz w:val="21"/>
          <w:szCs w:val="21"/>
          <w:highlight w:val="none"/>
          <w:lang w:val="en-US" w:eastAsia="zh-CN"/>
        </w:rPr>
        <w:t>广州市天投城市更新有限公司：</w:t>
      </w:r>
      <w:bookmarkStart w:id="425" w:name="_Toc533084445"/>
      <w:bookmarkStart w:id="426" w:name="_Toc133420543"/>
    </w:p>
    <w:p w14:paraId="4E2BA4B2">
      <w:pPr>
        <w:autoSpaceDE w:val="0"/>
        <w:autoSpaceDN w:val="0"/>
        <w:spacing w:line="360" w:lineRule="auto"/>
        <w:ind w:firstLine="48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我方愿意以</w:t>
      </w:r>
      <w:r>
        <w:rPr>
          <w:rFonts w:hint="eastAsia" w:ascii="宋体" w:hAnsi="宋体" w:eastAsia="宋体" w:cs="宋体"/>
          <w:color w:val="auto"/>
          <w:kern w:val="0"/>
          <w:sz w:val="21"/>
          <w:szCs w:val="21"/>
          <w:highlight w:val="none"/>
          <w:u w:val="single"/>
        </w:rPr>
        <w:t>本投标文件《投标报价表》中的</w:t>
      </w:r>
      <w:r>
        <w:rPr>
          <w:rFonts w:hint="eastAsia" w:ascii="宋体" w:hAnsi="宋体" w:eastAsia="宋体" w:cs="宋体"/>
          <w:color w:val="auto"/>
          <w:kern w:val="0"/>
          <w:sz w:val="21"/>
          <w:szCs w:val="21"/>
          <w:highlight w:val="none"/>
        </w:rPr>
        <w:t>投标总价提供符合本项目要求的全部服务，并且在已完全明白招标文件及项目澄清修改文件（若有）的所有条款要求的基础上，作出以下声明：</w:t>
      </w:r>
    </w:p>
    <w:p w14:paraId="0593E17A">
      <w:pPr>
        <w:autoSpaceDE w:val="0"/>
        <w:autoSpaceDN w:val="0"/>
        <w:spacing w:line="360" w:lineRule="auto"/>
        <w:ind w:firstLine="48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我方已详尽研究了招标文件的所有内容包括澄清修改文件（若有）和所有已提供的参考资料以及有关附件并完全明白，我方放弃在此方面提出含糊意见或误解的一切权利，并在投标文件有效期内完全遵照招标文件及其澄清补充的约。</w:t>
      </w:r>
    </w:p>
    <w:p w14:paraId="61D1E743">
      <w:pPr>
        <w:autoSpaceDE w:val="0"/>
        <w:autoSpaceDN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2、我方之投标文件有效期为自开标之日起</w:t>
      </w:r>
      <w:r>
        <w:rPr>
          <w:rFonts w:hint="eastAsia" w:ascii="宋体" w:hAnsi="宋体" w:eastAsia="宋体" w:cs="宋体"/>
          <w:color w:val="auto"/>
          <w:kern w:val="0"/>
          <w:sz w:val="21"/>
          <w:szCs w:val="21"/>
          <w:highlight w:val="none"/>
          <w:u w:val="single"/>
        </w:rPr>
        <w:t>90</w:t>
      </w:r>
      <w:r>
        <w:rPr>
          <w:rFonts w:hint="eastAsia" w:ascii="宋体" w:hAnsi="宋体" w:eastAsia="宋体" w:cs="宋体"/>
          <w:color w:val="auto"/>
          <w:kern w:val="0"/>
          <w:sz w:val="21"/>
          <w:szCs w:val="21"/>
          <w:highlight w:val="none"/>
        </w:rPr>
        <w:t>个日历日内，如中标，有效期延至合同终止日为止。</w:t>
      </w:r>
    </w:p>
    <w:p w14:paraId="5DCE1761">
      <w:pPr>
        <w:autoSpaceDE w:val="0"/>
        <w:autoSpaceDN w:val="0"/>
        <w:spacing w:line="360" w:lineRule="auto"/>
        <w:ind w:firstLine="48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3、我方同意按照招标代理和招标人可能提出的要求提供与其投标有关的任何其它数据或信息。</w:t>
      </w:r>
    </w:p>
    <w:p w14:paraId="41F4145B">
      <w:pPr>
        <w:autoSpaceDE w:val="0"/>
        <w:autoSpaceDN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4、我方理解贵方不一定接受最低投标价或任何贵方可能收到的投标。</w:t>
      </w:r>
    </w:p>
    <w:p w14:paraId="3E707C76">
      <w:pPr>
        <w:autoSpaceDE w:val="0"/>
        <w:autoSpaceDN w:val="0"/>
        <w:spacing w:line="360" w:lineRule="auto"/>
        <w:ind w:firstLine="48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5、我方提供的所有资料均合法真实，否则，我方愿承担全部法律责任。</w:t>
      </w:r>
    </w:p>
    <w:p w14:paraId="32FCF3B7">
      <w:pPr>
        <w:autoSpaceDE w:val="0"/>
        <w:autoSpaceDN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6、我方如果中标，将保证履行招标文件以及项目澄清修改文件（若有）中的全部责任和义务，按质、按量、按期完成合同中的全部任务。</w:t>
      </w:r>
    </w:p>
    <w:p w14:paraId="1EF6473B">
      <w:pPr>
        <w:autoSpaceDE w:val="0"/>
        <w:autoSpaceDN w:val="0"/>
        <w:spacing w:line="360" w:lineRule="auto"/>
        <w:ind w:firstLine="48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7、如我方被确定为中标人，由我方承诺按招标文件要求就本次招标支付给广州公共资源交易中心交易服务费。</w:t>
      </w:r>
    </w:p>
    <w:p w14:paraId="769BC0C0">
      <w:pPr>
        <w:autoSpaceDE w:val="0"/>
        <w:autoSpaceDN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8、我方不存在该情况：单位负责人为同一人或者存在控股、管理关系的不同单位，同时参加本项目。我方承诺不挂靠、转包或分包，一旦被发现将接受取消投标人的投标资格。</w:t>
      </w:r>
    </w:p>
    <w:p w14:paraId="0DCC14AD">
      <w:pPr>
        <w:autoSpaceDE w:val="0"/>
        <w:autoSpaceDN w:val="0"/>
        <w:spacing w:line="360" w:lineRule="auto"/>
        <w:ind w:left="500" w:leftChars="167" w:hanging="149" w:hangingChars="71"/>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9、所有与本招标有关的函件请发往下列地址：</w:t>
      </w:r>
    </w:p>
    <w:p w14:paraId="3B640629">
      <w:pPr>
        <w:autoSpaceDE w:val="0"/>
        <w:autoSpaceDN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地址：</w:t>
      </w:r>
    </w:p>
    <w:p w14:paraId="1FF4CCDB">
      <w:pPr>
        <w:autoSpaceDE w:val="0"/>
        <w:autoSpaceDN w:val="0"/>
        <w:spacing w:line="360" w:lineRule="auto"/>
        <w:ind w:firstLine="420" w:firstLineChars="200"/>
        <w:jc w:val="left"/>
        <w:rPr>
          <w:rFonts w:ascii="宋体" w:hAnsi="宋体" w:eastAsia="宋体" w:cs="宋体"/>
          <w:kern w:val="0"/>
          <w:szCs w:val="21"/>
          <w:highlight w:val="none"/>
          <w:u w:val="single"/>
        </w:rPr>
      </w:pPr>
      <w:r>
        <w:rPr>
          <w:rFonts w:hint="eastAsia" w:ascii="宋体" w:hAnsi="宋体" w:eastAsia="宋体" w:cs="宋体"/>
          <w:kern w:val="0"/>
          <w:szCs w:val="21"/>
          <w:highlight w:val="none"/>
        </w:rPr>
        <w:t>邮政编码：</w:t>
      </w:r>
    </w:p>
    <w:p w14:paraId="3F1C226A">
      <w:pPr>
        <w:autoSpaceDE w:val="0"/>
        <w:autoSpaceDN w:val="0"/>
        <w:spacing w:line="360" w:lineRule="auto"/>
        <w:ind w:firstLine="420" w:firstLineChars="200"/>
        <w:jc w:val="left"/>
        <w:rPr>
          <w:rFonts w:ascii="宋体" w:hAnsi="宋体" w:eastAsia="宋体" w:cs="宋体"/>
          <w:kern w:val="0"/>
          <w:szCs w:val="21"/>
          <w:highlight w:val="none"/>
          <w:u w:val="single"/>
        </w:rPr>
      </w:pPr>
      <w:r>
        <w:rPr>
          <w:rFonts w:hint="eastAsia" w:ascii="宋体" w:hAnsi="宋体" w:eastAsia="宋体" w:cs="宋体"/>
          <w:kern w:val="0"/>
          <w:szCs w:val="21"/>
          <w:highlight w:val="none"/>
        </w:rPr>
        <w:t>电话：</w:t>
      </w:r>
    </w:p>
    <w:p w14:paraId="07B5556B">
      <w:pPr>
        <w:autoSpaceDE w:val="0"/>
        <w:autoSpaceDN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投标人名称及公章：</w:t>
      </w:r>
    </w:p>
    <w:p w14:paraId="78C2687E">
      <w:pPr>
        <w:autoSpaceDE w:val="0"/>
        <w:autoSpaceDN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法定代表人（或授权代表）签字或盖章：</w:t>
      </w:r>
    </w:p>
    <w:p w14:paraId="11EAB0A2">
      <w:pPr>
        <w:autoSpaceDE w:val="0"/>
        <w:autoSpaceDN w:val="0"/>
        <w:spacing w:line="360" w:lineRule="auto"/>
        <w:ind w:firstLine="420" w:firstLineChars="200"/>
        <w:jc w:val="left"/>
        <w:rPr>
          <w:rFonts w:ascii="宋体" w:hAnsi="宋体" w:eastAsia="宋体" w:cs="宋体"/>
          <w:kern w:val="0"/>
          <w:szCs w:val="21"/>
          <w:highlight w:val="none"/>
          <w:lang w:val="zh-CN"/>
        </w:rPr>
      </w:pPr>
      <w:r>
        <w:rPr>
          <w:rFonts w:hint="eastAsia" w:ascii="宋体" w:hAnsi="宋体" w:eastAsia="宋体" w:cs="宋体"/>
          <w:kern w:val="0"/>
          <w:szCs w:val="21"/>
          <w:highlight w:val="none"/>
        </w:rPr>
        <w:t>日期</w:t>
      </w:r>
      <w:r>
        <w:rPr>
          <w:rFonts w:hint="eastAsia" w:ascii="宋体" w:hAnsi="宋体" w:eastAsia="宋体" w:cs="宋体"/>
          <w:kern w:val="0"/>
          <w:szCs w:val="21"/>
          <w:highlight w:val="none"/>
          <w:lang w:val="zh-CN"/>
        </w:rPr>
        <w:t>：年</w:t>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lang w:val="zh-CN"/>
        </w:rPr>
        <w:t>月</w:t>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lang w:val="zh-CN"/>
        </w:rPr>
        <w:t>日</w:t>
      </w:r>
    </w:p>
    <w:p w14:paraId="17522D5F">
      <w:pPr>
        <w:pStyle w:val="4"/>
        <w:keepNext w:val="0"/>
        <w:keepLines w:val="0"/>
        <w:pageBreakBefore/>
        <w:spacing w:before="120" w:after="120" w:line="360" w:lineRule="auto"/>
        <w:ind w:firstLine="0" w:firstLineChars="0"/>
        <w:jc w:val="center"/>
        <w:rPr>
          <w:rFonts w:ascii="宋体" w:hAnsi="宋体" w:eastAsia="宋体"/>
          <w:color w:val="auto"/>
          <w:highlight w:val="none"/>
        </w:rPr>
      </w:pPr>
      <w:bookmarkStart w:id="427" w:name="_Toc10594"/>
      <w:r>
        <w:rPr>
          <w:rFonts w:hint="eastAsia" w:ascii="宋体" w:hAnsi="宋体" w:eastAsia="宋体"/>
          <w:color w:val="auto"/>
          <w:highlight w:val="none"/>
        </w:rPr>
        <w:t>（二）投标函附录</w:t>
      </w:r>
      <w:bookmarkEnd w:id="425"/>
      <w:bookmarkEnd w:id="426"/>
      <w:bookmarkEnd w:id="427"/>
    </w:p>
    <w:tbl>
      <w:tblPr>
        <w:tblStyle w:val="2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300"/>
      </w:tblGrid>
      <w:tr w14:paraId="4753F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80" w:type="dxa"/>
            <w:vAlign w:val="center"/>
          </w:tcPr>
          <w:p w14:paraId="2AAE5450">
            <w:pPr>
              <w:jc w:val="center"/>
              <w:rPr>
                <w:rFonts w:ascii="宋体" w:hAnsi="宋体" w:eastAsia="宋体"/>
                <w:color w:val="auto"/>
                <w:highlight w:val="none"/>
              </w:rPr>
            </w:pPr>
            <w:r>
              <w:rPr>
                <w:rFonts w:hint="eastAsia" w:ascii="宋体" w:hAnsi="宋体" w:eastAsia="宋体"/>
                <w:color w:val="auto"/>
                <w:highlight w:val="none"/>
              </w:rPr>
              <w:t>项目</w:t>
            </w:r>
          </w:p>
        </w:tc>
        <w:tc>
          <w:tcPr>
            <w:tcW w:w="6300" w:type="dxa"/>
            <w:vAlign w:val="center"/>
          </w:tcPr>
          <w:p w14:paraId="618598F4">
            <w:pPr>
              <w:jc w:val="center"/>
              <w:rPr>
                <w:rFonts w:ascii="宋体" w:hAnsi="宋体" w:eastAsia="宋体"/>
                <w:color w:val="auto"/>
                <w:highlight w:val="none"/>
              </w:rPr>
            </w:pPr>
            <w:r>
              <w:rPr>
                <w:rFonts w:hint="eastAsia" w:ascii="宋体" w:hAnsi="宋体" w:eastAsia="宋体"/>
                <w:color w:val="auto"/>
                <w:highlight w:val="none"/>
              </w:rPr>
              <w:t>内容</w:t>
            </w:r>
          </w:p>
        </w:tc>
      </w:tr>
      <w:tr w14:paraId="04A2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80" w:type="dxa"/>
            <w:vAlign w:val="center"/>
          </w:tcPr>
          <w:p w14:paraId="516D204C">
            <w:pPr>
              <w:jc w:val="center"/>
              <w:rPr>
                <w:rFonts w:ascii="宋体" w:hAnsi="宋体" w:eastAsia="宋体"/>
                <w:color w:val="auto"/>
                <w:highlight w:val="none"/>
              </w:rPr>
            </w:pPr>
            <w:r>
              <w:rPr>
                <w:rFonts w:hint="eastAsia" w:ascii="宋体" w:hAnsi="宋体" w:eastAsia="宋体"/>
                <w:color w:val="auto"/>
                <w:highlight w:val="none"/>
              </w:rPr>
              <w:t>服务期限</w:t>
            </w:r>
          </w:p>
        </w:tc>
        <w:tc>
          <w:tcPr>
            <w:tcW w:w="6300" w:type="dxa"/>
            <w:vAlign w:val="center"/>
          </w:tcPr>
          <w:p w14:paraId="23B30B3A">
            <w:pPr>
              <w:jc w:val="center"/>
              <w:rPr>
                <w:rFonts w:ascii="宋体" w:hAnsi="宋体" w:eastAsia="宋体"/>
                <w:color w:val="auto"/>
                <w:highlight w:val="none"/>
              </w:rPr>
            </w:pPr>
            <w:r>
              <w:rPr>
                <w:rFonts w:hint="eastAsia" w:ascii="宋体" w:hAnsi="宋体" w:eastAsia="宋体"/>
                <w:color w:val="auto"/>
                <w:highlight w:val="none"/>
              </w:rPr>
              <w:t>按招标文件要求</w:t>
            </w:r>
          </w:p>
        </w:tc>
      </w:tr>
      <w:tr w14:paraId="2780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80" w:type="dxa"/>
            <w:vAlign w:val="center"/>
          </w:tcPr>
          <w:p w14:paraId="0AE188FF">
            <w:pPr>
              <w:jc w:val="center"/>
              <w:rPr>
                <w:rFonts w:ascii="宋体" w:hAnsi="宋体" w:eastAsia="宋体"/>
                <w:color w:val="auto"/>
                <w:highlight w:val="none"/>
              </w:rPr>
            </w:pPr>
            <w:r>
              <w:rPr>
                <w:rFonts w:hint="eastAsia" w:ascii="宋体" w:hAnsi="宋体" w:eastAsia="宋体"/>
                <w:color w:val="auto"/>
                <w:highlight w:val="none"/>
              </w:rPr>
              <w:t>质量要求</w:t>
            </w:r>
          </w:p>
        </w:tc>
        <w:tc>
          <w:tcPr>
            <w:tcW w:w="6300" w:type="dxa"/>
            <w:vAlign w:val="center"/>
          </w:tcPr>
          <w:p w14:paraId="555D3681">
            <w:pPr>
              <w:jc w:val="center"/>
              <w:rPr>
                <w:rFonts w:ascii="宋体" w:hAnsi="宋体" w:eastAsia="宋体"/>
                <w:color w:val="auto"/>
                <w:highlight w:val="none"/>
              </w:rPr>
            </w:pPr>
            <w:r>
              <w:rPr>
                <w:rFonts w:hint="eastAsia" w:ascii="宋体" w:hAnsi="宋体" w:eastAsia="宋体"/>
                <w:color w:val="auto"/>
                <w:highlight w:val="none"/>
              </w:rPr>
              <w:t>按招标文件要求</w:t>
            </w:r>
          </w:p>
        </w:tc>
      </w:tr>
      <w:tr w14:paraId="32BA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80" w:type="dxa"/>
            <w:vMerge w:val="restart"/>
            <w:tcBorders>
              <w:top w:val="single" w:color="auto" w:sz="4" w:space="0"/>
              <w:left w:val="single" w:color="auto" w:sz="4" w:space="0"/>
              <w:right w:val="single" w:color="auto" w:sz="4" w:space="0"/>
            </w:tcBorders>
            <w:vAlign w:val="center"/>
          </w:tcPr>
          <w:p w14:paraId="66C14EF1">
            <w:pPr>
              <w:jc w:val="center"/>
              <w:rPr>
                <w:rFonts w:ascii="宋体" w:hAnsi="宋体" w:eastAsia="宋体"/>
                <w:color w:val="auto"/>
                <w:highlight w:val="none"/>
              </w:rPr>
            </w:pPr>
            <w:r>
              <w:rPr>
                <w:rFonts w:hint="eastAsia" w:ascii="宋体" w:hAnsi="宋体" w:eastAsia="宋体"/>
                <w:color w:val="auto"/>
                <w:highlight w:val="none"/>
              </w:rPr>
              <w:t>项目负责人</w:t>
            </w:r>
          </w:p>
        </w:tc>
        <w:tc>
          <w:tcPr>
            <w:tcW w:w="6300" w:type="dxa"/>
            <w:tcBorders>
              <w:top w:val="single" w:color="auto" w:sz="4" w:space="0"/>
              <w:left w:val="single" w:color="auto" w:sz="4" w:space="0"/>
              <w:bottom w:val="single" w:color="auto" w:sz="4" w:space="0"/>
              <w:right w:val="single" w:color="auto" w:sz="4" w:space="0"/>
            </w:tcBorders>
            <w:vAlign w:val="center"/>
          </w:tcPr>
          <w:p w14:paraId="63C45026">
            <w:pPr>
              <w:rPr>
                <w:rFonts w:ascii="宋体" w:hAnsi="宋体" w:eastAsia="宋体"/>
                <w:color w:val="auto"/>
                <w:highlight w:val="none"/>
              </w:rPr>
            </w:pPr>
            <w:r>
              <w:rPr>
                <w:rFonts w:hint="eastAsia" w:ascii="宋体" w:hAnsi="宋体" w:eastAsia="宋体"/>
                <w:color w:val="auto"/>
                <w:highlight w:val="none"/>
              </w:rPr>
              <w:t>姓名：</w:t>
            </w:r>
          </w:p>
        </w:tc>
      </w:tr>
      <w:tr w14:paraId="6C9A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80" w:type="dxa"/>
            <w:vMerge w:val="continue"/>
            <w:tcBorders>
              <w:left w:val="single" w:color="auto" w:sz="4" w:space="0"/>
              <w:right w:val="single" w:color="auto" w:sz="4" w:space="0"/>
            </w:tcBorders>
            <w:vAlign w:val="center"/>
          </w:tcPr>
          <w:p w14:paraId="049B8216">
            <w:pPr>
              <w:jc w:val="center"/>
              <w:rPr>
                <w:rFonts w:ascii="宋体" w:hAnsi="宋体" w:eastAsia="宋体"/>
                <w:color w:val="auto"/>
                <w:highlight w:val="none"/>
              </w:rPr>
            </w:pPr>
          </w:p>
        </w:tc>
        <w:tc>
          <w:tcPr>
            <w:tcW w:w="6300" w:type="dxa"/>
            <w:tcBorders>
              <w:top w:val="single" w:color="auto" w:sz="4" w:space="0"/>
              <w:left w:val="single" w:color="auto" w:sz="4" w:space="0"/>
              <w:bottom w:val="single" w:color="auto" w:sz="4" w:space="0"/>
              <w:right w:val="single" w:color="auto" w:sz="4" w:space="0"/>
            </w:tcBorders>
            <w:vAlign w:val="center"/>
          </w:tcPr>
          <w:p w14:paraId="402B3796">
            <w:pPr>
              <w:rPr>
                <w:rFonts w:ascii="宋体" w:hAnsi="宋体" w:eastAsia="宋体"/>
                <w:color w:val="auto"/>
                <w:highlight w:val="none"/>
              </w:rPr>
            </w:pPr>
            <w:r>
              <w:rPr>
                <w:rFonts w:hint="eastAsia" w:ascii="宋体" w:hAnsi="宋体" w:eastAsia="宋体"/>
                <w:color w:val="auto"/>
                <w:highlight w:val="none"/>
              </w:rPr>
              <w:t>技术职称：</w:t>
            </w:r>
          </w:p>
        </w:tc>
      </w:tr>
      <w:tr w14:paraId="000C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80" w:type="dxa"/>
            <w:vMerge w:val="continue"/>
            <w:tcBorders>
              <w:left w:val="single" w:color="auto" w:sz="4" w:space="0"/>
              <w:bottom w:val="single" w:color="auto" w:sz="4" w:space="0"/>
              <w:right w:val="single" w:color="auto" w:sz="4" w:space="0"/>
            </w:tcBorders>
            <w:vAlign w:val="center"/>
          </w:tcPr>
          <w:p w14:paraId="5A4D4C22">
            <w:pPr>
              <w:jc w:val="center"/>
              <w:rPr>
                <w:rFonts w:ascii="宋体" w:hAnsi="宋体" w:eastAsia="宋体"/>
                <w:color w:val="auto"/>
                <w:highlight w:val="none"/>
              </w:rPr>
            </w:pPr>
          </w:p>
        </w:tc>
        <w:tc>
          <w:tcPr>
            <w:tcW w:w="6300" w:type="dxa"/>
            <w:tcBorders>
              <w:top w:val="single" w:color="auto" w:sz="4" w:space="0"/>
              <w:left w:val="single" w:color="auto" w:sz="4" w:space="0"/>
              <w:bottom w:val="single" w:color="auto" w:sz="4" w:space="0"/>
              <w:right w:val="single" w:color="auto" w:sz="4" w:space="0"/>
            </w:tcBorders>
            <w:vAlign w:val="center"/>
          </w:tcPr>
          <w:p w14:paraId="7162477D">
            <w:pPr>
              <w:rPr>
                <w:rFonts w:ascii="宋体" w:hAnsi="宋体" w:eastAsia="宋体"/>
                <w:color w:val="auto"/>
                <w:highlight w:val="none"/>
              </w:rPr>
            </w:pPr>
            <w:r>
              <w:rPr>
                <w:rFonts w:hint="eastAsia" w:ascii="宋体" w:hAnsi="宋体" w:eastAsia="宋体"/>
                <w:color w:val="auto"/>
                <w:highlight w:val="none"/>
              </w:rPr>
              <w:t>身份证号码：</w:t>
            </w:r>
          </w:p>
        </w:tc>
      </w:tr>
    </w:tbl>
    <w:p w14:paraId="526ECCFC">
      <w:pPr>
        <w:spacing w:line="360" w:lineRule="auto"/>
        <w:rPr>
          <w:rFonts w:ascii="宋体" w:hAnsi="宋体" w:eastAsia="宋体"/>
          <w:color w:val="auto"/>
          <w:highlight w:val="none"/>
        </w:rPr>
      </w:pPr>
    </w:p>
    <w:p w14:paraId="2F839ECA">
      <w:pPr>
        <w:widowControl/>
        <w:spacing w:line="360" w:lineRule="auto"/>
        <w:ind w:firstLine="1995" w:firstLineChars="950"/>
        <w:jc w:val="center"/>
        <w:rPr>
          <w:rFonts w:hint="eastAsia" w:ascii="宋体" w:hAnsi="宋体" w:eastAsia="宋体"/>
          <w:color w:val="auto"/>
          <w:highlight w:val="none"/>
          <w:lang w:val="en-US" w:eastAsia="zh-CN"/>
        </w:rPr>
      </w:pPr>
      <w:bookmarkStart w:id="428" w:name="_Toc7039"/>
      <w:bookmarkStart w:id="429" w:name="_Toc369531691"/>
      <w:bookmarkStart w:id="430" w:name="_Toc352691655"/>
    </w:p>
    <w:p w14:paraId="7840B758">
      <w:pPr>
        <w:widowControl/>
        <w:spacing w:line="360" w:lineRule="auto"/>
        <w:ind w:firstLine="4410" w:firstLineChars="2100"/>
        <w:jc w:val="both"/>
        <w:rPr>
          <w:rFonts w:ascii="宋体" w:hAnsi="宋体" w:eastAsia="宋体"/>
          <w:color w:val="auto"/>
          <w:highlight w:val="none"/>
        </w:rPr>
      </w:pPr>
      <w:r>
        <w:rPr>
          <w:rFonts w:hint="eastAsia" w:ascii="宋体" w:hAnsi="宋体" w:eastAsia="宋体"/>
          <w:color w:val="auto"/>
          <w:highlight w:val="none"/>
        </w:rPr>
        <w:t>投标人：</w:t>
      </w:r>
      <w:r>
        <w:rPr>
          <w:rFonts w:ascii="宋体" w:hAnsi="宋体" w:eastAsia="宋体"/>
          <w:color w:val="auto"/>
          <w:highlight w:val="none"/>
        </w:rPr>
        <w:t>(盖</w:t>
      </w:r>
      <w:r>
        <w:rPr>
          <w:rFonts w:hint="eastAsia" w:ascii="宋体" w:hAnsi="宋体" w:eastAsia="宋体"/>
          <w:color w:val="auto"/>
          <w:highlight w:val="none"/>
        </w:rPr>
        <w:t>单位</w:t>
      </w:r>
      <w:r>
        <w:rPr>
          <w:rFonts w:ascii="宋体" w:hAnsi="宋体" w:eastAsia="宋体"/>
          <w:color w:val="auto"/>
          <w:highlight w:val="none"/>
        </w:rPr>
        <w:t>章)</w:t>
      </w:r>
    </w:p>
    <w:p w14:paraId="1A9DD8B1">
      <w:pPr>
        <w:widowControl/>
        <w:spacing w:line="360" w:lineRule="auto"/>
        <w:ind w:firstLine="1995" w:firstLineChars="950"/>
        <w:jc w:val="center"/>
        <w:rPr>
          <w:rFonts w:ascii="宋体" w:hAnsi="宋体" w:eastAsia="宋体"/>
          <w:color w:val="auto"/>
          <w:highlight w:val="none"/>
        </w:rPr>
      </w:pP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法定代表人或授权委托人：（签字或盖章）</w:t>
      </w:r>
    </w:p>
    <w:p w14:paraId="0F66F6D6">
      <w:pPr>
        <w:widowControl/>
        <w:spacing w:line="360" w:lineRule="auto"/>
        <w:ind w:firstLine="4410" w:firstLineChars="2100"/>
        <w:jc w:val="both"/>
        <w:rPr>
          <w:rFonts w:ascii="宋体" w:hAnsi="宋体" w:eastAsia="宋体"/>
          <w:color w:val="auto"/>
          <w:highlight w:val="none"/>
        </w:rPr>
      </w:pPr>
      <w:r>
        <w:rPr>
          <w:rFonts w:hint="eastAsia" w:ascii="宋体" w:hAnsi="宋体" w:eastAsia="宋体"/>
          <w:color w:val="auto"/>
          <w:highlight w:val="none"/>
        </w:rPr>
        <w:t>日期：年</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月</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日</w:t>
      </w:r>
    </w:p>
    <w:p w14:paraId="73F0962F">
      <w:pPr>
        <w:widowControl/>
        <w:jc w:val="left"/>
        <w:rPr>
          <w:rFonts w:ascii="宋体" w:hAnsi="宋体" w:eastAsia="宋体"/>
          <w:color w:val="auto"/>
          <w:highlight w:val="none"/>
        </w:rPr>
      </w:pPr>
      <w:r>
        <w:rPr>
          <w:rFonts w:ascii="宋体" w:hAnsi="宋体" w:eastAsia="宋体"/>
          <w:color w:val="auto"/>
          <w:highlight w:val="none"/>
        </w:rPr>
        <w:br w:type="page"/>
      </w:r>
    </w:p>
    <w:bookmarkEnd w:id="406"/>
    <w:bookmarkEnd w:id="407"/>
    <w:bookmarkEnd w:id="408"/>
    <w:bookmarkEnd w:id="409"/>
    <w:bookmarkEnd w:id="410"/>
    <w:bookmarkEnd w:id="411"/>
    <w:bookmarkEnd w:id="412"/>
    <w:bookmarkEnd w:id="413"/>
    <w:bookmarkEnd w:id="414"/>
    <w:bookmarkEnd w:id="428"/>
    <w:bookmarkEnd w:id="429"/>
    <w:bookmarkEnd w:id="430"/>
    <w:p w14:paraId="14013168">
      <w:pPr>
        <w:pStyle w:val="3"/>
        <w:ind w:firstLine="602"/>
        <w:jc w:val="center"/>
        <w:rPr>
          <w:color w:val="auto"/>
          <w:highlight w:val="none"/>
        </w:rPr>
      </w:pPr>
      <w:bookmarkStart w:id="431" w:name="_Toc533084446"/>
      <w:bookmarkStart w:id="432" w:name="_Toc133420544"/>
      <w:bookmarkStart w:id="433" w:name="_Toc19720"/>
      <w:r>
        <w:rPr>
          <w:rFonts w:hint="eastAsia"/>
          <w:color w:val="auto"/>
          <w:highlight w:val="none"/>
        </w:rPr>
        <w:t>二、法定代表人证明书及授权委托证明书</w:t>
      </w:r>
      <w:bookmarkEnd w:id="431"/>
      <w:bookmarkEnd w:id="432"/>
      <w:bookmarkEnd w:id="433"/>
    </w:p>
    <w:p w14:paraId="3A61596C">
      <w:pPr>
        <w:jc w:val="center"/>
        <w:rPr>
          <w:rFonts w:ascii="宋体" w:hAnsi="宋体" w:eastAsia="宋体"/>
          <w:color w:val="auto"/>
          <w:highlight w:val="none"/>
        </w:rPr>
      </w:pPr>
      <w:r>
        <w:rPr>
          <w:rFonts w:hint="eastAsia" w:ascii="宋体" w:hAnsi="宋体" w:eastAsia="宋体"/>
          <w:color w:val="auto"/>
          <w:highlight w:val="none"/>
        </w:rPr>
        <w:t>法定代表人证明书</w:t>
      </w:r>
    </w:p>
    <w:p w14:paraId="28649142">
      <w:pPr>
        <w:spacing w:line="360" w:lineRule="auto"/>
        <w:rPr>
          <w:rFonts w:ascii="宋体" w:hAnsi="宋体" w:eastAsia="宋体"/>
          <w:color w:val="auto"/>
          <w:highlight w:val="none"/>
        </w:rPr>
      </w:pPr>
      <w:r>
        <w:rPr>
          <w:rFonts w:ascii="宋体" w:hAnsi="宋体" w:eastAsia="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-133985</wp:posOffset>
                </wp:positionH>
                <wp:positionV relativeFrom="paragraph">
                  <wp:posOffset>80645</wp:posOffset>
                </wp:positionV>
                <wp:extent cx="5943600" cy="2773680"/>
                <wp:effectExtent l="5080" t="5080" r="13970" b="21590"/>
                <wp:wrapNone/>
                <wp:docPr id="24" name="文本框 24"/>
                <wp:cNvGraphicFramePr/>
                <a:graphic xmlns:a="http://schemas.openxmlformats.org/drawingml/2006/main">
                  <a:graphicData uri="http://schemas.microsoft.com/office/word/2010/wordprocessingShape">
                    <wps:wsp>
                      <wps:cNvSpPr txBox="1">
                        <a:spLocks noChangeArrowheads="1"/>
                      </wps:cNvSpPr>
                      <wps:spPr>
                        <a:xfrm>
                          <a:off x="0" y="0"/>
                          <a:ext cx="5943600" cy="27736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33CFE53">
                            <w:pPr>
                              <w:spacing w:before="120" w:line="360" w:lineRule="auto"/>
                              <w:rPr>
                                <w:rFonts w:ascii="宋体" w:hAnsi="宋体" w:eastAsia="宋体"/>
                                <w:szCs w:val="21"/>
                              </w:rPr>
                            </w:pPr>
                            <w:r>
                              <w:rPr>
                                <w:rFonts w:hint="eastAsia" w:ascii="宋体" w:hAnsi="宋体" w:eastAsia="宋体"/>
                                <w:szCs w:val="21"/>
                                <w:u w:val="single"/>
                              </w:rPr>
                              <w:t xml:space="preserve">                </w:t>
                            </w:r>
                            <w:r>
                              <w:rPr>
                                <w:rFonts w:hint="eastAsia" w:ascii="宋体" w:hAnsi="宋体" w:eastAsia="宋体"/>
                                <w:szCs w:val="21"/>
                              </w:rPr>
                              <w:t>现任我单位</w:t>
                            </w:r>
                            <w:r>
                              <w:rPr>
                                <w:rFonts w:hint="eastAsia" w:ascii="宋体" w:hAnsi="宋体" w:eastAsia="宋体"/>
                                <w:szCs w:val="21"/>
                                <w:u w:val="single"/>
                              </w:rPr>
                              <w:t xml:space="preserve">            </w:t>
                            </w:r>
                            <w:r>
                              <w:rPr>
                                <w:rFonts w:hint="eastAsia" w:ascii="宋体" w:hAnsi="宋体" w:eastAsia="宋体"/>
                                <w:szCs w:val="21"/>
                              </w:rPr>
                              <w:t>职务，为法定代表人（负责人），</w:t>
                            </w:r>
                          </w:p>
                          <w:p w14:paraId="666DD79E">
                            <w:pPr>
                              <w:snapToGrid w:val="0"/>
                              <w:spacing w:line="360" w:lineRule="auto"/>
                              <w:rPr>
                                <w:rFonts w:ascii="宋体" w:hAnsi="宋体" w:eastAsia="宋体"/>
                                <w:szCs w:val="21"/>
                              </w:rPr>
                            </w:pPr>
                            <w:r>
                              <w:rPr>
                                <w:rFonts w:hint="eastAsia" w:ascii="宋体" w:hAnsi="宋体" w:eastAsia="宋体"/>
                                <w:szCs w:val="21"/>
                              </w:rPr>
                              <w:t>特此证明。</w:t>
                            </w:r>
                          </w:p>
                          <w:p w14:paraId="44BE7C9F">
                            <w:pPr>
                              <w:snapToGrid w:val="0"/>
                              <w:spacing w:line="360" w:lineRule="auto"/>
                              <w:rPr>
                                <w:rFonts w:ascii="宋体" w:hAnsi="宋体" w:eastAsia="宋体"/>
                                <w:szCs w:val="21"/>
                                <w:u w:val="single"/>
                              </w:rPr>
                            </w:pPr>
                            <w:r>
                              <w:rPr>
                                <w:rFonts w:hint="eastAsia" w:ascii="宋体" w:hAnsi="宋体" w:eastAsia="宋体"/>
                                <w:szCs w:val="21"/>
                              </w:rPr>
                              <w:t>有效期限：</w:t>
                            </w:r>
                            <w:r>
                              <w:rPr>
                                <w:rFonts w:hint="eastAsia" w:ascii="宋体" w:hAnsi="宋体" w:eastAsia="宋体"/>
                                <w:szCs w:val="21"/>
                                <w:u w:val="single"/>
                              </w:rPr>
                              <w:t xml:space="preserve">                                </w:t>
                            </w:r>
                            <w:r>
                              <w:rPr>
                                <w:rFonts w:hint="eastAsia" w:ascii="宋体" w:hAnsi="宋体" w:eastAsia="宋体"/>
                                <w:szCs w:val="21"/>
                              </w:rPr>
                              <w:t xml:space="preserve">  </w:t>
                            </w:r>
                          </w:p>
                          <w:p w14:paraId="22B687CA">
                            <w:pPr>
                              <w:snapToGrid w:val="0"/>
                              <w:spacing w:line="360" w:lineRule="auto"/>
                              <w:rPr>
                                <w:rFonts w:ascii="宋体" w:hAnsi="宋体" w:eastAsia="宋体"/>
                                <w:szCs w:val="21"/>
                                <w:u w:val="single"/>
                              </w:rPr>
                            </w:pPr>
                            <w:r>
                              <w:rPr>
                                <w:rFonts w:hint="eastAsia" w:ascii="宋体" w:hAnsi="宋体" w:eastAsia="宋体"/>
                                <w:szCs w:val="21"/>
                              </w:rPr>
                              <w:t>附：法定代表人（负责人）性别：</w:t>
                            </w:r>
                            <w:r>
                              <w:rPr>
                                <w:rFonts w:hint="eastAsia" w:ascii="宋体" w:hAnsi="宋体" w:eastAsia="宋体"/>
                                <w:szCs w:val="21"/>
                                <w:u w:val="single"/>
                              </w:rPr>
                              <w:t xml:space="preserve">    </w:t>
                            </w:r>
                            <w:r>
                              <w:rPr>
                                <w:rFonts w:hint="eastAsia" w:ascii="宋体" w:hAnsi="宋体" w:eastAsia="宋体"/>
                                <w:szCs w:val="21"/>
                              </w:rPr>
                              <w:t>年龄：</w:t>
                            </w:r>
                            <w:r>
                              <w:rPr>
                                <w:rFonts w:hint="eastAsia" w:ascii="宋体" w:hAnsi="宋体" w:eastAsia="宋体"/>
                                <w:szCs w:val="21"/>
                                <w:u w:val="single"/>
                              </w:rPr>
                              <w:t xml:space="preserve">   </w:t>
                            </w:r>
                            <w:r>
                              <w:rPr>
                                <w:rFonts w:hint="eastAsia" w:ascii="宋体" w:hAnsi="宋体" w:eastAsia="宋体"/>
                                <w:szCs w:val="21"/>
                              </w:rPr>
                              <w:t>身份证号码：</w:t>
                            </w:r>
                            <w:r>
                              <w:rPr>
                                <w:rFonts w:hint="eastAsia" w:ascii="宋体" w:hAnsi="宋体" w:eastAsia="宋体"/>
                                <w:szCs w:val="21"/>
                                <w:u w:val="single"/>
                              </w:rPr>
                              <w:t xml:space="preserve">         </w:t>
                            </w:r>
                          </w:p>
                          <w:p w14:paraId="6F2FBD8F">
                            <w:pPr>
                              <w:snapToGrid w:val="0"/>
                              <w:spacing w:line="360" w:lineRule="auto"/>
                              <w:ind w:firstLine="570"/>
                              <w:rPr>
                                <w:rFonts w:ascii="宋体" w:hAnsi="宋体" w:eastAsia="宋体"/>
                                <w:szCs w:val="21"/>
                                <w:u w:val="single"/>
                              </w:rPr>
                            </w:pPr>
                            <w:r>
                              <w:rPr>
                                <w:rFonts w:hint="eastAsia" w:ascii="宋体" w:hAnsi="宋体" w:eastAsia="宋体"/>
                                <w:szCs w:val="21"/>
                              </w:rPr>
                              <w:t>注册号码：</w:t>
                            </w:r>
                            <w:r>
                              <w:rPr>
                                <w:rFonts w:hint="eastAsia" w:ascii="宋体" w:hAnsi="宋体" w:eastAsia="宋体"/>
                                <w:szCs w:val="21"/>
                                <w:u w:val="single"/>
                              </w:rPr>
                              <w:t xml:space="preserve">                     </w:t>
                            </w:r>
                            <w:r>
                              <w:rPr>
                                <w:rFonts w:hint="eastAsia" w:ascii="宋体" w:hAnsi="宋体" w:eastAsia="宋体"/>
                                <w:szCs w:val="21"/>
                              </w:rPr>
                              <w:t>企业类型：</w:t>
                            </w:r>
                            <w:r>
                              <w:rPr>
                                <w:rFonts w:hint="eastAsia" w:ascii="宋体" w:hAnsi="宋体" w:eastAsia="宋体"/>
                                <w:szCs w:val="21"/>
                                <w:u w:val="single"/>
                              </w:rPr>
                              <w:t xml:space="preserve">                   </w:t>
                            </w:r>
                          </w:p>
                          <w:p w14:paraId="1DB5CD40">
                            <w:pPr>
                              <w:snapToGrid w:val="0"/>
                              <w:spacing w:line="360" w:lineRule="auto"/>
                              <w:ind w:firstLine="570"/>
                              <w:rPr>
                                <w:rFonts w:ascii="宋体" w:hAnsi="宋体" w:eastAsia="宋体"/>
                                <w:szCs w:val="21"/>
                                <w:u w:val="single"/>
                              </w:rPr>
                            </w:pPr>
                            <w:r>
                              <w:rPr>
                                <w:rFonts w:hint="eastAsia" w:ascii="宋体" w:hAnsi="宋体" w:eastAsia="宋体"/>
                                <w:szCs w:val="21"/>
                              </w:rPr>
                              <w:t>经营范围：</w:t>
                            </w:r>
                            <w:r>
                              <w:rPr>
                                <w:rFonts w:hint="eastAsia" w:ascii="宋体" w:hAnsi="宋体" w:eastAsia="宋体"/>
                                <w:szCs w:val="21"/>
                                <w:u w:val="single"/>
                              </w:rPr>
                              <w:t xml:space="preserve">                       </w:t>
                            </w:r>
                          </w:p>
                          <w:p w14:paraId="11FB0DE8">
                            <w:pPr>
                              <w:snapToGrid w:val="0"/>
                              <w:spacing w:line="360" w:lineRule="auto"/>
                              <w:ind w:firstLine="570"/>
                              <w:jc w:val="right"/>
                              <w:rPr>
                                <w:rFonts w:ascii="宋体" w:hAnsi="宋体" w:eastAsia="宋体"/>
                                <w:szCs w:val="21"/>
                              </w:rPr>
                            </w:pPr>
                            <w:r>
                              <w:rPr>
                                <w:rFonts w:hint="eastAsia" w:ascii="宋体" w:hAnsi="宋体" w:eastAsia="宋体"/>
                                <w:szCs w:val="21"/>
                              </w:rPr>
                              <w:t>单位：            （盖单位章）</w:t>
                            </w:r>
                          </w:p>
                          <w:p w14:paraId="0BE1638A">
                            <w:pPr>
                              <w:snapToGrid w:val="0"/>
                              <w:spacing w:line="360" w:lineRule="auto"/>
                              <w:ind w:firstLine="570"/>
                              <w:jc w:val="center"/>
                              <w:rPr>
                                <w:rFonts w:ascii="宋体" w:hAnsi="宋体" w:eastAsia="宋体"/>
                                <w:szCs w:val="21"/>
                              </w:rPr>
                            </w:pPr>
                            <w:r>
                              <w:rPr>
                                <w:rFonts w:hint="eastAsia" w:ascii="宋体" w:hAnsi="宋体" w:eastAsia="宋体"/>
                                <w:szCs w:val="21"/>
                              </w:rPr>
                              <w:t>　　　　　　　　　　　　　　　　　　　　　　年   月   日</w:t>
                            </w:r>
                          </w:p>
                          <w:p w14:paraId="5339FAD0">
                            <w:pPr>
                              <w:snapToGrid w:val="0"/>
                              <w:spacing w:line="360" w:lineRule="auto"/>
                              <w:ind w:firstLine="570"/>
                              <w:jc w:val="center"/>
                              <w:rPr>
                                <w:rFonts w:ascii="宋体" w:hAnsi="宋体" w:eastAsia="宋体"/>
                                <w:sz w:val="24"/>
                                <w:szCs w:val="24"/>
                              </w:rPr>
                            </w:pPr>
                          </w:p>
                        </w:txbxContent>
                      </wps:txbx>
                      <wps:bodyPr upright="1"/>
                    </wps:wsp>
                  </a:graphicData>
                </a:graphic>
              </wp:anchor>
            </w:drawing>
          </mc:Choice>
          <mc:Fallback>
            <w:pict>
              <v:shape id="_x0000_s1026" o:spid="_x0000_s1026" o:spt="202" type="#_x0000_t202" style="position:absolute;left:0pt;margin-left:-10.55pt;margin-top:6.35pt;height:218.4pt;width:468pt;z-index:251660288;mso-width-relative:page;mso-height-relative:page;" fillcolor="#FFFFFF" filled="t" stroked="t" coordsize="21600,21600" o:gfxdata="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SP7V12QAAAAoBAAAPAAAAAAAAAAEAIAAAACIAAABkcnMvZG93bnJldi54bWxQSwEC&#10;FAAUAAAACACHTuJA5X43PiwCAAB3BAAADgAAAAAAAAABACAAAAAoAQAAZHJzL2Uyb0RvYy54bWxQ&#10;SwUGAAAAAAYABgBZAQAAxgUAAAAA&#10;">
                <v:fill on="t" focussize="0,0"/>
                <v:stroke color="#000000" joinstyle="miter"/>
                <v:imagedata o:title=""/>
                <o:lock v:ext="edit" aspectratio="f"/>
                <v:textbox>
                  <w:txbxContent>
                    <w:p w14:paraId="033CFE53">
                      <w:pPr>
                        <w:spacing w:before="120" w:line="360" w:lineRule="auto"/>
                        <w:rPr>
                          <w:rFonts w:ascii="宋体" w:hAnsi="宋体" w:eastAsia="宋体"/>
                          <w:szCs w:val="21"/>
                        </w:rPr>
                      </w:pPr>
                      <w:r>
                        <w:rPr>
                          <w:rFonts w:hint="eastAsia" w:ascii="宋体" w:hAnsi="宋体" w:eastAsia="宋体"/>
                          <w:szCs w:val="21"/>
                          <w:u w:val="single"/>
                        </w:rPr>
                        <w:t xml:space="preserve">                </w:t>
                      </w:r>
                      <w:r>
                        <w:rPr>
                          <w:rFonts w:hint="eastAsia" w:ascii="宋体" w:hAnsi="宋体" w:eastAsia="宋体"/>
                          <w:szCs w:val="21"/>
                        </w:rPr>
                        <w:t>现任我单位</w:t>
                      </w:r>
                      <w:r>
                        <w:rPr>
                          <w:rFonts w:hint="eastAsia" w:ascii="宋体" w:hAnsi="宋体" w:eastAsia="宋体"/>
                          <w:szCs w:val="21"/>
                          <w:u w:val="single"/>
                        </w:rPr>
                        <w:t xml:space="preserve">            </w:t>
                      </w:r>
                      <w:r>
                        <w:rPr>
                          <w:rFonts w:hint="eastAsia" w:ascii="宋体" w:hAnsi="宋体" w:eastAsia="宋体"/>
                          <w:szCs w:val="21"/>
                        </w:rPr>
                        <w:t>职务，为法定代表人（负责人），</w:t>
                      </w:r>
                    </w:p>
                    <w:p w14:paraId="666DD79E">
                      <w:pPr>
                        <w:snapToGrid w:val="0"/>
                        <w:spacing w:line="360" w:lineRule="auto"/>
                        <w:rPr>
                          <w:rFonts w:ascii="宋体" w:hAnsi="宋体" w:eastAsia="宋体"/>
                          <w:szCs w:val="21"/>
                        </w:rPr>
                      </w:pPr>
                      <w:r>
                        <w:rPr>
                          <w:rFonts w:hint="eastAsia" w:ascii="宋体" w:hAnsi="宋体" w:eastAsia="宋体"/>
                          <w:szCs w:val="21"/>
                        </w:rPr>
                        <w:t>特此证明。</w:t>
                      </w:r>
                    </w:p>
                    <w:p w14:paraId="44BE7C9F">
                      <w:pPr>
                        <w:snapToGrid w:val="0"/>
                        <w:spacing w:line="360" w:lineRule="auto"/>
                        <w:rPr>
                          <w:rFonts w:ascii="宋体" w:hAnsi="宋体" w:eastAsia="宋体"/>
                          <w:szCs w:val="21"/>
                          <w:u w:val="single"/>
                        </w:rPr>
                      </w:pPr>
                      <w:r>
                        <w:rPr>
                          <w:rFonts w:hint="eastAsia" w:ascii="宋体" w:hAnsi="宋体" w:eastAsia="宋体"/>
                          <w:szCs w:val="21"/>
                        </w:rPr>
                        <w:t>有效期限：</w:t>
                      </w:r>
                      <w:r>
                        <w:rPr>
                          <w:rFonts w:hint="eastAsia" w:ascii="宋体" w:hAnsi="宋体" w:eastAsia="宋体"/>
                          <w:szCs w:val="21"/>
                          <w:u w:val="single"/>
                        </w:rPr>
                        <w:t xml:space="preserve">                                </w:t>
                      </w:r>
                      <w:r>
                        <w:rPr>
                          <w:rFonts w:hint="eastAsia" w:ascii="宋体" w:hAnsi="宋体" w:eastAsia="宋体"/>
                          <w:szCs w:val="21"/>
                        </w:rPr>
                        <w:t xml:space="preserve">  </w:t>
                      </w:r>
                    </w:p>
                    <w:p w14:paraId="22B687CA">
                      <w:pPr>
                        <w:snapToGrid w:val="0"/>
                        <w:spacing w:line="360" w:lineRule="auto"/>
                        <w:rPr>
                          <w:rFonts w:ascii="宋体" w:hAnsi="宋体" w:eastAsia="宋体"/>
                          <w:szCs w:val="21"/>
                          <w:u w:val="single"/>
                        </w:rPr>
                      </w:pPr>
                      <w:r>
                        <w:rPr>
                          <w:rFonts w:hint="eastAsia" w:ascii="宋体" w:hAnsi="宋体" w:eastAsia="宋体"/>
                          <w:szCs w:val="21"/>
                        </w:rPr>
                        <w:t>附：法定代表人（负责人）性别：</w:t>
                      </w:r>
                      <w:r>
                        <w:rPr>
                          <w:rFonts w:hint="eastAsia" w:ascii="宋体" w:hAnsi="宋体" w:eastAsia="宋体"/>
                          <w:szCs w:val="21"/>
                          <w:u w:val="single"/>
                        </w:rPr>
                        <w:t xml:space="preserve">    </w:t>
                      </w:r>
                      <w:r>
                        <w:rPr>
                          <w:rFonts w:hint="eastAsia" w:ascii="宋体" w:hAnsi="宋体" w:eastAsia="宋体"/>
                          <w:szCs w:val="21"/>
                        </w:rPr>
                        <w:t>年龄：</w:t>
                      </w:r>
                      <w:r>
                        <w:rPr>
                          <w:rFonts w:hint="eastAsia" w:ascii="宋体" w:hAnsi="宋体" w:eastAsia="宋体"/>
                          <w:szCs w:val="21"/>
                          <w:u w:val="single"/>
                        </w:rPr>
                        <w:t xml:space="preserve">   </w:t>
                      </w:r>
                      <w:r>
                        <w:rPr>
                          <w:rFonts w:hint="eastAsia" w:ascii="宋体" w:hAnsi="宋体" w:eastAsia="宋体"/>
                          <w:szCs w:val="21"/>
                        </w:rPr>
                        <w:t>身份证号码：</w:t>
                      </w:r>
                      <w:r>
                        <w:rPr>
                          <w:rFonts w:hint="eastAsia" w:ascii="宋体" w:hAnsi="宋体" w:eastAsia="宋体"/>
                          <w:szCs w:val="21"/>
                          <w:u w:val="single"/>
                        </w:rPr>
                        <w:t xml:space="preserve">         </w:t>
                      </w:r>
                    </w:p>
                    <w:p w14:paraId="6F2FBD8F">
                      <w:pPr>
                        <w:snapToGrid w:val="0"/>
                        <w:spacing w:line="360" w:lineRule="auto"/>
                        <w:ind w:firstLine="570"/>
                        <w:rPr>
                          <w:rFonts w:ascii="宋体" w:hAnsi="宋体" w:eastAsia="宋体"/>
                          <w:szCs w:val="21"/>
                          <w:u w:val="single"/>
                        </w:rPr>
                      </w:pPr>
                      <w:r>
                        <w:rPr>
                          <w:rFonts w:hint="eastAsia" w:ascii="宋体" w:hAnsi="宋体" w:eastAsia="宋体"/>
                          <w:szCs w:val="21"/>
                        </w:rPr>
                        <w:t>注册号码：</w:t>
                      </w:r>
                      <w:r>
                        <w:rPr>
                          <w:rFonts w:hint="eastAsia" w:ascii="宋体" w:hAnsi="宋体" w:eastAsia="宋体"/>
                          <w:szCs w:val="21"/>
                          <w:u w:val="single"/>
                        </w:rPr>
                        <w:t xml:space="preserve">                     </w:t>
                      </w:r>
                      <w:r>
                        <w:rPr>
                          <w:rFonts w:hint="eastAsia" w:ascii="宋体" w:hAnsi="宋体" w:eastAsia="宋体"/>
                          <w:szCs w:val="21"/>
                        </w:rPr>
                        <w:t>企业类型：</w:t>
                      </w:r>
                      <w:r>
                        <w:rPr>
                          <w:rFonts w:hint="eastAsia" w:ascii="宋体" w:hAnsi="宋体" w:eastAsia="宋体"/>
                          <w:szCs w:val="21"/>
                          <w:u w:val="single"/>
                        </w:rPr>
                        <w:t xml:space="preserve">                   </w:t>
                      </w:r>
                    </w:p>
                    <w:p w14:paraId="1DB5CD40">
                      <w:pPr>
                        <w:snapToGrid w:val="0"/>
                        <w:spacing w:line="360" w:lineRule="auto"/>
                        <w:ind w:firstLine="570"/>
                        <w:rPr>
                          <w:rFonts w:ascii="宋体" w:hAnsi="宋体" w:eastAsia="宋体"/>
                          <w:szCs w:val="21"/>
                          <w:u w:val="single"/>
                        </w:rPr>
                      </w:pPr>
                      <w:r>
                        <w:rPr>
                          <w:rFonts w:hint="eastAsia" w:ascii="宋体" w:hAnsi="宋体" w:eastAsia="宋体"/>
                          <w:szCs w:val="21"/>
                        </w:rPr>
                        <w:t>经营范围：</w:t>
                      </w:r>
                      <w:r>
                        <w:rPr>
                          <w:rFonts w:hint="eastAsia" w:ascii="宋体" w:hAnsi="宋体" w:eastAsia="宋体"/>
                          <w:szCs w:val="21"/>
                          <w:u w:val="single"/>
                        </w:rPr>
                        <w:t xml:space="preserve">                       </w:t>
                      </w:r>
                    </w:p>
                    <w:p w14:paraId="11FB0DE8">
                      <w:pPr>
                        <w:snapToGrid w:val="0"/>
                        <w:spacing w:line="360" w:lineRule="auto"/>
                        <w:ind w:firstLine="570"/>
                        <w:jc w:val="right"/>
                        <w:rPr>
                          <w:rFonts w:ascii="宋体" w:hAnsi="宋体" w:eastAsia="宋体"/>
                          <w:szCs w:val="21"/>
                        </w:rPr>
                      </w:pPr>
                      <w:r>
                        <w:rPr>
                          <w:rFonts w:hint="eastAsia" w:ascii="宋体" w:hAnsi="宋体" w:eastAsia="宋体"/>
                          <w:szCs w:val="21"/>
                        </w:rPr>
                        <w:t>单位：            （盖单位章）</w:t>
                      </w:r>
                    </w:p>
                    <w:p w14:paraId="0BE1638A">
                      <w:pPr>
                        <w:snapToGrid w:val="0"/>
                        <w:spacing w:line="360" w:lineRule="auto"/>
                        <w:ind w:firstLine="570"/>
                        <w:jc w:val="center"/>
                        <w:rPr>
                          <w:rFonts w:ascii="宋体" w:hAnsi="宋体" w:eastAsia="宋体"/>
                          <w:szCs w:val="21"/>
                        </w:rPr>
                      </w:pPr>
                      <w:r>
                        <w:rPr>
                          <w:rFonts w:hint="eastAsia" w:ascii="宋体" w:hAnsi="宋体" w:eastAsia="宋体"/>
                          <w:szCs w:val="21"/>
                        </w:rPr>
                        <w:t>　　　　　　　　　　　　　　　　　　　　　　年   月   日</w:t>
                      </w:r>
                    </w:p>
                    <w:p w14:paraId="5339FAD0">
                      <w:pPr>
                        <w:snapToGrid w:val="0"/>
                        <w:spacing w:line="360" w:lineRule="auto"/>
                        <w:ind w:firstLine="570"/>
                        <w:jc w:val="center"/>
                        <w:rPr>
                          <w:rFonts w:ascii="宋体" w:hAnsi="宋体" w:eastAsia="宋体"/>
                          <w:sz w:val="24"/>
                          <w:szCs w:val="24"/>
                        </w:rPr>
                      </w:pPr>
                    </w:p>
                  </w:txbxContent>
                </v:textbox>
              </v:shape>
            </w:pict>
          </mc:Fallback>
        </mc:AlternateContent>
      </w:r>
    </w:p>
    <w:p w14:paraId="040225D6">
      <w:pPr>
        <w:spacing w:line="360" w:lineRule="auto"/>
        <w:jc w:val="center"/>
        <w:rPr>
          <w:rFonts w:ascii="宋体" w:hAnsi="宋体" w:eastAsia="宋体"/>
          <w:color w:val="auto"/>
          <w:highlight w:val="none"/>
        </w:rPr>
      </w:pPr>
    </w:p>
    <w:p w14:paraId="08FC3276">
      <w:pPr>
        <w:spacing w:line="360" w:lineRule="auto"/>
        <w:jc w:val="center"/>
        <w:rPr>
          <w:rFonts w:ascii="宋体" w:hAnsi="宋体" w:eastAsia="宋体"/>
          <w:color w:val="auto"/>
          <w:highlight w:val="none"/>
        </w:rPr>
      </w:pPr>
    </w:p>
    <w:p w14:paraId="350F3389">
      <w:pPr>
        <w:spacing w:line="360" w:lineRule="auto"/>
        <w:jc w:val="center"/>
        <w:rPr>
          <w:rFonts w:ascii="宋体" w:hAnsi="宋体" w:eastAsia="宋体"/>
          <w:color w:val="auto"/>
          <w:highlight w:val="none"/>
        </w:rPr>
      </w:pPr>
    </w:p>
    <w:p w14:paraId="5DE96AF4">
      <w:pPr>
        <w:spacing w:line="360" w:lineRule="auto"/>
        <w:jc w:val="center"/>
        <w:rPr>
          <w:rFonts w:ascii="宋体" w:hAnsi="宋体" w:eastAsia="宋体"/>
          <w:color w:val="auto"/>
          <w:highlight w:val="none"/>
        </w:rPr>
      </w:pPr>
    </w:p>
    <w:p w14:paraId="1FE41C06">
      <w:pPr>
        <w:spacing w:line="360" w:lineRule="auto"/>
        <w:jc w:val="center"/>
        <w:rPr>
          <w:rFonts w:ascii="宋体" w:hAnsi="宋体" w:eastAsia="宋体"/>
          <w:color w:val="auto"/>
          <w:highlight w:val="none"/>
        </w:rPr>
      </w:pPr>
    </w:p>
    <w:p w14:paraId="573AB7C2">
      <w:pPr>
        <w:spacing w:line="360" w:lineRule="auto"/>
        <w:jc w:val="center"/>
        <w:rPr>
          <w:rFonts w:ascii="宋体" w:hAnsi="宋体" w:eastAsia="宋体"/>
          <w:color w:val="auto"/>
          <w:highlight w:val="none"/>
        </w:rPr>
      </w:pPr>
    </w:p>
    <w:p w14:paraId="5829368A">
      <w:pPr>
        <w:widowControl/>
        <w:jc w:val="left"/>
        <w:rPr>
          <w:rFonts w:ascii="宋体" w:hAnsi="宋体" w:eastAsia="宋体"/>
          <w:color w:val="auto"/>
          <w:highlight w:val="none"/>
        </w:rPr>
      </w:pPr>
    </w:p>
    <w:p w14:paraId="2F54D566">
      <w:pPr>
        <w:spacing w:line="360" w:lineRule="auto"/>
        <w:jc w:val="center"/>
        <w:rPr>
          <w:rFonts w:ascii="宋体" w:hAnsi="宋体" w:eastAsia="宋体"/>
          <w:color w:val="auto"/>
          <w:highlight w:val="none"/>
        </w:rPr>
      </w:pPr>
    </w:p>
    <w:p w14:paraId="5199B35D">
      <w:pPr>
        <w:spacing w:line="360" w:lineRule="auto"/>
        <w:jc w:val="center"/>
        <w:rPr>
          <w:rFonts w:ascii="宋体" w:hAnsi="宋体" w:eastAsia="宋体"/>
          <w:color w:val="auto"/>
          <w:highlight w:val="none"/>
        </w:rPr>
      </w:pPr>
    </w:p>
    <w:p w14:paraId="3E70B589">
      <w:pPr>
        <w:jc w:val="both"/>
        <w:rPr>
          <w:rFonts w:hint="eastAsia" w:ascii="宋体" w:hAnsi="宋体" w:eastAsia="宋体"/>
          <w:color w:val="auto"/>
          <w:highlight w:val="none"/>
        </w:rPr>
      </w:pPr>
      <w:r>
        <w:rPr>
          <w:rFonts w:hint="eastAsia" w:ascii="宋体" w:hAnsi="宋体" w:eastAsia="宋体"/>
          <w:color w:val="auto"/>
          <w:highlight w:val="none"/>
        </w:rPr>
        <w:t>注：1、法定代表人证明书也可以采用工商行政管理局统一印制的格式。</w:t>
      </w:r>
    </w:p>
    <w:p w14:paraId="0490B21F">
      <w:pPr>
        <w:ind w:firstLine="420" w:firstLineChars="200"/>
        <w:jc w:val="both"/>
        <w:rPr>
          <w:rFonts w:hint="eastAsia" w:ascii="宋体" w:hAnsi="宋体" w:eastAsia="宋体"/>
          <w:color w:val="auto"/>
          <w:highlight w:val="none"/>
        </w:rPr>
      </w:pPr>
      <w:r>
        <w:rPr>
          <w:rFonts w:hint="eastAsia" w:ascii="宋体" w:hAnsi="宋体" w:eastAsia="宋体"/>
          <w:color w:val="auto"/>
          <w:highlight w:val="none"/>
        </w:rPr>
        <w:t>2、联合体投标的，本证明书由联合体主办方出具。</w:t>
      </w:r>
    </w:p>
    <w:p w14:paraId="56BE2FE3">
      <w:pPr>
        <w:ind w:firstLine="420" w:firstLineChars="200"/>
        <w:jc w:val="both"/>
        <w:rPr>
          <w:rFonts w:ascii="宋体" w:hAnsi="宋体" w:eastAsia="宋体"/>
          <w:color w:val="auto"/>
          <w:highlight w:val="none"/>
        </w:rPr>
      </w:pPr>
      <w:r>
        <w:rPr>
          <w:rFonts w:hint="eastAsia" w:ascii="宋体" w:hAnsi="宋体" w:eastAsia="宋体"/>
          <w:color w:val="auto"/>
          <w:highlight w:val="none"/>
        </w:rPr>
        <w:t>3、附法定代表人身份证扫描件（盖单位公章）。</w:t>
      </w:r>
    </w:p>
    <w:p w14:paraId="5A9CE30D">
      <w:pPr>
        <w:jc w:val="center"/>
        <w:rPr>
          <w:rFonts w:ascii="宋体" w:hAnsi="宋体" w:eastAsia="宋体"/>
          <w:color w:val="auto"/>
          <w:highlight w:val="none"/>
        </w:rPr>
      </w:pPr>
    </w:p>
    <w:p w14:paraId="59E395BE">
      <w:pPr>
        <w:jc w:val="center"/>
        <w:rPr>
          <w:rFonts w:ascii="宋体" w:hAnsi="宋体" w:eastAsia="宋体"/>
          <w:color w:val="auto"/>
          <w:highlight w:val="none"/>
        </w:rPr>
      </w:pPr>
      <w:r>
        <w:rPr>
          <w:rFonts w:hint="eastAsia" w:ascii="宋体" w:hAnsi="宋体" w:eastAsia="宋体"/>
          <w:color w:val="auto"/>
          <w:highlight w:val="none"/>
        </w:rPr>
        <w:t>授权委托证明书</w:t>
      </w:r>
    </w:p>
    <w:p w14:paraId="090047B7">
      <w:pPr>
        <w:pStyle w:val="27"/>
        <w:rPr>
          <w:rFonts w:ascii="宋体" w:hAnsi="宋体"/>
          <w:color w:val="auto"/>
          <w:highlight w:val="none"/>
        </w:rPr>
      </w:pPr>
      <w:r>
        <w:rPr>
          <w:rFonts w:ascii="宋体" w:hAnsi="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-133985</wp:posOffset>
                </wp:positionH>
                <wp:positionV relativeFrom="paragraph">
                  <wp:posOffset>133350</wp:posOffset>
                </wp:positionV>
                <wp:extent cx="5943600" cy="2771775"/>
                <wp:effectExtent l="5080" t="4445" r="13970" b="5080"/>
                <wp:wrapNone/>
                <wp:docPr id="23" name="文本框 23"/>
                <wp:cNvGraphicFramePr/>
                <a:graphic xmlns:a="http://schemas.openxmlformats.org/drawingml/2006/main">
                  <a:graphicData uri="http://schemas.microsoft.com/office/word/2010/wordprocessingShape">
                    <wps:wsp>
                      <wps:cNvSpPr txBox="1">
                        <a:spLocks noChangeArrowheads="1"/>
                      </wps:cNvSpPr>
                      <wps:spPr>
                        <a:xfrm>
                          <a:off x="0" y="0"/>
                          <a:ext cx="5943600" cy="2771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28C02E4">
                            <w:pPr>
                              <w:spacing w:before="120" w:line="360" w:lineRule="auto"/>
                              <w:ind w:firstLine="560"/>
                              <w:rPr>
                                <w:rFonts w:ascii="宋体" w:hAnsi="宋体" w:eastAsia="宋体"/>
                                <w:szCs w:val="21"/>
                              </w:rPr>
                            </w:pPr>
                            <w:r>
                              <w:rPr>
                                <w:rFonts w:hint="eastAsia" w:ascii="宋体" w:hAnsi="宋体" w:eastAsia="宋体"/>
                                <w:szCs w:val="21"/>
                              </w:rPr>
                              <w:t>兹授权</w:t>
                            </w:r>
                            <w:r>
                              <w:rPr>
                                <w:rFonts w:ascii="宋体" w:hAnsi="宋体" w:eastAsia="宋体"/>
                                <w:szCs w:val="21"/>
                                <w:u w:val="single"/>
                              </w:rPr>
                              <w:t xml:space="preserve">                </w:t>
                            </w:r>
                            <w:r>
                              <w:rPr>
                                <w:rFonts w:hint="eastAsia" w:ascii="宋体" w:hAnsi="宋体" w:eastAsia="宋体"/>
                                <w:szCs w:val="21"/>
                              </w:rPr>
                              <w:t>为我方委托代理人，其权限是：</w:t>
                            </w:r>
                            <w:r>
                              <w:rPr>
                                <w:rFonts w:ascii="宋体" w:hAnsi="宋体" w:eastAsia="宋体"/>
                                <w:szCs w:val="21"/>
                                <w:u w:val="single"/>
                              </w:rPr>
                              <w:t xml:space="preserve">          </w:t>
                            </w:r>
                          </w:p>
                          <w:p w14:paraId="3C74A769">
                            <w:pPr>
                              <w:snapToGrid w:val="0"/>
                              <w:spacing w:line="360" w:lineRule="auto"/>
                              <w:rPr>
                                <w:rFonts w:ascii="宋体" w:hAnsi="宋体" w:eastAsia="宋体"/>
                                <w:szCs w:val="21"/>
                                <w:u w:val="single"/>
                              </w:rPr>
                            </w:pPr>
                            <w:r>
                              <w:rPr>
                                <w:rFonts w:ascii="宋体" w:hAnsi="宋体" w:eastAsia="宋体"/>
                                <w:szCs w:val="21"/>
                                <w:u w:val="single"/>
                              </w:rPr>
                              <w:t xml:space="preserve">                                                                </w:t>
                            </w:r>
                          </w:p>
                          <w:p w14:paraId="5D3B841C">
                            <w:pPr>
                              <w:snapToGrid w:val="0"/>
                              <w:spacing w:line="360" w:lineRule="auto"/>
                              <w:rPr>
                                <w:rFonts w:ascii="宋体" w:hAnsi="宋体" w:eastAsia="宋体"/>
                                <w:szCs w:val="21"/>
                                <w:u w:val="single"/>
                              </w:rPr>
                            </w:pPr>
                            <w:r>
                              <w:rPr>
                                <w:rFonts w:hint="eastAsia" w:ascii="宋体" w:hAnsi="宋体" w:eastAsia="宋体"/>
                                <w:szCs w:val="21"/>
                              </w:rPr>
                              <w:t>有效期限：</w:t>
                            </w:r>
                            <w:r>
                              <w:rPr>
                                <w:rFonts w:ascii="宋体" w:hAnsi="宋体" w:eastAsia="宋体"/>
                                <w:szCs w:val="21"/>
                                <w:u w:val="single"/>
                              </w:rPr>
                              <w:t xml:space="preserve">                                                      </w:t>
                            </w:r>
                          </w:p>
                          <w:p w14:paraId="4EC3F696">
                            <w:pPr>
                              <w:snapToGrid w:val="0"/>
                              <w:spacing w:line="360" w:lineRule="auto"/>
                              <w:rPr>
                                <w:rFonts w:ascii="宋体" w:hAnsi="宋体" w:eastAsia="宋体"/>
                                <w:szCs w:val="21"/>
                              </w:rPr>
                            </w:pPr>
                            <w:r>
                              <w:rPr>
                                <w:rFonts w:hint="eastAsia" w:ascii="宋体" w:hAnsi="宋体" w:eastAsia="宋体"/>
                                <w:szCs w:val="21"/>
                              </w:rPr>
                              <w:t>附：代理人性别：</w:t>
                            </w:r>
                            <w:r>
                              <w:rPr>
                                <w:rFonts w:ascii="宋体" w:hAnsi="宋体" w:eastAsia="宋体"/>
                                <w:szCs w:val="21"/>
                                <w:u w:val="single"/>
                              </w:rPr>
                              <w:t xml:space="preserve">     </w:t>
                            </w:r>
                            <w:r>
                              <w:rPr>
                                <w:rFonts w:hint="eastAsia" w:ascii="宋体" w:hAnsi="宋体" w:eastAsia="宋体"/>
                                <w:szCs w:val="21"/>
                              </w:rPr>
                              <w:t>年龄：</w:t>
                            </w:r>
                            <w:r>
                              <w:rPr>
                                <w:rFonts w:ascii="宋体" w:hAnsi="宋体" w:eastAsia="宋体"/>
                                <w:szCs w:val="21"/>
                                <w:u w:val="single"/>
                              </w:rPr>
                              <w:t xml:space="preserve">     </w:t>
                            </w:r>
                            <w:r>
                              <w:rPr>
                                <w:rFonts w:hint="eastAsia" w:ascii="宋体" w:hAnsi="宋体" w:eastAsia="宋体"/>
                                <w:szCs w:val="21"/>
                              </w:rPr>
                              <w:t>身份证号码：</w:t>
                            </w:r>
                            <w:r>
                              <w:rPr>
                                <w:rFonts w:ascii="宋体" w:hAnsi="宋体" w:eastAsia="宋体"/>
                                <w:szCs w:val="21"/>
                                <w:u w:val="single"/>
                              </w:rPr>
                              <w:t xml:space="preserve">                    </w:t>
                            </w:r>
                          </w:p>
                          <w:p w14:paraId="1B71DECF">
                            <w:pPr>
                              <w:snapToGrid w:val="0"/>
                              <w:spacing w:line="360" w:lineRule="auto"/>
                              <w:ind w:firstLine="560"/>
                              <w:rPr>
                                <w:rFonts w:ascii="宋体" w:hAnsi="宋体" w:eastAsia="宋体"/>
                                <w:szCs w:val="21"/>
                                <w:u w:val="single"/>
                              </w:rPr>
                            </w:pPr>
                            <w:r>
                              <w:rPr>
                                <w:rFonts w:hint="eastAsia" w:ascii="宋体" w:hAnsi="宋体" w:eastAsia="宋体"/>
                                <w:szCs w:val="21"/>
                              </w:rPr>
                              <w:t>注册号码：</w:t>
                            </w:r>
                            <w:r>
                              <w:rPr>
                                <w:rFonts w:ascii="宋体" w:hAnsi="宋体" w:eastAsia="宋体"/>
                                <w:szCs w:val="21"/>
                                <w:u w:val="single"/>
                              </w:rPr>
                              <w:t xml:space="preserve">                  </w:t>
                            </w:r>
                            <w:r>
                              <w:rPr>
                                <w:rFonts w:hint="eastAsia" w:ascii="宋体" w:hAnsi="宋体" w:eastAsia="宋体"/>
                                <w:szCs w:val="21"/>
                              </w:rPr>
                              <w:t>企业类型：</w:t>
                            </w:r>
                            <w:r>
                              <w:rPr>
                                <w:rFonts w:ascii="宋体" w:hAnsi="宋体" w:eastAsia="宋体"/>
                                <w:szCs w:val="21"/>
                                <w:u w:val="single"/>
                              </w:rPr>
                              <w:t xml:space="preserve">                      </w:t>
                            </w:r>
                          </w:p>
                          <w:p w14:paraId="44C70414">
                            <w:pPr>
                              <w:snapToGrid w:val="0"/>
                              <w:spacing w:line="360" w:lineRule="auto"/>
                              <w:ind w:firstLine="560"/>
                              <w:rPr>
                                <w:rFonts w:ascii="宋体" w:hAnsi="宋体" w:eastAsia="宋体"/>
                                <w:szCs w:val="21"/>
                                <w:u w:val="single"/>
                              </w:rPr>
                            </w:pPr>
                            <w:r>
                              <w:rPr>
                                <w:rFonts w:hint="eastAsia" w:ascii="宋体" w:hAnsi="宋体" w:eastAsia="宋体"/>
                                <w:szCs w:val="21"/>
                              </w:rPr>
                              <w:t>经营范围：</w:t>
                            </w:r>
                            <w:r>
                              <w:rPr>
                                <w:rFonts w:ascii="宋体" w:hAnsi="宋体" w:eastAsia="宋体"/>
                                <w:szCs w:val="21"/>
                                <w:u w:val="single"/>
                              </w:rPr>
                              <w:t xml:space="preserve">                                                  </w:t>
                            </w:r>
                          </w:p>
                          <w:p w14:paraId="1B74DFF6">
                            <w:pPr>
                              <w:snapToGrid w:val="0"/>
                              <w:spacing w:line="360" w:lineRule="auto"/>
                              <w:ind w:firstLine="560"/>
                              <w:rPr>
                                <w:rFonts w:ascii="宋体" w:hAnsi="宋体" w:eastAsia="宋体"/>
                                <w:szCs w:val="21"/>
                              </w:rPr>
                            </w:pPr>
                            <w:r>
                              <w:rPr>
                                <w:rFonts w:hint="eastAsia" w:ascii="宋体" w:hAnsi="宋体" w:eastAsia="宋体"/>
                                <w:szCs w:val="21"/>
                              </w:rPr>
                              <w:t>法定代表人（负责人）：</w:t>
                            </w:r>
                            <w:r>
                              <w:rPr>
                                <w:rFonts w:ascii="宋体" w:hAnsi="宋体" w:eastAsia="宋体"/>
                                <w:szCs w:val="21"/>
                                <w:u w:val="single"/>
                              </w:rPr>
                              <w:t xml:space="preserve">                 </w:t>
                            </w:r>
                            <w:r>
                              <w:rPr>
                                <w:rFonts w:hint="eastAsia" w:ascii="宋体" w:hAnsi="宋体" w:eastAsia="宋体"/>
                                <w:szCs w:val="21"/>
                              </w:rPr>
                              <w:t>（签字</w:t>
                            </w:r>
                            <w:r>
                              <w:rPr>
                                <w:rFonts w:hint="eastAsia" w:ascii="宋体" w:hAnsi="宋体" w:eastAsia="宋体"/>
                                <w:color w:val="000000"/>
                                <w:szCs w:val="21"/>
                              </w:rPr>
                              <w:t>或盖章</w:t>
                            </w:r>
                            <w:r>
                              <w:rPr>
                                <w:rFonts w:hint="eastAsia" w:ascii="宋体" w:hAnsi="宋体" w:eastAsia="宋体"/>
                                <w:szCs w:val="21"/>
                              </w:rPr>
                              <w:t>）</w:t>
                            </w:r>
                          </w:p>
                          <w:p w14:paraId="759ECA4C">
                            <w:pPr>
                              <w:snapToGrid w:val="0"/>
                              <w:spacing w:line="360" w:lineRule="auto"/>
                              <w:ind w:firstLine="560"/>
                              <w:rPr>
                                <w:rFonts w:ascii="宋体" w:hAnsi="宋体" w:eastAsia="宋体"/>
                                <w:szCs w:val="21"/>
                              </w:rPr>
                            </w:pPr>
                            <w:r>
                              <w:rPr>
                                <w:rFonts w:hint="eastAsia" w:ascii="宋体" w:hAnsi="宋体" w:eastAsia="宋体"/>
                                <w:szCs w:val="21"/>
                              </w:rPr>
                              <w:t>授权单位：（盖单位章）</w:t>
                            </w:r>
                            <w:r>
                              <w:rPr>
                                <w:rFonts w:ascii="宋体" w:hAnsi="宋体" w:eastAsia="宋体"/>
                                <w:szCs w:val="21"/>
                                <w:u w:val="single"/>
                              </w:rPr>
                              <w:t xml:space="preserve">                     </w:t>
                            </w:r>
                            <w:r>
                              <w:rPr>
                                <w:rFonts w:ascii="宋体" w:hAnsi="宋体" w:eastAsia="宋体"/>
                                <w:szCs w:val="21"/>
                              </w:rPr>
                              <w:t xml:space="preserve"> </w:t>
                            </w:r>
                          </w:p>
                          <w:p w14:paraId="7831082B">
                            <w:pPr>
                              <w:spacing w:line="360" w:lineRule="auto"/>
                              <w:ind w:firstLine="7000"/>
                              <w:rPr>
                                <w:rFonts w:ascii="宋体" w:hAnsi="宋体" w:eastAsia="宋体"/>
                                <w:szCs w:val="21"/>
                              </w:rPr>
                            </w:pPr>
                            <w:r>
                              <w:rPr>
                                <w:rFonts w:hint="eastAsia" w:ascii="宋体" w:hAnsi="宋体" w:eastAsia="宋体"/>
                                <w:szCs w:val="21"/>
                              </w:rPr>
                              <w:t>年</w:t>
                            </w:r>
                            <w:r>
                              <w:rPr>
                                <w:rFonts w:ascii="宋体" w:hAnsi="宋体" w:eastAsia="宋体"/>
                                <w:szCs w:val="21"/>
                              </w:rPr>
                              <w:t xml:space="preserve">  </w:t>
                            </w:r>
                            <w:r>
                              <w:rPr>
                                <w:rFonts w:hint="eastAsia" w:ascii="宋体" w:hAnsi="宋体" w:eastAsia="宋体"/>
                                <w:szCs w:val="21"/>
                              </w:rPr>
                              <w:t>月</w:t>
                            </w:r>
                            <w:r>
                              <w:rPr>
                                <w:rFonts w:ascii="宋体" w:hAnsi="宋体" w:eastAsia="宋体"/>
                                <w:szCs w:val="21"/>
                              </w:rPr>
                              <w:t xml:space="preserve">   </w:t>
                            </w:r>
                            <w:r>
                              <w:rPr>
                                <w:rFonts w:hint="eastAsia" w:ascii="宋体" w:hAnsi="宋体" w:eastAsia="宋体"/>
                                <w:szCs w:val="21"/>
                              </w:rPr>
                              <w:t>日</w:t>
                            </w:r>
                          </w:p>
                          <w:p w14:paraId="07B5C8D1">
                            <w:pPr>
                              <w:spacing w:line="360" w:lineRule="auto"/>
                              <w:ind w:firstLine="7000"/>
                              <w:rPr>
                                <w:rFonts w:ascii="宋体" w:hAnsi="宋体" w:eastAsia="宋体"/>
                                <w:sz w:val="24"/>
                                <w:szCs w:val="24"/>
                              </w:rPr>
                            </w:pPr>
                          </w:p>
                        </w:txbxContent>
                      </wps:txbx>
                      <wps:bodyPr upright="1">
                        <a:noAutofit/>
                      </wps:bodyPr>
                    </wps:wsp>
                  </a:graphicData>
                </a:graphic>
              </wp:anchor>
            </w:drawing>
          </mc:Choice>
          <mc:Fallback>
            <w:pict>
              <v:shape id="_x0000_s1026" o:spid="_x0000_s1026" o:spt="202" type="#_x0000_t202" style="position:absolute;left:0pt;margin-left:-10.55pt;margin-top:10.5pt;height:218.25pt;width:468pt;z-index:251661312;mso-width-relative:page;mso-height-relative:page;" fillcolor="#FFFFFF" filled="t" stroked="t" coordsize="21600,21600" o:gfxdata="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ILWWdoAAAAKAQAADwAAAAAAAAABACAAAAAiAAAAZHJzL2Rv&#10;d25yZXYueG1sUEsBAhQAFAAAAAgAh07iQJAG+Jc4AgAAkQQAAA4AAAAAAAAAAQAgAAAAKQEAAGRy&#10;cy9lMm9Eb2MueG1sUEsFBgAAAAAGAAYAWQEAANMFAAAAAA==&#10;">
                <v:fill on="t" focussize="0,0"/>
                <v:stroke color="#000000" joinstyle="miter"/>
                <v:imagedata o:title=""/>
                <o:lock v:ext="edit" aspectratio="f"/>
                <v:textbox>
                  <w:txbxContent>
                    <w:p w14:paraId="628C02E4">
                      <w:pPr>
                        <w:spacing w:before="120" w:line="360" w:lineRule="auto"/>
                        <w:ind w:firstLine="560"/>
                        <w:rPr>
                          <w:rFonts w:ascii="宋体" w:hAnsi="宋体" w:eastAsia="宋体"/>
                          <w:szCs w:val="21"/>
                        </w:rPr>
                      </w:pPr>
                      <w:r>
                        <w:rPr>
                          <w:rFonts w:hint="eastAsia" w:ascii="宋体" w:hAnsi="宋体" w:eastAsia="宋体"/>
                          <w:szCs w:val="21"/>
                        </w:rPr>
                        <w:t>兹授权</w:t>
                      </w:r>
                      <w:r>
                        <w:rPr>
                          <w:rFonts w:ascii="宋体" w:hAnsi="宋体" w:eastAsia="宋体"/>
                          <w:szCs w:val="21"/>
                          <w:u w:val="single"/>
                        </w:rPr>
                        <w:t xml:space="preserve">                </w:t>
                      </w:r>
                      <w:r>
                        <w:rPr>
                          <w:rFonts w:hint="eastAsia" w:ascii="宋体" w:hAnsi="宋体" w:eastAsia="宋体"/>
                          <w:szCs w:val="21"/>
                        </w:rPr>
                        <w:t>为我方委托代理人，其权限是：</w:t>
                      </w:r>
                      <w:r>
                        <w:rPr>
                          <w:rFonts w:ascii="宋体" w:hAnsi="宋体" w:eastAsia="宋体"/>
                          <w:szCs w:val="21"/>
                          <w:u w:val="single"/>
                        </w:rPr>
                        <w:t xml:space="preserve">          </w:t>
                      </w:r>
                    </w:p>
                    <w:p w14:paraId="3C74A769">
                      <w:pPr>
                        <w:snapToGrid w:val="0"/>
                        <w:spacing w:line="360" w:lineRule="auto"/>
                        <w:rPr>
                          <w:rFonts w:ascii="宋体" w:hAnsi="宋体" w:eastAsia="宋体"/>
                          <w:szCs w:val="21"/>
                          <w:u w:val="single"/>
                        </w:rPr>
                      </w:pPr>
                      <w:r>
                        <w:rPr>
                          <w:rFonts w:ascii="宋体" w:hAnsi="宋体" w:eastAsia="宋体"/>
                          <w:szCs w:val="21"/>
                          <w:u w:val="single"/>
                        </w:rPr>
                        <w:t xml:space="preserve">                                                                </w:t>
                      </w:r>
                    </w:p>
                    <w:p w14:paraId="5D3B841C">
                      <w:pPr>
                        <w:snapToGrid w:val="0"/>
                        <w:spacing w:line="360" w:lineRule="auto"/>
                        <w:rPr>
                          <w:rFonts w:ascii="宋体" w:hAnsi="宋体" w:eastAsia="宋体"/>
                          <w:szCs w:val="21"/>
                          <w:u w:val="single"/>
                        </w:rPr>
                      </w:pPr>
                      <w:r>
                        <w:rPr>
                          <w:rFonts w:hint="eastAsia" w:ascii="宋体" w:hAnsi="宋体" w:eastAsia="宋体"/>
                          <w:szCs w:val="21"/>
                        </w:rPr>
                        <w:t>有效期限：</w:t>
                      </w:r>
                      <w:r>
                        <w:rPr>
                          <w:rFonts w:ascii="宋体" w:hAnsi="宋体" w:eastAsia="宋体"/>
                          <w:szCs w:val="21"/>
                          <w:u w:val="single"/>
                        </w:rPr>
                        <w:t xml:space="preserve">                                                      </w:t>
                      </w:r>
                    </w:p>
                    <w:p w14:paraId="4EC3F696">
                      <w:pPr>
                        <w:snapToGrid w:val="0"/>
                        <w:spacing w:line="360" w:lineRule="auto"/>
                        <w:rPr>
                          <w:rFonts w:ascii="宋体" w:hAnsi="宋体" w:eastAsia="宋体"/>
                          <w:szCs w:val="21"/>
                        </w:rPr>
                      </w:pPr>
                      <w:r>
                        <w:rPr>
                          <w:rFonts w:hint="eastAsia" w:ascii="宋体" w:hAnsi="宋体" w:eastAsia="宋体"/>
                          <w:szCs w:val="21"/>
                        </w:rPr>
                        <w:t>附：代理人性别：</w:t>
                      </w:r>
                      <w:r>
                        <w:rPr>
                          <w:rFonts w:ascii="宋体" w:hAnsi="宋体" w:eastAsia="宋体"/>
                          <w:szCs w:val="21"/>
                          <w:u w:val="single"/>
                        </w:rPr>
                        <w:t xml:space="preserve">     </w:t>
                      </w:r>
                      <w:r>
                        <w:rPr>
                          <w:rFonts w:hint="eastAsia" w:ascii="宋体" w:hAnsi="宋体" w:eastAsia="宋体"/>
                          <w:szCs w:val="21"/>
                        </w:rPr>
                        <w:t>年龄：</w:t>
                      </w:r>
                      <w:r>
                        <w:rPr>
                          <w:rFonts w:ascii="宋体" w:hAnsi="宋体" w:eastAsia="宋体"/>
                          <w:szCs w:val="21"/>
                          <w:u w:val="single"/>
                        </w:rPr>
                        <w:t xml:space="preserve">     </w:t>
                      </w:r>
                      <w:r>
                        <w:rPr>
                          <w:rFonts w:hint="eastAsia" w:ascii="宋体" w:hAnsi="宋体" w:eastAsia="宋体"/>
                          <w:szCs w:val="21"/>
                        </w:rPr>
                        <w:t>身份证号码：</w:t>
                      </w:r>
                      <w:r>
                        <w:rPr>
                          <w:rFonts w:ascii="宋体" w:hAnsi="宋体" w:eastAsia="宋体"/>
                          <w:szCs w:val="21"/>
                          <w:u w:val="single"/>
                        </w:rPr>
                        <w:t xml:space="preserve">                    </w:t>
                      </w:r>
                    </w:p>
                    <w:p w14:paraId="1B71DECF">
                      <w:pPr>
                        <w:snapToGrid w:val="0"/>
                        <w:spacing w:line="360" w:lineRule="auto"/>
                        <w:ind w:firstLine="560"/>
                        <w:rPr>
                          <w:rFonts w:ascii="宋体" w:hAnsi="宋体" w:eastAsia="宋体"/>
                          <w:szCs w:val="21"/>
                          <w:u w:val="single"/>
                        </w:rPr>
                      </w:pPr>
                      <w:r>
                        <w:rPr>
                          <w:rFonts w:hint="eastAsia" w:ascii="宋体" w:hAnsi="宋体" w:eastAsia="宋体"/>
                          <w:szCs w:val="21"/>
                        </w:rPr>
                        <w:t>注册号码：</w:t>
                      </w:r>
                      <w:r>
                        <w:rPr>
                          <w:rFonts w:ascii="宋体" w:hAnsi="宋体" w:eastAsia="宋体"/>
                          <w:szCs w:val="21"/>
                          <w:u w:val="single"/>
                        </w:rPr>
                        <w:t xml:space="preserve">                  </w:t>
                      </w:r>
                      <w:r>
                        <w:rPr>
                          <w:rFonts w:hint="eastAsia" w:ascii="宋体" w:hAnsi="宋体" w:eastAsia="宋体"/>
                          <w:szCs w:val="21"/>
                        </w:rPr>
                        <w:t>企业类型：</w:t>
                      </w:r>
                      <w:r>
                        <w:rPr>
                          <w:rFonts w:ascii="宋体" w:hAnsi="宋体" w:eastAsia="宋体"/>
                          <w:szCs w:val="21"/>
                          <w:u w:val="single"/>
                        </w:rPr>
                        <w:t xml:space="preserve">                      </w:t>
                      </w:r>
                    </w:p>
                    <w:p w14:paraId="44C70414">
                      <w:pPr>
                        <w:snapToGrid w:val="0"/>
                        <w:spacing w:line="360" w:lineRule="auto"/>
                        <w:ind w:firstLine="560"/>
                        <w:rPr>
                          <w:rFonts w:ascii="宋体" w:hAnsi="宋体" w:eastAsia="宋体"/>
                          <w:szCs w:val="21"/>
                          <w:u w:val="single"/>
                        </w:rPr>
                      </w:pPr>
                      <w:r>
                        <w:rPr>
                          <w:rFonts w:hint="eastAsia" w:ascii="宋体" w:hAnsi="宋体" w:eastAsia="宋体"/>
                          <w:szCs w:val="21"/>
                        </w:rPr>
                        <w:t>经营范围：</w:t>
                      </w:r>
                      <w:r>
                        <w:rPr>
                          <w:rFonts w:ascii="宋体" w:hAnsi="宋体" w:eastAsia="宋体"/>
                          <w:szCs w:val="21"/>
                          <w:u w:val="single"/>
                        </w:rPr>
                        <w:t xml:space="preserve">                                                  </w:t>
                      </w:r>
                    </w:p>
                    <w:p w14:paraId="1B74DFF6">
                      <w:pPr>
                        <w:snapToGrid w:val="0"/>
                        <w:spacing w:line="360" w:lineRule="auto"/>
                        <w:ind w:firstLine="560"/>
                        <w:rPr>
                          <w:rFonts w:ascii="宋体" w:hAnsi="宋体" w:eastAsia="宋体"/>
                          <w:szCs w:val="21"/>
                        </w:rPr>
                      </w:pPr>
                      <w:r>
                        <w:rPr>
                          <w:rFonts w:hint="eastAsia" w:ascii="宋体" w:hAnsi="宋体" w:eastAsia="宋体"/>
                          <w:szCs w:val="21"/>
                        </w:rPr>
                        <w:t>法定代表人（负责人）：</w:t>
                      </w:r>
                      <w:r>
                        <w:rPr>
                          <w:rFonts w:ascii="宋体" w:hAnsi="宋体" w:eastAsia="宋体"/>
                          <w:szCs w:val="21"/>
                          <w:u w:val="single"/>
                        </w:rPr>
                        <w:t xml:space="preserve">                 </w:t>
                      </w:r>
                      <w:r>
                        <w:rPr>
                          <w:rFonts w:hint="eastAsia" w:ascii="宋体" w:hAnsi="宋体" w:eastAsia="宋体"/>
                          <w:szCs w:val="21"/>
                        </w:rPr>
                        <w:t>（签字</w:t>
                      </w:r>
                      <w:r>
                        <w:rPr>
                          <w:rFonts w:hint="eastAsia" w:ascii="宋体" w:hAnsi="宋体" w:eastAsia="宋体"/>
                          <w:color w:val="000000"/>
                          <w:szCs w:val="21"/>
                        </w:rPr>
                        <w:t>或盖章</w:t>
                      </w:r>
                      <w:r>
                        <w:rPr>
                          <w:rFonts w:hint="eastAsia" w:ascii="宋体" w:hAnsi="宋体" w:eastAsia="宋体"/>
                          <w:szCs w:val="21"/>
                        </w:rPr>
                        <w:t>）</w:t>
                      </w:r>
                    </w:p>
                    <w:p w14:paraId="759ECA4C">
                      <w:pPr>
                        <w:snapToGrid w:val="0"/>
                        <w:spacing w:line="360" w:lineRule="auto"/>
                        <w:ind w:firstLine="560"/>
                        <w:rPr>
                          <w:rFonts w:ascii="宋体" w:hAnsi="宋体" w:eastAsia="宋体"/>
                          <w:szCs w:val="21"/>
                        </w:rPr>
                      </w:pPr>
                      <w:r>
                        <w:rPr>
                          <w:rFonts w:hint="eastAsia" w:ascii="宋体" w:hAnsi="宋体" w:eastAsia="宋体"/>
                          <w:szCs w:val="21"/>
                        </w:rPr>
                        <w:t>授权单位：（盖单位章）</w:t>
                      </w:r>
                      <w:r>
                        <w:rPr>
                          <w:rFonts w:ascii="宋体" w:hAnsi="宋体" w:eastAsia="宋体"/>
                          <w:szCs w:val="21"/>
                          <w:u w:val="single"/>
                        </w:rPr>
                        <w:t xml:space="preserve">                     </w:t>
                      </w:r>
                      <w:r>
                        <w:rPr>
                          <w:rFonts w:ascii="宋体" w:hAnsi="宋体" w:eastAsia="宋体"/>
                          <w:szCs w:val="21"/>
                        </w:rPr>
                        <w:t xml:space="preserve"> </w:t>
                      </w:r>
                    </w:p>
                    <w:p w14:paraId="7831082B">
                      <w:pPr>
                        <w:spacing w:line="360" w:lineRule="auto"/>
                        <w:ind w:firstLine="7000"/>
                        <w:rPr>
                          <w:rFonts w:ascii="宋体" w:hAnsi="宋体" w:eastAsia="宋体"/>
                          <w:szCs w:val="21"/>
                        </w:rPr>
                      </w:pPr>
                      <w:r>
                        <w:rPr>
                          <w:rFonts w:hint="eastAsia" w:ascii="宋体" w:hAnsi="宋体" w:eastAsia="宋体"/>
                          <w:szCs w:val="21"/>
                        </w:rPr>
                        <w:t>年</w:t>
                      </w:r>
                      <w:r>
                        <w:rPr>
                          <w:rFonts w:ascii="宋体" w:hAnsi="宋体" w:eastAsia="宋体"/>
                          <w:szCs w:val="21"/>
                        </w:rPr>
                        <w:t xml:space="preserve">  </w:t>
                      </w:r>
                      <w:r>
                        <w:rPr>
                          <w:rFonts w:hint="eastAsia" w:ascii="宋体" w:hAnsi="宋体" w:eastAsia="宋体"/>
                          <w:szCs w:val="21"/>
                        </w:rPr>
                        <w:t>月</w:t>
                      </w:r>
                      <w:r>
                        <w:rPr>
                          <w:rFonts w:ascii="宋体" w:hAnsi="宋体" w:eastAsia="宋体"/>
                          <w:szCs w:val="21"/>
                        </w:rPr>
                        <w:t xml:space="preserve">   </w:t>
                      </w:r>
                      <w:r>
                        <w:rPr>
                          <w:rFonts w:hint="eastAsia" w:ascii="宋体" w:hAnsi="宋体" w:eastAsia="宋体"/>
                          <w:szCs w:val="21"/>
                        </w:rPr>
                        <w:t>日</w:t>
                      </w:r>
                    </w:p>
                    <w:p w14:paraId="07B5C8D1">
                      <w:pPr>
                        <w:spacing w:line="360" w:lineRule="auto"/>
                        <w:ind w:firstLine="7000"/>
                        <w:rPr>
                          <w:rFonts w:ascii="宋体" w:hAnsi="宋体" w:eastAsia="宋体"/>
                          <w:sz w:val="24"/>
                          <w:szCs w:val="24"/>
                        </w:rPr>
                      </w:pPr>
                    </w:p>
                  </w:txbxContent>
                </v:textbox>
              </v:shape>
            </w:pict>
          </mc:Fallback>
        </mc:AlternateContent>
      </w:r>
    </w:p>
    <w:p w14:paraId="71183218">
      <w:pPr>
        <w:pStyle w:val="27"/>
        <w:rPr>
          <w:rFonts w:ascii="宋体" w:hAnsi="宋体"/>
          <w:color w:val="auto"/>
          <w:highlight w:val="none"/>
        </w:rPr>
      </w:pPr>
    </w:p>
    <w:p w14:paraId="2F4BDD81">
      <w:pPr>
        <w:pStyle w:val="27"/>
        <w:rPr>
          <w:rFonts w:ascii="宋体" w:hAnsi="宋体"/>
          <w:color w:val="auto"/>
          <w:highlight w:val="none"/>
        </w:rPr>
      </w:pPr>
    </w:p>
    <w:p w14:paraId="20D5857B">
      <w:pPr>
        <w:pStyle w:val="27"/>
        <w:rPr>
          <w:rFonts w:ascii="宋体" w:hAnsi="宋体"/>
          <w:color w:val="auto"/>
          <w:highlight w:val="none"/>
        </w:rPr>
      </w:pPr>
    </w:p>
    <w:p w14:paraId="12F68386">
      <w:pPr>
        <w:pStyle w:val="27"/>
        <w:rPr>
          <w:rFonts w:ascii="宋体" w:hAnsi="宋体"/>
          <w:color w:val="auto"/>
          <w:highlight w:val="none"/>
        </w:rPr>
      </w:pPr>
    </w:p>
    <w:p w14:paraId="5543B22C">
      <w:pPr>
        <w:pStyle w:val="27"/>
        <w:rPr>
          <w:rFonts w:ascii="宋体" w:hAnsi="宋体"/>
          <w:color w:val="auto"/>
          <w:highlight w:val="none"/>
        </w:rPr>
      </w:pPr>
    </w:p>
    <w:p w14:paraId="7B1FFCCB">
      <w:pPr>
        <w:spacing w:line="360" w:lineRule="auto"/>
        <w:jc w:val="left"/>
        <w:rPr>
          <w:rFonts w:ascii="宋体" w:hAnsi="宋体" w:eastAsia="宋体"/>
          <w:color w:val="auto"/>
          <w:highlight w:val="none"/>
        </w:rPr>
      </w:pPr>
    </w:p>
    <w:p w14:paraId="7F91C36A">
      <w:pPr>
        <w:spacing w:line="360" w:lineRule="auto"/>
        <w:jc w:val="left"/>
        <w:rPr>
          <w:rFonts w:ascii="宋体" w:hAnsi="宋体" w:eastAsia="宋体"/>
          <w:color w:val="auto"/>
          <w:highlight w:val="none"/>
        </w:rPr>
      </w:pPr>
    </w:p>
    <w:p w14:paraId="6B6DD7C4">
      <w:pPr>
        <w:spacing w:line="360" w:lineRule="auto"/>
        <w:jc w:val="left"/>
        <w:rPr>
          <w:rFonts w:ascii="宋体" w:hAnsi="宋体" w:eastAsia="宋体"/>
          <w:color w:val="auto"/>
          <w:highlight w:val="none"/>
        </w:rPr>
      </w:pPr>
    </w:p>
    <w:p w14:paraId="145AD38D">
      <w:pPr>
        <w:spacing w:line="360" w:lineRule="auto"/>
        <w:jc w:val="left"/>
        <w:rPr>
          <w:rFonts w:hint="eastAsia" w:ascii="宋体" w:hAnsi="宋体" w:eastAsia="宋体" w:cs="宋体"/>
          <w:color w:val="auto"/>
          <w:kern w:val="1"/>
          <w:szCs w:val="21"/>
          <w:highlight w:val="none"/>
          <w:lang w:eastAsia="zh-CN"/>
        </w:rPr>
      </w:pPr>
      <w:r>
        <w:rPr>
          <w:rFonts w:hint="eastAsia" w:ascii="宋体" w:hAnsi="宋体" w:eastAsia="宋体" w:cs="宋体"/>
          <w:color w:val="auto"/>
          <w:kern w:val="1"/>
          <w:szCs w:val="21"/>
          <w:highlight w:val="none"/>
          <w:lang w:eastAsia="zh-CN"/>
        </w:rPr>
        <w:t>注：1、法定代表人授权委托书也可以采用工商行政管理局统一印制的格式。</w:t>
      </w:r>
    </w:p>
    <w:p w14:paraId="7646991B">
      <w:pPr>
        <w:numPr>
          <w:ilvl w:val="0"/>
          <w:numId w:val="0"/>
        </w:numPr>
        <w:spacing w:line="240" w:lineRule="auto"/>
        <w:ind w:left="0" w:firstLine="420" w:firstLineChars="200"/>
        <w:jc w:val="left"/>
        <w:rPr>
          <w:rFonts w:hint="eastAsia" w:ascii="宋体" w:hAnsi="宋体" w:eastAsia="宋体" w:cs="宋体"/>
          <w:color w:val="auto"/>
          <w:kern w:val="1"/>
          <w:szCs w:val="21"/>
          <w:highlight w:val="none"/>
          <w:lang w:eastAsia="zh-CN"/>
        </w:rPr>
      </w:pPr>
      <w:r>
        <w:rPr>
          <w:rFonts w:hint="eastAsia" w:ascii="宋体" w:hAnsi="宋体" w:eastAsia="宋体" w:cs="宋体"/>
          <w:color w:val="auto"/>
          <w:kern w:val="1"/>
          <w:sz w:val="21"/>
          <w:szCs w:val="21"/>
          <w:highlight w:val="none"/>
          <w:lang w:val="en-US" w:eastAsia="zh-CN" w:bidi="ar-SA"/>
        </w:rPr>
        <w:t>2、</w:t>
      </w:r>
      <w:r>
        <w:rPr>
          <w:rFonts w:hint="eastAsia" w:ascii="宋体" w:hAnsi="宋体" w:eastAsia="宋体" w:cs="宋体"/>
          <w:color w:val="auto"/>
          <w:kern w:val="1"/>
          <w:szCs w:val="21"/>
          <w:highlight w:val="none"/>
          <w:lang w:eastAsia="zh-CN"/>
        </w:rPr>
        <w:t>联合体投标的，本授权书由联合体牵头人出具，并由联合体牵头人签</w:t>
      </w:r>
      <w:r>
        <w:rPr>
          <w:rFonts w:hint="eastAsia" w:ascii="宋体" w:hAnsi="宋体" w:eastAsia="宋体" w:cs="宋体"/>
          <w:color w:val="auto"/>
          <w:kern w:val="1"/>
          <w:sz w:val="21"/>
          <w:szCs w:val="21"/>
          <w:highlight w:val="none"/>
          <w:lang w:eastAsia="zh-CN"/>
        </w:rPr>
        <w:t>名</w:t>
      </w:r>
      <w:r>
        <w:rPr>
          <w:rFonts w:hint="eastAsia" w:ascii="宋体" w:hAnsi="宋体" w:eastAsia="宋体" w:cs="宋体"/>
          <w:color w:val="auto"/>
          <w:kern w:val="1"/>
          <w:szCs w:val="21"/>
          <w:highlight w:val="none"/>
          <w:lang w:eastAsia="zh-CN"/>
        </w:rPr>
        <w:t>(或盖章)、盖</w:t>
      </w:r>
      <w:r>
        <w:rPr>
          <w:rFonts w:hint="eastAsia" w:ascii="宋体" w:hAnsi="宋体" w:eastAsia="宋体" w:cs="宋体"/>
          <w:color w:val="auto"/>
          <w:kern w:val="1"/>
          <w:szCs w:val="21"/>
          <w:highlight w:val="none"/>
          <w:lang w:val="en-US" w:eastAsia="zh-CN"/>
        </w:rPr>
        <w:t>单位</w:t>
      </w:r>
      <w:r>
        <w:rPr>
          <w:rFonts w:hint="eastAsia" w:ascii="宋体" w:hAnsi="宋体" w:eastAsia="宋体" w:cs="宋体"/>
          <w:color w:val="auto"/>
          <w:kern w:val="1"/>
          <w:szCs w:val="21"/>
          <w:highlight w:val="none"/>
          <w:lang w:eastAsia="zh-CN"/>
        </w:rPr>
        <w:t>公章即可。</w:t>
      </w:r>
    </w:p>
    <w:p w14:paraId="4A5357DB">
      <w:pPr>
        <w:widowControl/>
        <w:spacing w:line="360" w:lineRule="auto"/>
        <w:ind w:firstLine="420" w:firstLineChars="200"/>
        <w:jc w:val="left"/>
        <w:rPr>
          <w:rFonts w:ascii="宋体" w:hAnsi="宋体" w:eastAsia="宋体"/>
          <w:color w:val="auto"/>
          <w:highlight w:val="none"/>
        </w:rPr>
      </w:pPr>
      <w:r>
        <w:rPr>
          <w:rFonts w:hint="eastAsia" w:ascii="宋体" w:hAnsi="宋体" w:eastAsia="宋体" w:cs="宋体"/>
          <w:color w:val="auto"/>
          <w:kern w:val="1"/>
          <w:szCs w:val="21"/>
          <w:highlight w:val="none"/>
          <w:lang w:val="en-US" w:eastAsia="zh-CN"/>
        </w:rPr>
        <w:t>3、</w:t>
      </w:r>
      <w:r>
        <w:rPr>
          <w:rFonts w:hint="eastAsia" w:ascii="宋体" w:hAnsi="宋体" w:eastAsia="宋体" w:cs="宋体"/>
          <w:color w:val="auto"/>
          <w:kern w:val="1"/>
          <w:szCs w:val="21"/>
          <w:highlight w:val="none"/>
          <w:lang w:eastAsia="zh-CN"/>
        </w:rPr>
        <w:t>附委托代理人身份证扫描件（盖</w:t>
      </w:r>
      <w:r>
        <w:rPr>
          <w:rFonts w:hint="eastAsia" w:ascii="宋体" w:hAnsi="宋体" w:eastAsia="宋体" w:cs="宋体"/>
          <w:color w:val="auto"/>
          <w:kern w:val="1"/>
          <w:szCs w:val="21"/>
          <w:highlight w:val="none"/>
          <w:lang w:val="en-US" w:eastAsia="zh-CN"/>
        </w:rPr>
        <w:t>单位</w:t>
      </w:r>
      <w:r>
        <w:rPr>
          <w:rFonts w:hint="eastAsia" w:ascii="宋体" w:hAnsi="宋体" w:eastAsia="宋体" w:cs="宋体"/>
          <w:color w:val="auto"/>
          <w:kern w:val="1"/>
          <w:szCs w:val="21"/>
          <w:highlight w:val="none"/>
          <w:lang w:eastAsia="zh-CN"/>
        </w:rPr>
        <w:t>公章）。</w:t>
      </w:r>
      <w:r>
        <w:rPr>
          <w:rFonts w:ascii="宋体" w:hAnsi="宋体" w:eastAsia="宋体"/>
          <w:color w:val="auto"/>
          <w:highlight w:val="none"/>
        </w:rPr>
        <w:br w:type="page"/>
      </w:r>
    </w:p>
    <w:p w14:paraId="395F84D3">
      <w:pPr>
        <w:pStyle w:val="3"/>
        <w:ind w:firstLine="602"/>
        <w:jc w:val="center"/>
        <w:rPr>
          <w:rFonts w:hint="eastAsia"/>
          <w:strike/>
          <w:color w:val="auto"/>
          <w:highlight w:val="none"/>
        </w:rPr>
        <w:sectPr>
          <w:pgSz w:w="11905" w:h="16838"/>
          <w:pgMar w:top="1440" w:right="1803" w:bottom="1440" w:left="1803" w:header="851" w:footer="992" w:gutter="0"/>
          <w:pgNumType w:fmt="decimal"/>
          <w:cols w:space="0" w:num="1"/>
          <w:rtlGutter w:val="0"/>
          <w:docGrid w:type="lines" w:linePitch="319" w:charSpace="0"/>
        </w:sectPr>
      </w:pPr>
      <w:bookmarkStart w:id="434" w:name="_Toc133420545"/>
    </w:p>
    <w:bookmarkEnd w:id="434"/>
    <w:p w14:paraId="28F1B441">
      <w:pPr>
        <w:pStyle w:val="3"/>
        <w:ind w:firstLine="602"/>
        <w:jc w:val="center"/>
        <w:rPr>
          <w:rFonts w:hint="eastAsia" w:eastAsia="宋体"/>
          <w:color w:val="auto"/>
          <w:highlight w:val="none"/>
          <w:lang w:eastAsia="zh-CN"/>
        </w:rPr>
      </w:pPr>
      <w:bookmarkStart w:id="435" w:name="_Toc133420546"/>
      <w:bookmarkStart w:id="436" w:name="_Toc15844"/>
      <w:r>
        <w:rPr>
          <w:rFonts w:hint="eastAsia"/>
          <w:color w:val="auto"/>
          <w:highlight w:val="none"/>
          <w:lang w:val="en-US" w:eastAsia="zh-CN"/>
        </w:rPr>
        <w:t>三</w:t>
      </w:r>
      <w:r>
        <w:rPr>
          <w:rFonts w:hint="eastAsia"/>
          <w:color w:val="auto"/>
          <w:highlight w:val="none"/>
        </w:rPr>
        <w:t>、投标报价</w:t>
      </w:r>
      <w:bookmarkEnd w:id="435"/>
      <w:r>
        <w:rPr>
          <w:rFonts w:hint="eastAsia"/>
          <w:color w:val="auto"/>
          <w:highlight w:val="none"/>
          <w:lang w:val="en-US" w:eastAsia="zh-CN"/>
        </w:rPr>
        <w:t>表</w:t>
      </w:r>
      <w:bookmarkEnd w:id="436"/>
    </w:p>
    <w:tbl>
      <w:tblPr>
        <w:tblStyle w:val="29"/>
        <w:tblpPr w:leftFromText="180" w:rightFromText="180" w:vertAnchor="text" w:horzAnchor="margin" w:tblpX="-524" w:tblpY="111"/>
        <w:tblW w:w="10132" w:type="dxa"/>
        <w:tblInd w:w="0" w:type="dxa"/>
        <w:tblLayout w:type="fixed"/>
        <w:tblCellMar>
          <w:top w:w="0" w:type="dxa"/>
          <w:left w:w="108" w:type="dxa"/>
          <w:bottom w:w="0" w:type="dxa"/>
          <w:right w:w="108" w:type="dxa"/>
        </w:tblCellMar>
      </w:tblPr>
      <w:tblGrid>
        <w:gridCol w:w="545"/>
        <w:gridCol w:w="3096"/>
        <w:gridCol w:w="2209"/>
        <w:gridCol w:w="1936"/>
        <w:gridCol w:w="2346"/>
      </w:tblGrid>
      <w:tr w14:paraId="48C6F75B">
        <w:tblPrEx>
          <w:tblCellMar>
            <w:top w:w="0" w:type="dxa"/>
            <w:left w:w="108" w:type="dxa"/>
            <w:bottom w:w="0" w:type="dxa"/>
            <w:right w:w="108" w:type="dxa"/>
          </w:tblCellMar>
        </w:tblPrEx>
        <w:trPr>
          <w:trHeight w:val="639" w:hRule="atLeast"/>
        </w:trPr>
        <w:tc>
          <w:tcPr>
            <w:tcW w:w="545" w:type="dxa"/>
            <w:tcBorders>
              <w:top w:val="single" w:color="auto" w:sz="4" w:space="0"/>
              <w:left w:val="single" w:color="auto" w:sz="4" w:space="0"/>
              <w:bottom w:val="single" w:color="auto" w:sz="4" w:space="0"/>
              <w:right w:val="single" w:color="auto" w:sz="4" w:space="0"/>
            </w:tcBorders>
            <w:noWrap/>
            <w:vAlign w:val="center"/>
          </w:tcPr>
          <w:p w14:paraId="7F47D65D">
            <w:pPr>
              <w:widowControl/>
              <w:jc w:val="center"/>
              <w:rPr>
                <w:rFonts w:ascii="宋体" w:hAnsi="宋体"/>
                <w:b/>
                <w:bCs/>
                <w:kern w:val="0"/>
                <w:szCs w:val="21"/>
                <w:highlight w:val="none"/>
              </w:rPr>
            </w:pPr>
            <w:r>
              <w:rPr>
                <w:rFonts w:ascii="宋体" w:hAnsi="宋体"/>
                <w:b/>
                <w:bCs/>
                <w:kern w:val="0"/>
                <w:szCs w:val="21"/>
                <w:highlight w:val="none"/>
              </w:rPr>
              <w:t>序号</w:t>
            </w:r>
          </w:p>
        </w:tc>
        <w:tc>
          <w:tcPr>
            <w:tcW w:w="3096" w:type="dxa"/>
            <w:tcBorders>
              <w:top w:val="single" w:color="auto" w:sz="4" w:space="0"/>
              <w:left w:val="nil"/>
              <w:bottom w:val="single" w:color="auto" w:sz="4" w:space="0"/>
              <w:right w:val="single" w:color="auto" w:sz="4" w:space="0"/>
            </w:tcBorders>
            <w:noWrap/>
            <w:vAlign w:val="center"/>
          </w:tcPr>
          <w:p w14:paraId="24283167">
            <w:pPr>
              <w:widowControl/>
              <w:jc w:val="center"/>
              <w:rPr>
                <w:rFonts w:ascii="宋体" w:hAnsi="宋体"/>
                <w:b/>
                <w:bCs/>
                <w:kern w:val="0"/>
                <w:szCs w:val="21"/>
                <w:highlight w:val="none"/>
              </w:rPr>
            </w:pPr>
            <w:r>
              <w:rPr>
                <w:rFonts w:hint="eastAsia" w:ascii="宋体" w:hAnsi="宋体"/>
                <w:b/>
                <w:bCs/>
                <w:kern w:val="0"/>
                <w:szCs w:val="21"/>
                <w:highlight w:val="none"/>
              </w:rPr>
              <w:t>工作内容</w:t>
            </w:r>
          </w:p>
        </w:tc>
        <w:tc>
          <w:tcPr>
            <w:tcW w:w="2209" w:type="dxa"/>
            <w:tcBorders>
              <w:top w:val="single" w:color="auto" w:sz="4" w:space="0"/>
              <w:left w:val="nil"/>
              <w:bottom w:val="single" w:color="auto" w:sz="4" w:space="0"/>
              <w:right w:val="single" w:color="auto" w:sz="4" w:space="0"/>
            </w:tcBorders>
            <w:noWrap/>
            <w:vAlign w:val="center"/>
          </w:tcPr>
          <w:p w14:paraId="612A3633">
            <w:pPr>
              <w:widowControl/>
              <w:jc w:val="center"/>
              <w:rPr>
                <w:rFonts w:ascii="宋体" w:hAnsi="宋体"/>
                <w:b/>
                <w:bCs/>
                <w:kern w:val="0"/>
                <w:szCs w:val="21"/>
                <w:highlight w:val="none"/>
              </w:rPr>
            </w:pPr>
            <w:r>
              <w:rPr>
                <w:rFonts w:hint="eastAsia" w:ascii="宋体" w:hAnsi="宋体"/>
                <w:b/>
                <w:bCs/>
                <w:kern w:val="0"/>
                <w:szCs w:val="21"/>
                <w:highlight w:val="none"/>
              </w:rPr>
              <w:t>含税单项投标报价</w:t>
            </w:r>
          </w:p>
          <w:p w14:paraId="19C99C75">
            <w:pPr>
              <w:widowControl/>
              <w:jc w:val="center"/>
              <w:rPr>
                <w:rFonts w:ascii="宋体" w:hAnsi="宋体"/>
                <w:b/>
                <w:bCs/>
                <w:kern w:val="0"/>
                <w:szCs w:val="21"/>
                <w:highlight w:val="none"/>
              </w:rPr>
            </w:pPr>
            <w:r>
              <w:rPr>
                <w:rFonts w:hint="eastAsia" w:ascii="宋体" w:hAnsi="宋体"/>
                <w:b/>
                <w:bCs/>
                <w:kern w:val="0"/>
                <w:szCs w:val="21"/>
                <w:highlight w:val="none"/>
              </w:rPr>
              <w:t>（</w:t>
            </w:r>
            <w:r>
              <w:rPr>
                <w:rFonts w:hint="eastAsia" w:ascii="宋体" w:hAnsi="宋体"/>
                <w:b/>
                <w:bCs/>
                <w:kern w:val="0"/>
                <w:szCs w:val="21"/>
                <w:highlight w:val="none"/>
                <w:lang w:val="en-US" w:eastAsia="zh-CN"/>
              </w:rPr>
              <w:t>万</w:t>
            </w:r>
            <w:r>
              <w:rPr>
                <w:rFonts w:hint="eastAsia" w:ascii="宋体" w:hAnsi="宋体"/>
                <w:b/>
                <w:bCs/>
                <w:kern w:val="0"/>
                <w:szCs w:val="21"/>
                <w:highlight w:val="none"/>
              </w:rPr>
              <w:t>元）</w:t>
            </w:r>
          </w:p>
        </w:tc>
        <w:tc>
          <w:tcPr>
            <w:tcW w:w="1936" w:type="dxa"/>
            <w:tcBorders>
              <w:top w:val="single" w:color="auto" w:sz="4" w:space="0"/>
              <w:left w:val="nil"/>
              <w:bottom w:val="single" w:color="auto" w:sz="4" w:space="0"/>
              <w:right w:val="single" w:color="auto" w:sz="4" w:space="0"/>
            </w:tcBorders>
            <w:noWrap/>
            <w:vAlign w:val="center"/>
          </w:tcPr>
          <w:p w14:paraId="6C7506D9">
            <w:pPr>
              <w:widowControl/>
              <w:jc w:val="center"/>
              <w:rPr>
                <w:rFonts w:ascii="宋体" w:hAnsi="宋体"/>
                <w:b/>
                <w:bCs/>
                <w:kern w:val="0"/>
                <w:szCs w:val="21"/>
                <w:highlight w:val="none"/>
              </w:rPr>
            </w:pPr>
            <w:r>
              <w:rPr>
                <w:rFonts w:hint="eastAsia" w:ascii="宋体" w:hAnsi="宋体"/>
                <w:b/>
                <w:bCs/>
                <w:kern w:val="0"/>
                <w:szCs w:val="21"/>
                <w:highlight w:val="none"/>
              </w:rPr>
              <w:t>税率</w:t>
            </w:r>
          </w:p>
          <w:p w14:paraId="4A3FC8CA">
            <w:pPr>
              <w:widowControl/>
              <w:jc w:val="center"/>
              <w:rPr>
                <w:rFonts w:ascii="宋体" w:hAnsi="宋体"/>
                <w:b/>
                <w:bCs/>
                <w:kern w:val="0"/>
                <w:szCs w:val="21"/>
                <w:highlight w:val="none"/>
              </w:rPr>
            </w:pPr>
            <w:r>
              <w:rPr>
                <w:rFonts w:hint="eastAsia" w:ascii="宋体" w:hAnsi="宋体"/>
                <w:b/>
                <w:bCs/>
                <w:kern w:val="0"/>
                <w:szCs w:val="21"/>
                <w:highlight w:val="none"/>
              </w:rPr>
              <w:t>（%）</w:t>
            </w:r>
          </w:p>
        </w:tc>
        <w:tc>
          <w:tcPr>
            <w:tcW w:w="2346" w:type="dxa"/>
            <w:tcBorders>
              <w:top w:val="single" w:color="auto" w:sz="4" w:space="0"/>
              <w:left w:val="nil"/>
              <w:bottom w:val="single" w:color="auto" w:sz="4" w:space="0"/>
              <w:right w:val="single" w:color="auto" w:sz="4" w:space="0"/>
            </w:tcBorders>
            <w:noWrap/>
            <w:vAlign w:val="center"/>
          </w:tcPr>
          <w:p w14:paraId="76551131">
            <w:pPr>
              <w:widowControl/>
              <w:jc w:val="center"/>
              <w:rPr>
                <w:rFonts w:ascii="宋体" w:hAnsi="宋体"/>
                <w:b/>
                <w:bCs/>
                <w:kern w:val="0"/>
                <w:szCs w:val="21"/>
                <w:highlight w:val="none"/>
              </w:rPr>
            </w:pPr>
            <w:r>
              <w:rPr>
                <w:rFonts w:hint="eastAsia" w:ascii="宋体" w:hAnsi="宋体"/>
                <w:b/>
                <w:bCs/>
                <w:kern w:val="0"/>
                <w:szCs w:val="21"/>
                <w:highlight w:val="none"/>
              </w:rPr>
              <w:t>不含税单项投标报价（</w:t>
            </w:r>
            <w:r>
              <w:rPr>
                <w:rFonts w:hint="eastAsia" w:ascii="宋体" w:hAnsi="宋体"/>
                <w:b/>
                <w:bCs/>
                <w:kern w:val="0"/>
                <w:szCs w:val="21"/>
                <w:highlight w:val="none"/>
                <w:lang w:val="en-US" w:eastAsia="zh-CN"/>
              </w:rPr>
              <w:t>万</w:t>
            </w:r>
            <w:r>
              <w:rPr>
                <w:rFonts w:hint="eastAsia" w:ascii="宋体" w:hAnsi="宋体"/>
                <w:b/>
                <w:bCs/>
                <w:kern w:val="0"/>
                <w:szCs w:val="21"/>
                <w:highlight w:val="none"/>
              </w:rPr>
              <w:t>元）</w:t>
            </w:r>
          </w:p>
        </w:tc>
      </w:tr>
      <w:tr w14:paraId="30368E29">
        <w:tblPrEx>
          <w:tblCellMar>
            <w:top w:w="0" w:type="dxa"/>
            <w:left w:w="108" w:type="dxa"/>
            <w:bottom w:w="0" w:type="dxa"/>
            <w:right w:w="108" w:type="dxa"/>
          </w:tblCellMar>
        </w:tblPrEx>
        <w:trPr>
          <w:trHeight w:val="543" w:hRule="atLeast"/>
        </w:trPr>
        <w:tc>
          <w:tcPr>
            <w:tcW w:w="545" w:type="dxa"/>
            <w:tcBorders>
              <w:top w:val="nil"/>
              <w:left w:val="single" w:color="auto" w:sz="4" w:space="0"/>
              <w:bottom w:val="single" w:color="auto" w:sz="4" w:space="0"/>
              <w:right w:val="single" w:color="auto" w:sz="4" w:space="0"/>
            </w:tcBorders>
            <w:noWrap/>
            <w:vAlign w:val="center"/>
          </w:tcPr>
          <w:p w14:paraId="3F4EE54B">
            <w:pPr>
              <w:widowControl/>
              <w:jc w:val="center"/>
              <w:rPr>
                <w:rFonts w:ascii="宋体" w:hAnsi="宋体"/>
                <w:kern w:val="0"/>
                <w:szCs w:val="21"/>
                <w:highlight w:val="none"/>
              </w:rPr>
            </w:pPr>
            <w:r>
              <w:rPr>
                <w:rFonts w:hint="eastAsia" w:ascii="宋体" w:hAnsi="宋体"/>
                <w:kern w:val="0"/>
                <w:szCs w:val="21"/>
                <w:highlight w:val="none"/>
              </w:rPr>
              <w:t>1</w:t>
            </w:r>
          </w:p>
        </w:tc>
        <w:tc>
          <w:tcPr>
            <w:tcW w:w="3096" w:type="dxa"/>
            <w:tcBorders>
              <w:top w:val="nil"/>
              <w:left w:val="nil"/>
              <w:bottom w:val="single" w:color="auto" w:sz="4" w:space="0"/>
              <w:right w:val="single" w:color="auto" w:sz="4" w:space="0"/>
            </w:tcBorders>
            <w:noWrap/>
            <w:vAlign w:val="center"/>
          </w:tcPr>
          <w:p w14:paraId="362E6B66">
            <w:pPr>
              <w:widowControl/>
              <w:jc w:val="center"/>
              <w:rPr>
                <w:rFonts w:ascii="宋体" w:hAnsi="宋体"/>
                <w:kern w:val="0"/>
                <w:szCs w:val="21"/>
                <w:highlight w:val="none"/>
              </w:rPr>
            </w:pPr>
            <w:r>
              <w:rPr>
                <w:rFonts w:hint="eastAsia" w:ascii="宋体" w:hAnsi="宋体" w:cs="宋体"/>
                <w:color w:val="000000"/>
                <w:kern w:val="0"/>
                <w:szCs w:val="21"/>
                <w:highlight w:val="none"/>
              </w:rPr>
              <w:t>更新单元详细规划</w:t>
            </w:r>
          </w:p>
        </w:tc>
        <w:tc>
          <w:tcPr>
            <w:tcW w:w="2209" w:type="dxa"/>
            <w:tcBorders>
              <w:top w:val="nil"/>
              <w:left w:val="nil"/>
              <w:bottom w:val="single" w:color="auto" w:sz="4" w:space="0"/>
              <w:right w:val="single" w:color="auto" w:sz="4" w:space="0"/>
            </w:tcBorders>
            <w:vAlign w:val="center"/>
          </w:tcPr>
          <w:p w14:paraId="4D6BF459">
            <w:pPr>
              <w:widowControl/>
              <w:jc w:val="center"/>
              <w:rPr>
                <w:rFonts w:ascii="宋体" w:hAnsi="宋体"/>
                <w:kern w:val="0"/>
                <w:szCs w:val="21"/>
                <w:highlight w:val="none"/>
              </w:rPr>
            </w:pPr>
          </w:p>
          <w:p w14:paraId="59AF3B38">
            <w:pPr>
              <w:widowControl/>
              <w:jc w:val="center"/>
              <w:rPr>
                <w:rFonts w:ascii="宋体" w:hAnsi="宋体"/>
                <w:kern w:val="0"/>
                <w:szCs w:val="21"/>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033586E2">
            <w:pPr>
              <w:widowControl/>
              <w:jc w:val="center"/>
              <w:rPr>
                <w:rFonts w:ascii="宋体" w:hAnsi="宋体"/>
                <w:kern w:val="0"/>
                <w:szCs w:val="21"/>
                <w:highlight w:val="none"/>
              </w:rPr>
            </w:pPr>
          </w:p>
        </w:tc>
        <w:tc>
          <w:tcPr>
            <w:tcW w:w="2346" w:type="dxa"/>
            <w:tcBorders>
              <w:top w:val="single" w:color="auto" w:sz="4" w:space="0"/>
              <w:left w:val="single" w:color="auto" w:sz="4" w:space="0"/>
              <w:bottom w:val="single" w:color="auto" w:sz="4" w:space="0"/>
              <w:right w:val="single" w:color="auto" w:sz="4" w:space="0"/>
            </w:tcBorders>
            <w:vAlign w:val="center"/>
          </w:tcPr>
          <w:p w14:paraId="61541E61">
            <w:pPr>
              <w:widowControl/>
              <w:jc w:val="center"/>
              <w:rPr>
                <w:rFonts w:ascii="宋体" w:hAnsi="宋体"/>
                <w:kern w:val="0"/>
                <w:szCs w:val="21"/>
                <w:highlight w:val="none"/>
              </w:rPr>
            </w:pPr>
          </w:p>
        </w:tc>
      </w:tr>
      <w:tr w14:paraId="7400DE1F">
        <w:tblPrEx>
          <w:tblCellMar>
            <w:top w:w="0" w:type="dxa"/>
            <w:left w:w="108" w:type="dxa"/>
            <w:bottom w:w="0" w:type="dxa"/>
            <w:right w:w="108" w:type="dxa"/>
          </w:tblCellMar>
        </w:tblPrEx>
        <w:trPr>
          <w:trHeight w:val="406" w:hRule="atLeast"/>
        </w:trPr>
        <w:tc>
          <w:tcPr>
            <w:tcW w:w="545" w:type="dxa"/>
            <w:tcBorders>
              <w:top w:val="nil"/>
              <w:left w:val="single" w:color="auto" w:sz="4" w:space="0"/>
              <w:bottom w:val="single" w:color="auto" w:sz="4" w:space="0"/>
              <w:right w:val="single" w:color="auto" w:sz="4" w:space="0"/>
            </w:tcBorders>
            <w:noWrap/>
            <w:vAlign w:val="center"/>
          </w:tcPr>
          <w:p w14:paraId="15F028C2">
            <w:pPr>
              <w:widowControl/>
              <w:jc w:val="center"/>
              <w:rPr>
                <w:rFonts w:ascii="宋体" w:hAnsi="宋体"/>
                <w:kern w:val="0"/>
                <w:szCs w:val="21"/>
                <w:highlight w:val="none"/>
              </w:rPr>
            </w:pPr>
            <w:r>
              <w:rPr>
                <w:rFonts w:hint="eastAsia" w:ascii="宋体" w:hAnsi="宋体"/>
                <w:kern w:val="0"/>
                <w:szCs w:val="21"/>
                <w:highlight w:val="none"/>
              </w:rPr>
              <w:t>2</w:t>
            </w:r>
          </w:p>
        </w:tc>
        <w:tc>
          <w:tcPr>
            <w:tcW w:w="3096" w:type="dxa"/>
            <w:tcBorders>
              <w:top w:val="nil"/>
              <w:left w:val="nil"/>
              <w:bottom w:val="single" w:color="auto" w:sz="4" w:space="0"/>
              <w:right w:val="single" w:color="auto" w:sz="4" w:space="0"/>
            </w:tcBorders>
            <w:noWrap/>
            <w:vAlign w:val="center"/>
          </w:tcPr>
          <w:p w14:paraId="5087287C">
            <w:pPr>
              <w:widowControl/>
              <w:jc w:val="center"/>
              <w:rPr>
                <w:rFonts w:ascii="宋体" w:hAnsi="宋体"/>
                <w:kern w:val="0"/>
                <w:szCs w:val="21"/>
                <w:highlight w:val="none"/>
              </w:rPr>
            </w:pPr>
            <w:r>
              <w:rPr>
                <w:rFonts w:hint="eastAsia" w:ascii="宋体" w:hAnsi="宋体" w:cs="宋体"/>
                <w:color w:val="000000"/>
                <w:kern w:val="0"/>
                <w:szCs w:val="21"/>
                <w:highlight w:val="none"/>
              </w:rPr>
              <w:t>城市设计</w:t>
            </w:r>
          </w:p>
        </w:tc>
        <w:tc>
          <w:tcPr>
            <w:tcW w:w="2209" w:type="dxa"/>
            <w:tcBorders>
              <w:top w:val="nil"/>
              <w:left w:val="nil"/>
              <w:bottom w:val="single" w:color="auto" w:sz="4" w:space="0"/>
              <w:right w:val="single" w:color="auto" w:sz="4" w:space="0"/>
            </w:tcBorders>
            <w:vAlign w:val="center"/>
          </w:tcPr>
          <w:p w14:paraId="5D4F6C16">
            <w:pPr>
              <w:widowControl/>
              <w:jc w:val="center"/>
              <w:rPr>
                <w:rFonts w:ascii="宋体" w:hAnsi="宋体"/>
                <w:kern w:val="0"/>
                <w:szCs w:val="21"/>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2C224F2D">
            <w:pPr>
              <w:widowControl/>
              <w:jc w:val="center"/>
              <w:rPr>
                <w:rFonts w:ascii="宋体" w:hAnsi="宋体"/>
                <w:kern w:val="0"/>
                <w:szCs w:val="21"/>
                <w:highlight w:val="none"/>
              </w:rPr>
            </w:pPr>
          </w:p>
        </w:tc>
        <w:tc>
          <w:tcPr>
            <w:tcW w:w="2346" w:type="dxa"/>
            <w:tcBorders>
              <w:top w:val="single" w:color="auto" w:sz="4" w:space="0"/>
              <w:left w:val="single" w:color="auto" w:sz="4" w:space="0"/>
              <w:bottom w:val="single" w:color="auto" w:sz="4" w:space="0"/>
              <w:right w:val="single" w:color="auto" w:sz="4" w:space="0"/>
            </w:tcBorders>
            <w:vAlign w:val="center"/>
          </w:tcPr>
          <w:p w14:paraId="170948F2">
            <w:pPr>
              <w:widowControl/>
              <w:jc w:val="center"/>
              <w:rPr>
                <w:rFonts w:ascii="宋体" w:hAnsi="宋体"/>
                <w:kern w:val="0"/>
                <w:szCs w:val="21"/>
                <w:highlight w:val="none"/>
              </w:rPr>
            </w:pPr>
          </w:p>
        </w:tc>
      </w:tr>
      <w:tr w14:paraId="0B27E5A0">
        <w:tblPrEx>
          <w:tblCellMar>
            <w:top w:w="0" w:type="dxa"/>
            <w:left w:w="108" w:type="dxa"/>
            <w:bottom w:w="0" w:type="dxa"/>
            <w:right w:w="108" w:type="dxa"/>
          </w:tblCellMar>
        </w:tblPrEx>
        <w:trPr>
          <w:trHeight w:val="460" w:hRule="atLeast"/>
        </w:trPr>
        <w:tc>
          <w:tcPr>
            <w:tcW w:w="545" w:type="dxa"/>
            <w:tcBorders>
              <w:top w:val="nil"/>
              <w:left w:val="single" w:color="auto" w:sz="4" w:space="0"/>
              <w:bottom w:val="single" w:color="auto" w:sz="4" w:space="0"/>
              <w:right w:val="single" w:color="auto" w:sz="4" w:space="0"/>
            </w:tcBorders>
            <w:noWrap/>
            <w:vAlign w:val="center"/>
          </w:tcPr>
          <w:p w14:paraId="4F698754">
            <w:pPr>
              <w:widowControl/>
              <w:jc w:val="center"/>
              <w:rPr>
                <w:rFonts w:ascii="宋体" w:hAnsi="宋体"/>
                <w:kern w:val="0"/>
                <w:szCs w:val="21"/>
                <w:highlight w:val="none"/>
              </w:rPr>
            </w:pPr>
            <w:r>
              <w:rPr>
                <w:rFonts w:hint="eastAsia" w:ascii="宋体" w:hAnsi="宋体"/>
                <w:kern w:val="0"/>
                <w:szCs w:val="21"/>
                <w:highlight w:val="none"/>
              </w:rPr>
              <w:t>3</w:t>
            </w:r>
          </w:p>
        </w:tc>
        <w:tc>
          <w:tcPr>
            <w:tcW w:w="3096" w:type="dxa"/>
            <w:tcBorders>
              <w:top w:val="nil"/>
              <w:left w:val="nil"/>
              <w:bottom w:val="single" w:color="auto" w:sz="4" w:space="0"/>
              <w:right w:val="single" w:color="auto" w:sz="4" w:space="0"/>
            </w:tcBorders>
            <w:noWrap/>
            <w:vAlign w:val="center"/>
          </w:tcPr>
          <w:p w14:paraId="3680DEE5">
            <w:pPr>
              <w:widowControl/>
              <w:jc w:val="center"/>
              <w:rPr>
                <w:rFonts w:ascii="宋体" w:hAnsi="宋体"/>
                <w:kern w:val="0"/>
                <w:szCs w:val="21"/>
                <w:highlight w:val="none"/>
              </w:rPr>
            </w:pPr>
            <w:r>
              <w:rPr>
                <w:rFonts w:hint="eastAsia" w:ascii="宋体" w:hAnsi="宋体" w:cs="宋体"/>
                <w:color w:val="000000"/>
                <w:kern w:val="0"/>
                <w:szCs w:val="21"/>
                <w:highlight w:val="none"/>
              </w:rPr>
              <w:t>综合交通专项规划</w:t>
            </w:r>
          </w:p>
        </w:tc>
        <w:tc>
          <w:tcPr>
            <w:tcW w:w="2209" w:type="dxa"/>
            <w:tcBorders>
              <w:top w:val="nil"/>
              <w:left w:val="nil"/>
              <w:bottom w:val="single" w:color="auto" w:sz="4" w:space="0"/>
              <w:right w:val="single" w:color="auto" w:sz="4" w:space="0"/>
            </w:tcBorders>
            <w:vAlign w:val="center"/>
          </w:tcPr>
          <w:p w14:paraId="5D319241">
            <w:pPr>
              <w:widowControl/>
              <w:jc w:val="center"/>
              <w:rPr>
                <w:rFonts w:ascii="宋体" w:hAnsi="宋体"/>
                <w:kern w:val="0"/>
                <w:szCs w:val="21"/>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4A9AA8DB">
            <w:pPr>
              <w:widowControl/>
              <w:jc w:val="center"/>
              <w:rPr>
                <w:rFonts w:ascii="宋体" w:hAnsi="宋体"/>
                <w:kern w:val="0"/>
                <w:szCs w:val="21"/>
                <w:highlight w:val="none"/>
              </w:rPr>
            </w:pPr>
          </w:p>
        </w:tc>
        <w:tc>
          <w:tcPr>
            <w:tcW w:w="2346" w:type="dxa"/>
            <w:tcBorders>
              <w:top w:val="single" w:color="auto" w:sz="4" w:space="0"/>
              <w:left w:val="single" w:color="auto" w:sz="4" w:space="0"/>
              <w:bottom w:val="single" w:color="auto" w:sz="4" w:space="0"/>
              <w:right w:val="single" w:color="auto" w:sz="4" w:space="0"/>
            </w:tcBorders>
            <w:vAlign w:val="center"/>
          </w:tcPr>
          <w:p w14:paraId="32428737">
            <w:pPr>
              <w:widowControl/>
              <w:jc w:val="center"/>
              <w:rPr>
                <w:rFonts w:ascii="宋体" w:hAnsi="宋体"/>
                <w:kern w:val="0"/>
                <w:szCs w:val="21"/>
                <w:highlight w:val="none"/>
              </w:rPr>
            </w:pPr>
          </w:p>
        </w:tc>
      </w:tr>
      <w:tr w14:paraId="450AD524">
        <w:tblPrEx>
          <w:tblCellMar>
            <w:top w:w="0" w:type="dxa"/>
            <w:left w:w="108" w:type="dxa"/>
            <w:bottom w:w="0" w:type="dxa"/>
            <w:right w:w="108" w:type="dxa"/>
          </w:tblCellMar>
        </w:tblPrEx>
        <w:trPr>
          <w:trHeight w:val="461" w:hRule="atLeast"/>
        </w:trPr>
        <w:tc>
          <w:tcPr>
            <w:tcW w:w="545" w:type="dxa"/>
            <w:tcBorders>
              <w:top w:val="nil"/>
              <w:left w:val="single" w:color="auto" w:sz="4" w:space="0"/>
              <w:bottom w:val="single" w:color="auto" w:sz="4" w:space="0"/>
              <w:right w:val="single" w:color="auto" w:sz="4" w:space="0"/>
            </w:tcBorders>
            <w:noWrap/>
            <w:vAlign w:val="center"/>
          </w:tcPr>
          <w:p w14:paraId="0543900A">
            <w:pPr>
              <w:widowControl/>
              <w:jc w:val="center"/>
              <w:rPr>
                <w:rFonts w:ascii="宋体" w:hAnsi="宋体"/>
                <w:kern w:val="0"/>
                <w:szCs w:val="21"/>
                <w:highlight w:val="none"/>
              </w:rPr>
            </w:pPr>
            <w:r>
              <w:rPr>
                <w:rFonts w:hint="eastAsia" w:ascii="宋体" w:hAnsi="宋体"/>
                <w:kern w:val="0"/>
                <w:szCs w:val="21"/>
                <w:highlight w:val="none"/>
              </w:rPr>
              <w:t>4</w:t>
            </w:r>
          </w:p>
        </w:tc>
        <w:tc>
          <w:tcPr>
            <w:tcW w:w="3096" w:type="dxa"/>
            <w:tcBorders>
              <w:top w:val="nil"/>
              <w:left w:val="nil"/>
              <w:bottom w:val="single" w:color="auto" w:sz="4" w:space="0"/>
              <w:right w:val="single" w:color="auto" w:sz="4" w:space="0"/>
            </w:tcBorders>
            <w:noWrap/>
            <w:vAlign w:val="center"/>
          </w:tcPr>
          <w:p w14:paraId="142EAAF0">
            <w:pPr>
              <w:widowControl/>
              <w:jc w:val="center"/>
              <w:rPr>
                <w:rFonts w:ascii="宋体" w:hAnsi="宋体"/>
                <w:kern w:val="0"/>
                <w:szCs w:val="21"/>
                <w:highlight w:val="none"/>
              </w:rPr>
            </w:pPr>
            <w:r>
              <w:rPr>
                <w:rFonts w:hint="eastAsia" w:ascii="宋体" w:hAnsi="宋体" w:cs="宋体"/>
                <w:color w:val="000000"/>
                <w:kern w:val="0"/>
                <w:szCs w:val="21"/>
                <w:highlight w:val="none"/>
              </w:rPr>
              <w:t>交通影响评估</w:t>
            </w:r>
          </w:p>
        </w:tc>
        <w:tc>
          <w:tcPr>
            <w:tcW w:w="2209" w:type="dxa"/>
            <w:tcBorders>
              <w:top w:val="nil"/>
              <w:left w:val="nil"/>
              <w:bottom w:val="single" w:color="auto" w:sz="4" w:space="0"/>
              <w:right w:val="single" w:color="auto" w:sz="4" w:space="0"/>
            </w:tcBorders>
            <w:vAlign w:val="center"/>
          </w:tcPr>
          <w:p w14:paraId="04BB2B6F">
            <w:pPr>
              <w:widowControl/>
              <w:jc w:val="center"/>
              <w:rPr>
                <w:rFonts w:ascii="宋体" w:hAnsi="宋体"/>
                <w:kern w:val="0"/>
                <w:szCs w:val="21"/>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312B37D9">
            <w:pPr>
              <w:widowControl/>
              <w:jc w:val="center"/>
              <w:rPr>
                <w:rFonts w:ascii="宋体" w:hAnsi="宋体"/>
                <w:kern w:val="0"/>
                <w:szCs w:val="21"/>
                <w:highlight w:val="none"/>
              </w:rPr>
            </w:pPr>
          </w:p>
        </w:tc>
        <w:tc>
          <w:tcPr>
            <w:tcW w:w="2346" w:type="dxa"/>
            <w:tcBorders>
              <w:top w:val="single" w:color="auto" w:sz="4" w:space="0"/>
              <w:left w:val="single" w:color="auto" w:sz="4" w:space="0"/>
              <w:bottom w:val="single" w:color="auto" w:sz="4" w:space="0"/>
              <w:right w:val="single" w:color="auto" w:sz="4" w:space="0"/>
            </w:tcBorders>
            <w:vAlign w:val="center"/>
          </w:tcPr>
          <w:p w14:paraId="5398B0F5">
            <w:pPr>
              <w:widowControl/>
              <w:jc w:val="center"/>
              <w:rPr>
                <w:rFonts w:ascii="宋体" w:hAnsi="宋体"/>
                <w:kern w:val="0"/>
                <w:szCs w:val="21"/>
                <w:highlight w:val="none"/>
              </w:rPr>
            </w:pPr>
          </w:p>
        </w:tc>
      </w:tr>
      <w:tr w14:paraId="35F3E22D">
        <w:tblPrEx>
          <w:tblCellMar>
            <w:top w:w="0" w:type="dxa"/>
            <w:left w:w="108" w:type="dxa"/>
            <w:bottom w:w="0" w:type="dxa"/>
            <w:right w:w="108" w:type="dxa"/>
          </w:tblCellMar>
        </w:tblPrEx>
        <w:trPr>
          <w:trHeight w:val="475" w:hRule="atLeast"/>
        </w:trPr>
        <w:tc>
          <w:tcPr>
            <w:tcW w:w="545" w:type="dxa"/>
            <w:tcBorders>
              <w:top w:val="nil"/>
              <w:left w:val="single" w:color="auto" w:sz="4" w:space="0"/>
              <w:bottom w:val="single" w:color="auto" w:sz="4" w:space="0"/>
              <w:right w:val="single" w:color="auto" w:sz="4" w:space="0"/>
            </w:tcBorders>
            <w:noWrap/>
            <w:vAlign w:val="center"/>
          </w:tcPr>
          <w:p w14:paraId="6EDF9D73">
            <w:pPr>
              <w:widowControl/>
              <w:jc w:val="center"/>
              <w:rPr>
                <w:rFonts w:ascii="宋体" w:hAnsi="宋体"/>
                <w:kern w:val="0"/>
                <w:szCs w:val="21"/>
                <w:highlight w:val="none"/>
              </w:rPr>
            </w:pPr>
            <w:r>
              <w:rPr>
                <w:rFonts w:hint="eastAsia" w:ascii="宋体" w:hAnsi="宋体"/>
                <w:kern w:val="0"/>
                <w:szCs w:val="21"/>
                <w:highlight w:val="none"/>
              </w:rPr>
              <w:t>5</w:t>
            </w:r>
          </w:p>
        </w:tc>
        <w:tc>
          <w:tcPr>
            <w:tcW w:w="3096" w:type="dxa"/>
            <w:tcBorders>
              <w:top w:val="nil"/>
              <w:left w:val="nil"/>
              <w:bottom w:val="single" w:color="auto" w:sz="4" w:space="0"/>
              <w:right w:val="single" w:color="auto" w:sz="4" w:space="0"/>
            </w:tcBorders>
            <w:noWrap/>
            <w:vAlign w:val="center"/>
          </w:tcPr>
          <w:p w14:paraId="71447F86">
            <w:pPr>
              <w:widowControl/>
              <w:jc w:val="center"/>
              <w:rPr>
                <w:rFonts w:ascii="宋体" w:hAnsi="宋体"/>
                <w:kern w:val="0"/>
                <w:szCs w:val="21"/>
                <w:highlight w:val="none"/>
              </w:rPr>
            </w:pPr>
            <w:r>
              <w:rPr>
                <w:rFonts w:hint="eastAsia" w:ascii="宋体" w:hAnsi="宋体" w:cs="宋体"/>
                <w:color w:val="000000"/>
                <w:kern w:val="0"/>
                <w:szCs w:val="21"/>
                <w:highlight w:val="none"/>
              </w:rPr>
              <w:t>环境影响评价</w:t>
            </w:r>
          </w:p>
        </w:tc>
        <w:tc>
          <w:tcPr>
            <w:tcW w:w="2209" w:type="dxa"/>
            <w:tcBorders>
              <w:top w:val="nil"/>
              <w:left w:val="nil"/>
              <w:bottom w:val="single" w:color="auto" w:sz="4" w:space="0"/>
              <w:right w:val="single" w:color="auto" w:sz="4" w:space="0"/>
            </w:tcBorders>
            <w:vAlign w:val="center"/>
          </w:tcPr>
          <w:p w14:paraId="0B2ED719">
            <w:pPr>
              <w:widowControl/>
              <w:jc w:val="center"/>
              <w:rPr>
                <w:rFonts w:ascii="宋体" w:hAnsi="宋体"/>
                <w:kern w:val="0"/>
                <w:szCs w:val="21"/>
                <w:highlight w:val="none"/>
              </w:rPr>
            </w:pPr>
          </w:p>
          <w:p w14:paraId="4C1C3FD2">
            <w:pPr>
              <w:widowControl/>
              <w:jc w:val="center"/>
              <w:rPr>
                <w:rFonts w:ascii="宋体" w:hAnsi="宋体"/>
                <w:kern w:val="0"/>
                <w:szCs w:val="21"/>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048C459E">
            <w:pPr>
              <w:widowControl/>
              <w:jc w:val="center"/>
              <w:rPr>
                <w:rFonts w:ascii="宋体" w:hAnsi="宋体"/>
                <w:kern w:val="0"/>
                <w:szCs w:val="21"/>
                <w:highlight w:val="none"/>
              </w:rPr>
            </w:pPr>
          </w:p>
        </w:tc>
        <w:tc>
          <w:tcPr>
            <w:tcW w:w="2346" w:type="dxa"/>
            <w:tcBorders>
              <w:top w:val="single" w:color="auto" w:sz="4" w:space="0"/>
              <w:left w:val="single" w:color="auto" w:sz="4" w:space="0"/>
              <w:bottom w:val="single" w:color="auto" w:sz="4" w:space="0"/>
              <w:right w:val="single" w:color="auto" w:sz="4" w:space="0"/>
            </w:tcBorders>
            <w:vAlign w:val="center"/>
          </w:tcPr>
          <w:p w14:paraId="25E3FF81">
            <w:pPr>
              <w:widowControl/>
              <w:jc w:val="center"/>
              <w:rPr>
                <w:rFonts w:ascii="宋体" w:hAnsi="宋体"/>
                <w:kern w:val="0"/>
                <w:szCs w:val="21"/>
                <w:highlight w:val="none"/>
              </w:rPr>
            </w:pPr>
          </w:p>
        </w:tc>
      </w:tr>
      <w:tr w14:paraId="538BD268">
        <w:tblPrEx>
          <w:tblCellMar>
            <w:top w:w="0" w:type="dxa"/>
            <w:left w:w="108" w:type="dxa"/>
            <w:bottom w:w="0" w:type="dxa"/>
            <w:right w:w="108" w:type="dxa"/>
          </w:tblCellMar>
        </w:tblPrEx>
        <w:trPr>
          <w:trHeight w:val="433" w:hRule="atLeast"/>
        </w:trPr>
        <w:tc>
          <w:tcPr>
            <w:tcW w:w="545" w:type="dxa"/>
            <w:tcBorders>
              <w:top w:val="nil"/>
              <w:left w:val="single" w:color="auto" w:sz="4" w:space="0"/>
              <w:bottom w:val="single" w:color="auto" w:sz="4" w:space="0"/>
              <w:right w:val="single" w:color="auto" w:sz="4" w:space="0"/>
            </w:tcBorders>
            <w:noWrap/>
            <w:vAlign w:val="center"/>
          </w:tcPr>
          <w:p w14:paraId="1EA16266">
            <w:pPr>
              <w:widowControl/>
              <w:jc w:val="center"/>
              <w:rPr>
                <w:rFonts w:ascii="宋体" w:hAnsi="宋体"/>
                <w:kern w:val="0"/>
                <w:szCs w:val="21"/>
                <w:highlight w:val="none"/>
              </w:rPr>
            </w:pPr>
            <w:r>
              <w:rPr>
                <w:rFonts w:hint="eastAsia" w:ascii="宋体" w:hAnsi="宋体"/>
                <w:kern w:val="0"/>
                <w:szCs w:val="21"/>
                <w:highlight w:val="none"/>
              </w:rPr>
              <w:t>6</w:t>
            </w:r>
          </w:p>
        </w:tc>
        <w:tc>
          <w:tcPr>
            <w:tcW w:w="3096" w:type="dxa"/>
            <w:tcBorders>
              <w:top w:val="nil"/>
              <w:left w:val="nil"/>
              <w:bottom w:val="single" w:color="auto" w:sz="4" w:space="0"/>
              <w:right w:val="single" w:color="auto" w:sz="4" w:space="0"/>
            </w:tcBorders>
            <w:noWrap/>
            <w:vAlign w:val="center"/>
          </w:tcPr>
          <w:p w14:paraId="231106FF">
            <w:pPr>
              <w:widowControl/>
              <w:jc w:val="center"/>
              <w:rPr>
                <w:rFonts w:ascii="宋体" w:hAnsi="宋体"/>
                <w:kern w:val="0"/>
                <w:szCs w:val="21"/>
                <w:highlight w:val="none"/>
              </w:rPr>
            </w:pPr>
            <w:r>
              <w:rPr>
                <w:rFonts w:hint="eastAsia" w:ascii="宋体" w:hAnsi="宋体" w:cs="宋体"/>
                <w:color w:val="000000"/>
                <w:kern w:val="0"/>
                <w:szCs w:val="21"/>
                <w:highlight w:val="none"/>
              </w:rPr>
              <w:t>城市树木保护专章</w:t>
            </w:r>
          </w:p>
        </w:tc>
        <w:tc>
          <w:tcPr>
            <w:tcW w:w="2209" w:type="dxa"/>
            <w:tcBorders>
              <w:top w:val="nil"/>
              <w:left w:val="nil"/>
              <w:bottom w:val="single" w:color="auto" w:sz="4" w:space="0"/>
              <w:right w:val="single" w:color="auto" w:sz="4" w:space="0"/>
            </w:tcBorders>
            <w:vAlign w:val="center"/>
          </w:tcPr>
          <w:p w14:paraId="593D5CC9">
            <w:pPr>
              <w:widowControl/>
              <w:jc w:val="center"/>
              <w:rPr>
                <w:rFonts w:ascii="宋体" w:hAnsi="宋体"/>
                <w:kern w:val="0"/>
                <w:szCs w:val="21"/>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75A31D51">
            <w:pPr>
              <w:widowControl/>
              <w:jc w:val="center"/>
              <w:rPr>
                <w:rFonts w:ascii="宋体" w:hAnsi="宋体"/>
                <w:kern w:val="0"/>
                <w:szCs w:val="21"/>
                <w:highlight w:val="none"/>
              </w:rPr>
            </w:pPr>
          </w:p>
        </w:tc>
        <w:tc>
          <w:tcPr>
            <w:tcW w:w="2346" w:type="dxa"/>
            <w:tcBorders>
              <w:top w:val="single" w:color="auto" w:sz="4" w:space="0"/>
              <w:left w:val="single" w:color="auto" w:sz="4" w:space="0"/>
              <w:bottom w:val="single" w:color="auto" w:sz="4" w:space="0"/>
              <w:right w:val="single" w:color="auto" w:sz="4" w:space="0"/>
            </w:tcBorders>
            <w:vAlign w:val="center"/>
          </w:tcPr>
          <w:p w14:paraId="4EEF61AE">
            <w:pPr>
              <w:widowControl/>
              <w:jc w:val="center"/>
              <w:rPr>
                <w:rFonts w:ascii="宋体" w:hAnsi="宋体"/>
                <w:kern w:val="0"/>
                <w:szCs w:val="21"/>
                <w:highlight w:val="none"/>
              </w:rPr>
            </w:pPr>
          </w:p>
        </w:tc>
      </w:tr>
      <w:tr w14:paraId="144E44AD">
        <w:tblPrEx>
          <w:tblCellMar>
            <w:top w:w="0" w:type="dxa"/>
            <w:left w:w="108" w:type="dxa"/>
            <w:bottom w:w="0" w:type="dxa"/>
            <w:right w:w="108" w:type="dxa"/>
          </w:tblCellMar>
        </w:tblPrEx>
        <w:trPr>
          <w:trHeight w:val="693" w:hRule="atLeast"/>
        </w:trPr>
        <w:tc>
          <w:tcPr>
            <w:tcW w:w="545" w:type="dxa"/>
            <w:tcBorders>
              <w:top w:val="nil"/>
              <w:left w:val="single" w:color="auto" w:sz="4" w:space="0"/>
              <w:bottom w:val="single" w:color="auto" w:sz="4" w:space="0"/>
              <w:right w:val="single" w:color="auto" w:sz="4" w:space="0"/>
            </w:tcBorders>
            <w:noWrap/>
            <w:vAlign w:val="center"/>
          </w:tcPr>
          <w:p w14:paraId="0525CA15">
            <w:pPr>
              <w:widowControl/>
              <w:jc w:val="center"/>
              <w:rPr>
                <w:rFonts w:ascii="宋体" w:hAnsi="宋体"/>
                <w:kern w:val="0"/>
                <w:szCs w:val="21"/>
                <w:highlight w:val="none"/>
              </w:rPr>
            </w:pPr>
            <w:r>
              <w:rPr>
                <w:rFonts w:hint="eastAsia" w:ascii="宋体" w:hAnsi="宋体"/>
                <w:kern w:val="0"/>
                <w:szCs w:val="21"/>
                <w:highlight w:val="none"/>
              </w:rPr>
              <w:t>7</w:t>
            </w:r>
          </w:p>
        </w:tc>
        <w:tc>
          <w:tcPr>
            <w:tcW w:w="3096" w:type="dxa"/>
            <w:tcBorders>
              <w:top w:val="nil"/>
              <w:left w:val="nil"/>
              <w:bottom w:val="single" w:color="auto" w:sz="4" w:space="0"/>
              <w:right w:val="single" w:color="auto" w:sz="4" w:space="0"/>
            </w:tcBorders>
            <w:noWrap/>
            <w:vAlign w:val="center"/>
          </w:tcPr>
          <w:p w14:paraId="36516E7D">
            <w:pPr>
              <w:widowControl/>
              <w:jc w:val="center"/>
              <w:rPr>
                <w:rFonts w:ascii="宋体" w:hAnsi="宋体"/>
                <w:kern w:val="0"/>
                <w:szCs w:val="21"/>
                <w:highlight w:val="none"/>
              </w:rPr>
            </w:pPr>
            <w:r>
              <w:rPr>
                <w:rFonts w:hint="eastAsia" w:ascii="宋体" w:hAnsi="宋体" w:cs="宋体"/>
                <w:color w:val="000000"/>
                <w:kern w:val="0"/>
                <w:szCs w:val="21"/>
                <w:highlight w:val="none"/>
              </w:rPr>
              <w:t>市政基础设施规划与市政承载力专章</w:t>
            </w:r>
          </w:p>
        </w:tc>
        <w:tc>
          <w:tcPr>
            <w:tcW w:w="2209" w:type="dxa"/>
            <w:tcBorders>
              <w:top w:val="nil"/>
              <w:left w:val="nil"/>
              <w:bottom w:val="single" w:color="auto" w:sz="4" w:space="0"/>
              <w:right w:val="single" w:color="auto" w:sz="4" w:space="0"/>
            </w:tcBorders>
            <w:vAlign w:val="center"/>
          </w:tcPr>
          <w:p w14:paraId="38670FEF">
            <w:pPr>
              <w:widowControl/>
              <w:jc w:val="center"/>
              <w:rPr>
                <w:rFonts w:ascii="宋体" w:hAnsi="宋体"/>
                <w:kern w:val="0"/>
                <w:szCs w:val="21"/>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16B1753A">
            <w:pPr>
              <w:widowControl/>
              <w:jc w:val="center"/>
              <w:rPr>
                <w:rFonts w:ascii="宋体" w:hAnsi="宋体"/>
                <w:kern w:val="0"/>
                <w:szCs w:val="21"/>
                <w:highlight w:val="none"/>
              </w:rPr>
            </w:pPr>
          </w:p>
        </w:tc>
        <w:tc>
          <w:tcPr>
            <w:tcW w:w="2346" w:type="dxa"/>
            <w:tcBorders>
              <w:top w:val="single" w:color="auto" w:sz="4" w:space="0"/>
              <w:left w:val="single" w:color="auto" w:sz="4" w:space="0"/>
              <w:bottom w:val="single" w:color="auto" w:sz="4" w:space="0"/>
              <w:right w:val="single" w:color="auto" w:sz="4" w:space="0"/>
            </w:tcBorders>
            <w:vAlign w:val="center"/>
          </w:tcPr>
          <w:p w14:paraId="650528C7">
            <w:pPr>
              <w:widowControl/>
              <w:jc w:val="center"/>
              <w:rPr>
                <w:rFonts w:ascii="宋体" w:hAnsi="宋体"/>
                <w:kern w:val="0"/>
                <w:szCs w:val="21"/>
                <w:highlight w:val="none"/>
              </w:rPr>
            </w:pPr>
          </w:p>
        </w:tc>
      </w:tr>
      <w:tr w14:paraId="020A6A6E">
        <w:tblPrEx>
          <w:tblCellMar>
            <w:top w:w="0" w:type="dxa"/>
            <w:left w:w="108" w:type="dxa"/>
            <w:bottom w:w="0" w:type="dxa"/>
            <w:right w:w="108" w:type="dxa"/>
          </w:tblCellMar>
        </w:tblPrEx>
        <w:trPr>
          <w:trHeight w:val="501" w:hRule="atLeast"/>
        </w:trPr>
        <w:tc>
          <w:tcPr>
            <w:tcW w:w="545" w:type="dxa"/>
            <w:tcBorders>
              <w:top w:val="nil"/>
              <w:left w:val="single" w:color="auto" w:sz="4" w:space="0"/>
              <w:bottom w:val="single" w:color="auto" w:sz="4" w:space="0"/>
              <w:right w:val="single" w:color="auto" w:sz="4" w:space="0"/>
            </w:tcBorders>
            <w:noWrap/>
            <w:vAlign w:val="center"/>
          </w:tcPr>
          <w:p w14:paraId="5B021330">
            <w:pPr>
              <w:widowControl/>
              <w:jc w:val="center"/>
              <w:rPr>
                <w:rFonts w:ascii="宋体" w:hAnsi="宋体"/>
                <w:kern w:val="0"/>
                <w:szCs w:val="21"/>
                <w:highlight w:val="none"/>
              </w:rPr>
            </w:pPr>
            <w:r>
              <w:rPr>
                <w:rFonts w:hint="eastAsia" w:ascii="宋体" w:hAnsi="宋体"/>
                <w:kern w:val="0"/>
                <w:szCs w:val="21"/>
                <w:highlight w:val="none"/>
              </w:rPr>
              <w:t>8</w:t>
            </w:r>
          </w:p>
        </w:tc>
        <w:tc>
          <w:tcPr>
            <w:tcW w:w="3096" w:type="dxa"/>
            <w:tcBorders>
              <w:top w:val="nil"/>
              <w:left w:val="nil"/>
              <w:bottom w:val="single" w:color="auto" w:sz="4" w:space="0"/>
              <w:right w:val="single" w:color="auto" w:sz="4" w:space="0"/>
            </w:tcBorders>
            <w:noWrap/>
            <w:vAlign w:val="center"/>
          </w:tcPr>
          <w:p w14:paraId="192F5710">
            <w:pPr>
              <w:widowControl/>
              <w:jc w:val="center"/>
              <w:rPr>
                <w:rFonts w:ascii="宋体" w:hAnsi="宋体"/>
                <w:kern w:val="0"/>
                <w:szCs w:val="21"/>
                <w:highlight w:val="none"/>
              </w:rPr>
            </w:pPr>
            <w:r>
              <w:rPr>
                <w:rFonts w:hint="eastAsia" w:ascii="宋体" w:hAnsi="宋体" w:cs="宋体"/>
                <w:color w:val="000000"/>
                <w:kern w:val="0"/>
                <w:szCs w:val="21"/>
                <w:highlight w:val="none"/>
              </w:rPr>
              <w:t>海绵城市专章（含洪涝安全评估）</w:t>
            </w:r>
          </w:p>
        </w:tc>
        <w:tc>
          <w:tcPr>
            <w:tcW w:w="2209" w:type="dxa"/>
            <w:tcBorders>
              <w:top w:val="nil"/>
              <w:left w:val="nil"/>
              <w:bottom w:val="single" w:color="auto" w:sz="4" w:space="0"/>
              <w:right w:val="single" w:color="auto" w:sz="4" w:space="0"/>
            </w:tcBorders>
            <w:vAlign w:val="center"/>
          </w:tcPr>
          <w:p w14:paraId="60F4DCD3">
            <w:pPr>
              <w:widowControl/>
              <w:jc w:val="center"/>
              <w:rPr>
                <w:rFonts w:ascii="宋体" w:hAnsi="宋体"/>
                <w:kern w:val="0"/>
                <w:szCs w:val="21"/>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7F30FCE5">
            <w:pPr>
              <w:widowControl/>
              <w:jc w:val="center"/>
              <w:rPr>
                <w:rFonts w:ascii="宋体" w:hAnsi="宋体"/>
                <w:kern w:val="0"/>
                <w:szCs w:val="21"/>
                <w:highlight w:val="none"/>
              </w:rPr>
            </w:pPr>
          </w:p>
        </w:tc>
        <w:tc>
          <w:tcPr>
            <w:tcW w:w="2346" w:type="dxa"/>
            <w:tcBorders>
              <w:top w:val="single" w:color="auto" w:sz="4" w:space="0"/>
              <w:left w:val="single" w:color="auto" w:sz="4" w:space="0"/>
              <w:bottom w:val="single" w:color="auto" w:sz="4" w:space="0"/>
              <w:right w:val="single" w:color="auto" w:sz="4" w:space="0"/>
            </w:tcBorders>
            <w:vAlign w:val="center"/>
          </w:tcPr>
          <w:p w14:paraId="051B286C">
            <w:pPr>
              <w:widowControl/>
              <w:jc w:val="center"/>
              <w:rPr>
                <w:rFonts w:ascii="宋体" w:hAnsi="宋体"/>
                <w:kern w:val="0"/>
                <w:szCs w:val="21"/>
                <w:highlight w:val="none"/>
              </w:rPr>
            </w:pPr>
          </w:p>
        </w:tc>
      </w:tr>
      <w:tr w14:paraId="728CD5FD">
        <w:tblPrEx>
          <w:tblCellMar>
            <w:top w:w="0" w:type="dxa"/>
            <w:left w:w="108" w:type="dxa"/>
            <w:bottom w:w="0" w:type="dxa"/>
            <w:right w:w="108" w:type="dxa"/>
          </w:tblCellMar>
        </w:tblPrEx>
        <w:trPr>
          <w:trHeight w:val="461" w:hRule="atLeast"/>
        </w:trPr>
        <w:tc>
          <w:tcPr>
            <w:tcW w:w="545" w:type="dxa"/>
            <w:tcBorders>
              <w:top w:val="nil"/>
              <w:left w:val="single" w:color="auto" w:sz="4" w:space="0"/>
              <w:bottom w:val="single" w:color="auto" w:sz="4" w:space="0"/>
              <w:right w:val="single" w:color="auto" w:sz="4" w:space="0"/>
            </w:tcBorders>
            <w:noWrap/>
            <w:vAlign w:val="center"/>
          </w:tcPr>
          <w:p w14:paraId="67C40D42">
            <w:pPr>
              <w:widowControl/>
              <w:jc w:val="center"/>
              <w:rPr>
                <w:rFonts w:ascii="宋体" w:hAnsi="宋体"/>
                <w:kern w:val="0"/>
                <w:szCs w:val="21"/>
                <w:highlight w:val="none"/>
              </w:rPr>
            </w:pPr>
            <w:r>
              <w:rPr>
                <w:rFonts w:hint="eastAsia" w:ascii="宋体" w:hAnsi="宋体"/>
                <w:kern w:val="0"/>
                <w:szCs w:val="21"/>
                <w:highlight w:val="none"/>
              </w:rPr>
              <w:t>9</w:t>
            </w:r>
          </w:p>
        </w:tc>
        <w:tc>
          <w:tcPr>
            <w:tcW w:w="3096" w:type="dxa"/>
            <w:tcBorders>
              <w:top w:val="nil"/>
              <w:left w:val="nil"/>
              <w:bottom w:val="single" w:color="auto" w:sz="4" w:space="0"/>
              <w:right w:val="single" w:color="auto" w:sz="4" w:space="0"/>
            </w:tcBorders>
            <w:noWrap/>
            <w:vAlign w:val="center"/>
          </w:tcPr>
          <w:p w14:paraId="62A1015E">
            <w:pPr>
              <w:widowControl/>
              <w:jc w:val="center"/>
              <w:rPr>
                <w:rFonts w:ascii="宋体" w:hAnsi="宋体"/>
                <w:kern w:val="0"/>
                <w:szCs w:val="21"/>
                <w:highlight w:val="none"/>
              </w:rPr>
            </w:pPr>
            <w:r>
              <w:rPr>
                <w:rFonts w:hint="eastAsia" w:ascii="宋体" w:hAnsi="宋体" w:cs="宋体"/>
                <w:color w:val="000000"/>
                <w:kern w:val="0"/>
                <w:szCs w:val="21"/>
                <w:highlight w:val="none"/>
              </w:rPr>
              <w:t>地质灾害危险性评估</w:t>
            </w:r>
          </w:p>
        </w:tc>
        <w:tc>
          <w:tcPr>
            <w:tcW w:w="2209" w:type="dxa"/>
            <w:tcBorders>
              <w:top w:val="nil"/>
              <w:left w:val="nil"/>
              <w:bottom w:val="single" w:color="auto" w:sz="4" w:space="0"/>
              <w:right w:val="single" w:color="auto" w:sz="4" w:space="0"/>
            </w:tcBorders>
            <w:vAlign w:val="center"/>
          </w:tcPr>
          <w:p w14:paraId="5B9A4F43">
            <w:pPr>
              <w:widowControl/>
              <w:jc w:val="center"/>
              <w:rPr>
                <w:rFonts w:ascii="宋体" w:hAnsi="宋体"/>
                <w:kern w:val="0"/>
                <w:szCs w:val="21"/>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5BF40269">
            <w:pPr>
              <w:widowControl/>
              <w:jc w:val="center"/>
              <w:rPr>
                <w:rFonts w:ascii="宋体" w:hAnsi="宋体"/>
                <w:kern w:val="0"/>
                <w:szCs w:val="21"/>
                <w:highlight w:val="none"/>
              </w:rPr>
            </w:pPr>
          </w:p>
        </w:tc>
        <w:tc>
          <w:tcPr>
            <w:tcW w:w="2346" w:type="dxa"/>
            <w:tcBorders>
              <w:top w:val="single" w:color="auto" w:sz="4" w:space="0"/>
              <w:left w:val="single" w:color="auto" w:sz="4" w:space="0"/>
              <w:bottom w:val="single" w:color="auto" w:sz="4" w:space="0"/>
              <w:right w:val="single" w:color="auto" w:sz="4" w:space="0"/>
            </w:tcBorders>
            <w:vAlign w:val="center"/>
          </w:tcPr>
          <w:p w14:paraId="44162AED">
            <w:pPr>
              <w:widowControl/>
              <w:jc w:val="center"/>
              <w:rPr>
                <w:rFonts w:ascii="宋体" w:hAnsi="宋体"/>
                <w:kern w:val="0"/>
                <w:szCs w:val="21"/>
                <w:highlight w:val="none"/>
              </w:rPr>
            </w:pPr>
          </w:p>
        </w:tc>
      </w:tr>
      <w:tr w14:paraId="114CB004">
        <w:tblPrEx>
          <w:tblCellMar>
            <w:top w:w="0" w:type="dxa"/>
            <w:left w:w="108" w:type="dxa"/>
            <w:bottom w:w="0" w:type="dxa"/>
            <w:right w:w="108" w:type="dxa"/>
          </w:tblCellMar>
        </w:tblPrEx>
        <w:trPr>
          <w:trHeight w:val="487" w:hRule="atLeast"/>
        </w:trPr>
        <w:tc>
          <w:tcPr>
            <w:tcW w:w="545" w:type="dxa"/>
            <w:tcBorders>
              <w:top w:val="nil"/>
              <w:left w:val="single" w:color="auto" w:sz="4" w:space="0"/>
              <w:bottom w:val="single" w:color="auto" w:sz="4" w:space="0"/>
              <w:right w:val="single" w:color="auto" w:sz="4" w:space="0"/>
            </w:tcBorders>
            <w:noWrap/>
            <w:vAlign w:val="center"/>
          </w:tcPr>
          <w:p w14:paraId="3156BD1B">
            <w:pPr>
              <w:widowControl/>
              <w:jc w:val="center"/>
              <w:rPr>
                <w:rFonts w:ascii="宋体" w:hAnsi="宋体"/>
                <w:kern w:val="0"/>
                <w:szCs w:val="21"/>
                <w:highlight w:val="none"/>
              </w:rPr>
            </w:pPr>
            <w:r>
              <w:rPr>
                <w:rFonts w:hint="eastAsia" w:ascii="宋体" w:hAnsi="宋体"/>
                <w:kern w:val="0"/>
                <w:szCs w:val="21"/>
                <w:highlight w:val="none"/>
              </w:rPr>
              <w:t>10</w:t>
            </w:r>
          </w:p>
        </w:tc>
        <w:tc>
          <w:tcPr>
            <w:tcW w:w="3096" w:type="dxa"/>
            <w:tcBorders>
              <w:top w:val="nil"/>
              <w:left w:val="nil"/>
              <w:bottom w:val="single" w:color="auto" w:sz="4" w:space="0"/>
              <w:right w:val="single" w:color="auto" w:sz="4" w:space="0"/>
            </w:tcBorders>
            <w:noWrap/>
            <w:vAlign w:val="center"/>
          </w:tcPr>
          <w:p w14:paraId="2D9A07A3">
            <w:pPr>
              <w:widowControl/>
              <w:jc w:val="center"/>
              <w:rPr>
                <w:rFonts w:ascii="宋体" w:hAnsi="宋体"/>
                <w:kern w:val="0"/>
                <w:szCs w:val="21"/>
                <w:highlight w:val="none"/>
              </w:rPr>
            </w:pPr>
            <w:r>
              <w:rPr>
                <w:rFonts w:hint="eastAsia" w:ascii="宋体" w:hAnsi="宋体" w:cs="宋体"/>
                <w:color w:val="000000"/>
                <w:kern w:val="0"/>
                <w:szCs w:val="21"/>
                <w:highlight w:val="none"/>
              </w:rPr>
              <w:t>社会稳定风险评估</w:t>
            </w:r>
          </w:p>
        </w:tc>
        <w:tc>
          <w:tcPr>
            <w:tcW w:w="2209" w:type="dxa"/>
            <w:tcBorders>
              <w:top w:val="nil"/>
              <w:left w:val="nil"/>
              <w:bottom w:val="single" w:color="auto" w:sz="4" w:space="0"/>
              <w:right w:val="single" w:color="auto" w:sz="4" w:space="0"/>
            </w:tcBorders>
            <w:vAlign w:val="center"/>
          </w:tcPr>
          <w:p w14:paraId="73A8FFEE">
            <w:pPr>
              <w:widowControl/>
              <w:jc w:val="center"/>
              <w:rPr>
                <w:rFonts w:ascii="宋体" w:hAnsi="宋体"/>
                <w:kern w:val="0"/>
                <w:szCs w:val="21"/>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5B69D876">
            <w:pPr>
              <w:widowControl/>
              <w:jc w:val="center"/>
              <w:rPr>
                <w:rFonts w:ascii="宋体" w:hAnsi="宋体"/>
                <w:kern w:val="0"/>
                <w:szCs w:val="21"/>
                <w:highlight w:val="none"/>
              </w:rPr>
            </w:pPr>
          </w:p>
        </w:tc>
        <w:tc>
          <w:tcPr>
            <w:tcW w:w="2346" w:type="dxa"/>
            <w:tcBorders>
              <w:top w:val="single" w:color="auto" w:sz="4" w:space="0"/>
              <w:left w:val="single" w:color="auto" w:sz="4" w:space="0"/>
              <w:bottom w:val="single" w:color="auto" w:sz="4" w:space="0"/>
              <w:right w:val="single" w:color="auto" w:sz="4" w:space="0"/>
            </w:tcBorders>
            <w:vAlign w:val="center"/>
          </w:tcPr>
          <w:p w14:paraId="20BA0A58">
            <w:pPr>
              <w:widowControl/>
              <w:jc w:val="center"/>
              <w:rPr>
                <w:rFonts w:ascii="宋体" w:hAnsi="宋体"/>
                <w:kern w:val="0"/>
                <w:szCs w:val="21"/>
                <w:highlight w:val="none"/>
              </w:rPr>
            </w:pPr>
          </w:p>
        </w:tc>
      </w:tr>
      <w:tr w14:paraId="2EFF7717">
        <w:tblPrEx>
          <w:tblCellMar>
            <w:top w:w="0" w:type="dxa"/>
            <w:left w:w="108" w:type="dxa"/>
            <w:bottom w:w="0" w:type="dxa"/>
            <w:right w:w="108" w:type="dxa"/>
          </w:tblCellMar>
        </w:tblPrEx>
        <w:trPr>
          <w:trHeight w:val="558" w:hRule="atLeast"/>
        </w:trPr>
        <w:tc>
          <w:tcPr>
            <w:tcW w:w="10132" w:type="dxa"/>
            <w:gridSpan w:val="5"/>
            <w:tcBorders>
              <w:top w:val="single" w:color="auto" w:sz="4" w:space="0"/>
              <w:left w:val="single" w:color="auto" w:sz="4" w:space="0"/>
              <w:bottom w:val="single" w:color="auto" w:sz="4" w:space="0"/>
              <w:right w:val="single" w:color="auto" w:sz="4" w:space="0"/>
            </w:tcBorders>
            <w:noWrap/>
            <w:vAlign w:val="center"/>
          </w:tcPr>
          <w:p w14:paraId="7DD1D8CB">
            <w:pPr>
              <w:widowControl/>
              <w:jc w:val="left"/>
              <w:rPr>
                <w:rFonts w:ascii="宋体" w:hAnsi="宋体"/>
                <w:b/>
                <w:bCs/>
                <w:kern w:val="0"/>
                <w:szCs w:val="21"/>
                <w:highlight w:val="none"/>
              </w:rPr>
            </w:pPr>
            <w:r>
              <w:rPr>
                <w:rFonts w:hint="eastAsia" w:ascii="宋体" w:hAnsi="宋体"/>
                <w:b/>
                <w:bCs/>
                <w:kern w:val="0"/>
                <w:szCs w:val="21"/>
                <w:highlight w:val="none"/>
              </w:rPr>
              <w:t>投标报价=（1+2+3+4+5+6+7+8+9+10）                        总计：            （</w:t>
            </w:r>
            <w:r>
              <w:rPr>
                <w:rFonts w:hint="eastAsia" w:ascii="宋体" w:hAnsi="宋体"/>
                <w:b/>
                <w:bCs/>
                <w:kern w:val="0"/>
                <w:szCs w:val="21"/>
                <w:highlight w:val="none"/>
                <w:lang w:val="en-US" w:eastAsia="zh-CN"/>
              </w:rPr>
              <w:t>万</w:t>
            </w:r>
            <w:r>
              <w:rPr>
                <w:rFonts w:hint="eastAsia" w:ascii="宋体" w:hAnsi="宋体"/>
                <w:b/>
                <w:bCs/>
                <w:kern w:val="0"/>
                <w:szCs w:val="21"/>
                <w:highlight w:val="none"/>
              </w:rPr>
              <w:t>元）</w:t>
            </w:r>
          </w:p>
        </w:tc>
      </w:tr>
      <w:tr w14:paraId="08D74ECF">
        <w:tblPrEx>
          <w:tblCellMar>
            <w:top w:w="0" w:type="dxa"/>
            <w:left w:w="108" w:type="dxa"/>
            <w:bottom w:w="0" w:type="dxa"/>
            <w:right w:w="108" w:type="dxa"/>
          </w:tblCellMar>
        </w:tblPrEx>
        <w:trPr>
          <w:trHeight w:val="643" w:hRule="atLeast"/>
        </w:trPr>
        <w:tc>
          <w:tcPr>
            <w:tcW w:w="10132" w:type="dxa"/>
            <w:gridSpan w:val="5"/>
            <w:tcBorders>
              <w:top w:val="single" w:color="auto" w:sz="4" w:space="0"/>
              <w:left w:val="single" w:color="auto" w:sz="4" w:space="0"/>
              <w:bottom w:val="single" w:color="auto" w:sz="4" w:space="0"/>
              <w:right w:val="single" w:color="auto" w:sz="4" w:space="0"/>
            </w:tcBorders>
            <w:noWrap/>
            <w:vAlign w:val="center"/>
          </w:tcPr>
          <w:p w14:paraId="03D196C3">
            <w:pPr>
              <w:widowControl/>
              <w:rPr>
                <w:rFonts w:ascii="宋体" w:hAnsi="宋体"/>
                <w:b/>
                <w:bCs/>
                <w:kern w:val="0"/>
                <w:szCs w:val="21"/>
                <w:highlight w:val="none"/>
              </w:rPr>
            </w:pPr>
            <w:r>
              <w:rPr>
                <w:rFonts w:hint="eastAsia" w:ascii="宋体" w:hAnsi="宋体"/>
                <w:b/>
                <w:bCs/>
                <w:kern w:val="0"/>
                <w:szCs w:val="21"/>
                <w:highlight w:val="none"/>
              </w:rPr>
              <w:t>注：投标报价以“</w:t>
            </w:r>
            <w:r>
              <w:rPr>
                <w:rFonts w:hint="eastAsia" w:ascii="宋体" w:hAnsi="宋体"/>
                <w:b/>
                <w:bCs/>
                <w:kern w:val="0"/>
                <w:szCs w:val="21"/>
                <w:highlight w:val="none"/>
                <w:lang w:val="en-US" w:eastAsia="zh-CN"/>
              </w:rPr>
              <w:t>万</w:t>
            </w:r>
            <w:r>
              <w:rPr>
                <w:rFonts w:hint="eastAsia" w:ascii="宋体" w:hAnsi="宋体"/>
                <w:b/>
                <w:bCs/>
                <w:kern w:val="0"/>
                <w:szCs w:val="21"/>
                <w:highlight w:val="none"/>
              </w:rPr>
              <w:t>元”为单位，小数点后保留两位小数，第三位四舍五入。</w:t>
            </w:r>
          </w:p>
        </w:tc>
      </w:tr>
    </w:tbl>
    <w:p w14:paraId="4D147E2A">
      <w:pPr>
        <w:rPr>
          <w:highlight w:val="none"/>
        </w:rPr>
        <w:sectPr>
          <w:pgSz w:w="11905" w:h="16838"/>
          <w:pgMar w:top="1440" w:right="1803" w:bottom="1440" w:left="1803" w:header="851" w:footer="992" w:gutter="0"/>
          <w:pgNumType w:fmt="decimal"/>
          <w:cols w:space="0" w:num="1"/>
          <w:rtlGutter w:val="0"/>
          <w:docGrid w:type="lines" w:linePitch="319" w:charSpace="0"/>
        </w:sectPr>
      </w:pPr>
    </w:p>
    <w:p w14:paraId="5D9DE417">
      <w:pPr>
        <w:pStyle w:val="3"/>
        <w:ind w:firstLine="602"/>
        <w:jc w:val="center"/>
        <w:rPr>
          <w:color w:val="auto"/>
          <w:highlight w:val="none"/>
        </w:rPr>
      </w:pPr>
      <w:bookmarkStart w:id="437" w:name="_Toc133420547"/>
      <w:bookmarkStart w:id="438" w:name="_Toc15389"/>
      <w:bookmarkStart w:id="439" w:name="_Toc361508760"/>
      <w:r>
        <w:rPr>
          <w:rFonts w:hint="eastAsia"/>
          <w:color w:val="auto"/>
          <w:highlight w:val="none"/>
          <w:lang w:val="en-US" w:eastAsia="zh-CN"/>
        </w:rPr>
        <w:t>四</w:t>
      </w:r>
      <w:r>
        <w:rPr>
          <w:rFonts w:hint="eastAsia"/>
          <w:color w:val="auto"/>
          <w:highlight w:val="none"/>
        </w:rPr>
        <w:t>、资格审查资料</w:t>
      </w:r>
      <w:bookmarkEnd w:id="437"/>
      <w:bookmarkEnd w:id="438"/>
    </w:p>
    <w:p w14:paraId="3809A48B">
      <w:pPr>
        <w:spacing w:line="360" w:lineRule="auto"/>
        <w:ind w:firstLine="48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根据招标公告“投标人资格要求”提供相关资料。</w:t>
      </w:r>
    </w:p>
    <w:p w14:paraId="39978887">
      <w:pPr>
        <w:widowControl/>
        <w:jc w:val="left"/>
        <w:rPr>
          <w:rFonts w:ascii="宋体" w:hAnsi="宋体" w:eastAsia="宋体" w:cs="Times New Roman"/>
          <w:b/>
          <w:color w:val="auto"/>
          <w:sz w:val="30"/>
          <w:szCs w:val="30"/>
          <w:highlight w:val="none"/>
        </w:rPr>
      </w:pPr>
      <w:r>
        <w:rPr>
          <w:rFonts w:ascii="宋体" w:hAnsi="宋体" w:eastAsia="宋体"/>
          <w:color w:val="auto"/>
          <w:highlight w:val="none"/>
        </w:rPr>
        <w:br w:type="page"/>
      </w:r>
    </w:p>
    <w:p w14:paraId="15BB62E0">
      <w:pPr>
        <w:pStyle w:val="3"/>
        <w:ind w:firstLine="2662" w:firstLineChars="884"/>
        <w:jc w:val="both"/>
        <w:rPr>
          <w:color w:val="auto"/>
          <w:highlight w:val="none"/>
        </w:rPr>
      </w:pPr>
      <w:bookmarkStart w:id="440" w:name="_Toc133420548"/>
      <w:bookmarkStart w:id="441" w:name="_Toc25207"/>
      <w:r>
        <w:rPr>
          <w:rFonts w:hint="eastAsia"/>
          <w:color w:val="auto"/>
          <w:highlight w:val="none"/>
          <w:lang w:val="en-US" w:eastAsia="zh-CN"/>
        </w:rPr>
        <w:t>五</w:t>
      </w:r>
      <w:r>
        <w:rPr>
          <w:rFonts w:hint="eastAsia"/>
          <w:color w:val="auto"/>
          <w:highlight w:val="none"/>
        </w:rPr>
        <w:t>、投标人声明</w:t>
      </w:r>
      <w:bookmarkEnd w:id="440"/>
      <w:bookmarkEnd w:id="441"/>
    </w:p>
    <w:bookmarkEnd w:id="439"/>
    <w:p w14:paraId="5620F4C3">
      <w:pPr>
        <w:widowControl/>
        <w:snapToGrid w:val="0"/>
        <w:spacing w:before="260" w:after="260" w:line="360" w:lineRule="auto"/>
        <w:ind w:right="386"/>
        <w:jc w:val="center"/>
        <w:rPr>
          <w:rFonts w:ascii="宋体" w:hAnsi="宋体" w:eastAsia="宋体" w:cs="Cambria Math"/>
          <w:b/>
          <w:color w:val="auto"/>
          <w:kern w:val="0"/>
          <w:sz w:val="24"/>
          <w:szCs w:val="24"/>
          <w:highlight w:val="none"/>
        </w:rPr>
      </w:pPr>
      <w:bookmarkStart w:id="442" w:name="_Toc133420549"/>
      <w:bookmarkStart w:id="443" w:name="_Toc533084451"/>
      <w:r>
        <w:rPr>
          <w:rFonts w:hint="eastAsia" w:ascii="宋体" w:hAnsi="宋体" w:eastAsia="宋体" w:cs="宋体"/>
          <w:b/>
          <w:color w:val="auto"/>
          <w:kern w:val="0"/>
          <w:sz w:val="24"/>
          <w:szCs w:val="24"/>
          <w:highlight w:val="none"/>
        </w:rPr>
        <w:t>投标人声明</w:t>
      </w:r>
    </w:p>
    <w:p w14:paraId="217941B7">
      <w:pPr>
        <w:snapToGrid w:val="0"/>
        <w:spacing w:line="360" w:lineRule="auto"/>
        <w:rPr>
          <w:rFonts w:ascii="宋体" w:hAnsi="宋体" w:eastAsia="宋体" w:cs="Cambria Math"/>
          <w:color w:val="auto"/>
          <w:kern w:val="0"/>
          <w:sz w:val="21"/>
          <w:szCs w:val="21"/>
          <w:highlight w:val="none"/>
        </w:rPr>
      </w:pPr>
      <w:r>
        <w:rPr>
          <w:rFonts w:hint="eastAsia" w:ascii="宋体" w:hAnsi="宋体" w:eastAsia="宋体"/>
          <w:color w:val="auto"/>
          <w:sz w:val="21"/>
          <w:szCs w:val="21"/>
          <w:highlight w:val="none"/>
          <w:u w:val="single"/>
        </w:rPr>
        <w:t>广州市天投城市更新有限公司</w:t>
      </w:r>
      <w:r>
        <w:rPr>
          <w:rFonts w:hint="eastAsia" w:ascii="宋体" w:hAnsi="宋体" w:eastAsia="宋体" w:cs="宋体"/>
          <w:color w:val="auto"/>
          <w:kern w:val="0"/>
          <w:sz w:val="21"/>
          <w:szCs w:val="21"/>
          <w:highlight w:val="none"/>
        </w:rPr>
        <w:t>：</w:t>
      </w:r>
    </w:p>
    <w:p w14:paraId="5F61CF76">
      <w:pPr>
        <w:snapToGrid w:val="0"/>
        <w:spacing w:line="360" w:lineRule="auto"/>
        <w:ind w:firstLine="420" w:firstLineChars="200"/>
        <w:rPr>
          <w:rFonts w:ascii="宋体" w:hAnsi="宋体" w:eastAsia="宋体" w:cs="Cambria Math"/>
          <w:color w:val="auto"/>
          <w:kern w:val="0"/>
          <w:sz w:val="21"/>
          <w:szCs w:val="21"/>
          <w:highlight w:val="none"/>
        </w:rPr>
      </w:pPr>
      <w:r>
        <w:rPr>
          <w:rFonts w:hint="eastAsia" w:ascii="宋体" w:hAnsi="宋体" w:eastAsia="宋体" w:cs="宋体"/>
          <w:color w:val="auto"/>
          <w:kern w:val="0"/>
          <w:sz w:val="21"/>
          <w:szCs w:val="21"/>
          <w:highlight w:val="none"/>
        </w:rPr>
        <w:t>本公司就参加</w:t>
      </w:r>
      <w:r>
        <w:rPr>
          <w:rFonts w:hint="eastAsia" w:ascii="宋体" w:hAnsi="宋体" w:eastAsia="宋体" w:cs="Cambria Math"/>
          <w:color w:val="auto"/>
          <w:kern w:val="0"/>
          <w:sz w:val="21"/>
          <w:szCs w:val="21"/>
          <w:highlight w:val="none"/>
          <w:u w:val="single"/>
        </w:rPr>
        <w:t>      </w:t>
      </w:r>
      <w:r>
        <w:rPr>
          <w:rFonts w:hint="eastAsia" w:ascii="宋体" w:hAnsi="宋体" w:eastAsia="宋体" w:cs="Cambria Math"/>
          <w:color w:val="auto"/>
          <w:kern w:val="0"/>
          <w:sz w:val="21"/>
          <w:szCs w:val="21"/>
          <w:highlight w:val="none"/>
          <w:u w:val="single"/>
          <w:lang w:eastAsia="zh-CN"/>
        </w:rPr>
        <w:t>（</w:t>
      </w:r>
      <w:r>
        <w:rPr>
          <w:rFonts w:hint="eastAsia" w:ascii="宋体" w:hAnsi="宋体" w:eastAsia="宋体" w:cs="Cambria Math"/>
          <w:color w:val="auto"/>
          <w:kern w:val="0"/>
          <w:sz w:val="21"/>
          <w:szCs w:val="21"/>
          <w:highlight w:val="none"/>
          <w:u w:val="single"/>
          <w:lang w:val="en-US" w:eastAsia="zh-CN"/>
        </w:rPr>
        <w:t>项目名称</w:t>
      </w:r>
      <w:r>
        <w:rPr>
          <w:rFonts w:hint="eastAsia" w:ascii="宋体" w:hAnsi="宋体" w:eastAsia="宋体" w:cs="Cambria Math"/>
          <w:color w:val="auto"/>
          <w:kern w:val="0"/>
          <w:sz w:val="21"/>
          <w:szCs w:val="21"/>
          <w:highlight w:val="none"/>
          <w:u w:val="single"/>
          <w:lang w:eastAsia="zh-CN"/>
        </w:rPr>
        <w:t>）</w:t>
      </w:r>
      <w:r>
        <w:rPr>
          <w:rFonts w:hint="eastAsia" w:ascii="宋体" w:hAnsi="宋体" w:eastAsia="宋体" w:cs="Cambria Math"/>
          <w:color w:val="auto"/>
          <w:kern w:val="0"/>
          <w:sz w:val="21"/>
          <w:szCs w:val="21"/>
          <w:highlight w:val="none"/>
          <w:u w:val="single"/>
        </w:rPr>
        <w:t>          </w:t>
      </w:r>
      <w:r>
        <w:rPr>
          <w:rFonts w:hint="eastAsia" w:ascii="宋体" w:hAnsi="宋体" w:eastAsia="宋体" w:cs="宋体"/>
          <w:color w:val="auto"/>
          <w:kern w:val="0"/>
          <w:sz w:val="21"/>
          <w:szCs w:val="21"/>
          <w:highlight w:val="none"/>
        </w:rPr>
        <w:t>项目投标工作，作出郑重声明：</w:t>
      </w:r>
    </w:p>
    <w:p w14:paraId="26B3982E">
      <w:pPr>
        <w:snapToGrid w:val="0"/>
        <w:spacing w:line="360" w:lineRule="auto"/>
        <w:ind w:firstLine="420" w:firstLineChars="200"/>
        <w:rPr>
          <w:rFonts w:ascii="宋体" w:hAnsi="宋体" w:eastAsia="宋体" w:cs="Cambria Math"/>
          <w:color w:val="auto"/>
          <w:kern w:val="0"/>
          <w:sz w:val="21"/>
          <w:szCs w:val="21"/>
          <w:highlight w:val="none"/>
        </w:rPr>
      </w:pPr>
      <w:r>
        <w:rPr>
          <w:rFonts w:hint="eastAsia" w:ascii="宋体" w:hAnsi="宋体" w:eastAsia="宋体" w:cs="宋体"/>
          <w:color w:val="auto"/>
          <w:kern w:val="0"/>
          <w:sz w:val="21"/>
          <w:szCs w:val="21"/>
          <w:highlight w:val="none"/>
        </w:rPr>
        <w:t>一、本公司保证投标登记及其后提供的一切材料都是真实的。</w:t>
      </w:r>
    </w:p>
    <w:p w14:paraId="7B0C2E33">
      <w:pPr>
        <w:snapToGrid w:val="0"/>
        <w:spacing w:line="360" w:lineRule="auto"/>
        <w:ind w:firstLine="420" w:firstLineChars="200"/>
        <w:rPr>
          <w:rFonts w:ascii="宋体" w:hAnsi="宋体" w:eastAsia="宋体" w:cs="Cambria Math"/>
          <w:color w:val="auto"/>
          <w:kern w:val="0"/>
          <w:sz w:val="21"/>
          <w:szCs w:val="21"/>
          <w:highlight w:val="none"/>
        </w:rPr>
      </w:pPr>
      <w:r>
        <w:rPr>
          <w:rFonts w:hint="eastAsia" w:ascii="宋体" w:hAnsi="宋体" w:eastAsia="宋体" w:cs="宋体"/>
          <w:color w:val="auto"/>
          <w:kern w:val="0"/>
          <w:sz w:val="21"/>
          <w:szCs w:val="21"/>
          <w:highlight w:val="none"/>
        </w:rPr>
        <w:t>二、本公司保证在本项目投标中不与其他单位围标、串标，不出让投标资格，不向招标人或评标委员会成员行贿。</w:t>
      </w:r>
    </w:p>
    <w:p w14:paraId="3E5B46C2">
      <w:pPr>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三、本公司不存在招标文件第二章投标人须知第</w:t>
      </w:r>
      <w:r>
        <w:rPr>
          <w:rFonts w:ascii="宋体" w:hAnsi="宋体" w:eastAsia="宋体" w:cs="宋体"/>
          <w:color w:val="auto"/>
          <w:kern w:val="0"/>
          <w:sz w:val="21"/>
          <w:szCs w:val="21"/>
          <w:highlight w:val="none"/>
        </w:rPr>
        <w:t>1.4.3项所规定的任何一种情形。</w:t>
      </w:r>
    </w:p>
    <w:p w14:paraId="4A30A505">
      <w:pPr>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四、本公司及其有隶属关系的机构，没有参加本项目招标文件的编写工作；本公司与本次招标的招标代理机构没有隶属关系或其他利害关系。</w:t>
      </w:r>
    </w:p>
    <w:p w14:paraId="6DAF0160">
      <w:pPr>
        <w:snapToGrid w:val="0"/>
        <w:spacing w:line="360" w:lineRule="auto"/>
        <w:ind w:firstLine="420" w:firstLineChars="200"/>
        <w:rPr>
          <w:rFonts w:ascii="宋体" w:hAnsi="宋体" w:eastAsia="宋体" w:cs="Cambria Math"/>
          <w:color w:val="auto"/>
          <w:kern w:val="0"/>
          <w:sz w:val="21"/>
          <w:szCs w:val="21"/>
          <w:highlight w:val="none"/>
        </w:rPr>
      </w:pPr>
      <w:r>
        <w:rPr>
          <w:rFonts w:hint="eastAsia" w:ascii="宋体" w:hAnsi="宋体" w:eastAsia="宋体" w:cs="宋体"/>
          <w:color w:val="auto"/>
          <w:kern w:val="0"/>
          <w:sz w:val="21"/>
          <w:szCs w:val="21"/>
          <w:highlight w:val="none"/>
        </w:rPr>
        <w:t>五、本公司承诺，中标后严格执行安全生产相关管理规定。</w:t>
      </w:r>
    </w:p>
    <w:p w14:paraId="40F93B40">
      <w:pPr>
        <w:snapToGrid w:val="0"/>
        <w:spacing w:line="360" w:lineRule="auto"/>
        <w:ind w:firstLine="420" w:firstLineChars="200"/>
        <w:rPr>
          <w:rFonts w:ascii="宋体" w:hAnsi="宋体" w:eastAsia="宋体" w:cs="Cambria Math"/>
          <w:color w:val="auto"/>
          <w:kern w:val="0"/>
          <w:sz w:val="21"/>
          <w:szCs w:val="21"/>
          <w:highlight w:val="none"/>
        </w:rPr>
      </w:pPr>
      <w:r>
        <w:rPr>
          <w:rFonts w:hint="eastAsia" w:ascii="宋体" w:hAnsi="宋体" w:eastAsia="宋体" w:cs="宋体"/>
          <w:color w:val="auto"/>
          <w:kern w:val="0"/>
          <w:sz w:val="21"/>
          <w:szCs w:val="21"/>
          <w:highlight w:val="none"/>
        </w:rPr>
        <w:t>六、本公司承诺，中标后严格按照合同和招投标文件规定履行义务，并同意招标人将其履行合同、招投标文件义务的履约情况和不诚信行为（包括但不限于由招标人做出的违约责任处理决定等）在招标人网站和及其他媒体上公开披露，由此造成的一切损失和不利后果均由本公司自行承担。</w:t>
      </w:r>
    </w:p>
    <w:p w14:paraId="5D3805F8">
      <w:pPr>
        <w:snapToGrid w:val="0"/>
        <w:spacing w:line="360" w:lineRule="auto"/>
        <w:ind w:firstLine="420" w:firstLineChars="200"/>
        <w:rPr>
          <w:rFonts w:ascii="宋体" w:hAnsi="宋体" w:eastAsia="宋体" w:cs="Cambria Math"/>
          <w:color w:val="auto"/>
          <w:kern w:val="0"/>
          <w:sz w:val="21"/>
          <w:szCs w:val="21"/>
          <w:highlight w:val="none"/>
        </w:rPr>
      </w:pPr>
      <w:r>
        <w:rPr>
          <w:rFonts w:hint="eastAsia" w:ascii="宋体" w:hAnsi="宋体" w:eastAsia="宋体" w:cs="宋体"/>
          <w:color w:val="auto"/>
          <w:kern w:val="0"/>
          <w:sz w:val="21"/>
          <w:szCs w:val="21"/>
          <w:highlight w:val="none"/>
        </w:rPr>
        <w:t>本公司违反上述保证，或本声明陈述与事实不符，经查实，本公司愿意接受公开通报，承担由此带来的法律后果，并自愿停止参加广州市行政辖区内的招标投标活动三个月。</w:t>
      </w:r>
    </w:p>
    <w:p w14:paraId="7725E2AD">
      <w:pPr>
        <w:snapToGrid w:val="0"/>
        <w:spacing w:line="360" w:lineRule="auto"/>
        <w:ind w:firstLine="420" w:firstLineChars="200"/>
        <w:rPr>
          <w:rFonts w:ascii="宋体" w:hAnsi="宋体" w:eastAsia="宋体" w:cs="Cambria Math"/>
          <w:color w:val="auto"/>
          <w:kern w:val="0"/>
          <w:sz w:val="21"/>
          <w:szCs w:val="21"/>
          <w:highlight w:val="none"/>
        </w:rPr>
      </w:pPr>
      <w:r>
        <w:rPr>
          <w:rFonts w:hint="eastAsia" w:ascii="宋体" w:hAnsi="宋体" w:eastAsia="宋体" w:cs="宋体"/>
          <w:color w:val="auto"/>
          <w:kern w:val="0"/>
          <w:sz w:val="21"/>
          <w:szCs w:val="21"/>
          <w:highlight w:val="none"/>
        </w:rPr>
        <w:t>特此声明。</w:t>
      </w:r>
    </w:p>
    <w:p w14:paraId="7A836F62">
      <w:pPr>
        <w:snapToGrid w:val="0"/>
        <w:spacing w:line="360" w:lineRule="auto"/>
        <w:ind w:firstLine="3349" w:firstLineChars="1595"/>
        <w:rPr>
          <w:rFonts w:ascii="宋体" w:hAnsi="宋体" w:eastAsia="宋体" w:cs="Cambria Math"/>
          <w:color w:val="auto"/>
          <w:kern w:val="0"/>
          <w:sz w:val="21"/>
          <w:szCs w:val="21"/>
          <w:highlight w:val="none"/>
        </w:rPr>
      </w:pPr>
      <w:r>
        <w:rPr>
          <w:rFonts w:hint="eastAsia" w:ascii="宋体" w:hAnsi="宋体" w:eastAsia="宋体" w:cs="宋体"/>
          <w:color w:val="auto"/>
          <w:kern w:val="0"/>
          <w:sz w:val="21"/>
          <w:szCs w:val="21"/>
          <w:highlight w:val="none"/>
        </w:rPr>
        <w:t>声明企业：</w:t>
      </w:r>
      <w:r>
        <w:rPr>
          <w:rFonts w:hint="eastAsia" w:ascii="宋体" w:hAnsi="宋体" w:eastAsia="宋体" w:cs="Cambria Math"/>
          <w:color w:val="auto"/>
          <w:kern w:val="0"/>
          <w:sz w:val="21"/>
          <w:szCs w:val="21"/>
          <w:highlight w:val="none"/>
        </w:rPr>
        <w:t xml:space="preserve"> (</w:t>
      </w:r>
      <w:r>
        <w:rPr>
          <w:rFonts w:hint="eastAsia" w:ascii="宋体" w:hAnsi="宋体" w:eastAsia="宋体" w:cs="宋体"/>
          <w:color w:val="auto"/>
          <w:kern w:val="0"/>
          <w:sz w:val="21"/>
          <w:szCs w:val="21"/>
          <w:highlight w:val="none"/>
        </w:rPr>
        <w:t>企业公章</w:t>
      </w:r>
      <w:r>
        <w:rPr>
          <w:rFonts w:hint="eastAsia" w:ascii="宋体" w:hAnsi="宋体" w:eastAsia="宋体" w:cs="Cambria Math"/>
          <w:color w:val="auto"/>
          <w:kern w:val="0"/>
          <w:sz w:val="21"/>
          <w:szCs w:val="21"/>
          <w:highlight w:val="none"/>
        </w:rPr>
        <w:t>)</w:t>
      </w:r>
    </w:p>
    <w:p w14:paraId="104EC3B5">
      <w:pPr>
        <w:snapToGrid w:val="0"/>
        <w:spacing w:line="360" w:lineRule="auto"/>
        <w:ind w:firstLine="3349" w:firstLineChars="1595"/>
        <w:rPr>
          <w:rFonts w:ascii="宋体" w:hAnsi="宋体" w:eastAsia="宋体" w:cs="Cambria Math"/>
          <w:color w:val="auto"/>
          <w:kern w:val="0"/>
          <w:sz w:val="21"/>
          <w:szCs w:val="21"/>
          <w:highlight w:val="none"/>
        </w:rPr>
      </w:pPr>
      <w:r>
        <w:rPr>
          <w:rFonts w:hint="eastAsia" w:ascii="宋体" w:hAnsi="宋体" w:eastAsia="宋体" w:cs="宋体"/>
          <w:color w:val="auto"/>
          <w:kern w:val="0"/>
          <w:sz w:val="21"/>
          <w:szCs w:val="21"/>
          <w:highlight w:val="none"/>
        </w:rPr>
        <w:t>法定代表人或授权委托人（签字或盖章）：</w:t>
      </w:r>
    </w:p>
    <w:p w14:paraId="27B1D12B">
      <w:pPr>
        <w:spacing w:line="360" w:lineRule="auto"/>
        <w:ind w:firstLine="4620" w:firstLineChars="2200"/>
        <w:rPr>
          <w:rFonts w:ascii="宋体" w:hAnsi="宋体" w:eastAsia="宋体" w:cs="Cambria Math"/>
          <w:color w:val="auto"/>
          <w:kern w:val="0"/>
          <w:sz w:val="21"/>
          <w:szCs w:val="21"/>
          <w:highlight w:val="none"/>
        </w:rPr>
      </w:pP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日</w:t>
      </w:r>
    </w:p>
    <w:p w14:paraId="2D3F94A4">
      <w:pPr>
        <w:pStyle w:val="3"/>
        <w:ind w:firstLine="602"/>
        <w:jc w:val="center"/>
        <w:rPr>
          <w:color w:val="auto"/>
          <w:highlight w:val="none"/>
        </w:rPr>
      </w:pPr>
    </w:p>
    <w:p w14:paraId="63743A09">
      <w:pPr>
        <w:pStyle w:val="3"/>
        <w:ind w:firstLine="602"/>
        <w:jc w:val="center"/>
        <w:rPr>
          <w:color w:val="auto"/>
          <w:highlight w:val="none"/>
        </w:rPr>
      </w:pPr>
    </w:p>
    <w:p w14:paraId="78876A9D">
      <w:pPr>
        <w:pStyle w:val="3"/>
        <w:ind w:firstLine="602"/>
        <w:jc w:val="center"/>
        <w:rPr>
          <w:rFonts w:hint="default"/>
          <w:color w:val="auto"/>
          <w:highlight w:val="none"/>
          <w:lang w:val="en-US"/>
        </w:rPr>
      </w:pPr>
    </w:p>
    <w:p w14:paraId="674DABF4">
      <w:pPr>
        <w:pStyle w:val="3"/>
        <w:ind w:firstLine="602"/>
        <w:jc w:val="center"/>
        <w:rPr>
          <w:rFonts w:hint="default"/>
          <w:color w:val="auto"/>
          <w:highlight w:val="none"/>
          <w:lang w:val="en-US"/>
        </w:rPr>
      </w:pPr>
    </w:p>
    <w:p w14:paraId="538E290A">
      <w:pPr>
        <w:pStyle w:val="3"/>
        <w:ind w:firstLine="0"/>
        <w:jc w:val="both"/>
        <w:rPr>
          <w:rFonts w:hint="default"/>
          <w:color w:val="auto"/>
          <w:highlight w:val="none"/>
          <w:lang w:val="en-US"/>
        </w:rPr>
      </w:pPr>
    </w:p>
    <w:p w14:paraId="497416DC">
      <w:pPr>
        <w:pStyle w:val="3"/>
        <w:ind w:firstLine="2108" w:firstLineChars="700"/>
        <w:jc w:val="both"/>
        <w:rPr>
          <w:color w:val="auto"/>
          <w:highlight w:val="none"/>
        </w:rPr>
      </w:pPr>
      <w:bookmarkStart w:id="444" w:name="_Toc4617"/>
      <w:r>
        <w:rPr>
          <w:rFonts w:hint="eastAsia"/>
          <w:color w:val="auto"/>
          <w:highlight w:val="none"/>
          <w:lang w:val="en-US" w:eastAsia="zh-CN"/>
        </w:rPr>
        <w:t>六</w:t>
      </w:r>
      <w:r>
        <w:rPr>
          <w:rFonts w:hint="eastAsia"/>
          <w:color w:val="auto"/>
          <w:highlight w:val="none"/>
        </w:rPr>
        <w:t>、联合体协议书（参考格式）</w:t>
      </w:r>
      <w:bookmarkEnd w:id="444"/>
    </w:p>
    <w:p w14:paraId="30A24BE2">
      <w:pPr>
        <w:jc w:val="center"/>
        <w:rPr>
          <w:color w:val="auto"/>
          <w:highlight w:val="none"/>
        </w:rPr>
      </w:pPr>
      <w:r>
        <w:rPr>
          <w:rFonts w:hint="eastAsia" w:ascii="宋体" w:hAnsi="宋体" w:eastAsia="宋体"/>
          <w:color w:val="auto"/>
          <w:sz w:val="24"/>
          <w:szCs w:val="24"/>
          <w:highlight w:val="none"/>
        </w:rPr>
        <w:t>详见招标公告附件一</w:t>
      </w:r>
      <w:r>
        <w:rPr>
          <w:rFonts w:hint="eastAsia"/>
          <w:color w:val="auto"/>
          <w:highlight w:val="none"/>
        </w:rPr>
        <w:br w:type="page"/>
      </w:r>
    </w:p>
    <w:p w14:paraId="03B9DFA2">
      <w:pPr>
        <w:pStyle w:val="3"/>
        <w:ind w:firstLine="602"/>
        <w:jc w:val="center"/>
        <w:rPr>
          <w:color w:val="auto"/>
          <w:highlight w:val="none"/>
        </w:rPr>
      </w:pPr>
      <w:bookmarkStart w:id="445" w:name="_Toc19047"/>
      <w:r>
        <w:rPr>
          <w:rFonts w:hint="eastAsia"/>
          <w:color w:val="auto"/>
          <w:highlight w:val="none"/>
          <w:lang w:val="en-US" w:eastAsia="zh-CN"/>
        </w:rPr>
        <w:t>七</w:t>
      </w:r>
      <w:r>
        <w:rPr>
          <w:rFonts w:hint="eastAsia"/>
          <w:color w:val="auto"/>
          <w:highlight w:val="none"/>
        </w:rPr>
        <w:t>、商务部分证明材料</w:t>
      </w:r>
      <w:bookmarkEnd w:id="442"/>
      <w:bookmarkEnd w:id="445"/>
    </w:p>
    <w:bookmarkEnd w:id="443"/>
    <w:p w14:paraId="4752554A">
      <w:pPr>
        <w:spacing w:line="360" w:lineRule="auto"/>
        <w:ind w:firstLine="48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根据商务部分评分标准提供相关证明材料。</w:t>
      </w:r>
    </w:p>
    <w:p w14:paraId="2B77FDD3">
      <w:pPr>
        <w:spacing w:line="360" w:lineRule="auto"/>
        <w:ind w:firstLine="480"/>
        <w:rPr>
          <w:rFonts w:ascii="宋体" w:hAnsi="宋体" w:eastAsia="宋体"/>
          <w:color w:val="auto"/>
          <w:highlight w:val="none"/>
        </w:rPr>
      </w:pPr>
      <w:r>
        <w:rPr>
          <w:rFonts w:ascii="宋体" w:hAnsi="宋体" w:eastAsia="宋体"/>
          <w:color w:val="auto"/>
          <w:sz w:val="24"/>
          <w:szCs w:val="24"/>
          <w:highlight w:val="none"/>
        </w:rPr>
        <w:br w:type="page"/>
      </w:r>
    </w:p>
    <w:p w14:paraId="5BA3434A">
      <w:pPr>
        <w:pStyle w:val="3"/>
        <w:ind w:firstLine="602"/>
        <w:jc w:val="center"/>
        <w:rPr>
          <w:color w:val="auto"/>
          <w:highlight w:val="none"/>
        </w:rPr>
      </w:pPr>
      <w:bookmarkStart w:id="446" w:name="_Toc133420550"/>
      <w:bookmarkStart w:id="447" w:name="_Toc32579"/>
      <w:r>
        <w:rPr>
          <w:rFonts w:hint="eastAsia"/>
          <w:color w:val="auto"/>
          <w:highlight w:val="none"/>
          <w:lang w:val="en-US" w:eastAsia="zh-CN"/>
        </w:rPr>
        <w:t>八</w:t>
      </w:r>
      <w:r>
        <w:rPr>
          <w:rFonts w:hint="eastAsia"/>
          <w:color w:val="auto"/>
          <w:highlight w:val="none"/>
        </w:rPr>
        <w:t>、</w:t>
      </w:r>
      <w:bookmarkEnd w:id="446"/>
      <w:r>
        <w:rPr>
          <w:rFonts w:hint="eastAsia" w:ascii="宋体" w:hAnsi="宋体" w:eastAsia="宋体"/>
          <w:color w:val="auto"/>
          <w:sz w:val="30"/>
          <w:szCs w:val="30"/>
          <w:highlight w:val="none"/>
        </w:rPr>
        <w:t>技术服务方案部分</w:t>
      </w:r>
      <w:bookmarkEnd w:id="447"/>
    </w:p>
    <w:p w14:paraId="776BA547">
      <w:pPr>
        <w:widowControl/>
        <w:ind w:firstLine="48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根据技术服务方案</w:t>
      </w:r>
      <w:r>
        <w:rPr>
          <w:rFonts w:hint="eastAsia" w:ascii="宋体" w:hAnsi="宋体" w:eastAsia="宋体"/>
          <w:color w:val="auto"/>
          <w:sz w:val="21"/>
          <w:szCs w:val="21"/>
          <w:highlight w:val="none"/>
          <w:lang w:val="en-US" w:eastAsia="zh-CN"/>
        </w:rPr>
        <w:t>部分</w:t>
      </w:r>
      <w:r>
        <w:rPr>
          <w:rFonts w:hint="eastAsia" w:ascii="宋体" w:hAnsi="宋体" w:eastAsia="宋体"/>
          <w:color w:val="auto"/>
          <w:sz w:val="21"/>
          <w:szCs w:val="21"/>
          <w:highlight w:val="none"/>
        </w:rPr>
        <w:t>评分标准自行编制。</w:t>
      </w:r>
    </w:p>
    <w:p w14:paraId="57250810">
      <w:pPr>
        <w:widowControl/>
        <w:jc w:val="center"/>
        <w:rPr>
          <w:rFonts w:ascii="宋体" w:hAnsi="宋体" w:eastAsia="宋体" w:cs="Times New Roman"/>
          <w:color w:val="auto"/>
          <w:szCs w:val="21"/>
          <w:highlight w:val="none"/>
        </w:rPr>
      </w:pPr>
      <w:r>
        <w:rPr>
          <w:rFonts w:ascii="宋体" w:hAnsi="宋体" w:eastAsia="宋体"/>
          <w:color w:val="auto"/>
          <w:szCs w:val="21"/>
          <w:highlight w:val="none"/>
        </w:rPr>
        <w:br w:type="page"/>
      </w:r>
    </w:p>
    <w:p w14:paraId="351E6C8C">
      <w:pPr>
        <w:pStyle w:val="3"/>
        <w:ind w:firstLine="602"/>
        <w:jc w:val="center"/>
        <w:rPr>
          <w:color w:val="auto"/>
          <w:highlight w:val="none"/>
        </w:rPr>
      </w:pPr>
      <w:bookmarkStart w:id="448" w:name="_Toc133420551"/>
      <w:bookmarkStart w:id="449" w:name="_Toc27960"/>
      <w:r>
        <w:rPr>
          <w:rFonts w:hint="eastAsia"/>
          <w:color w:val="auto"/>
          <w:highlight w:val="none"/>
          <w:lang w:val="en-US" w:eastAsia="zh-CN"/>
        </w:rPr>
        <w:t>九</w:t>
      </w:r>
      <w:r>
        <w:rPr>
          <w:rFonts w:hint="eastAsia"/>
          <w:color w:val="auto"/>
          <w:highlight w:val="none"/>
        </w:rPr>
        <w:t>、其他资料</w:t>
      </w:r>
      <w:bookmarkEnd w:id="448"/>
      <w:bookmarkEnd w:id="449"/>
    </w:p>
    <w:p w14:paraId="76EF7CF7">
      <w:pPr>
        <w:spacing w:line="360" w:lineRule="auto"/>
        <w:ind w:firstLine="48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投标人认为有必要提交的其他资料，格式自定。</w:t>
      </w:r>
    </w:p>
    <w:p w14:paraId="79E2A572">
      <w:pPr>
        <w:widowControl/>
        <w:spacing w:line="360" w:lineRule="auto"/>
        <w:ind w:firstLine="480"/>
        <w:jc w:val="left"/>
        <w:rPr>
          <w:rFonts w:ascii="宋体" w:hAnsi="宋体" w:eastAsia="宋体"/>
          <w:color w:val="auto"/>
          <w:sz w:val="24"/>
          <w:szCs w:val="24"/>
          <w:highlight w:val="none"/>
        </w:rPr>
      </w:pPr>
    </w:p>
    <w:sectPr>
      <w:pgSz w:w="11905"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8D681BA-0C43-4213-947C-C0FC53BB5954}"/>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72F41953-5600-4738-AAC9-A35FB5B527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AD54A0A9-6D5C-46CF-850B-054D073F4963}"/>
  </w:font>
  <w:font w:name="等线">
    <w:panose1 w:val="02010600030101010101"/>
    <w:charset w:val="86"/>
    <w:family w:val="auto"/>
    <w:pitch w:val="default"/>
    <w:sig w:usb0="A00002BF" w:usb1="38CF7CFA" w:usb2="00000016" w:usb3="00000000" w:csb0="0004000F" w:csb1="00000000"/>
    <w:embedRegular r:id="rId4" w:fontKey="{F23804AE-0262-41ED-BE86-7FE7EF550AA7}"/>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embedRegular r:id="rId5" w:fontKey="{2DCCCBBD-3EA3-44E4-8319-D9E1382B57FC}"/>
  </w:font>
  <w:font w:name="Cambria Math">
    <w:panose1 w:val="02040503050406030204"/>
    <w:charset w:val="00"/>
    <w:family w:val="roman"/>
    <w:pitch w:val="default"/>
    <w:sig w:usb0="E00006FF" w:usb1="420024FF" w:usb2="02000000" w:usb3="00000000" w:csb0="2000019F" w:csb1="00000000"/>
    <w:embedRegular r:id="rId6" w:fontKey="{9E36030B-5D69-4A3A-A878-B9B737419D5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07B81">
    <w:pPr>
      <w:pStyle w:val="19"/>
      <w:jc w:val="center"/>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8B2A384">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8B2A384">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AFF91">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05276DA">
                          <w:pPr>
                            <w:pStyle w:val="1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305276DA">
                    <w:pPr>
                      <w:pStyle w:val="1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00738">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531F87"/>
    <w:multiLevelType w:val="singleLevel"/>
    <w:tmpl w:val="D6531F87"/>
    <w:lvl w:ilvl="0" w:tentative="0">
      <w:start w:val="5"/>
      <w:numFmt w:val="chineseCounting"/>
      <w:suff w:val="space"/>
      <w:lvlText w:val="第%1章"/>
      <w:lvlJc w:val="left"/>
      <w:rPr>
        <w:rFonts w:hint="eastAsia"/>
      </w:rPr>
    </w:lvl>
  </w:abstractNum>
  <w:abstractNum w:abstractNumId="1">
    <w:nsid w:val="29C5C8D9"/>
    <w:multiLevelType w:val="singleLevel"/>
    <w:tmpl w:val="29C5C8D9"/>
    <w:lvl w:ilvl="0" w:tentative="0">
      <w:start w:val="1"/>
      <w:numFmt w:val="decimal"/>
      <w:suff w:val="nothing"/>
      <w:lvlText w:val="（%1）"/>
      <w:lvlJc w:val="left"/>
    </w:lvl>
  </w:abstractNum>
  <w:abstractNum w:abstractNumId="2">
    <w:nsid w:val="2DA8CBAD"/>
    <w:multiLevelType w:val="singleLevel"/>
    <w:tmpl w:val="2DA8CBAD"/>
    <w:lvl w:ilvl="0" w:tentative="0">
      <w:start w:val="1"/>
      <w:numFmt w:val="decimal"/>
      <w:suff w:val="nothing"/>
      <w:lvlText w:val="（%1）"/>
      <w:lvlJc w:val="left"/>
    </w:lvl>
  </w:abstractNum>
  <w:abstractNum w:abstractNumId="3">
    <w:nsid w:val="4319D216"/>
    <w:multiLevelType w:val="singleLevel"/>
    <w:tmpl w:val="4319D216"/>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TrueTypeFonts/>
  <w:saveSubsetFonts/>
  <w:bordersDoNotSurroundHeader w:val="0"/>
  <w:bordersDoNotSurroundFooter w:val="0"/>
  <w:trackRevisions w:val="1"/>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hZTk5MTdiNDUzYTczYmIzZmMyYTU0ZTYxODcxMmUifQ=="/>
  </w:docVars>
  <w:rsids>
    <w:rsidRoot w:val="00E47EE4"/>
    <w:rsid w:val="00003BC7"/>
    <w:rsid w:val="00015E16"/>
    <w:rsid w:val="00017CA9"/>
    <w:rsid w:val="00022967"/>
    <w:rsid w:val="0003371A"/>
    <w:rsid w:val="00037F44"/>
    <w:rsid w:val="000625B1"/>
    <w:rsid w:val="00062ADE"/>
    <w:rsid w:val="00065B69"/>
    <w:rsid w:val="00065F2E"/>
    <w:rsid w:val="00067268"/>
    <w:rsid w:val="00076F72"/>
    <w:rsid w:val="00080F01"/>
    <w:rsid w:val="000825C1"/>
    <w:rsid w:val="00086A76"/>
    <w:rsid w:val="000966A2"/>
    <w:rsid w:val="000A29BC"/>
    <w:rsid w:val="000A70DA"/>
    <w:rsid w:val="000B2C7B"/>
    <w:rsid w:val="000B5678"/>
    <w:rsid w:val="000D60DC"/>
    <w:rsid w:val="000D730E"/>
    <w:rsid w:val="000E0941"/>
    <w:rsid w:val="000E1AB5"/>
    <w:rsid w:val="000E660B"/>
    <w:rsid w:val="000F00F4"/>
    <w:rsid w:val="000F05B1"/>
    <w:rsid w:val="000F520A"/>
    <w:rsid w:val="00104FCA"/>
    <w:rsid w:val="0011603F"/>
    <w:rsid w:val="00121FF8"/>
    <w:rsid w:val="00124311"/>
    <w:rsid w:val="00142F56"/>
    <w:rsid w:val="00150115"/>
    <w:rsid w:val="00151805"/>
    <w:rsid w:val="0015379E"/>
    <w:rsid w:val="00154F78"/>
    <w:rsid w:val="00155F59"/>
    <w:rsid w:val="001569A2"/>
    <w:rsid w:val="001619C8"/>
    <w:rsid w:val="00165045"/>
    <w:rsid w:val="001677A3"/>
    <w:rsid w:val="00187E4F"/>
    <w:rsid w:val="00192820"/>
    <w:rsid w:val="001C0074"/>
    <w:rsid w:val="001C49A9"/>
    <w:rsid w:val="001C572B"/>
    <w:rsid w:val="001C751E"/>
    <w:rsid w:val="001D342B"/>
    <w:rsid w:val="001D4433"/>
    <w:rsid w:val="001E04D0"/>
    <w:rsid w:val="001E1577"/>
    <w:rsid w:val="001E6476"/>
    <w:rsid w:val="001E7AD1"/>
    <w:rsid w:val="001F55E1"/>
    <w:rsid w:val="00204890"/>
    <w:rsid w:val="0020659B"/>
    <w:rsid w:val="0022411E"/>
    <w:rsid w:val="0022784D"/>
    <w:rsid w:val="002453EB"/>
    <w:rsid w:val="00254CEA"/>
    <w:rsid w:val="002636D6"/>
    <w:rsid w:val="00265265"/>
    <w:rsid w:val="0027043F"/>
    <w:rsid w:val="00270F67"/>
    <w:rsid w:val="00270FA8"/>
    <w:rsid w:val="00281040"/>
    <w:rsid w:val="00293172"/>
    <w:rsid w:val="002A6895"/>
    <w:rsid w:val="002B111D"/>
    <w:rsid w:val="002B3286"/>
    <w:rsid w:val="002B53A9"/>
    <w:rsid w:val="002E2084"/>
    <w:rsid w:val="002E377B"/>
    <w:rsid w:val="002F0AF7"/>
    <w:rsid w:val="002F7705"/>
    <w:rsid w:val="00300B0B"/>
    <w:rsid w:val="0030691D"/>
    <w:rsid w:val="00315958"/>
    <w:rsid w:val="00325688"/>
    <w:rsid w:val="003315E5"/>
    <w:rsid w:val="00345807"/>
    <w:rsid w:val="00351731"/>
    <w:rsid w:val="0035178D"/>
    <w:rsid w:val="00366719"/>
    <w:rsid w:val="0036725C"/>
    <w:rsid w:val="0037130E"/>
    <w:rsid w:val="00375D39"/>
    <w:rsid w:val="00380382"/>
    <w:rsid w:val="00397FFB"/>
    <w:rsid w:val="003A79A1"/>
    <w:rsid w:val="003B0D63"/>
    <w:rsid w:val="003B0DCC"/>
    <w:rsid w:val="003B29D9"/>
    <w:rsid w:val="003D3B3C"/>
    <w:rsid w:val="003D6393"/>
    <w:rsid w:val="003E1EBE"/>
    <w:rsid w:val="003E26AC"/>
    <w:rsid w:val="003E43CA"/>
    <w:rsid w:val="003E48C3"/>
    <w:rsid w:val="003E7A2F"/>
    <w:rsid w:val="003F00BC"/>
    <w:rsid w:val="003F0C33"/>
    <w:rsid w:val="003F357B"/>
    <w:rsid w:val="003F5A23"/>
    <w:rsid w:val="003F771E"/>
    <w:rsid w:val="00421B47"/>
    <w:rsid w:val="00432399"/>
    <w:rsid w:val="00441BA3"/>
    <w:rsid w:val="00473A01"/>
    <w:rsid w:val="0047706D"/>
    <w:rsid w:val="0048526B"/>
    <w:rsid w:val="00486642"/>
    <w:rsid w:val="00487406"/>
    <w:rsid w:val="004930B8"/>
    <w:rsid w:val="00497781"/>
    <w:rsid w:val="004A48CD"/>
    <w:rsid w:val="004A4DFD"/>
    <w:rsid w:val="004B0940"/>
    <w:rsid w:val="004B191E"/>
    <w:rsid w:val="004E2CB7"/>
    <w:rsid w:val="004E3F44"/>
    <w:rsid w:val="004F2647"/>
    <w:rsid w:val="005049E3"/>
    <w:rsid w:val="00505B63"/>
    <w:rsid w:val="005079E8"/>
    <w:rsid w:val="00512D5E"/>
    <w:rsid w:val="005148ED"/>
    <w:rsid w:val="00521C88"/>
    <w:rsid w:val="00522CBA"/>
    <w:rsid w:val="0052436F"/>
    <w:rsid w:val="00526134"/>
    <w:rsid w:val="00527336"/>
    <w:rsid w:val="00537B88"/>
    <w:rsid w:val="00537C9A"/>
    <w:rsid w:val="00542725"/>
    <w:rsid w:val="005442D8"/>
    <w:rsid w:val="00544C99"/>
    <w:rsid w:val="0055574E"/>
    <w:rsid w:val="0056361E"/>
    <w:rsid w:val="00592425"/>
    <w:rsid w:val="0059779B"/>
    <w:rsid w:val="005A7295"/>
    <w:rsid w:val="005A793E"/>
    <w:rsid w:val="005B20D1"/>
    <w:rsid w:val="005B3603"/>
    <w:rsid w:val="005B58FA"/>
    <w:rsid w:val="005C103D"/>
    <w:rsid w:val="005C436F"/>
    <w:rsid w:val="005D0C72"/>
    <w:rsid w:val="005D21CB"/>
    <w:rsid w:val="005D2BC0"/>
    <w:rsid w:val="005E07B8"/>
    <w:rsid w:val="005E7476"/>
    <w:rsid w:val="005F3A0C"/>
    <w:rsid w:val="005F44AD"/>
    <w:rsid w:val="006060D6"/>
    <w:rsid w:val="00606E0F"/>
    <w:rsid w:val="00607572"/>
    <w:rsid w:val="006223C6"/>
    <w:rsid w:val="0063069D"/>
    <w:rsid w:val="00631ED3"/>
    <w:rsid w:val="0063400A"/>
    <w:rsid w:val="00635528"/>
    <w:rsid w:val="00637862"/>
    <w:rsid w:val="00645093"/>
    <w:rsid w:val="006450E1"/>
    <w:rsid w:val="00645165"/>
    <w:rsid w:val="00650DE3"/>
    <w:rsid w:val="00660374"/>
    <w:rsid w:val="006752D3"/>
    <w:rsid w:val="006775D4"/>
    <w:rsid w:val="00684DCF"/>
    <w:rsid w:val="00684DED"/>
    <w:rsid w:val="00696D85"/>
    <w:rsid w:val="0069744E"/>
    <w:rsid w:val="006B1A18"/>
    <w:rsid w:val="006C0D69"/>
    <w:rsid w:val="006D09B6"/>
    <w:rsid w:val="006D453D"/>
    <w:rsid w:val="006D4EDD"/>
    <w:rsid w:val="006E2747"/>
    <w:rsid w:val="006E6FBC"/>
    <w:rsid w:val="006F1104"/>
    <w:rsid w:val="006F5B6C"/>
    <w:rsid w:val="00707975"/>
    <w:rsid w:val="00713517"/>
    <w:rsid w:val="00714536"/>
    <w:rsid w:val="00720DCC"/>
    <w:rsid w:val="00726320"/>
    <w:rsid w:val="0076064D"/>
    <w:rsid w:val="00774396"/>
    <w:rsid w:val="007833DB"/>
    <w:rsid w:val="007934CC"/>
    <w:rsid w:val="00793DFD"/>
    <w:rsid w:val="007973F3"/>
    <w:rsid w:val="00797DD0"/>
    <w:rsid w:val="007A0846"/>
    <w:rsid w:val="007A2A97"/>
    <w:rsid w:val="007A4FEF"/>
    <w:rsid w:val="007B2A5B"/>
    <w:rsid w:val="007C0BBF"/>
    <w:rsid w:val="007C1038"/>
    <w:rsid w:val="007C48F2"/>
    <w:rsid w:val="007C6C07"/>
    <w:rsid w:val="007D6105"/>
    <w:rsid w:val="007E0C27"/>
    <w:rsid w:val="007E58DE"/>
    <w:rsid w:val="007F6434"/>
    <w:rsid w:val="00800D66"/>
    <w:rsid w:val="00801375"/>
    <w:rsid w:val="00802188"/>
    <w:rsid w:val="00811255"/>
    <w:rsid w:val="00822142"/>
    <w:rsid w:val="0083724B"/>
    <w:rsid w:val="00845BFA"/>
    <w:rsid w:val="00851CA7"/>
    <w:rsid w:val="00857273"/>
    <w:rsid w:val="0085779D"/>
    <w:rsid w:val="00865FAF"/>
    <w:rsid w:val="00870CFB"/>
    <w:rsid w:val="008774C9"/>
    <w:rsid w:val="00877896"/>
    <w:rsid w:val="00881A4E"/>
    <w:rsid w:val="00890D31"/>
    <w:rsid w:val="00895C0E"/>
    <w:rsid w:val="00896F38"/>
    <w:rsid w:val="008A5420"/>
    <w:rsid w:val="008B6DB5"/>
    <w:rsid w:val="008B7701"/>
    <w:rsid w:val="008C06AF"/>
    <w:rsid w:val="008C0B4D"/>
    <w:rsid w:val="008C0EB2"/>
    <w:rsid w:val="008C5324"/>
    <w:rsid w:val="008C661D"/>
    <w:rsid w:val="008C774A"/>
    <w:rsid w:val="008D5689"/>
    <w:rsid w:val="008E10C4"/>
    <w:rsid w:val="008F5AEC"/>
    <w:rsid w:val="008F66FA"/>
    <w:rsid w:val="00924700"/>
    <w:rsid w:val="009320F9"/>
    <w:rsid w:val="009344F6"/>
    <w:rsid w:val="009407F8"/>
    <w:rsid w:val="009554ED"/>
    <w:rsid w:val="009557CA"/>
    <w:rsid w:val="009570A2"/>
    <w:rsid w:val="009649F9"/>
    <w:rsid w:val="009722BF"/>
    <w:rsid w:val="009758AD"/>
    <w:rsid w:val="0097694E"/>
    <w:rsid w:val="0097781A"/>
    <w:rsid w:val="00980BFE"/>
    <w:rsid w:val="00987DFD"/>
    <w:rsid w:val="009935F1"/>
    <w:rsid w:val="00993F1B"/>
    <w:rsid w:val="009A3818"/>
    <w:rsid w:val="009A3F71"/>
    <w:rsid w:val="009A7C5B"/>
    <w:rsid w:val="009B00AB"/>
    <w:rsid w:val="009D18C8"/>
    <w:rsid w:val="009D3391"/>
    <w:rsid w:val="009E7C1E"/>
    <w:rsid w:val="009F33B0"/>
    <w:rsid w:val="009F3A22"/>
    <w:rsid w:val="009F5AF8"/>
    <w:rsid w:val="00A02074"/>
    <w:rsid w:val="00A0226D"/>
    <w:rsid w:val="00A10909"/>
    <w:rsid w:val="00A1297F"/>
    <w:rsid w:val="00A242E5"/>
    <w:rsid w:val="00A304BB"/>
    <w:rsid w:val="00A312FC"/>
    <w:rsid w:val="00A374DF"/>
    <w:rsid w:val="00A63A5D"/>
    <w:rsid w:val="00A67344"/>
    <w:rsid w:val="00A77A5F"/>
    <w:rsid w:val="00A80829"/>
    <w:rsid w:val="00A82AB9"/>
    <w:rsid w:val="00AA1915"/>
    <w:rsid w:val="00AA1E5B"/>
    <w:rsid w:val="00AA35AE"/>
    <w:rsid w:val="00AA36C6"/>
    <w:rsid w:val="00AA7231"/>
    <w:rsid w:val="00AB0D05"/>
    <w:rsid w:val="00AB2257"/>
    <w:rsid w:val="00AB2E19"/>
    <w:rsid w:val="00AB5785"/>
    <w:rsid w:val="00AC595C"/>
    <w:rsid w:val="00AC5D1B"/>
    <w:rsid w:val="00AC704B"/>
    <w:rsid w:val="00AE3991"/>
    <w:rsid w:val="00AF1871"/>
    <w:rsid w:val="00AF6D76"/>
    <w:rsid w:val="00B0783D"/>
    <w:rsid w:val="00B10EB5"/>
    <w:rsid w:val="00B3349E"/>
    <w:rsid w:val="00B355E5"/>
    <w:rsid w:val="00B37ACF"/>
    <w:rsid w:val="00B469CE"/>
    <w:rsid w:val="00B51023"/>
    <w:rsid w:val="00B536D5"/>
    <w:rsid w:val="00B53706"/>
    <w:rsid w:val="00B57C2C"/>
    <w:rsid w:val="00B60857"/>
    <w:rsid w:val="00B60B0D"/>
    <w:rsid w:val="00B703E9"/>
    <w:rsid w:val="00B825BE"/>
    <w:rsid w:val="00B9460F"/>
    <w:rsid w:val="00BA2C82"/>
    <w:rsid w:val="00BA7557"/>
    <w:rsid w:val="00BB0B10"/>
    <w:rsid w:val="00BC0299"/>
    <w:rsid w:val="00BC1F39"/>
    <w:rsid w:val="00BC2E7D"/>
    <w:rsid w:val="00BD15E3"/>
    <w:rsid w:val="00BD3ECC"/>
    <w:rsid w:val="00BE1ACE"/>
    <w:rsid w:val="00BE2F0C"/>
    <w:rsid w:val="00BE425B"/>
    <w:rsid w:val="00C04DCC"/>
    <w:rsid w:val="00C13237"/>
    <w:rsid w:val="00C13FEC"/>
    <w:rsid w:val="00C15CBC"/>
    <w:rsid w:val="00C2088C"/>
    <w:rsid w:val="00C2235F"/>
    <w:rsid w:val="00C25CBD"/>
    <w:rsid w:val="00C323A9"/>
    <w:rsid w:val="00C34B39"/>
    <w:rsid w:val="00C42DE6"/>
    <w:rsid w:val="00C43F7F"/>
    <w:rsid w:val="00C47AD8"/>
    <w:rsid w:val="00C53B03"/>
    <w:rsid w:val="00C617A2"/>
    <w:rsid w:val="00C6690B"/>
    <w:rsid w:val="00C91A6A"/>
    <w:rsid w:val="00CB4779"/>
    <w:rsid w:val="00CB7255"/>
    <w:rsid w:val="00CC48C9"/>
    <w:rsid w:val="00CD201E"/>
    <w:rsid w:val="00CD3712"/>
    <w:rsid w:val="00CE097F"/>
    <w:rsid w:val="00CE58B7"/>
    <w:rsid w:val="00CF0A8F"/>
    <w:rsid w:val="00D028A3"/>
    <w:rsid w:val="00D16362"/>
    <w:rsid w:val="00D17BE3"/>
    <w:rsid w:val="00D217D5"/>
    <w:rsid w:val="00D22336"/>
    <w:rsid w:val="00D32DA1"/>
    <w:rsid w:val="00D32E24"/>
    <w:rsid w:val="00D3395A"/>
    <w:rsid w:val="00D34CCD"/>
    <w:rsid w:val="00D42ED9"/>
    <w:rsid w:val="00D44769"/>
    <w:rsid w:val="00D46401"/>
    <w:rsid w:val="00D4671F"/>
    <w:rsid w:val="00D47023"/>
    <w:rsid w:val="00D64952"/>
    <w:rsid w:val="00D6588F"/>
    <w:rsid w:val="00D66243"/>
    <w:rsid w:val="00D709D8"/>
    <w:rsid w:val="00D71AA2"/>
    <w:rsid w:val="00D81044"/>
    <w:rsid w:val="00D81CF9"/>
    <w:rsid w:val="00D85912"/>
    <w:rsid w:val="00D8703F"/>
    <w:rsid w:val="00D9050E"/>
    <w:rsid w:val="00D90B3C"/>
    <w:rsid w:val="00D94790"/>
    <w:rsid w:val="00D97281"/>
    <w:rsid w:val="00DB6E69"/>
    <w:rsid w:val="00DC2504"/>
    <w:rsid w:val="00DC4DEA"/>
    <w:rsid w:val="00DC561E"/>
    <w:rsid w:val="00DD31C3"/>
    <w:rsid w:val="00DE11CE"/>
    <w:rsid w:val="00DE3B16"/>
    <w:rsid w:val="00DF3B80"/>
    <w:rsid w:val="00DF4EB2"/>
    <w:rsid w:val="00E036F3"/>
    <w:rsid w:val="00E04CE7"/>
    <w:rsid w:val="00E0770D"/>
    <w:rsid w:val="00E1096D"/>
    <w:rsid w:val="00E112ED"/>
    <w:rsid w:val="00E14F11"/>
    <w:rsid w:val="00E163FA"/>
    <w:rsid w:val="00E26FD0"/>
    <w:rsid w:val="00E2709B"/>
    <w:rsid w:val="00E35DC7"/>
    <w:rsid w:val="00E364FB"/>
    <w:rsid w:val="00E4575F"/>
    <w:rsid w:val="00E47EE4"/>
    <w:rsid w:val="00E500F8"/>
    <w:rsid w:val="00E50405"/>
    <w:rsid w:val="00E50CBA"/>
    <w:rsid w:val="00E54BB4"/>
    <w:rsid w:val="00E57484"/>
    <w:rsid w:val="00E66499"/>
    <w:rsid w:val="00E72300"/>
    <w:rsid w:val="00E72634"/>
    <w:rsid w:val="00E7630E"/>
    <w:rsid w:val="00E9189C"/>
    <w:rsid w:val="00E9202E"/>
    <w:rsid w:val="00E92D6A"/>
    <w:rsid w:val="00EA28B5"/>
    <w:rsid w:val="00EA368D"/>
    <w:rsid w:val="00EA41D8"/>
    <w:rsid w:val="00EB1AE8"/>
    <w:rsid w:val="00EB396C"/>
    <w:rsid w:val="00EF15FB"/>
    <w:rsid w:val="00EF33F2"/>
    <w:rsid w:val="00EF342B"/>
    <w:rsid w:val="00F03ADD"/>
    <w:rsid w:val="00F03E20"/>
    <w:rsid w:val="00F05722"/>
    <w:rsid w:val="00F05F77"/>
    <w:rsid w:val="00F07961"/>
    <w:rsid w:val="00F161BF"/>
    <w:rsid w:val="00F172CF"/>
    <w:rsid w:val="00F2471E"/>
    <w:rsid w:val="00F264CF"/>
    <w:rsid w:val="00F3383B"/>
    <w:rsid w:val="00F358CB"/>
    <w:rsid w:val="00F44FD9"/>
    <w:rsid w:val="00F46018"/>
    <w:rsid w:val="00F71D33"/>
    <w:rsid w:val="00F76644"/>
    <w:rsid w:val="00F80E92"/>
    <w:rsid w:val="00F815B1"/>
    <w:rsid w:val="00F9437F"/>
    <w:rsid w:val="00FA476D"/>
    <w:rsid w:val="00FB1222"/>
    <w:rsid w:val="00FB3910"/>
    <w:rsid w:val="00FB3EBE"/>
    <w:rsid w:val="00FB7125"/>
    <w:rsid w:val="00FC5BA1"/>
    <w:rsid w:val="00FD1010"/>
    <w:rsid w:val="00FD68CE"/>
    <w:rsid w:val="00FE0C1D"/>
    <w:rsid w:val="00FF03CC"/>
    <w:rsid w:val="02A97FD3"/>
    <w:rsid w:val="02CE0506"/>
    <w:rsid w:val="03190CB5"/>
    <w:rsid w:val="036341E4"/>
    <w:rsid w:val="03841753"/>
    <w:rsid w:val="05524952"/>
    <w:rsid w:val="05797FCB"/>
    <w:rsid w:val="057E5747"/>
    <w:rsid w:val="05C50C80"/>
    <w:rsid w:val="05F20939"/>
    <w:rsid w:val="05F50517"/>
    <w:rsid w:val="060D49F6"/>
    <w:rsid w:val="06D10873"/>
    <w:rsid w:val="08404F36"/>
    <w:rsid w:val="08882EEB"/>
    <w:rsid w:val="08E96020"/>
    <w:rsid w:val="090B10A0"/>
    <w:rsid w:val="098E5FA7"/>
    <w:rsid w:val="09A908B8"/>
    <w:rsid w:val="09B2776D"/>
    <w:rsid w:val="0A200B7B"/>
    <w:rsid w:val="0A444601"/>
    <w:rsid w:val="0C04484A"/>
    <w:rsid w:val="0C1C4A61"/>
    <w:rsid w:val="0C5E0F7D"/>
    <w:rsid w:val="0CA912FB"/>
    <w:rsid w:val="0CB108DF"/>
    <w:rsid w:val="0D102222"/>
    <w:rsid w:val="0D865C68"/>
    <w:rsid w:val="0D985311"/>
    <w:rsid w:val="0DB6446C"/>
    <w:rsid w:val="0DEE6167"/>
    <w:rsid w:val="0DF73447"/>
    <w:rsid w:val="0E286250"/>
    <w:rsid w:val="0E814677"/>
    <w:rsid w:val="0EFD148A"/>
    <w:rsid w:val="10D41AFF"/>
    <w:rsid w:val="1115501D"/>
    <w:rsid w:val="118A481E"/>
    <w:rsid w:val="11AC257E"/>
    <w:rsid w:val="11BA18B5"/>
    <w:rsid w:val="11BA3663"/>
    <w:rsid w:val="1209283C"/>
    <w:rsid w:val="12A429A5"/>
    <w:rsid w:val="12F64B6E"/>
    <w:rsid w:val="130848A2"/>
    <w:rsid w:val="13FB5083"/>
    <w:rsid w:val="15415712"/>
    <w:rsid w:val="15C4719B"/>
    <w:rsid w:val="15E11B06"/>
    <w:rsid w:val="165322D8"/>
    <w:rsid w:val="16691AFB"/>
    <w:rsid w:val="16B92B91"/>
    <w:rsid w:val="16BF171B"/>
    <w:rsid w:val="16ED3171"/>
    <w:rsid w:val="182C1032"/>
    <w:rsid w:val="19081158"/>
    <w:rsid w:val="190D49C0"/>
    <w:rsid w:val="19836A30"/>
    <w:rsid w:val="19925AE6"/>
    <w:rsid w:val="1A0758B3"/>
    <w:rsid w:val="1A4408B5"/>
    <w:rsid w:val="1A6505DB"/>
    <w:rsid w:val="1AAC0209"/>
    <w:rsid w:val="1B2D04D7"/>
    <w:rsid w:val="1B6C00C4"/>
    <w:rsid w:val="1B9D0DE6"/>
    <w:rsid w:val="1C3109C5"/>
    <w:rsid w:val="1C370440"/>
    <w:rsid w:val="1D603145"/>
    <w:rsid w:val="1DAD0ABD"/>
    <w:rsid w:val="1E110AAE"/>
    <w:rsid w:val="1EBC7CDB"/>
    <w:rsid w:val="1EDA3596"/>
    <w:rsid w:val="20FF0ADF"/>
    <w:rsid w:val="211C401E"/>
    <w:rsid w:val="213A031C"/>
    <w:rsid w:val="21633106"/>
    <w:rsid w:val="219537A4"/>
    <w:rsid w:val="21EE1107"/>
    <w:rsid w:val="21F733F1"/>
    <w:rsid w:val="22A52CDC"/>
    <w:rsid w:val="22D718B2"/>
    <w:rsid w:val="22DB5B2F"/>
    <w:rsid w:val="23F70746"/>
    <w:rsid w:val="241C5526"/>
    <w:rsid w:val="244514B2"/>
    <w:rsid w:val="24CF3471"/>
    <w:rsid w:val="259B1656"/>
    <w:rsid w:val="25A466AC"/>
    <w:rsid w:val="26920BFA"/>
    <w:rsid w:val="27165388"/>
    <w:rsid w:val="27237C5A"/>
    <w:rsid w:val="27283B1B"/>
    <w:rsid w:val="273B01E1"/>
    <w:rsid w:val="282E3F1F"/>
    <w:rsid w:val="28DA340F"/>
    <w:rsid w:val="296E14AB"/>
    <w:rsid w:val="29C96755"/>
    <w:rsid w:val="29D3130E"/>
    <w:rsid w:val="29E7300B"/>
    <w:rsid w:val="2A127885"/>
    <w:rsid w:val="2A1C0F07"/>
    <w:rsid w:val="2A1D07DB"/>
    <w:rsid w:val="2AE80B4C"/>
    <w:rsid w:val="2B1E20E7"/>
    <w:rsid w:val="2BBE1B4A"/>
    <w:rsid w:val="2C332538"/>
    <w:rsid w:val="2D142369"/>
    <w:rsid w:val="2DCA5BD6"/>
    <w:rsid w:val="2DDD3AA0"/>
    <w:rsid w:val="2E141EF5"/>
    <w:rsid w:val="2E887552"/>
    <w:rsid w:val="2F0F3AED"/>
    <w:rsid w:val="2F5E5877"/>
    <w:rsid w:val="2F6D5D61"/>
    <w:rsid w:val="31550F5F"/>
    <w:rsid w:val="316C1488"/>
    <w:rsid w:val="31945827"/>
    <w:rsid w:val="32672F3B"/>
    <w:rsid w:val="32DB2E73"/>
    <w:rsid w:val="32FC7B27"/>
    <w:rsid w:val="33633703"/>
    <w:rsid w:val="338E2046"/>
    <w:rsid w:val="34B25C42"/>
    <w:rsid w:val="352814E9"/>
    <w:rsid w:val="352D2865"/>
    <w:rsid w:val="3536280A"/>
    <w:rsid w:val="35651098"/>
    <w:rsid w:val="35D264B1"/>
    <w:rsid w:val="35E054DE"/>
    <w:rsid w:val="36385E4D"/>
    <w:rsid w:val="37F541A6"/>
    <w:rsid w:val="37FB3B76"/>
    <w:rsid w:val="386D1654"/>
    <w:rsid w:val="390D471E"/>
    <w:rsid w:val="39471F4B"/>
    <w:rsid w:val="39C1187C"/>
    <w:rsid w:val="39EA3EFF"/>
    <w:rsid w:val="39EE5CF0"/>
    <w:rsid w:val="3A062D9E"/>
    <w:rsid w:val="3A38699B"/>
    <w:rsid w:val="3B2379F2"/>
    <w:rsid w:val="3B514788"/>
    <w:rsid w:val="3BB441BF"/>
    <w:rsid w:val="3C0B4937"/>
    <w:rsid w:val="3C4340D1"/>
    <w:rsid w:val="3D220BB5"/>
    <w:rsid w:val="3E4B54BF"/>
    <w:rsid w:val="3F4F0FDF"/>
    <w:rsid w:val="3F886975"/>
    <w:rsid w:val="409D410B"/>
    <w:rsid w:val="41AA5680"/>
    <w:rsid w:val="420045D4"/>
    <w:rsid w:val="42B5384F"/>
    <w:rsid w:val="43236469"/>
    <w:rsid w:val="432752BD"/>
    <w:rsid w:val="43452E25"/>
    <w:rsid w:val="43E75C8A"/>
    <w:rsid w:val="441427F7"/>
    <w:rsid w:val="444255B6"/>
    <w:rsid w:val="45244CBC"/>
    <w:rsid w:val="45AD6A5F"/>
    <w:rsid w:val="45BB0167"/>
    <w:rsid w:val="45D82E39"/>
    <w:rsid w:val="46841EB6"/>
    <w:rsid w:val="46B55D06"/>
    <w:rsid w:val="471514C9"/>
    <w:rsid w:val="47203688"/>
    <w:rsid w:val="48CD1C23"/>
    <w:rsid w:val="490E3CB9"/>
    <w:rsid w:val="4940700A"/>
    <w:rsid w:val="49787384"/>
    <w:rsid w:val="4A1654F8"/>
    <w:rsid w:val="4A1E7F2C"/>
    <w:rsid w:val="4A804742"/>
    <w:rsid w:val="4ABB39CC"/>
    <w:rsid w:val="4ABB7EC2"/>
    <w:rsid w:val="4ADA1F63"/>
    <w:rsid w:val="4B166E55"/>
    <w:rsid w:val="4CA95060"/>
    <w:rsid w:val="4D3A5221"/>
    <w:rsid w:val="4D857571"/>
    <w:rsid w:val="4E057A24"/>
    <w:rsid w:val="4E223191"/>
    <w:rsid w:val="4E3B72FE"/>
    <w:rsid w:val="4E7E71EB"/>
    <w:rsid w:val="4EE5726A"/>
    <w:rsid w:val="4EFE780A"/>
    <w:rsid w:val="4F092623"/>
    <w:rsid w:val="4F2C5674"/>
    <w:rsid w:val="4F5368C9"/>
    <w:rsid w:val="504A1522"/>
    <w:rsid w:val="50982C20"/>
    <w:rsid w:val="511B37A3"/>
    <w:rsid w:val="5139389D"/>
    <w:rsid w:val="514D5199"/>
    <w:rsid w:val="520D0FB1"/>
    <w:rsid w:val="522105B9"/>
    <w:rsid w:val="530D6DB5"/>
    <w:rsid w:val="53285CF8"/>
    <w:rsid w:val="53432394"/>
    <w:rsid w:val="53990623"/>
    <w:rsid w:val="539B439B"/>
    <w:rsid w:val="545D1BDA"/>
    <w:rsid w:val="547F5A6B"/>
    <w:rsid w:val="54817A35"/>
    <w:rsid w:val="55313209"/>
    <w:rsid w:val="55484224"/>
    <w:rsid w:val="554E5F86"/>
    <w:rsid w:val="564547CE"/>
    <w:rsid w:val="568473E1"/>
    <w:rsid w:val="56DF53E1"/>
    <w:rsid w:val="584D285F"/>
    <w:rsid w:val="58A12453"/>
    <w:rsid w:val="58A52C81"/>
    <w:rsid w:val="58B14442"/>
    <w:rsid w:val="58E86CC3"/>
    <w:rsid w:val="5976568E"/>
    <w:rsid w:val="59926803"/>
    <w:rsid w:val="59B05F8F"/>
    <w:rsid w:val="5A0527EE"/>
    <w:rsid w:val="5A5A4FB0"/>
    <w:rsid w:val="5A6A5A7C"/>
    <w:rsid w:val="5ACC7530"/>
    <w:rsid w:val="5ADB4989"/>
    <w:rsid w:val="5B1A5581"/>
    <w:rsid w:val="5B254FA0"/>
    <w:rsid w:val="5B5F2152"/>
    <w:rsid w:val="5B6F6839"/>
    <w:rsid w:val="5BB27C46"/>
    <w:rsid w:val="5C3E7FB9"/>
    <w:rsid w:val="5C45759A"/>
    <w:rsid w:val="5CCC074C"/>
    <w:rsid w:val="5D572A52"/>
    <w:rsid w:val="5D6B42F0"/>
    <w:rsid w:val="5D753EAF"/>
    <w:rsid w:val="5DDF6716"/>
    <w:rsid w:val="5E1C4F9F"/>
    <w:rsid w:val="5E202940"/>
    <w:rsid w:val="5E8E77D4"/>
    <w:rsid w:val="5EBF3633"/>
    <w:rsid w:val="5EE635E3"/>
    <w:rsid w:val="60457B68"/>
    <w:rsid w:val="60651FB9"/>
    <w:rsid w:val="60824919"/>
    <w:rsid w:val="608A42BB"/>
    <w:rsid w:val="60AE1BB1"/>
    <w:rsid w:val="60BA0556"/>
    <w:rsid w:val="60C15B9B"/>
    <w:rsid w:val="60CC52B7"/>
    <w:rsid w:val="60D2412E"/>
    <w:rsid w:val="61121C1F"/>
    <w:rsid w:val="621C0D0F"/>
    <w:rsid w:val="622B6EF9"/>
    <w:rsid w:val="622D4D58"/>
    <w:rsid w:val="62777703"/>
    <w:rsid w:val="63790395"/>
    <w:rsid w:val="63B91F4F"/>
    <w:rsid w:val="63BC2837"/>
    <w:rsid w:val="640C2265"/>
    <w:rsid w:val="64412D3D"/>
    <w:rsid w:val="64B24B71"/>
    <w:rsid w:val="64D21BE7"/>
    <w:rsid w:val="654E3963"/>
    <w:rsid w:val="65566374"/>
    <w:rsid w:val="657872E1"/>
    <w:rsid w:val="657F242A"/>
    <w:rsid w:val="658302B0"/>
    <w:rsid w:val="65B81697"/>
    <w:rsid w:val="66173D55"/>
    <w:rsid w:val="669F76E0"/>
    <w:rsid w:val="66E83943"/>
    <w:rsid w:val="67310E46"/>
    <w:rsid w:val="677B0314"/>
    <w:rsid w:val="68FF7D6B"/>
    <w:rsid w:val="69C2047C"/>
    <w:rsid w:val="69DC778F"/>
    <w:rsid w:val="6A3A7CAA"/>
    <w:rsid w:val="6A3E34A2"/>
    <w:rsid w:val="6BE446D9"/>
    <w:rsid w:val="6C2373DC"/>
    <w:rsid w:val="6C242547"/>
    <w:rsid w:val="6C7D5F3D"/>
    <w:rsid w:val="6D134E32"/>
    <w:rsid w:val="6D192E80"/>
    <w:rsid w:val="6E66587A"/>
    <w:rsid w:val="6EDA6ACF"/>
    <w:rsid w:val="6FA43245"/>
    <w:rsid w:val="6FD7747D"/>
    <w:rsid w:val="700C1760"/>
    <w:rsid w:val="714A6657"/>
    <w:rsid w:val="7169516C"/>
    <w:rsid w:val="71736201"/>
    <w:rsid w:val="71890614"/>
    <w:rsid w:val="71C97239"/>
    <w:rsid w:val="72192C03"/>
    <w:rsid w:val="721B37CB"/>
    <w:rsid w:val="728564EA"/>
    <w:rsid w:val="72B90C33"/>
    <w:rsid w:val="72F83160"/>
    <w:rsid w:val="734A6E8D"/>
    <w:rsid w:val="73761A95"/>
    <w:rsid w:val="73816CB2"/>
    <w:rsid w:val="739801DE"/>
    <w:rsid w:val="744C5512"/>
    <w:rsid w:val="75DC6051"/>
    <w:rsid w:val="75F51C38"/>
    <w:rsid w:val="761E4C8C"/>
    <w:rsid w:val="765406AD"/>
    <w:rsid w:val="76861D13"/>
    <w:rsid w:val="786646C8"/>
    <w:rsid w:val="78F71118"/>
    <w:rsid w:val="797F1819"/>
    <w:rsid w:val="79CA4D45"/>
    <w:rsid w:val="79D35D8D"/>
    <w:rsid w:val="7B234AF2"/>
    <w:rsid w:val="7B917CAE"/>
    <w:rsid w:val="7C773348"/>
    <w:rsid w:val="7CDE33C7"/>
    <w:rsid w:val="7D7D0B69"/>
    <w:rsid w:val="7DBA7990"/>
    <w:rsid w:val="7DC205F3"/>
    <w:rsid w:val="7DD87E16"/>
    <w:rsid w:val="7E877E1C"/>
    <w:rsid w:val="7EDB5E10"/>
    <w:rsid w:val="7EF24F07"/>
    <w:rsid w:val="7FF23B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4"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autoRedefine/>
    <w:qFormat/>
    <w:uiPriority w:val="0"/>
    <w:pPr>
      <w:pageBreakBefore/>
      <w:spacing w:after="120" w:line="276" w:lineRule="auto"/>
      <w:jc w:val="center"/>
      <w:outlineLvl w:val="0"/>
    </w:pPr>
    <w:rPr>
      <w:rFonts w:ascii="宋体" w:hAnsi="宋体" w:eastAsia="宋体" w:cs="Times New Roman"/>
      <w:b/>
      <w:color w:val="000000"/>
      <w:kern w:val="44"/>
      <w:sz w:val="32"/>
      <w:szCs w:val="32"/>
    </w:rPr>
  </w:style>
  <w:style w:type="paragraph" w:styleId="3">
    <w:name w:val="heading 2"/>
    <w:basedOn w:val="1"/>
    <w:next w:val="1"/>
    <w:link w:val="40"/>
    <w:autoRedefine/>
    <w:qFormat/>
    <w:uiPriority w:val="9"/>
    <w:pPr>
      <w:spacing w:before="120" w:after="120" w:line="276" w:lineRule="auto"/>
      <w:jc w:val="left"/>
      <w:outlineLvl w:val="1"/>
    </w:pPr>
    <w:rPr>
      <w:rFonts w:ascii="宋体" w:hAnsi="宋体" w:eastAsia="宋体" w:cs="Times New Roman"/>
      <w:b/>
      <w:color w:val="000000"/>
      <w:sz w:val="30"/>
      <w:szCs w:val="30"/>
    </w:rPr>
  </w:style>
  <w:style w:type="paragraph" w:styleId="4">
    <w:name w:val="heading 3"/>
    <w:basedOn w:val="1"/>
    <w:next w:val="1"/>
    <w:link w:val="41"/>
    <w:autoRedefine/>
    <w:qFormat/>
    <w:uiPriority w:val="0"/>
    <w:pPr>
      <w:keepNext/>
      <w:keepLines/>
      <w:spacing w:before="260" w:after="260" w:line="412" w:lineRule="auto"/>
      <w:ind w:firstLine="49" w:firstLineChars="49"/>
      <w:outlineLvl w:val="2"/>
    </w:pPr>
    <w:rPr>
      <w:rFonts w:ascii="黑体" w:hAnsi="Calibri" w:eastAsia="黑体" w:cs="Times New Roman"/>
      <w:sz w:val="28"/>
      <w:szCs w:val="20"/>
    </w:rPr>
  </w:style>
  <w:style w:type="paragraph" w:styleId="5">
    <w:name w:val="heading 6"/>
    <w:basedOn w:val="1"/>
    <w:next w:val="1"/>
    <w:link w:val="44"/>
    <w:autoRedefine/>
    <w:qFormat/>
    <w:uiPriority w:val="0"/>
    <w:pPr>
      <w:keepNext/>
      <w:keepLines/>
      <w:spacing w:before="240" w:after="64" w:line="320" w:lineRule="auto"/>
      <w:outlineLvl w:val="5"/>
    </w:pPr>
    <w:rPr>
      <w:rFonts w:ascii="Cambria" w:hAnsi="Cambria" w:eastAsia="宋体" w:cs="Times New Roman"/>
      <w:b/>
      <w:bCs/>
      <w:sz w:val="24"/>
      <w:szCs w:val="24"/>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2520" w:leftChars="1200"/>
    </w:pPr>
    <w:rPr>
      <w:rFonts w:ascii="Calibri" w:hAnsi="Calibri" w:eastAsia="宋体" w:cs="Times New Roman"/>
    </w:rPr>
  </w:style>
  <w:style w:type="paragraph" w:styleId="7">
    <w:name w:val="Normal Indent"/>
    <w:basedOn w:val="1"/>
    <w:autoRedefine/>
    <w:qFormat/>
    <w:uiPriority w:val="0"/>
    <w:pPr>
      <w:ind w:firstLine="420" w:firstLineChars="200"/>
    </w:pPr>
    <w:rPr>
      <w:szCs w:val="21"/>
    </w:rPr>
  </w:style>
  <w:style w:type="paragraph" w:styleId="8">
    <w:name w:val="annotation text"/>
    <w:basedOn w:val="1"/>
    <w:link w:val="46"/>
    <w:autoRedefine/>
    <w:qFormat/>
    <w:uiPriority w:val="0"/>
    <w:pPr>
      <w:jc w:val="left"/>
    </w:pPr>
    <w:rPr>
      <w:rFonts w:ascii="Calibri" w:hAnsi="Calibri" w:eastAsia="宋体" w:cs="Times New Roman"/>
    </w:rPr>
  </w:style>
  <w:style w:type="paragraph" w:styleId="9">
    <w:name w:val="Body Text 3"/>
    <w:basedOn w:val="1"/>
    <w:link w:val="47"/>
    <w:autoRedefine/>
    <w:qFormat/>
    <w:uiPriority w:val="0"/>
    <w:rPr>
      <w:rFonts w:ascii="宋体" w:hAnsi="Calibri" w:eastAsia="宋体" w:cs="Times New Roman"/>
      <w:sz w:val="24"/>
      <w:szCs w:val="20"/>
    </w:rPr>
  </w:style>
  <w:style w:type="paragraph" w:styleId="10">
    <w:name w:val="Body Text"/>
    <w:basedOn w:val="1"/>
    <w:link w:val="49"/>
    <w:autoRedefine/>
    <w:unhideWhenUsed/>
    <w:qFormat/>
    <w:uiPriority w:val="99"/>
    <w:pPr>
      <w:spacing w:after="120"/>
    </w:pPr>
    <w:rPr>
      <w:rFonts w:ascii="Calibri" w:hAnsi="Calibri" w:eastAsia="宋体" w:cs="Times New Roman"/>
      <w:szCs w:val="20"/>
    </w:rPr>
  </w:style>
  <w:style w:type="paragraph" w:styleId="11">
    <w:name w:val="Body Text Indent"/>
    <w:basedOn w:val="1"/>
    <w:link w:val="51"/>
    <w:autoRedefine/>
    <w:qFormat/>
    <w:uiPriority w:val="0"/>
    <w:pPr>
      <w:spacing w:after="120"/>
      <w:ind w:left="420" w:leftChars="200"/>
    </w:pPr>
    <w:rPr>
      <w:rFonts w:ascii="Calibri" w:hAnsi="Calibri" w:eastAsia="宋体" w:cs="Times New Roman"/>
    </w:rPr>
  </w:style>
  <w:style w:type="paragraph" w:styleId="12">
    <w:name w:val="Block Text"/>
    <w:basedOn w:val="1"/>
    <w:autoRedefine/>
    <w:unhideWhenUsed/>
    <w:qFormat/>
    <w:uiPriority w:val="0"/>
    <w:pPr>
      <w:spacing w:line="440" w:lineRule="exact"/>
      <w:ind w:left="-540" w:leftChars="-257" w:right="-334" w:rightChars="-159" w:firstLine="1140"/>
    </w:pPr>
    <w:rPr>
      <w:rFonts w:ascii="Times New Roman" w:hAnsi="Times New Roman" w:eastAsia="宋体" w:cs="Times New Roman"/>
      <w:sz w:val="24"/>
      <w:szCs w:val="20"/>
    </w:rPr>
  </w:style>
  <w:style w:type="paragraph" w:styleId="13">
    <w:name w:val="toc 5"/>
    <w:basedOn w:val="1"/>
    <w:next w:val="1"/>
    <w:autoRedefine/>
    <w:unhideWhenUsed/>
    <w:qFormat/>
    <w:uiPriority w:val="39"/>
    <w:pPr>
      <w:ind w:left="1680" w:leftChars="800"/>
    </w:pPr>
    <w:rPr>
      <w:rFonts w:ascii="Calibri" w:hAnsi="Calibri" w:eastAsia="宋体" w:cs="Times New Roman"/>
    </w:rPr>
  </w:style>
  <w:style w:type="paragraph" w:styleId="14">
    <w:name w:val="toc 3"/>
    <w:basedOn w:val="1"/>
    <w:next w:val="1"/>
    <w:autoRedefine/>
    <w:qFormat/>
    <w:uiPriority w:val="39"/>
    <w:pPr>
      <w:ind w:left="400" w:leftChars="400"/>
    </w:pPr>
    <w:rPr>
      <w:rFonts w:ascii="Calibri" w:hAnsi="Calibri" w:eastAsia="宋体" w:cs="Times New Roman"/>
    </w:rPr>
  </w:style>
  <w:style w:type="paragraph" w:styleId="15">
    <w:name w:val="Plain Text"/>
    <w:basedOn w:val="1"/>
    <w:link w:val="52"/>
    <w:autoRedefine/>
    <w:qFormat/>
    <w:uiPriority w:val="0"/>
    <w:rPr>
      <w:rFonts w:ascii="宋体" w:hAnsi="Calibri" w:eastAsia="宋体" w:cs="Times New Roman"/>
    </w:rPr>
  </w:style>
  <w:style w:type="paragraph" w:styleId="16">
    <w:name w:val="toc 8"/>
    <w:basedOn w:val="1"/>
    <w:next w:val="1"/>
    <w:autoRedefine/>
    <w:unhideWhenUsed/>
    <w:qFormat/>
    <w:uiPriority w:val="39"/>
    <w:pPr>
      <w:ind w:left="2940" w:leftChars="1400"/>
    </w:pPr>
    <w:rPr>
      <w:rFonts w:ascii="Calibri" w:hAnsi="Calibri" w:eastAsia="宋体" w:cs="Times New Roman"/>
    </w:rPr>
  </w:style>
  <w:style w:type="paragraph" w:styleId="17">
    <w:name w:val="Date"/>
    <w:basedOn w:val="1"/>
    <w:next w:val="1"/>
    <w:link w:val="54"/>
    <w:autoRedefine/>
    <w:qFormat/>
    <w:uiPriority w:val="0"/>
    <w:pPr>
      <w:ind w:left="100" w:leftChars="2500"/>
    </w:pPr>
    <w:rPr>
      <w:rFonts w:ascii="Calibri" w:hAnsi="Calibri" w:eastAsia="宋体" w:cs="Times New Roman"/>
    </w:rPr>
  </w:style>
  <w:style w:type="paragraph" w:styleId="18">
    <w:name w:val="Balloon Text"/>
    <w:basedOn w:val="1"/>
    <w:link w:val="56"/>
    <w:autoRedefine/>
    <w:qFormat/>
    <w:uiPriority w:val="0"/>
    <w:rPr>
      <w:rFonts w:ascii="Calibri" w:hAnsi="Calibri" w:eastAsia="宋体" w:cs="Times New Roman"/>
      <w:sz w:val="18"/>
      <w:szCs w:val="18"/>
    </w:rPr>
  </w:style>
  <w:style w:type="paragraph" w:styleId="19">
    <w:name w:val="footer"/>
    <w:basedOn w:val="1"/>
    <w:link w:val="38"/>
    <w:autoRedefine/>
    <w:unhideWhenUsed/>
    <w:qFormat/>
    <w:uiPriority w:val="0"/>
    <w:pPr>
      <w:tabs>
        <w:tab w:val="center" w:pos="4153"/>
        <w:tab w:val="right" w:pos="8306"/>
      </w:tabs>
      <w:snapToGrid w:val="0"/>
      <w:jc w:val="left"/>
    </w:pPr>
    <w:rPr>
      <w:sz w:val="18"/>
      <w:szCs w:val="18"/>
    </w:rPr>
  </w:style>
  <w:style w:type="paragraph" w:styleId="20">
    <w:name w:val="header"/>
    <w:basedOn w:val="1"/>
    <w:link w:val="3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rPr>
      <w:rFonts w:ascii="Calibri" w:hAnsi="Calibri" w:eastAsia="宋体" w:cs="Times New Roman"/>
    </w:rPr>
  </w:style>
  <w:style w:type="paragraph" w:styleId="22">
    <w:name w:val="toc 4"/>
    <w:basedOn w:val="1"/>
    <w:next w:val="1"/>
    <w:autoRedefine/>
    <w:unhideWhenUsed/>
    <w:qFormat/>
    <w:uiPriority w:val="39"/>
    <w:pPr>
      <w:ind w:left="1260" w:leftChars="600"/>
    </w:pPr>
    <w:rPr>
      <w:rFonts w:ascii="Calibri" w:hAnsi="Calibri" w:eastAsia="宋体" w:cs="Times New Roman"/>
    </w:rPr>
  </w:style>
  <w:style w:type="paragraph" w:styleId="23">
    <w:name w:val="toc 6"/>
    <w:basedOn w:val="1"/>
    <w:next w:val="1"/>
    <w:autoRedefine/>
    <w:unhideWhenUsed/>
    <w:qFormat/>
    <w:uiPriority w:val="39"/>
    <w:pPr>
      <w:ind w:left="2100" w:leftChars="1000"/>
    </w:pPr>
    <w:rPr>
      <w:rFonts w:ascii="Calibri" w:hAnsi="Calibri" w:eastAsia="宋体" w:cs="Times New Roman"/>
    </w:rPr>
  </w:style>
  <w:style w:type="paragraph" w:styleId="24">
    <w:name w:val="toc 2"/>
    <w:basedOn w:val="1"/>
    <w:next w:val="1"/>
    <w:autoRedefine/>
    <w:qFormat/>
    <w:uiPriority w:val="39"/>
    <w:pPr>
      <w:ind w:left="200" w:leftChars="200"/>
    </w:pPr>
    <w:rPr>
      <w:rFonts w:ascii="Calibri" w:hAnsi="Calibri" w:eastAsia="宋体" w:cs="Times New Roman"/>
    </w:rPr>
  </w:style>
  <w:style w:type="paragraph" w:styleId="25">
    <w:name w:val="toc 9"/>
    <w:basedOn w:val="1"/>
    <w:next w:val="1"/>
    <w:autoRedefine/>
    <w:unhideWhenUsed/>
    <w:qFormat/>
    <w:uiPriority w:val="39"/>
    <w:pPr>
      <w:ind w:left="3360" w:leftChars="1600"/>
    </w:pPr>
    <w:rPr>
      <w:rFonts w:ascii="Calibri" w:hAnsi="Calibri" w:eastAsia="宋体" w:cs="Times New Roman"/>
    </w:rPr>
  </w:style>
  <w:style w:type="paragraph" w:styleId="26">
    <w:name w:val="annotation subject"/>
    <w:basedOn w:val="8"/>
    <w:next w:val="8"/>
    <w:link w:val="60"/>
    <w:autoRedefine/>
    <w:qFormat/>
    <w:uiPriority w:val="0"/>
    <w:rPr>
      <w:b/>
      <w:bCs/>
    </w:rPr>
  </w:style>
  <w:style w:type="paragraph" w:styleId="27">
    <w:name w:val="Body Text First Indent"/>
    <w:basedOn w:val="10"/>
    <w:link w:val="62"/>
    <w:autoRedefine/>
    <w:qFormat/>
    <w:uiPriority w:val="99"/>
    <w:pPr>
      <w:spacing w:line="312" w:lineRule="auto"/>
      <w:ind w:firstLine="420"/>
    </w:pPr>
    <w:rPr>
      <w:szCs w:val="24"/>
    </w:rPr>
  </w:style>
  <w:style w:type="paragraph" w:styleId="28">
    <w:name w:val="Body Text First Indent 2"/>
    <w:basedOn w:val="11"/>
    <w:link w:val="64"/>
    <w:autoRedefine/>
    <w:qFormat/>
    <w:uiPriority w:val="0"/>
    <w:pPr>
      <w:ind w:firstLine="420" w:firstLineChars="200"/>
    </w:pPr>
  </w:style>
  <w:style w:type="table" w:styleId="30">
    <w:name w:val="Table Grid"/>
    <w:basedOn w:val="2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autoRedefine/>
    <w:qFormat/>
    <w:uiPriority w:val="0"/>
    <w:rPr>
      <w:b/>
    </w:rPr>
  </w:style>
  <w:style w:type="character" w:styleId="33">
    <w:name w:val="page number"/>
    <w:autoRedefine/>
    <w:qFormat/>
    <w:uiPriority w:val="0"/>
  </w:style>
  <w:style w:type="character" w:styleId="34">
    <w:name w:val="FollowedHyperlink"/>
    <w:autoRedefine/>
    <w:unhideWhenUsed/>
    <w:qFormat/>
    <w:uiPriority w:val="99"/>
    <w:rPr>
      <w:color w:val="954F72"/>
      <w:u w:val="single"/>
    </w:rPr>
  </w:style>
  <w:style w:type="character" w:styleId="35">
    <w:name w:val="Hyperlink"/>
    <w:autoRedefine/>
    <w:qFormat/>
    <w:uiPriority w:val="99"/>
    <w:rPr>
      <w:color w:val="0000FF"/>
      <w:u w:val="single"/>
    </w:rPr>
  </w:style>
  <w:style w:type="character" w:styleId="36">
    <w:name w:val="annotation reference"/>
    <w:autoRedefine/>
    <w:qFormat/>
    <w:uiPriority w:val="0"/>
    <w:rPr>
      <w:sz w:val="21"/>
      <w:szCs w:val="21"/>
    </w:rPr>
  </w:style>
  <w:style w:type="character" w:customStyle="1" w:styleId="37">
    <w:name w:val="页眉 Char1"/>
    <w:basedOn w:val="31"/>
    <w:link w:val="20"/>
    <w:autoRedefine/>
    <w:qFormat/>
    <w:uiPriority w:val="99"/>
    <w:rPr>
      <w:sz w:val="18"/>
      <w:szCs w:val="18"/>
    </w:rPr>
  </w:style>
  <w:style w:type="character" w:customStyle="1" w:styleId="38">
    <w:name w:val="页脚 Char1"/>
    <w:basedOn w:val="31"/>
    <w:link w:val="19"/>
    <w:autoRedefine/>
    <w:qFormat/>
    <w:uiPriority w:val="99"/>
    <w:rPr>
      <w:sz w:val="18"/>
      <w:szCs w:val="18"/>
    </w:rPr>
  </w:style>
  <w:style w:type="character" w:customStyle="1" w:styleId="39">
    <w:name w:val="标题 1 Char1"/>
    <w:basedOn w:val="31"/>
    <w:link w:val="2"/>
    <w:autoRedefine/>
    <w:qFormat/>
    <w:uiPriority w:val="0"/>
    <w:rPr>
      <w:rFonts w:ascii="宋体" w:hAnsi="宋体" w:eastAsia="宋体" w:cs="Times New Roman"/>
      <w:b/>
      <w:color w:val="000000"/>
      <w:kern w:val="44"/>
      <w:sz w:val="32"/>
      <w:szCs w:val="32"/>
    </w:rPr>
  </w:style>
  <w:style w:type="character" w:customStyle="1" w:styleId="40">
    <w:name w:val="标题 2 Char"/>
    <w:basedOn w:val="31"/>
    <w:link w:val="3"/>
    <w:autoRedefine/>
    <w:qFormat/>
    <w:uiPriority w:val="9"/>
    <w:rPr>
      <w:rFonts w:ascii="宋体" w:hAnsi="宋体" w:eastAsia="宋体" w:cs="Times New Roman"/>
      <w:b/>
      <w:color w:val="000000"/>
      <w:sz w:val="30"/>
      <w:szCs w:val="30"/>
    </w:rPr>
  </w:style>
  <w:style w:type="character" w:customStyle="1" w:styleId="41">
    <w:name w:val="标题 3 Char"/>
    <w:basedOn w:val="31"/>
    <w:link w:val="4"/>
    <w:autoRedefine/>
    <w:qFormat/>
    <w:uiPriority w:val="0"/>
    <w:rPr>
      <w:rFonts w:ascii="黑体" w:hAnsi="Calibri" w:eastAsia="黑体" w:cs="Times New Roman"/>
      <w:sz w:val="28"/>
      <w:szCs w:val="20"/>
    </w:rPr>
  </w:style>
  <w:style w:type="character" w:customStyle="1" w:styleId="42">
    <w:name w:val="标题 6 字符"/>
    <w:basedOn w:val="31"/>
    <w:autoRedefine/>
    <w:semiHidden/>
    <w:qFormat/>
    <w:uiPriority w:val="9"/>
    <w:rPr>
      <w:rFonts w:asciiTheme="majorHAnsi" w:hAnsiTheme="majorHAnsi" w:eastAsiaTheme="majorEastAsia" w:cstheme="majorBidi"/>
      <w:b/>
      <w:bCs/>
      <w:sz w:val="24"/>
      <w:szCs w:val="24"/>
    </w:rPr>
  </w:style>
  <w:style w:type="paragraph" w:customStyle="1" w:styleId="43">
    <w:name w:val="Default"/>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44">
    <w:name w:val="标题 6 Char"/>
    <w:link w:val="5"/>
    <w:autoRedefine/>
    <w:qFormat/>
    <w:uiPriority w:val="0"/>
    <w:rPr>
      <w:rFonts w:ascii="Cambria" w:hAnsi="Cambria" w:eastAsia="宋体" w:cs="Times New Roman"/>
      <w:b/>
      <w:bCs/>
      <w:sz w:val="24"/>
      <w:szCs w:val="24"/>
    </w:rPr>
  </w:style>
  <w:style w:type="character" w:customStyle="1" w:styleId="45">
    <w:name w:val="批注文字 字符"/>
    <w:basedOn w:val="31"/>
    <w:autoRedefine/>
    <w:semiHidden/>
    <w:qFormat/>
    <w:uiPriority w:val="99"/>
  </w:style>
  <w:style w:type="character" w:customStyle="1" w:styleId="46">
    <w:name w:val="批注文字 Char"/>
    <w:link w:val="8"/>
    <w:autoRedefine/>
    <w:qFormat/>
    <w:uiPriority w:val="0"/>
    <w:rPr>
      <w:rFonts w:ascii="Calibri" w:hAnsi="Calibri" w:eastAsia="宋体" w:cs="Times New Roman"/>
    </w:rPr>
  </w:style>
  <w:style w:type="character" w:customStyle="1" w:styleId="47">
    <w:name w:val="正文文本 3 Char"/>
    <w:basedOn w:val="31"/>
    <w:link w:val="9"/>
    <w:autoRedefine/>
    <w:qFormat/>
    <w:uiPriority w:val="0"/>
    <w:rPr>
      <w:rFonts w:ascii="宋体" w:hAnsi="Calibri" w:eastAsia="宋体" w:cs="Times New Roman"/>
      <w:sz w:val="24"/>
      <w:szCs w:val="20"/>
    </w:rPr>
  </w:style>
  <w:style w:type="character" w:customStyle="1" w:styleId="48">
    <w:name w:val="正文文本 字符"/>
    <w:basedOn w:val="31"/>
    <w:autoRedefine/>
    <w:semiHidden/>
    <w:qFormat/>
    <w:uiPriority w:val="99"/>
  </w:style>
  <w:style w:type="character" w:customStyle="1" w:styleId="49">
    <w:name w:val="正文文本 Char"/>
    <w:link w:val="10"/>
    <w:autoRedefine/>
    <w:qFormat/>
    <w:uiPriority w:val="99"/>
    <w:rPr>
      <w:rFonts w:ascii="Calibri" w:hAnsi="Calibri" w:eastAsia="宋体" w:cs="Times New Roman"/>
      <w:szCs w:val="20"/>
    </w:rPr>
  </w:style>
  <w:style w:type="character" w:customStyle="1" w:styleId="50">
    <w:name w:val="正文文本缩进 字符"/>
    <w:basedOn w:val="31"/>
    <w:autoRedefine/>
    <w:semiHidden/>
    <w:qFormat/>
    <w:uiPriority w:val="99"/>
  </w:style>
  <w:style w:type="character" w:customStyle="1" w:styleId="51">
    <w:name w:val="正文文本缩进 Char"/>
    <w:link w:val="11"/>
    <w:autoRedefine/>
    <w:qFormat/>
    <w:uiPriority w:val="0"/>
    <w:rPr>
      <w:rFonts w:ascii="Calibri" w:hAnsi="Calibri" w:eastAsia="宋体" w:cs="Times New Roman"/>
    </w:rPr>
  </w:style>
  <w:style w:type="character" w:customStyle="1" w:styleId="52">
    <w:name w:val="纯文本 Char"/>
    <w:basedOn w:val="31"/>
    <w:link w:val="15"/>
    <w:autoRedefine/>
    <w:qFormat/>
    <w:uiPriority w:val="0"/>
    <w:rPr>
      <w:rFonts w:ascii="宋体" w:hAnsi="Calibri" w:eastAsia="宋体" w:cs="Times New Roman"/>
    </w:rPr>
  </w:style>
  <w:style w:type="character" w:customStyle="1" w:styleId="53">
    <w:name w:val="日期 字符"/>
    <w:basedOn w:val="31"/>
    <w:autoRedefine/>
    <w:semiHidden/>
    <w:qFormat/>
    <w:uiPriority w:val="99"/>
  </w:style>
  <w:style w:type="character" w:customStyle="1" w:styleId="54">
    <w:name w:val="日期 Char"/>
    <w:link w:val="17"/>
    <w:autoRedefine/>
    <w:qFormat/>
    <w:uiPriority w:val="0"/>
    <w:rPr>
      <w:rFonts w:ascii="Calibri" w:hAnsi="Calibri" w:eastAsia="宋体" w:cs="Times New Roman"/>
    </w:rPr>
  </w:style>
  <w:style w:type="character" w:customStyle="1" w:styleId="55">
    <w:name w:val="批注框文本 字符"/>
    <w:basedOn w:val="31"/>
    <w:autoRedefine/>
    <w:semiHidden/>
    <w:qFormat/>
    <w:uiPriority w:val="99"/>
    <w:rPr>
      <w:sz w:val="18"/>
      <w:szCs w:val="18"/>
    </w:rPr>
  </w:style>
  <w:style w:type="character" w:customStyle="1" w:styleId="56">
    <w:name w:val="批注框文本 Char"/>
    <w:link w:val="18"/>
    <w:autoRedefine/>
    <w:qFormat/>
    <w:uiPriority w:val="0"/>
    <w:rPr>
      <w:rFonts w:ascii="Calibri" w:hAnsi="Calibri" w:eastAsia="宋体" w:cs="Times New Roman"/>
      <w:sz w:val="18"/>
      <w:szCs w:val="18"/>
    </w:rPr>
  </w:style>
  <w:style w:type="character" w:customStyle="1" w:styleId="57">
    <w:name w:val="页脚 Char"/>
    <w:autoRedefine/>
    <w:qFormat/>
    <w:uiPriority w:val="0"/>
    <w:rPr>
      <w:kern w:val="2"/>
      <w:sz w:val="18"/>
      <w:szCs w:val="22"/>
    </w:rPr>
  </w:style>
  <w:style w:type="character" w:customStyle="1" w:styleId="58">
    <w:name w:val="页眉 Char"/>
    <w:autoRedefine/>
    <w:qFormat/>
    <w:uiPriority w:val="0"/>
    <w:rPr>
      <w:kern w:val="2"/>
      <w:sz w:val="18"/>
      <w:szCs w:val="18"/>
    </w:rPr>
  </w:style>
  <w:style w:type="character" w:customStyle="1" w:styleId="59">
    <w:name w:val="批注主题 字符"/>
    <w:basedOn w:val="45"/>
    <w:autoRedefine/>
    <w:semiHidden/>
    <w:qFormat/>
    <w:uiPriority w:val="99"/>
    <w:rPr>
      <w:b/>
      <w:bCs/>
    </w:rPr>
  </w:style>
  <w:style w:type="character" w:customStyle="1" w:styleId="60">
    <w:name w:val="批注主题 Char"/>
    <w:link w:val="26"/>
    <w:autoRedefine/>
    <w:qFormat/>
    <w:uiPriority w:val="0"/>
    <w:rPr>
      <w:rFonts w:ascii="Calibri" w:hAnsi="Calibri" w:eastAsia="宋体" w:cs="Times New Roman"/>
      <w:b/>
      <w:bCs/>
    </w:rPr>
  </w:style>
  <w:style w:type="character" w:customStyle="1" w:styleId="61">
    <w:name w:val="正文首行缩进 字符"/>
    <w:basedOn w:val="48"/>
    <w:autoRedefine/>
    <w:semiHidden/>
    <w:qFormat/>
    <w:uiPriority w:val="99"/>
  </w:style>
  <w:style w:type="character" w:customStyle="1" w:styleId="62">
    <w:name w:val="正文首行缩进 Char"/>
    <w:link w:val="27"/>
    <w:autoRedefine/>
    <w:qFormat/>
    <w:uiPriority w:val="99"/>
    <w:rPr>
      <w:rFonts w:ascii="Calibri" w:hAnsi="Calibri" w:eastAsia="宋体" w:cs="Times New Roman"/>
      <w:szCs w:val="24"/>
    </w:rPr>
  </w:style>
  <w:style w:type="character" w:customStyle="1" w:styleId="63">
    <w:name w:val="正文首行缩进 2 字符"/>
    <w:basedOn w:val="50"/>
    <w:autoRedefine/>
    <w:semiHidden/>
    <w:qFormat/>
    <w:uiPriority w:val="99"/>
  </w:style>
  <w:style w:type="character" w:customStyle="1" w:styleId="64">
    <w:name w:val="正文首行缩进 2 Char"/>
    <w:link w:val="28"/>
    <w:autoRedefine/>
    <w:qFormat/>
    <w:uiPriority w:val="0"/>
    <w:rPr>
      <w:rFonts w:ascii="Calibri" w:hAnsi="Calibri" w:eastAsia="宋体" w:cs="Times New Roman"/>
    </w:rPr>
  </w:style>
  <w:style w:type="paragraph" w:customStyle="1" w:styleId="65">
    <w:name w:val="xl85"/>
    <w:basedOn w:val="1"/>
    <w:autoRedefine/>
    <w:qFormat/>
    <w:uiPriority w:val="0"/>
    <w:pPr>
      <w:widowControl/>
      <w:pBdr>
        <w:left w:val="single" w:color="auto" w:sz="4" w:space="0"/>
        <w:right w:val="single" w:color="auto" w:sz="4" w:space="0"/>
      </w:pBdr>
      <w:shd w:val="clear" w:color="000000" w:fill="FFFF00"/>
      <w:spacing w:before="100" w:beforeAutospacing="1" w:after="100" w:afterAutospacing="1"/>
      <w:jc w:val="center"/>
    </w:pPr>
    <w:rPr>
      <w:rFonts w:ascii="Calibri" w:hAnsi="Calibri" w:eastAsia="宋体" w:cs="Times New Roman"/>
      <w:color w:val="FF0000"/>
      <w:kern w:val="0"/>
      <w:sz w:val="24"/>
      <w:szCs w:val="24"/>
    </w:rPr>
  </w:style>
  <w:style w:type="paragraph" w:customStyle="1" w:styleId="66">
    <w:name w:val="文二"/>
    <w:basedOn w:val="1"/>
    <w:autoRedefine/>
    <w:qFormat/>
    <w:uiPriority w:val="99"/>
    <w:pPr>
      <w:jc w:val="left"/>
    </w:pPr>
    <w:rPr>
      <w:rFonts w:ascii="宋体" w:hAnsi="宋体" w:eastAsia="宋体" w:cs="宋体"/>
      <w:szCs w:val="21"/>
    </w:rPr>
  </w:style>
  <w:style w:type="paragraph" w:customStyle="1" w:styleId="67">
    <w:name w:val="xl87"/>
    <w:basedOn w:val="1"/>
    <w:autoRedefine/>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68">
    <w:name w:val="xl82"/>
    <w:basedOn w:val="1"/>
    <w:autoRedefine/>
    <w:qFormat/>
    <w:uiPriority w:val="0"/>
    <w:pPr>
      <w:widowControl/>
      <w:pBdr>
        <w:top w:val="single" w:color="auto" w:sz="4" w:space="0"/>
        <w:bottom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69">
    <w:name w:val="font6"/>
    <w:basedOn w:val="1"/>
    <w:autoRedefine/>
    <w:qFormat/>
    <w:uiPriority w:val="0"/>
    <w:pPr>
      <w:widowControl/>
      <w:spacing w:before="100" w:beforeAutospacing="1" w:after="100" w:afterAutospacing="1"/>
      <w:jc w:val="left"/>
    </w:pPr>
    <w:rPr>
      <w:rFonts w:ascii="Calibri" w:hAnsi="Calibri" w:eastAsia="宋体" w:cs="Times New Roman"/>
      <w:color w:val="000000"/>
      <w:kern w:val="0"/>
      <w:sz w:val="22"/>
    </w:rPr>
  </w:style>
  <w:style w:type="paragraph" w:customStyle="1" w:styleId="70">
    <w:name w:val="xl7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1">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4"/>
      <w:szCs w:val="24"/>
    </w:rPr>
  </w:style>
  <w:style w:type="paragraph" w:customStyle="1" w:styleId="72">
    <w:name w:val="xl86"/>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Calibri" w:hAnsi="Calibri" w:eastAsia="宋体" w:cs="Times New Roman"/>
      <w:color w:val="FF0000"/>
      <w:kern w:val="0"/>
      <w:sz w:val="24"/>
      <w:szCs w:val="24"/>
    </w:rPr>
  </w:style>
  <w:style w:type="paragraph" w:customStyle="1" w:styleId="73">
    <w:name w:val="xl83"/>
    <w:basedOn w:val="1"/>
    <w:autoRedefine/>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74">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kern w:val="0"/>
      <w:sz w:val="24"/>
      <w:szCs w:val="24"/>
    </w:rPr>
  </w:style>
  <w:style w:type="paragraph" w:customStyle="1" w:styleId="75">
    <w:name w:val="_Style 3"/>
    <w:basedOn w:val="1"/>
    <w:autoRedefine/>
    <w:qFormat/>
    <w:uiPriority w:val="1"/>
    <w:pPr>
      <w:spacing w:line="360" w:lineRule="auto"/>
      <w:jc w:val="center"/>
    </w:pPr>
    <w:rPr>
      <w:rFonts w:ascii="Calibri" w:hAnsi="Calibri" w:eastAsia="宋体" w:cs="Times New Roman"/>
      <w:szCs w:val="20"/>
    </w:rPr>
  </w:style>
  <w:style w:type="paragraph" w:customStyle="1" w:styleId="76">
    <w:name w:val="xl89"/>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77">
    <w:name w:val="font8"/>
    <w:basedOn w:val="1"/>
    <w:autoRedefine/>
    <w:qFormat/>
    <w:uiPriority w:val="0"/>
    <w:pPr>
      <w:widowControl/>
      <w:spacing w:before="100" w:beforeAutospacing="1" w:after="100" w:afterAutospacing="1"/>
      <w:jc w:val="left"/>
    </w:pPr>
    <w:rPr>
      <w:rFonts w:ascii="宋体" w:hAnsi="宋体" w:eastAsia="宋体" w:cs="宋体"/>
      <w:color w:val="FF0000"/>
      <w:kern w:val="0"/>
      <w:sz w:val="22"/>
    </w:rPr>
  </w:style>
  <w:style w:type="paragraph" w:customStyle="1" w:styleId="7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kern w:val="0"/>
      <w:sz w:val="24"/>
      <w:szCs w:val="24"/>
    </w:rPr>
  </w:style>
  <w:style w:type="paragraph" w:customStyle="1" w:styleId="79">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kern w:val="0"/>
      <w:sz w:val="24"/>
      <w:szCs w:val="24"/>
    </w:rPr>
  </w:style>
  <w:style w:type="paragraph" w:customStyle="1" w:styleId="80">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Calibri" w:hAnsi="Calibri" w:eastAsia="宋体" w:cs="Times New Roman"/>
      <w:color w:val="FF0000"/>
      <w:kern w:val="0"/>
      <w:sz w:val="24"/>
      <w:szCs w:val="24"/>
    </w:rPr>
  </w:style>
  <w:style w:type="paragraph" w:customStyle="1" w:styleId="81">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Calibri" w:hAnsi="Calibri" w:eastAsia="宋体" w:cs="Times New Roman"/>
      <w:kern w:val="0"/>
      <w:sz w:val="24"/>
      <w:szCs w:val="24"/>
    </w:rPr>
  </w:style>
  <w:style w:type="paragraph" w:customStyle="1" w:styleId="82">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kern w:val="0"/>
      <w:sz w:val="24"/>
      <w:szCs w:val="24"/>
    </w:rPr>
  </w:style>
  <w:style w:type="paragraph" w:customStyle="1" w:styleId="83">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color w:val="FF0000"/>
      <w:kern w:val="0"/>
      <w:sz w:val="24"/>
      <w:szCs w:val="24"/>
    </w:rPr>
  </w:style>
  <w:style w:type="paragraph" w:customStyle="1" w:styleId="8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24"/>
      <w:szCs w:val="24"/>
    </w:rPr>
  </w:style>
  <w:style w:type="paragraph" w:customStyle="1" w:styleId="85">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6">
    <w:name w:val="xl90"/>
    <w:basedOn w:val="1"/>
    <w:autoRedefine/>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pPr>
    <w:rPr>
      <w:rFonts w:ascii="Calibri" w:hAnsi="Calibri" w:eastAsia="宋体" w:cs="Times New Roman"/>
      <w:kern w:val="0"/>
      <w:sz w:val="24"/>
      <w:szCs w:val="24"/>
    </w:rPr>
  </w:style>
  <w:style w:type="paragraph" w:customStyle="1" w:styleId="8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8">
    <w:name w:val="样式 标题 2 +"/>
    <w:basedOn w:val="3"/>
    <w:autoRedefine/>
    <w:qFormat/>
    <w:uiPriority w:val="0"/>
    <w:pPr>
      <w:tabs>
        <w:tab w:val="left" w:pos="567"/>
        <w:tab w:val="left" w:pos="720"/>
      </w:tabs>
      <w:spacing w:line="416" w:lineRule="auto"/>
    </w:pPr>
    <w:rPr>
      <w:bCs/>
      <w:kern w:val="0"/>
      <w:szCs w:val="32"/>
    </w:rPr>
  </w:style>
  <w:style w:type="paragraph" w:customStyle="1" w:styleId="89">
    <w:name w:val="xl88"/>
    <w:basedOn w:val="1"/>
    <w:autoRedefine/>
    <w:qFormat/>
    <w:uiPriority w:val="0"/>
    <w:pPr>
      <w:widowControl/>
      <w:pBdr>
        <w:left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9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91">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color w:val="FF0000"/>
      <w:kern w:val="0"/>
      <w:sz w:val="24"/>
      <w:szCs w:val="24"/>
    </w:rPr>
  </w:style>
  <w:style w:type="paragraph" w:customStyle="1" w:styleId="92">
    <w:name w:val="xl91"/>
    <w:basedOn w:val="1"/>
    <w:autoRedefine/>
    <w:qFormat/>
    <w:uiPriority w:val="0"/>
    <w:pPr>
      <w:widowControl/>
      <w:pBdr>
        <w:left w:val="single" w:color="auto" w:sz="4" w:space="0"/>
        <w:right w:val="single" w:color="auto" w:sz="4" w:space="0"/>
      </w:pBdr>
      <w:shd w:val="clear" w:color="000000" w:fill="FFFF00"/>
      <w:spacing w:before="100" w:beforeAutospacing="1" w:after="100" w:afterAutospacing="1"/>
      <w:jc w:val="center"/>
    </w:pPr>
    <w:rPr>
      <w:rFonts w:ascii="Calibri" w:hAnsi="Calibri" w:eastAsia="宋体" w:cs="Times New Roman"/>
      <w:kern w:val="0"/>
      <w:sz w:val="24"/>
      <w:szCs w:val="24"/>
    </w:rPr>
  </w:style>
  <w:style w:type="paragraph" w:customStyle="1" w:styleId="93">
    <w:name w:val="列出段落2"/>
    <w:basedOn w:val="1"/>
    <w:autoRedefine/>
    <w:qFormat/>
    <w:uiPriority w:val="0"/>
    <w:pPr>
      <w:ind w:firstLine="420" w:firstLineChars="200"/>
    </w:pPr>
    <w:rPr>
      <w:rFonts w:ascii="Calibri" w:hAnsi="Calibri" w:eastAsia="宋体" w:cs="Times New Roman"/>
      <w:szCs w:val="24"/>
    </w:rPr>
  </w:style>
  <w:style w:type="paragraph" w:customStyle="1" w:styleId="94">
    <w:name w:val="xl9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宋体" w:cs="Times New Roman"/>
      <w:kern w:val="0"/>
      <w:sz w:val="24"/>
      <w:szCs w:val="24"/>
    </w:rPr>
  </w:style>
  <w:style w:type="paragraph" w:customStyle="1" w:styleId="95">
    <w:name w:val="xl92"/>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Calibri" w:hAnsi="Calibri" w:eastAsia="宋体" w:cs="Times New Roman"/>
      <w:kern w:val="0"/>
      <w:sz w:val="24"/>
      <w:szCs w:val="24"/>
    </w:rPr>
  </w:style>
  <w:style w:type="paragraph" w:styleId="96">
    <w:name w:val="No Spacing"/>
    <w:autoRedefine/>
    <w:qFormat/>
    <w:uiPriority w:val="4"/>
    <w:pPr>
      <w:widowControl w:val="0"/>
      <w:snapToGrid w:val="0"/>
      <w:ind w:firstLine="200" w:firstLineChars="200"/>
      <w:jc w:val="both"/>
    </w:pPr>
    <w:rPr>
      <w:rFonts w:ascii="Calibri" w:hAnsi="Calibri" w:eastAsia="宋体" w:cs="Times New Roman"/>
      <w:kern w:val="2"/>
      <w:sz w:val="21"/>
      <w:szCs w:val="21"/>
      <w:lang w:val="en-US" w:eastAsia="zh-CN" w:bidi="ar-SA"/>
    </w:rPr>
  </w:style>
  <w:style w:type="paragraph" w:customStyle="1" w:styleId="97">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8">
    <w:name w:val="xl7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9">
    <w:name w:val="xl9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kern w:val="0"/>
      <w:sz w:val="24"/>
      <w:szCs w:val="24"/>
    </w:rPr>
  </w:style>
  <w:style w:type="paragraph" w:customStyle="1" w:styleId="100">
    <w:name w:val="font7"/>
    <w:basedOn w:val="1"/>
    <w:autoRedefine/>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01">
    <w:name w:val="xl84"/>
    <w:basedOn w:val="1"/>
    <w:autoRedefine/>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pPr>
    <w:rPr>
      <w:rFonts w:ascii="Calibri" w:hAnsi="Calibri" w:eastAsia="宋体" w:cs="Times New Roman"/>
      <w:color w:val="FF0000"/>
      <w:kern w:val="0"/>
      <w:sz w:val="24"/>
      <w:szCs w:val="24"/>
    </w:rPr>
  </w:style>
  <w:style w:type="paragraph" w:customStyle="1" w:styleId="10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kern w:val="0"/>
      <w:sz w:val="24"/>
      <w:szCs w:val="24"/>
    </w:rPr>
  </w:style>
  <w:style w:type="paragraph" w:customStyle="1" w:styleId="103">
    <w:name w:val="TOC 标题1"/>
    <w:basedOn w:val="2"/>
    <w:next w:val="1"/>
    <w:autoRedefine/>
    <w:qFormat/>
    <w:uiPriority w:val="0"/>
    <w:pPr>
      <w:widowControl/>
      <w:spacing w:before="480" w:after="0"/>
      <w:jc w:val="left"/>
      <w:outlineLvl w:val="9"/>
    </w:pPr>
    <w:rPr>
      <w:rFonts w:ascii="Cambria" w:hAnsi="Cambria"/>
      <w:color w:val="365F91"/>
      <w:kern w:val="0"/>
      <w:sz w:val="28"/>
    </w:rPr>
  </w:style>
  <w:style w:type="paragraph" w:customStyle="1" w:styleId="104">
    <w:name w:val="Table Paragraph"/>
    <w:basedOn w:val="1"/>
    <w:autoRedefine/>
    <w:unhideWhenUsed/>
    <w:qFormat/>
    <w:uiPriority w:val="99"/>
    <w:rPr>
      <w:rFonts w:ascii="Calibri" w:hAnsi="Calibri" w:eastAsia="宋体" w:cs="Times New Roman"/>
    </w:rPr>
  </w:style>
  <w:style w:type="paragraph" w:customStyle="1" w:styleId="105">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06">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07">
    <w:name w:val="font9"/>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8">
    <w:name w:val="font5"/>
    <w:basedOn w:val="1"/>
    <w:autoRedefine/>
    <w:qFormat/>
    <w:uiPriority w:val="0"/>
    <w:pPr>
      <w:widowControl/>
      <w:spacing w:before="100" w:beforeAutospacing="1" w:after="100" w:afterAutospacing="1"/>
      <w:jc w:val="left"/>
    </w:pPr>
    <w:rPr>
      <w:rFonts w:ascii="黑体" w:hAnsi="黑体" w:eastAsia="黑体" w:cs="宋体"/>
      <w:b/>
      <w:bCs/>
      <w:color w:val="FF0000"/>
      <w:kern w:val="0"/>
      <w:sz w:val="24"/>
      <w:szCs w:val="24"/>
    </w:rPr>
  </w:style>
  <w:style w:type="paragraph" w:customStyle="1" w:styleId="109">
    <w:name w:val="xl81"/>
    <w:basedOn w:val="1"/>
    <w:autoRedefine/>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styleId="110">
    <w:name w:val="List Paragraph"/>
    <w:basedOn w:val="1"/>
    <w:autoRedefine/>
    <w:qFormat/>
    <w:uiPriority w:val="0"/>
    <w:pPr>
      <w:ind w:firstLine="420" w:firstLineChars="200"/>
    </w:pPr>
    <w:rPr>
      <w:rFonts w:ascii="Calibri" w:hAnsi="Calibri" w:eastAsia="宋体" w:cs="Times New Roman"/>
    </w:rPr>
  </w:style>
  <w:style w:type="paragraph" w:customStyle="1" w:styleId="111">
    <w:name w:val="_Style 7"/>
    <w:basedOn w:val="10"/>
    <w:next w:val="27"/>
    <w:autoRedefine/>
    <w:qFormat/>
    <w:uiPriority w:val="99"/>
    <w:pPr>
      <w:spacing w:line="312" w:lineRule="auto"/>
      <w:ind w:firstLine="420"/>
    </w:pPr>
    <w:rPr>
      <w:szCs w:val="24"/>
    </w:rPr>
  </w:style>
  <w:style w:type="paragraph" w:customStyle="1" w:styleId="112">
    <w:name w:val="修订1"/>
    <w:autoRedefine/>
    <w:unhideWhenUsed/>
    <w:qFormat/>
    <w:uiPriority w:val="99"/>
    <w:rPr>
      <w:rFonts w:ascii="Calibri" w:hAnsi="Calibri" w:eastAsia="宋体" w:cs="Times New Roman"/>
      <w:kern w:val="2"/>
      <w:sz w:val="21"/>
      <w:szCs w:val="22"/>
      <w:lang w:val="en-US" w:eastAsia="zh-CN" w:bidi="ar-SA"/>
    </w:rPr>
  </w:style>
  <w:style w:type="paragraph" w:customStyle="1" w:styleId="113">
    <w:name w:val="标题 1_0"/>
    <w:basedOn w:val="114"/>
    <w:next w:val="114"/>
    <w:link w:val="115"/>
    <w:autoRedefine/>
    <w:qFormat/>
    <w:uiPriority w:val="9"/>
    <w:pPr>
      <w:keepNext/>
      <w:keepLines/>
      <w:spacing w:before="340" w:after="330" w:line="578" w:lineRule="auto"/>
      <w:ind w:left="0" w:leftChars="0"/>
      <w:jc w:val="center"/>
      <w:outlineLvl w:val="0"/>
    </w:pPr>
    <w:rPr>
      <w:rFonts w:eastAsia="宋体"/>
      <w:b/>
      <w:bCs/>
      <w:kern w:val="44"/>
      <w:sz w:val="32"/>
      <w:szCs w:val="44"/>
    </w:rPr>
  </w:style>
  <w:style w:type="paragraph" w:customStyle="1" w:styleId="114">
    <w:name w:val="正文_0"/>
    <w:autoRedefine/>
    <w:qFormat/>
    <w:uiPriority w:val="0"/>
    <w:pPr>
      <w:spacing w:line="360" w:lineRule="auto"/>
      <w:ind w:left="200" w:leftChars="200"/>
      <w:jc w:val="both"/>
    </w:pPr>
    <w:rPr>
      <w:rFonts w:ascii="Times New Roman" w:hAnsi="Times New Roman" w:eastAsia="仿宋" w:cs="Times New Roman"/>
      <w:kern w:val="2"/>
      <w:sz w:val="21"/>
      <w:szCs w:val="22"/>
      <w:lang w:val="en-US" w:eastAsia="zh-CN" w:bidi="ar-SA"/>
    </w:rPr>
  </w:style>
  <w:style w:type="character" w:customStyle="1" w:styleId="115">
    <w:name w:val="标题 1 Char"/>
    <w:link w:val="113"/>
    <w:autoRedefine/>
    <w:qFormat/>
    <w:uiPriority w:val="9"/>
    <w:rPr>
      <w:rFonts w:ascii="Times New Roman" w:hAnsi="Times New Roman" w:eastAsia="宋体" w:cs="Times New Roman"/>
      <w:b/>
      <w:bCs/>
      <w:kern w:val="44"/>
      <w:sz w:val="32"/>
      <w:szCs w:val="44"/>
    </w:rPr>
  </w:style>
  <w:style w:type="paragraph" w:customStyle="1" w:styleId="116">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17">
    <w:name w:val="正文_1"/>
    <w:autoRedefine/>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18">
    <w:name w:val="纯文本_0"/>
    <w:basedOn w:val="117"/>
    <w:autoRedefine/>
    <w:qFormat/>
    <w:uiPriority w:val="0"/>
    <w:rPr>
      <w:rFonts w:ascii="宋体" w:hAnsi="Courier New"/>
      <w:szCs w:val="20"/>
    </w:rPr>
  </w:style>
  <w:style w:type="paragraph" w:customStyle="1" w:styleId="119">
    <w:name w:val="正文文本缩进_0"/>
    <w:basedOn w:val="117"/>
    <w:autoRedefine/>
    <w:unhideWhenUsed/>
    <w:qFormat/>
    <w:uiPriority w:val="0"/>
    <w:pPr>
      <w:ind w:firstLine="830" w:firstLineChars="352"/>
    </w:pPr>
    <w:rPr>
      <w:rFonts w:ascii="仿宋_GB2312" w:eastAsia="仿宋_GB2312"/>
      <w:sz w:val="32"/>
    </w:rPr>
  </w:style>
  <w:style w:type="paragraph" w:customStyle="1" w:styleId="120">
    <w:name w:val="修订3"/>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1">
    <w:name w:val="大分"/>
    <w:basedOn w:val="1"/>
    <w:autoRedefine/>
    <w:qFormat/>
    <w:uiPriority w:val="0"/>
    <w:pPr>
      <w:autoSpaceDE w:val="0"/>
      <w:autoSpaceDN w:val="0"/>
      <w:adjustRightInd w:val="0"/>
      <w:spacing w:line="288" w:lineRule="auto"/>
      <w:ind w:firstLine="480"/>
      <w:jc w:val="left"/>
    </w:pPr>
    <w:rPr>
      <w:rFonts w:ascii="宋体"/>
      <w:kern w:val="0"/>
      <w:sz w:val="24"/>
      <w:szCs w:val="20"/>
    </w:rPr>
  </w:style>
  <w:style w:type="paragraph" w:customStyle="1" w:styleId="122">
    <w:name w:val="正文1"/>
    <w:basedOn w:val="1"/>
    <w:autoRedefine/>
    <w:qFormat/>
    <w:uiPriority w:val="0"/>
    <w:pPr>
      <w:autoSpaceDE w:val="0"/>
      <w:autoSpaceDN w:val="0"/>
      <w:adjustRightInd w:val="0"/>
      <w:spacing w:line="288" w:lineRule="auto"/>
      <w:ind w:firstLine="480"/>
      <w:jc w:val="left"/>
    </w:pPr>
    <w:rPr>
      <w:rFonts w:asci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98F9B5-BD92-4F91-90BF-DB85D0A2C76F}">
  <ds:schemaRefs/>
</ds:datastoreItem>
</file>

<file path=docProps/app.xml><?xml version="1.0" encoding="utf-8"?>
<Properties xmlns="http://schemas.openxmlformats.org/officeDocument/2006/extended-properties" xmlns:vt="http://schemas.openxmlformats.org/officeDocument/2006/docPropsVTypes">
  <Template>Normal</Template>
  <Pages>47</Pages>
  <Words>12362</Words>
  <Characters>13204</Characters>
  <Lines>294</Lines>
  <Paragraphs>82</Paragraphs>
  <TotalTime>2</TotalTime>
  <ScaleCrop>false</ScaleCrop>
  <LinksUpToDate>false</LinksUpToDate>
  <CharactersWithSpaces>13428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2024-01-12T07:46:00Z</dcterms:created>
  <dc:creator>Admin</dc:creator>
  <cp:lastModifiedBy>市政监理姚</cp:lastModifiedBy>
  <cp:lastPrinted>2024-01-24T06:46:00Z</cp:lastPrinted>
  <dcterms:modified xsi:type="dcterms:W3CDTF">2024-11-08T06:47:04Z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2E3E654EC8694E9492C70EC20B9DD108_13</vt:lpwstr>
  </property>
</Properties>
</file>