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F54A3">
      <w:pPr>
        <w:jc w:val="center"/>
        <w:rPr>
          <w:rFonts w:hint="eastAsia" w:ascii="黑体" w:hAnsi="宋体" w:eastAsia="黑体" w:cs="黑体"/>
          <w:b/>
          <w:bCs w:val="0"/>
          <w:color w:val="auto"/>
          <w:spacing w:val="26"/>
          <w:kern w:val="2"/>
          <w:sz w:val="36"/>
          <w:szCs w:val="36"/>
          <w:highlight w:val="none"/>
          <w:lang w:val="en-US" w:eastAsia="zh-CN" w:bidi="ar"/>
        </w:rPr>
      </w:pPr>
    </w:p>
    <w:p w14:paraId="5AF04261">
      <w:pPr>
        <w:jc w:val="center"/>
        <w:rPr>
          <w:rFonts w:hint="eastAsia" w:ascii="黑体" w:hAnsi="宋体" w:eastAsia="黑体" w:cs="黑体"/>
          <w:b/>
          <w:bCs w:val="0"/>
          <w:color w:val="auto"/>
          <w:spacing w:val="26"/>
          <w:kern w:val="2"/>
          <w:sz w:val="36"/>
          <w:szCs w:val="36"/>
          <w:highlight w:val="none"/>
          <w:lang w:val="en-US" w:eastAsia="zh-CN" w:bidi="ar"/>
        </w:rPr>
      </w:pPr>
      <w:r>
        <w:rPr>
          <w:rFonts w:hint="eastAsia" w:ascii="黑体" w:hAnsi="宋体" w:eastAsia="黑体" w:cs="黑体"/>
          <w:b/>
          <w:bCs w:val="0"/>
          <w:color w:val="auto"/>
          <w:spacing w:val="26"/>
          <w:kern w:val="2"/>
          <w:sz w:val="36"/>
          <w:szCs w:val="36"/>
          <w:highlight w:val="none"/>
          <w:lang w:val="en-US" w:eastAsia="zh-CN" w:bidi="ar"/>
        </w:rPr>
        <w:t>广州医科大学附属第五医院扩建工程施工总承包（项目编号：JG2024-5479）</w:t>
      </w:r>
    </w:p>
    <w:p w14:paraId="6FDE2885">
      <w:pPr>
        <w:jc w:val="center"/>
        <w:rPr>
          <w:rFonts w:hint="eastAsia" w:ascii="黑体" w:hAnsi="宋体" w:eastAsia="黑体" w:cs="黑体"/>
          <w:b/>
          <w:bCs w:val="0"/>
          <w:color w:val="auto"/>
          <w:spacing w:val="26"/>
          <w:kern w:val="2"/>
          <w:sz w:val="36"/>
          <w:szCs w:val="36"/>
          <w:highlight w:val="none"/>
          <w:lang w:val="en-US" w:eastAsia="zh-CN" w:bidi="ar"/>
        </w:rPr>
      </w:pPr>
      <w:r>
        <w:rPr>
          <w:rFonts w:hint="eastAsia" w:ascii="黑体" w:hAnsi="宋体" w:eastAsia="黑体" w:cs="黑体"/>
          <w:b/>
          <w:bCs w:val="0"/>
          <w:color w:val="auto"/>
          <w:spacing w:val="26"/>
          <w:kern w:val="2"/>
          <w:sz w:val="36"/>
          <w:szCs w:val="36"/>
          <w:highlight w:val="none"/>
          <w:lang w:val="en-US" w:eastAsia="zh-CN" w:bidi="ar"/>
        </w:rPr>
        <w:t>补充公告</w:t>
      </w:r>
    </w:p>
    <w:p w14:paraId="1FCD7FC0">
      <w:pPr>
        <w:jc w:val="left"/>
        <w:rPr>
          <w:rFonts w:hint="default" w:ascii="黑体" w:hAnsi="宋体" w:eastAsia="黑体" w:cs="黑体"/>
          <w:b/>
          <w:bCs w:val="0"/>
          <w:color w:val="auto"/>
          <w:spacing w:val="26"/>
          <w:kern w:val="2"/>
          <w:sz w:val="28"/>
          <w:szCs w:val="28"/>
          <w:highlight w:val="none"/>
          <w:lang w:val="en-US" w:eastAsia="zh-CN" w:bidi="ar"/>
        </w:rPr>
      </w:pPr>
    </w:p>
    <w:p w14:paraId="69BFE003">
      <w:pPr>
        <w:jc w:val="left"/>
        <w:rPr>
          <w:rFonts w:hint="eastAsia" w:ascii="黑体" w:hAnsi="宋体" w:eastAsia="黑体" w:cs="黑体"/>
          <w:b/>
          <w:bCs w:val="0"/>
          <w:color w:val="auto"/>
          <w:spacing w:val="26"/>
          <w:kern w:val="2"/>
          <w:sz w:val="28"/>
          <w:szCs w:val="28"/>
          <w:highlight w:val="none"/>
          <w:lang w:val="en-US" w:eastAsia="zh-CN" w:bidi="ar"/>
        </w:rPr>
      </w:pPr>
      <w:r>
        <w:rPr>
          <w:rFonts w:hint="eastAsia" w:ascii="黑体" w:hAnsi="宋体" w:eastAsia="黑体" w:cs="黑体"/>
          <w:b/>
          <w:bCs w:val="0"/>
          <w:color w:val="auto"/>
          <w:spacing w:val="26"/>
          <w:kern w:val="2"/>
          <w:sz w:val="28"/>
          <w:szCs w:val="28"/>
          <w:highlight w:val="none"/>
          <w:lang w:val="en-US" w:eastAsia="zh-CN" w:bidi="ar"/>
        </w:rPr>
        <w:t>各相关单位：</w:t>
      </w:r>
    </w:p>
    <w:p w14:paraId="6ABD2E8F">
      <w:pPr>
        <w:keepNext w:val="0"/>
        <w:keepLines w:val="0"/>
        <w:widowControl/>
        <w:suppressLineNumbers w:val="0"/>
        <w:shd w:val="clear" w:fill="FFFFFF"/>
        <w:adjustRightInd w:val="0"/>
        <w:snapToGrid w:val="0"/>
        <w:spacing w:before="0" w:beforeAutospacing="0" w:after="0" w:afterAutospacing="0" w:line="360" w:lineRule="auto"/>
        <w:ind w:left="0" w:right="0" w:firstLine="540" w:firstLineChars="225"/>
        <w:jc w:val="both"/>
        <w:rPr>
          <w:rFonts w:hint="eastAsia" w:ascii="宋体" w:hAnsi="宋体" w:eastAsia="宋体" w:cs="宋体"/>
          <w:color w:val="000000"/>
          <w:kern w:val="0"/>
          <w:sz w:val="24"/>
          <w:szCs w:val="24"/>
          <w:shd w:val="clear" w:fill="FFFFFF"/>
        </w:rPr>
      </w:pPr>
      <w:r>
        <w:rPr>
          <w:rFonts w:hint="eastAsia" w:ascii="宋体" w:hAnsi="宋体" w:eastAsia="宋体" w:cs="宋体"/>
          <w:color w:val="000000"/>
          <w:kern w:val="0"/>
          <w:sz w:val="24"/>
          <w:szCs w:val="24"/>
          <w:u w:val="single"/>
          <w:shd w:val="clear" w:fill="FFFFFF"/>
          <w:lang w:val="en-US" w:eastAsia="zh-CN" w:bidi="ar"/>
        </w:rPr>
        <w:t>广州医科大学附属第五医院扩建工程施工总承包（项目编号：JG2024-5479）</w:t>
      </w:r>
      <w:r>
        <w:rPr>
          <w:rFonts w:hint="eastAsia" w:ascii="宋体" w:hAnsi="宋体" w:eastAsia="宋体" w:cs="宋体"/>
          <w:color w:val="000000"/>
          <w:kern w:val="0"/>
          <w:sz w:val="24"/>
          <w:szCs w:val="24"/>
          <w:shd w:val="clear" w:fill="FFFFFF"/>
          <w:lang w:val="en-US" w:eastAsia="zh-CN" w:bidi="ar"/>
        </w:rPr>
        <w:t>于2024年10月23日在广州公共资源交易中心</w:t>
      </w:r>
      <w:r>
        <w:rPr>
          <w:rFonts w:hint="eastAsia" w:ascii="宋体" w:hAnsi="宋体" w:eastAsia="宋体" w:cs="宋体"/>
          <w:kern w:val="2"/>
          <w:sz w:val="24"/>
          <w:szCs w:val="24"/>
          <w:shd w:val="clear" w:fill="FFFFFF"/>
          <w:lang w:val="en-US" w:eastAsia="zh-CN" w:bidi="ar"/>
        </w:rPr>
        <w:t>、广东省招标投标监管网和中国招标投标公共服务平台等</w:t>
      </w:r>
      <w:r>
        <w:rPr>
          <w:rFonts w:hint="eastAsia" w:ascii="宋体" w:hAnsi="宋体" w:eastAsia="宋体" w:cs="宋体"/>
          <w:color w:val="000000"/>
          <w:kern w:val="0"/>
          <w:sz w:val="24"/>
          <w:szCs w:val="24"/>
          <w:shd w:val="clear" w:fill="FFFFFF"/>
          <w:lang w:val="en-US" w:eastAsia="zh-CN" w:bidi="ar"/>
        </w:rPr>
        <w:t>网站发布招标公告，现对原招标文件的相关内容调整如下：</w:t>
      </w:r>
    </w:p>
    <w:p w14:paraId="2B428FFE">
      <w:pPr>
        <w:keepNext w:val="0"/>
        <w:keepLines w:val="0"/>
        <w:widowControl/>
        <w:suppressLineNumbers w:val="0"/>
        <w:spacing w:before="0" w:beforeAutospacing="0" w:after="0" w:afterAutospacing="0" w:line="360" w:lineRule="auto"/>
        <w:ind w:left="0" w:right="0" w:firstLine="484" w:firstLineChars="202"/>
        <w:jc w:val="left"/>
        <w:rPr>
          <w:rFonts w:hint="eastAsia" w:ascii="宋体" w:hAnsi="宋体" w:eastAsia="宋体" w:cs="宋体"/>
          <w:b/>
          <w:color w:val="000000"/>
          <w:kern w:val="0"/>
          <w:sz w:val="24"/>
          <w:szCs w:val="24"/>
        </w:rPr>
      </w:pPr>
      <w:r>
        <w:rPr>
          <w:rFonts w:hint="eastAsia" w:ascii="宋体" w:hAnsi="宋体" w:eastAsia="宋体" w:cs="宋体"/>
          <w:bCs/>
          <w:color w:val="000000"/>
          <w:kern w:val="2"/>
          <w:sz w:val="24"/>
          <w:szCs w:val="24"/>
          <w:lang w:val="en-US" w:eastAsia="zh-CN" w:bidi="ar"/>
        </w:rPr>
        <w:t xml:space="preserve"> </w:t>
      </w:r>
      <w:r>
        <w:rPr>
          <w:rFonts w:hint="eastAsia" w:ascii="宋体" w:hAnsi="宋体" w:eastAsia="宋体" w:cs="宋体"/>
          <w:b/>
          <w:color w:val="000000"/>
          <w:kern w:val="0"/>
          <w:sz w:val="24"/>
          <w:szCs w:val="24"/>
          <w:lang w:val="en-US" w:eastAsia="zh-CN" w:bidi="ar"/>
        </w:rPr>
        <w:t>一、招标文件内容修改如下：</w:t>
      </w:r>
    </w:p>
    <w:tbl>
      <w:tblPr>
        <w:tblStyle w:val="9"/>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9"/>
        <w:gridCol w:w="1713"/>
        <w:gridCol w:w="3180"/>
        <w:gridCol w:w="3771"/>
      </w:tblGrid>
      <w:tr w14:paraId="00B0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77F41C">
            <w:pPr>
              <w:keepNext w:val="0"/>
              <w:keepLines w:val="0"/>
              <w:widowControl/>
              <w:suppressLineNumbers w:val="0"/>
              <w:adjustRightInd w:val="0"/>
              <w:snapToGrid w:val="0"/>
              <w:spacing w:before="0" w:beforeAutospacing="1" w:after="0" w:afterAutospacing="1"/>
              <w:ind w:left="0" w:right="0"/>
              <w:jc w:val="both"/>
              <w:rPr>
                <w:rFonts w:hint="eastAsia" w:ascii="宋体" w:hAnsi="宋体" w:eastAsia="宋体" w:cs="宋体"/>
                <w:color w:val="000000"/>
                <w:kern w:val="0"/>
                <w:sz w:val="21"/>
                <w:szCs w:val="21"/>
              </w:rPr>
            </w:pPr>
            <w:r>
              <w:rPr>
                <w:rFonts w:hint="eastAsia" w:ascii="宋体" w:hAnsi="宋体" w:eastAsia="宋体" w:cs="宋体"/>
                <w:b/>
                <w:bCs w:val="0"/>
                <w:color w:val="000000"/>
                <w:kern w:val="0"/>
                <w:sz w:val="21"/>
                <w:szCs w:val="21"/>
                <w:lang w:val="en-US" w:eastAsia="zh-CN" w:bidi="ar"/>
              </w:rPr>
              <w:t>序号</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14:paraId="4FAB1618">
            <w:pPr>
              <w:keepNext w:val="0"/>
              <w:keepLines w:val="0"/>
              <w:widowControl/>
              <w:suppressLineNumbers w:val="0"/>
              <w:adjustRightInd w:val="0"/>
              <w:snapToGrid w:val="0"/>
              <w:spacing w:before="0" w:beforeAutospacing="1" w:after="0" w:afterAutospacing="1"/>
              <w:ind w:left="0" w:right="0"/>
              <w:jc w:val="center"/>
              <w:rPr>
                <w:rFonts w:hint="eastAsia" w:ascii="宋体" w:hAnsi="宋体" w:eastAsia="宋体" w:cs="宋体"/>
                <w:color w:val="000000"/>
                <w:kern w:val="0"/>
                <w:sz w:val="21"/>
                <w:szCs w:val="21"/>
              </w:rPr>
            </w:pPr>
            <w:r>
              <w:rPr>
                <w:rFonts w:hint="eastAsia" w:ascii="宋体" w:hAnsi="宋体" w:eastAsia="宋体" w:cs="宋体"/>
                <w:b/>
                <w:bCs w:val="0"/>
                <w:color w:val="000000"/>
                <w:kern w:val="0"/>
                <w:sz w:val="21"/>
                <w:szCs w:val="21"/>
                <w:lang w:val="en-US" w:eastAsia="zh-CN" w:bidi="ar"/>
              </w:rPr>
              <w:t>条款号</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14:paraId="31A7A3F1">
            <w:pPr>
              <w:keepNext w:val="0"/>
              <w:keepLines w:val="0"/>
              <w:widowControl/>
              <w:suppressLineNumbers w:val="0"/>
              <w:adjustRightInd w:val="0"/>
              <w:snapToGrid w:val="0"/>
              <w:spacing w:before="0" w:beforeAutospacing="1" w:after="0" w:afterAutospacing="1"/>
              <w:ind w:left="0" w:right="0" w:firstLine="105" w:firstLineChars="50"/>
              <w:jc w:val="center"/>
              <w:rPr>
                <w:rFonts w:hint="eastAsia" w:ascii="宋体" w:hAnsi="宋体" w:eastAsia="宋体" w:cs="宋体"/>
                <w:color w:val="000000"/>
                <w:kern w:val="0"/>
                <w:sz w:val="21"/>
                <w:szCs w:val="21"/>
              </w:rPr>
            </w:pPr>
            <w:r>
              <w:rPr>
                <w:rFonts w:hint="eastAsia" w:ascii="宋体" w:hAnsi="宋体" w:eastAsia="宋体" w:cs="宋体"/>
                <w:b/>
                <w:bCs w:val="0"/>
                <w:color w:val="000000"/>
                <w:kern w:val="0"/>
                <w:sz w:val="21"/>
                <w:szCs w:val="21"/>
                <w:lang w:val="en-US" w:eastAsia="zh-CN" w:bidi="ar"/>
              </w:rPr>
              <w:t>原文</w:t>
            </w:r>
          </w:p>
        </w:tc>
        <w:tc>
          <w:tcPr>
            <w:tcW w:w="3771" w:type="dxa"/>
            <w:tcBorders>
              <w:top w:val="single" w:color="auto" w:sz="4" w:space="0"/>
              <w:left w:val="single" w:color="auto" w:sz="4" w:space="0"/>
              <w:bottom w:val="single" w:color="auto" w:sz="4" w:space="0"/>
              <w:right w:val="single" w:color="auto" w:sz="4" w:space="0"/>
            </w:tcBorders>
            <w:shd w:val="clear" w:color="auto" w:fill="auto"/>
            <w:vAlign w:val="center"/>
          </w:tcPr>
          <w:p w14:paraId="09F157C8">
            <w:pPr>
              <w:keepNext w:val="0"/>
              <w:keepLines w:val="0"/>
              <w:widowControl/>
              <w:suppressLineNumbers w:val="0"/>
              <w:adjustRightInd w:val="0"/>
              <w:snapToGrid w:val="0"/>
              <w:spacing w:before="0" w:beforeAutospacing="1" w:after="0" w:afterAutospacing="1"/>
              <w:ind w:left="0" w:right="0" w:firstLine="105" w:firstLineChars="50"/>
              <w:jc w:val="center"/>
              <w:rPr>
                <w:rFonts w:hint="eastAsia" w:ascii="宋体" w:hAnsi="宋体" w:eastAsia="宋体" w:cs="宋体"/>
                <w:color w:val="000000"/>
                <w:kern w:val="0"/>
                <w:sz w:val="21"/>
                <w:szCs w:val="21"/>
              </w:rPr>
            </w:pPr>
            <w:r>
              <w:rPr>
                <w:rFonts w:hint="eastAsia" w:ascii="宋体" w:hAnsi="宋体" w:eastAsia="宋体" w:cs="宋体"/>
                <w:b/>
                <w:bCs w:val="0"/>
                <w:color w:val="000000"/>
                <w:kern w:val="0"/>
                <w:sz w:val="21"/>
                <w:szCs w:val="21"/>
                <w:lang w:val="en-US" w:eastAsia="zh-CN" w:bidi="ar"/>
              </w:rPr>
              <w:t>现文</w:t>
            </w:r>
          </w:p>
        </w:tc>
      </w:tr>
      <w:tr w14:paraId="1193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102CF16">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14:paraId="55612006">
            <w:pPr>
              <w:keepNext w:val="0"/>
              <w:keepLines w:val="0"/>
              <w:widowControl/>
              <w:suppressLineNumbers w:val="0"/>
              <w:adjustRightInd w:val="0"/>
              <w:snapToGrid w:val="0"/>
              <w:spacing w:before="0" w:beforeAutospacing="1" w:after="0" w:afterAutospacing="1"/>
              <w:ind w:left="0" w:right="0"/>
              <w:jc w:val="center"/>
              <w:rPr>
                <w:rFonts w:hint="default" w:ascii="宋体" w:hAnsi="宋体" w:eastAsia="宋体" w:cs="宋体"/>
                <w:color w:val="000000"/>
                <w:kern w:val="0"/>
                <w:sz w:val="21"/>
                <w:szCs w:val="21"/>
                <w:lang w:val="en-US" w:eastAsia="zh-CN" w:bidi="ar"/>
              </w:rPr>
            </w:pPr>
            <w:bookmarkStart w:id="0" w:name="_Toc125032238"/>
            <w:r>
              <w:rPr>
                <w:rFonts w:hint="eastAsia" w:ascii="宋体" w:hAnsi="宋体" w:eastAsia="宋体" w:cs="宋体"/>
                <w:color w:val="000000"/>
                <w:kern w:val="0"/>
                <w:sz w:val="21"/>
                <w:szCs w:val="21"/>
                <w:lang w:val="en-US" w:eastAsia="zh-CN" w:bidi="ar"/>
              </w:rPr>
              <w:t>第二章  开标、评标及定标办法</w:t>
            </w:r>
            <w:bookmarkEnd w:id="0"/>
            <w:r>
              <w:rPr>
                <w:rFonts w:hint="eastAsia" w:ascii="宋体" w:hAnsi="宋体" w:eastAsia="宋体" w:cs="宋体"/>
                <w:color w:val="000000"/>
                <w:kern w:val="0"/>
                <w:sz w:val="21"/>
                <w:szCs w:val="21"/>
                <w:lang w:val="en-US" w:eastAsia="zh-CN" w:bidi="ar"/>
              </w:rPr>
              <w:t>-42.4条款</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14:paraId="5E2D4AA9">
            <w:pPr>
              <w:spacing w:line="360" w:lineRule="auto"/>
              <w:rPr>
                <w:rFonts w:ascii="宋体" w:hAnsi="宋体" w:cs="宋体"/>
                <w:color w:val="auto"/>
                <w:szCs w:val="21"/>
                <w:highlight w:val="none"/>
                <w:u w:val="none"/>
              </w:rPr>
            </w:pPr>
            <w:r>
              <w:rPr>
                <w:rFonts w:hint="eastAsia"/>
                <w:color w:val="auto"/>
                <w:szCs w:val="24"/>
                <w:highlight w:val="none"/>
                <w:u w:val="none"/>
              </w:rPr>
              <w:t>42.4</w:t>
            </w:r>
            <w:r>
              <w:rPr>
                <w:rFonts w:hint="eastAsia" w:ascii="宋体" w:hAnsi="宋体" w:cs="宋体"/>
                <w:color w:val="auto"/>
                <w:szCs w:val="21"/>
                <w:highlight w:val="none"/>
                <w:u w:val="none"/>
              </w:rPr>
              <w:t>第二阶段评审</w:t>
            </w:r>
          </w:p>
          <w:p w14:paraId="2B97C01C">
            <w:p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42.4.1按照投标须知前附表第25项规定，确定进入第二阶段评审的投标人。若在进入第二阶段的最后名次发生并列的，则所有并列的投标人均进入第二阶段。</w:t>
            </w:r>
          </w:p>
          <w:p w14:paraId="68EA0FF3">
            <w:pPr>
              <w:spacing w:line="360" w:lineRule="auto"/>
              <w:rPr>
                <w:rFonts w:ascii="宋体" w:hAnsi="宋体" w:cs="宋体"/>
                <w:strike/>
                <w:color w:val="auto"/>
                <w:szCs w:val="21"/>
                <w:highlight w:val="none"/>
                <w:u w:val="none"/>
              </w:rPr>
            </w:pPr>
            <w:r>
              <w:rPr>
                <w:rFonts w:hint="eastAsia" w:ascii="宋体" w:hAnsi="宋体" w:cs="宋体"/>
                <w:strike/>
                <w:color w:val="auto"/>
                <w:szCs w:val="21"/>
                <w:highlight w:val="none"/>
                <w:u w:val="none"/>
              </w:rPr>
              <w:t>42.4.2若进入第二阶段投标人中所有投标报价均大于等于最高投标限价*97%的（具体金额为：元），则本项目招标失败，由招标人依法重新招标。</w:t>
            </w:r>
          </w:p>
          <w:p w14:paraId="5BEAC31F">
            <w:pPr>
              <w:spacing w:line="360" w:lineRule="auto"/>
              <w:rPr>
                <w:rFonts w:ascii="宋体" w:hAnsi="宋体" w:cs="宋体"/>
                <w:color w:val="auto"/>
                <w:szCs w:val="21"/>
                <w:highlight w:val="none"/>
                <w:u w:val="none"/>
              </w:rPr>
            </w:pPr>
            <w:r>
              <w:rPr>
                <w:rFonts w:hint="eastAsia" w:ascii="宋体" w:hAnsi="宋体" w:cs="宋体"/>
                <w:color w:val="auto"/>
                <w:szCs w:val="21"/>
                <w:highlight w:val="none"/>
                <w:u w:val="none"/>
              </w:rPr>
              <w:t>42.4.3投标文件经济标的评分</w:t>
            </w:r>
          </w:p>
          <w:p w14:paraId="5355D5CB">
            <w:pPr>
              <w:spacing w:line="360" w:lineRule="auto"/>
              <w:rPr>
                <w:rFonts w:hint="eastAsia" w:ascii="宋体" w:hAnsi="宋体" w:cs="仿宋"/>
                <w:color w:val="auto"/>
                <w:szCs w:val="21"/>
                <w:highlight w:val="none"/>
                <w:u w:val="none"/>
              </w:rPr>
            </w:pPr>
            <w:r>
              <w:rPr>
                <w:rFonts w:hint="eastAsia" w:ascii="宋体" w:hAnsi="宋体" w:cs="宋体"/>
                <w:b/>
                <w:color w:val="auto"/>
                <w:szCs w:val="21"/>
                <w:highlight w:val="none"/>
                <w:u w:val="none"/>
              </w:rPr>
              <w:t>42.4.3.1计算评标参考价</w:t>
            </w:r>
            <w:r>
              <w:rPr>
                <w:rFonts w:hint="eastAsia" w:ascii="宋体" w:hAnsi="宋体" w:cs="宋体"/>
                <w:color w:val="auto"/>
                <w:szCs w:val="21"/>
                <w:highlight w:val="none"/>
                <w:u w:val="none"/>
              </w:rPr>
              <w:t>：</w:t>
            </w:r>
          </w:p>
          <w:p w14:paraId="3A16748A">
            <w:pPr>
              <w:widowControl/>
              <w:spacing w:line="360" w:lineRule="auto"/>
              <w:rPr>
                <w:b/>
                <w:color w:val="auto"/>
                <w:kern w:val="0"/>
                <w:szCs w:val="21"/>
                <w:highlight w:val="none"/>
                <w:u w:val="none"/>
              </w:rPr>
            </w:pPr>
            <w:r>
              <w:rPr>
                <w:rFonts w:hint="eastAsia" w:ascii="宋体" w:hAnsi="宋体" w:cs="宋体"/>
                <w:b/>
                <w:color w:val="auto"/>
                <w:kern w:val="0"/>
                <w:szCs w:val="21"/>
                <w:highlight w:val="none"/>
                <w:u w:val="none"/>
                <w:lang w:bidi="ar"/>
              </w:rPr>
              <w:t>方法一：加权平均法</w:t>
            </w:r>
          </w:p>
          <w:p w14:paraId="35B5570C">
            <w:pPr>
              <w:rPr>
                <w:rFonts w:hint="eastAsia"/>
              </w:rPr>
            </w:pPr>
            <w:r>
              <w:rPr>
                <w:rFonts w:hint="eastAsia" w:ascii="宋体" w:hAnsi="宋体" w:eastAsia="宋体" w:cs="宋体"/>
                <w:color w:val="auto"/>
                <w:kern w:val="2"/>
                <w:sz w:val="21"/>
                <w:szCs w:val="21"/>
                <w:highlight w:val="none"/>
                <w:u w:val="none"/>
                <w:lang w:val="en-US" w:eastAsia="zh-CN" w:bidi="ar"/>
              </w:rPr>
              <w:t>进入第二阶段且经济报价在</w:t>
            </w:r>
            <w:r>
              <w:rPr>
                <w:rFonts w:hint="eastAsia" w:ascii="宋体" w:hAnsi="宋体" w:eastAsia="宋体" w:cs="宋体"/>
                <w:b/>
                <w:color w:val="auto"/>
                <w:kern w:val="2"/>
                <w:sz w:val="21"/>
                <w:szCs w:val="21"/>
                <w:highlight w:val="none"/>
                <w:u w:val="none"/>
                <w:lang w:val="en-US" w:eastAsia="zh-CN" w:bidi="ar"/>
              </w:rPr>
              <w:t>[工程成本警戒价，最高投标限价*97%]</w:t>
            </w:r>
            <w:r>
              <w:rPr>
                <w:rFonts w:hint="eastAsia" w:ascii="宋体" w:hAnsi="宋体" w:eastAsia="宋体" w:cs="宋体"/>
                <w:color w:val="auto"/>
                <w:kern w:val="2"/>
                <w:sz w:val="21"/>
                <w:szCs w:val="21"/>
                <w:highlight w:val="none"/>
                <w:u w:val="none"/>
                <w:lang w:val="en-US" w:eastAsia="zh-CN" w:bidi="ar"/>
              </w:rPr>
              <w:t>区间中的投标人按第一阶段入围得分由高至低排序（第一阶段入围得分相同的投标文件，以投标报价较低的排前；如仍存在相同情况，则对具有相同情况的投标人，由评标委员会采用记名投票方式，确定投标人的排序）后，得出的前N名</w:t>
            </w:r>
            <w:r>
              <w:rPr>
                <w:rFonts w:hint="eastAsia" w:ascii="宋体" w:hAnsi="宋体" w:cs="宋体"/>
                <w:color w:val="auto"/>
                <w:szCs w:val="21"/>
                <w:highlight w:val="none"/>
                <w:u w:val="none"/>
                <w:lang w:bidi="ar"/>
              </w:rPr>
              <w:t>的经济报价加</w:t>
            </w:r>
            <w:r>
              <w:rPr>
                <w:rFonts w:hint="eastAsia"/>
              </w:rPr>
              <w:t>权平均，计算评标参考价</w:t>
            </w:r>
            <w:r>
              <w:rPr>
                <w:rFonts w:hint="eastAsia"/>
                <w:lang w:val="en-US" w:eastAsia="zh-CN"/>
              </w:rPr>
              <w:t>(</w:t>
            </w:r>
            <w:r>
              <w:rPr>
                <w:rFonts w:hint="eastAsia"/>
                <w:b/>
                <w:bCs/>
                <w:lang w:val="en-US" w:eastAsia="zh-CN"/>
              </w:rPr>
              <w:t>①若满足前述条件的投标人大于等于5家，则N=5；②若满足前述条件的投标人小于5家时，N=满足前述条件的实际投标人个数；③若所有投标人均不满足前述条件的，则以[工程成本警戒价，最高投标限价*97%]区间的中间值作为评标参考价</w:t>
            </w:r>
            <w:r>
              <w:rPr>
                <w:rFonts w:hint="default"/>
                <w:b/>
                <w:bCs/>
              </w:rPr>
              <w:t>）</w:t>
            </w:r>
            <w:r>
              <w:rPr>
                <w:rFonts w:hint="eastAsia"/>
              </w:rPr>
              <w:t>。公式如下：</w:t>
            </w:r>
          </w:p>
          <w:p w14:paraId="51C352D4">
            <w:pPr>
              <w:rPr>
                <w:rFonts w:hint="eastAsia"/>
              </w:rPr>
            </w:pPr>
            <w:r>
              <w:rPr>
                <w:rFonts w:hint="eastAsia"/>
              </w:rPr>
              <w:t>评标参考价=Σ（投标人的投标报价*报价权重）。</w:t>
            </w:r>
          </w:p>
          <w:p w14:paraId="73346B2B">
            <w:pPr>
              <w:rPr>
                <w:rFonts w:hint="eastAsia"/>
              </w:rPr>
            </w:pPr>
            <w:r>
              <w:rPr>
                <w:rFonts w:hint="eastAsia"/>
              </w:rPr>
              <w:t>其中：报价权重的计算方法为：将N名投标人按技术分得分由高至低进行排序，第一名投标人的权重为（</w:t>
            </w:r>
            <w:r>
              <w:rPr>
                <w:rFonts w:hint="eastAsia"/>
              </w:rPr>
              <w:drawing>
                <wp:inline distT="0" distB="0" distL="114300" distR="114300">
                  <wp:extent cx="387350" cy="450850"/>
                  <wp:effectExtent l="0" t="0" r="6350" b="635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6"/>
                          <a:stretch>
                            <a:fillRect/>
                          </a:stretch>
                        </pic:blipFill>
                        <pic:spPr>
                          <a:xfrm>
                            <a:off x="0" y="0"/>
                            <a:ext cx="387350" cy="450850"/>
                          </a:xfrm>
                          <a:prstGeom prst="rect">
                            <a:avLst/>
                          </a:prstGeom>
                          <a:noFill/>
                          <a:ln>
                            <a:noFill/>
                          </a:ln>
                        </pic:spPr>
                      </pic:pic>
                    </a:graphicData>
                  </a:graphic>
                </wp:inline>
              </w:drawing>
            </w:r>
            <w:r>
              <w:rPr>
                <w:rFonts w:hint="eastAsia"/>
              </w:rPr>
              <w:t>），第二名投标人的权重为（</w:t>
            </w:r>
            <w:r>
              <w:rPr>
                <w:rFonts w:hint="eastAsia"/>
              </w:rPr>
              <w:drawing>
                <wp:inline distT="0" distB="0" distL="114300" distR="114300">
                  <wp:extent cx="323850" cy="406400"/>
                  <wp:effectExtent l="0" t="0" r="6350"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7"/>
                          <a:stretch>
                            <a:fillRect/>
                          </a:stretch>
                        </pic:blipFill>
                        <pic:spPr>
                          <a:xfrm>
                            <a:off x="0" y="0"/>
                            <a:ext cx="323850" cy="406400"/>
                          </a:xfrm>
                          <a:prstGeom prst="rect">
                            <a:avLst/>
                          </a:prstGeom>
                          <a:noFill/>
                          <a:ln>
                            <a:noFill/>
                          </a:ln>
                        </pic:spPr>
                      </pic:pic>
                    </a:graphicData>
                  </a:graphic>
                </wp:inline>
              </w:drawing>
            </w:r>
            <w:r>
              <w:rPr>
                <w:rFonts w:hint="eastAsia"/>
              </w:rPr>
              <w:t>），以此类推，最后一名投标人的权重为（</w:t>
            </w:r>
            <w:r>
              <w:rPr>
                <w:rFonts w:hint="eastAsia"/>
              </w:rPr>
              <w:drawing>
                <wp:inline distT="0" distB="0" distL="114300" distR="114300">
                  <wp:extent cx="323850" cy="406400"/>
                  <wp:effectExtent l="0" t="0" r="635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8"/>
                          <a:stretch>
                            <a:fillRect/>
                          </a:stretch>
                        </pic:blipFill>
                        <pic:spPr>
                          <a:xfrm>
                            <a:off x="0" y="0"/>
                            <a:ext cx="323850" cy="406400"/>
                          </a:xfrm>
                          <a:prstGeom prst="rect">
                            <a:avLst/>
                          </a:prstGeom>
                          <a:noFill/>
                          <a:ln>
                            <a:noFill/>
                          </a:ln>
                        </pic:spPr>
                      </pic:pic>
                    </a:graphicData>
                  </a:graphic>
                </wp:inline>
              </w:drawing>
            </w:r>
            <w:r>
              <w:rPr>
                <w:rFonts w:hint="eastAsia"/>
              </w:rPr>
              <w:t>）。</w:t>
            </w:r>
          </w:p>
          <w:p w14:paraId="76AC3E15">
            <w:pPr>
              <w:rPr>
                <w:rFonts w:hint="eastAsia" w:ascii="宋体" w:hAnsi="宋体" w:eastAsia="宋体" w:cs="宋体"/>
                <w:color w:val="000000"/>
                <w:kern w:val="0"/>
                <w:sz w:val="21"/>
                <w:szCs w:val="21"/>
                <w:lang w:val="en-US" w:eastAsia="zh-CN" w:bidi="ar"/>
              </w:rPr>
            </w:pPr>
            <w:r>
              <w:rPr>
                <w:rFonts w:hint="eastAsia"/>
              </w:rPr>
              <w:t>42.4.3.2当标价等于评标参考价时得100分，标价每高于评标参考价</w:t>
            </w:r>
            <w:r>
              <w:rPr>
                <w:rFonts w:hint="default"/>
              </w:rPr>
              <w:t>1</w:t>
            </w:r>
            <w:r>
              <w:rPr>
                <w:rFonts w:hint="eastAsia"/>
              </w:rPr>
              <w:t>%，扣</w:t>
            </w:r>
            <w:r>
              <w:rPr>
                <w:rFonts w:hint="default"/>
              </w:rPr>
              <w:t>1.5</w:t>
            </w:r>
            <w:r>
              <w:rPr>
                <w:rFonts w:hint="eastAsia"/>
              </w:rPr>
              <w:t>分，每低于评标参考价1%，扣</w:t>
            </w:r>
            <w:r>
              <w:rPr>
                <w:rFonts w:hint="default"/>
              </w:rPr>
              <w:t>1</w:t>
            </w:r>
            <w:r>
              <w:rPr>
                <w:rFonts w:hint="eastAsia"/>
              </w:rPr>
              <w:t>分，扣至0分为止，得出经济分，精确到小数点后两位。</w:t>
            </w:r>
          </w:p>
        </w:tc>
        <w:tc>
          <w:tcPr>
            <w:tcW w:w="3771" w:type="dxa"/>
            <w:tcBorders>
              <w:top w:val="single" w:color="auto" w:sz="4" w:space="0"/>
              <w:left w:val="single" w:color="auto" w:sz="4" w:space="0"/>
              <w:bottom w:val="single" w:color="auto" w:sz="4" w:space="0"/>
              <w:right w:val="single" w:color="auto" w:sz="4" w:space="0"/>
            </w:tcBorders>
            <w:shd w:val="clear" w:color="auto" w:fill="auto"/>
            <w:vAlign w:val="center"/>
          </w:tcPr>
          <w:p w14:paraId="0E8C438C">
            <w:pPr>
              <w:spacing w:line="360" w:lineRule="auto"/>
              <w:ind w:firstLine="420" w:firstLineChars="200"/>
              <w:rPr>
                <w:rFonts w:ascii="宋体" w:hAnsi="宋体" w:cs="宋体"/>
                <w:color w:val="auto"/>
                <w:szCs w:val="21"/>
                <w:highlight w:val="none"/>
              </w:rPr>
            </w:pPr>
            <w:r>
              <w:rPr>
                <w:rFonts w:hint="eastAsia"/>
                <w:color w:val="auto"/>
                <w:szCs w:val="24"/>
                <w:highlight w:val="none"/>
              </w:rPr>
              <w:t>42.4</w:t>
            </w:r>
            <w:r>
              <w:rPr>
                <w:rFonts w:hint="eastAsia" w:ascii="宋体" w:hAnsi="宋体" w:cs="宋体"/>
                <w:color w:val="auto"/>
                <w:szCs w:val="21"/>
                <w:highlight w:val="none"/>
              </w:rPr>
              <w:t>第二阶段评审</w:t>
            </w:r>
          </w:p>
          <w:p w14:paraId="02AD05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42.4.1按照投标须知前附表第25项规定，确定进入第二阶段评审的投标人。若在进入第二阶段的最后名次发生并列的，则所有并列的投标人均进入第二阶段。</w:t>
            </w:r>
          </w:p>
          <w:p w14:paraId="75377F07">
            <w:pPr>
              <w:spacing w:line="360" w:lineRule="auto"/>
              <w:ind w:left="735" w:leftChars="200" w:hanging="315" w:hangingChars="150"/>
              <w:rPr>
                <w:rFonts w:ascii="宋体" w:hAnsi="宋体" w:cs="宋体"/>
                <w:strike/>
                <w:color w:val="auto"/>
                <w:szCs w:val="21"/>
                <w:highlight w:val="none"/>
              </w:rPr>
            </w:pPr>
            <w:r>
              <w:rPr>
                <w:rFonts w:hint="eastAsia" w:ascii="宋体" w:hAnsi="宋体" w:cs="宋体"/>
                <w:strike/>
                <w:color w:val="auto"/>
                <w:szCs w:val="21"/>
                <w:highlight w:val="none"/>
              </w:rPr>
              <w:t>42.4.2若进入第二阶段投标人中所有投标报价均大于等于最高投标限价*97%的（具体金额为：</w:t>
            </w:r>
            <w:r>
              <w:rPr>
                <w:rFonts w:hint="eastAsia" w:ascii="宋体" w:hAnsi="宋体" w:cs="宋体"/>
                <w:strike/>
                <w:color w:val="auto"/>
                <w:szCs w:val="21"/>
                <w:highlight w:val="none"/>
                <w:u w:val="single"/>
              </w:rPr>
              <w:t>元</w:t>
            </w:r>
            <w:r>
              <w:rPr>
                <w:rFonts w:hint="eastAsia" w:ascii="宋体" w:hAnsi="宋体" w:cs="宋体"/>
                <w:strike/>
                <w:color w:val="auto"/>
                <w:szCs w:val="21"/>
                <w:highlight w:val="none"/>
              </w:rPr>
              <w:t>），则本项目招标失败，由招标人依法重新招标。</w:t>
            </w:r>
          </w:p>
          <w:p w14:paraId="0A63E1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42.4.3投标文件经济标的评分</w:t>
            </w:r>
          </w:p>
          <w:p w14:paraId="29C47CEF">
            <w:pPr>
              <w:spacing w:line="360" w:lineRule="auto"/>
              <w:ind w:firstLine="422" w:firstLineChars="200"/>
              <w:rPr>
                <w:rFonts w:hint="eastAsia" w:ascii="宋体" w:hAnsi="宋体" w:cs="仿宋"/>
                <w:color w:val="auto"/>
                <w:szCs w:val="21"/>
                <w:highlight w:val="none"/>
                <w:u w:val="single"/>
              </w:rPr>
            </w:pPr>
            <w:r>
              <w:rPr>
                <w:rFonts w:hint="eastAsia" w:ascii="宋体" w:hAnsi="宋体" w:cs="宋体"/>
                <w:b/>
                <w:color w:val="auto"/>
                <w:szCs w:val="21"/>
                <w:highlight w:val="none"/>
              </w:rPr>
              <w:t>42.4.3.1计算评标参考价</w:t>
            </w:r>
            <w:r>
              <w:rPr>
                <w:rFonts w:hint="eastAsia" w:ascii="宋体" w:hAnsi="宋体" w:cs="宋体"/>
                <w:color w:val="auto"/>
                <w:szCs w:val="21"/>
                <w:highlight w:val="none"/>
              </w:rPr>
              <w:t>：</w:t>
            </w:r>
          </w:p>
          <w:p w14:paraId="1D31F846">
            <w:pPr>
              <w:spacing w:line="360" w:lineRule="auto"/>
              <w:ind w:firstLine="422" w:firstLineChars="200"/>
              <w:rPr>
                <w:rFonts w:hint="eastAsia" w:ascii="宋体" w:hAnsi="宋体" w:cs="宋体"/>
                <w:color w:val="auto"/>
                <w:szCs w:val="21"/>
                <w:highlight w:val="none"/>
                <w:u w:val="single"/>
                <w:lang w:val="en-US" w:eastAsia="zh-CN"/>
              </w:rPr>
            </w:pPr>
            <w:r>
              <w:rPr>
                <w:rFonts w:hint="eastAsia" w:ascii="宋体" w:hAnsi="宋体" w:cs="宋体"/>
                <w:b/>
                <w:bCs/>
                <w:color w:val="auto"/>
                <w:szCs w:val="21"/>
                <w:highlight w:val="none"/>
                <w:u w:val="single"/>
                <w:lang w:val="en-US" w:eastAsia="zh-CN"/>
              </w:rPr>
              <w:t>①评标参考价下浮率（X）：</w:t>
            </w:r>
            <w:r>
              <w:rPr>
                <w:rFonts w:hint="eastAsia" w:ascii="宋体" w:hAnsi="宋体" w:cs="宋体"/>
                <w:color w:val="auto"/>
                <w:szCs w:val="21"/>
                <w:highlight w:val="none"/>
                <w:u w:val="single"/>
                <w:lang w:val="en-US" w:eastAsia="zh-CN"/>
              </w:rPr>
              <w:t>开标前，首先由招标人或招标代理机构在开标现场随机抽取确定该工程计算评标参考价的下浮率 X，下浮率X从</w:t>
            </w:r>
            <w:r>
              <w:rPr>
                <w:rFonts w:hint="default" w:ascii="宋体" w:hAnsi="宋体" w:cs="宋体"/>
                <w:color w:val="auto"/>
                <w:szCs w:val="21"/>
                <w:highlight w:val="none"/>
                <w:u w:val="single"/>
                <w:lang w:eastAsia="zh-CN"/>
              </w:rPr>
              <w:t>2</w:t>
            </w:r>
            <w:r>
              <w:rPr>
                <w:rFonts w:hint="eastAsia" w:ascii="宋体" w:hAnsi="宋体" w:cs="宋体"/>
                <w:b/>
                <w:bCs/>
                <w:color w:val="auto"/>
                <w:szCs w:val="21"/>
                <w:highlight w:val="none"/>
                <w:u w:val="single"/>
                <w:lang w:val="en-US" w:eastAsia="zh-CN"/>
              </w:rPr>
              <w:t>%、</w:t>
            </w:r>
            <w:r>
              <w:rPr>
                <w:rFonts w:hint="default" w:ascii="宋体" w:hAnsi="宋体" w:cs="宋体"/>
                <w:b/>
                <w:bCs/>
                <w:color w:val="auto"/>
                <w:szCs w:val="21"/>
                <w:highlight w:val="none"/>
                <w:u w:val="single"/>
                <w:lang w:eastAsia="zh-CN"/>
              </w:rPr>
              <w:t>3</w:t>
            </w:r>
            <w:r>
              <w:rPr>
                <w:rFonts w:hint="eastAsia" w:ascii="宋体" w:hAnsi="宋体" w:cs="宋体"/>
                <w:b/>
                <w:bCs/>
                <w:color w:val="auto"/>
                <w:szCs w:val="21"/>
                <w:highlight w:val="none"/>
                <w:u w:val="single"/>
                <w:lang w:val="en-US" w:eastAsia="zh-CN"/>
              </w:rPr>
              <w:t>%、</w:t>
            </w:r>
            <w:r>
              <w:rPr>
                <w:rFonts w:hint="default" w:ascii="宋体" w:hAnsi="宋体" w:cs="宋体"/>
                <w:b/>
                <w:bCs/>
                <w:color w:val="auto"/>
                <w:szCs w:val="21"/>
                <w:highlight w:val="none"/>
                <w:u w:val="single"/>
                <w:lang w:eastAsia="zh-CN"/>
              </w:rPr>
              <w:t>4</w:t>
            </w:r>
            <w:r>
              <w:rPr>
                <w:rFonts w:hint="eastAsia" w:ascii="宋体" w:hAnsi="宋体" w:cs="宋体"/>
                <w:b/>
                <w:bCs/>
                <w:color w:val="auto"/>
                <w:szCs w:val="21"/>
                <w:highlight w:val="none"/>
                <w:u w:val="single"/>
                <w:lang w:val="en-US" w:eastAsia="zh-CN"/>
              </w:rPr>
              <w:t>%三个数值</w:t>
            </w:r>
            <w:r>
              <w:rPr>
                <w:rFonts w:hint="eastAsia" w:ascii="宋体" w:hAnsi="宋体" w:cs="宋体"/>
                <w:color w:val="auto"/>
                <w:szCs w:val="21"/>
                <w:highlight w:val="none"/>
                <w:u w:val="single"/>
                <w:lang w:val="en-US" w:eastAsia="zh-CN"/>
              </w:rPr>
              <w:t>中抽取其中之一。</w:t>
            </w:r>
          </w:p>
          <w:p w14:paraId="7D8909B5">
            <w:pPr>
              <w:spacing w:line="360" w:lineRule="auto"/>
              <w:ind w:firstLine="422" w:firstLineChars="200"/>
              <w:rPr>
                <w:rFonts w:hint="eastAsia" w:ascii="宋体" w:hAnsi="宋体" w:eastAsia="宋体" w:cs="宋体"/>
                <w:color w:val="auto"/>
                <w:szCs w:val="21"/>
                <w:highlight w:val="none"/>
                <w:u w:val="single"/>
                <w:lang w:val="en-US" w:eastAsia="zh-CN"/>
              </w:rPr>
            </w:pPr>
            <w:r>
              <w:rPr>
                <w:rFonts w:hint="eastAsia" w:ascii="宋体" w:hAnsi="宋体" w:cs="宋体"/>
                <w:b/>
                <w:bCs/>
                <w:color w:val="auto"/>
                <w:szCs w:val="21"/>
                <w:highlight w:val="none"/>
                <w:u w:val="single"/>
                <w:lang w:val="en-US" w:eastAsia="zh-CN"/>
              </w:rPr>
              <w:t>②评标参考价计算：</w:t>
            </w:r>
            <w:r>
              <w:rPr>
                <w:rFonts w:hint="eastAsia" w:ascii="宋体" w:hAnsi="宋体" w:cs="宋体"/>
                <w:color w:val="auto"/>
                <w:szCs w:val="21"/>
                <w:highlight w:val="none"/>
                <w:u w:val="single"/>
                <w:lang w:val="en-US" w:eastAsia="zh-CN"/>
              </w:rPr>
              <w:t>取进入第二阶段且经济报价在</w:t>
            </w:r>
            <w:r>
              <w:rPr>
                <w:rFonts w:hint="eastAsia" w:ascii="宋体" w:hAnsi="宋体" w:cs="宋体"/>
                <w:b/>
                <w:bCs/>
                <w:color w:val="auto"/>
                <w:szCs w:val="21"/>
                <w:highlight w:val="none"/>
                <w:u w:val="single"/>
                <w:lang w:val="en-US" w:eastAsia="zh-CN"/>
              </w:rPr>
              <w:t>[工程成本警戒价，最高投标限价*95%]</w:t>
            </w:r>
            <w:r>
              <w:rPr>
                <w:rFonts w:hint="eastAsia" w:ascii="宋体" w:hAnsi="宋体" w:cs="宋体"/>
                <w:color w:val="auto"/>
                <w:szCs w:val="21"/>
                <w:highlight w:val="none"/>
                <w:u w:val="single"/>
                <w:lang w:val="en-US" w:eastAsia="zh-CN"/>
              </w:rPr>
              <w:t>区间中的投标人投标报价，去掉一个最高价和一个最低价后，剩余报价的算术平均值下浮X后</w:t>
            </w:r>
            <w:r>
              <w:rPr>
                <w:rFonts w:hint="default" w:ascii="宋体" w:hAnsi="宋体" w:cs="宋体"/>
                <w:color w:val="auto"/>
                <w:szCs w:val="21"/>
                <w:highlight w:val="none"/>
                <w:u w:val="single"/>
                <w:lang w:eastAsia="zh-CN"/>
              </w:rPr>
              <w:t>作</w:t>
            </w:r>
            <w:r>
              <w:rPr>
                <w:rFonts w:hint="eastAsia" w:ascii="宋体" w:hAnsi="宋体" w:cs="宋体"/>
                <w:color w:val="auto"/>
                <w:szCs w:val="21"/>
                <w:highlight w:val="none"/>
                <w:u w:val="single"/>
                <w:lang w:val="en-US" w:eastAsia="zh-CN"/>
              </w:rPr>
              <w:t>为评标参考价（当在区间中的有效投标人的投标报价少于等于5家时，直接取其算术平均值下浮X后</w:t>
            </w:r>
            <w:r>
              <w:rPr>
                <w:rFonts w:hint="default" w:ascii="宋体" w:hAnsi="宋体" w:cs="宋体"/>
                <w:color w:val="auto"/>
                <w:szCs w:val="21"/>
                <w:highlight w:val="none"/>
                <w:u w:val="single"/>
                <w:lang w:eastAsia="zh-CN"/>
              </w:rPr>
              <w:t>作</w:t>
            </w:r>
            <w:r>
              <w:rPr>
                <w:rFonts w:hint="eastAsia" w:ascii="宋体" w:hAnsi="宋体" w:cs="宋体"/>
                <w:color w:val="auto"/>
                <w:szCs w:val="21"/>
                <w:highlight w:val="none"/>
                <w:u w:val="single"/>
                <w:lang w:val="en-US" w:eastAsia="zh-CN"/>
              </w:rPr>
              <w:t>为评标参考价）。小数点后保留两位小数，第三位小数四舍五入。若所有投标人均不满足前述条件的，则以</w:t>
            </w:r>
            <w:r>
              <w:rPr>
                <w:rFonts w:hint="eastAsia" w:ascii="宋体" w:hAnsi="宋体" w:cs="宋体"/>
                <w:b/>
                <w:bCs/>
                <w:color w:val="auto"/>
                <w:szCs w:val="21"/>
                <w:highlight w:val="none"/>
                <w:u w:val="single"/>
                <w:lang w:val="en-US" w:eastAsia="zh-CN"/>
              </w:rPr>
              <w:t>[工程成本警戒价，最高投标限价*95%]</w:t>
            </w:r>
            <w:r>
              <w:rPr>
                <w:rFonts w:hint="eastAsia" w:ascii="宋体" w:hAnsi="宋体" w:cs="宋体"/>
                <w:color w:val="auto"/>
                <w:szCs w:val="21"/>
                <w:highlight w:val="none"/>
                <w:u w:val="single"/>
                <w:lang w:val="en-US" w:eastAsia="zh-CN"/>
              </w:rPr>
              <w:t>区间的中间值下浮X后作为评标参考价</w:t>
            </w:r>
            <w:r>
              <w:rPr>
                <w:rFonts w:hint="eastAsia" w:ascii="宋体" w:hAnsi="宋体" w:cs="宋体"/>
                <w:color w:val="auto"/>
                <w:szCs w:val="21"/>
                <w:highlight w:val="none"/>
                <w:u w:val="single"/>
                <w:lang w:eastAsia="zh-CN"/>
              </w:rPr>
              <w:t>。</w:t>
            </w:r>
          </w:p>
          <w:p w14:paraId="10E2B993">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42.4.3.2当标价等于评标参考价时得100分，</w:t>
            </w:r>
            <w:r>
              <w:rPr>
                <w:rFonts w:hint="eastAsia" w:ascii="宋体" w:hAnsi="宋体" w:cs="宋体"/>
                <w:color w:val="auto"/>
                <w:szCs w:val="21"/>
                <w:highlight w:val="none"/>
                <w:u w:val="single"/>
                <w:lang w:val="en-US" w:eastAsia="zh-CN"/>
              </w:rPr>
              <w:t>若</w:t>
            </w:r>
            <w:r>
              <w:rPr>
                <w:rFonts w:hint="eastAsia" w:ascii="宋体" w:hAnsi="宋体" w:cs="宋体"/>
                <w:color w:val="auto"/>
                <w:szCs w:val="21"/>
                <w:highlight w:val="none"/>
                <w:u w:val="single"/>
              </w:rPr>
              <w:t>标价每高于评标参考价</w:t>
            </w:r>
            <w:r>
              <w:rPr>
                <w:rFonts w:hint="default" w:ascii="宋体" w:hAnsi="宋体" w:cs="宋体"/>
                <w:color w:val="auto"/>
                <w:szCs w:val="21"/>
                <w:highlight w:val="none"/>
                <w:u w:val="single"/>
              </w:rPr>
              <w:t>1</w:t>
            </w:r>
            <w:r>
              <w:rPr>
                <w:rFonts w:hint="eastAsia" w:ascii="宋体" w:hAnsi="宋体" w:cs="宋体"/>
                <w:color w:val="auto"/>
                <w:szCs w:val="21"/>
                <w:highlight w:val="none"/>
                <w:u w:val="single"/>
              </w:rPr>
              <w:t>%，扣</w:t>
            </w:r>
            <w:r>
              <w:rPr>
                <w:rFonts w:hint="default" w:ascii="宋体" w:hAnsi="宋体" w:cs="宋体"/>
                <w:color w:val="auto"/>
                <w:szCs w:val="21"/>
                <w:highlight w:val="none"/>
                <w:u w:val="single"/>
              </w:rPr>
              <w:t>1.5</w:t>
            </w:r>
            <w:r>
              <w:rPr>
                <w:rFonts w:hint="eastAsia" w:ascii="宋体" w:hAnsi="宋体" w:cs="宋体"/>
                <w:color w:val="auto"/>
                <w:szCs w:val="21"/>
                <w:highlight w:val="none"/>
                <w:u w:val="single"/>
              </w:rPr>
              <w:t>分，每低于评标参考价1%，扣</w:t>
            </w:r>
            <w:r>
              <w:rPr>
                <w:rFonts w:hint="default" w:ascii="宋体" w:hAnsi="宋体" w:cs="宋体"/>
                <w:color w:val="auto"/>
                <w:szCs w:val="21"/>
                <w:highlight w:val="none"/>
                <w:u w:val="single"/>
              </w:rPr>
              <w:t>1</w:t>
            </w:r>
            <w:r>
              <w:rPr>
                <w:rFonts w:hint="eastAsia" w:ascii="宋体" w:hAnsi="宋体" w:cs="宋体"/>
                <w:color w:val="auto"/>
                <w:szCs w:val="21"/>
                <w:highlight w:val="none"/>
                <w:u w:val="single"/>
              </w:rPr>
              <w:t>分</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扣至0分为止，得出经济分，精确到小数点后两位。</w:t>
            </w:r>
          </w:p>
          <w:p w14:paraId="2298C5A6">
            <w:pPr>
              <w:keepNext w:val="0"/>
              <w:keepLines w:val="0"/>
              <w:widowControl/>
              <w:suppressLineNumbers w:val="0"/>
              <w:adjustRightInd w:val="0"/>
              <w:snapToGrid w:val="0"/>
              <w:spacing w:before="0" w:beforeAutospacing="1" w:after="0" w:afterAutospacing="1"/>
              <w:ind w:left="0" w:right="0"/>
              <w:jc w:val="center"/>
              <w:rPr>
                <w:rFonts w:hint="eastAsia" w:ascii="宋体" w:hAnsi="宋体" w:eastAsia="宋体" w:cs="宋体"/>
                <w:color w:val="000000"/>
                <w:kern w:val="0"/>
                <w:sz w:val="21"/>
                <w:szCs w:val="21"/>
                <w:lang w:val="en-US" w:eastAsia="zh-CN" w:bidi="ar"/>
              </w:rPr>
            </w:pPr>
          </w:p>
        </w:tc>
      </w:tr>
    </w:tbl>
    <w:p w14:paraId="68D8EC06">
      <w:pPr>
        <w:keepNext w:val="0"/>
        <w:keepLines w:val="0"/>
        <w:widowControl/>
        <w:numPr>
          <w:ilvl w:val="0"/>
          <w:numId w:val="1"/>
        </w:numPr>
        <w:suppressLineNumbers w:val="0"/>
        <w:spacing w:before="0" w:beforeAutospacing="0" w:after="0" w:afterAutospacing="0" w:line="360" w:lineRule="auto"/>
        <w:ind w:left="0" w:right="0" w:firstLine="484" w:firstLineChars="202"/>
        <w:jc w:val="left"/>
        <w:rPr>
          <w:rFonts w:hint="eastAsia" w:ascii="宋体" w:hAnsi="宋体" w:eastAsia="宋体" w:cs="宋体"/>
          <w:b w:val="0"/>
          <w:color w:val="000000"/>
          <w:kern w:val="0"/>
          <w:sz w:val="24"/>
          <w:szCs w:val="24"/>
          <w:u w:val="single"/>
        </w:rPr>
      </w:pPr>
      <w:r>
        <w:rPr>
          <w:rFonts w:hint="eastAsia" w:ascii="宋体" w:hAnsi="宋体" w:eastAsia="宋体" w:cs="宋体"/>
          <w:b w:val="0"/>
          <w:color w:val="000000"/>
          <w:kern w:val="0"/>
          <w:sz w:val="24"/>
          <w:szCs w:val="24"/>
          <w:u w:val="single"/>
          <w:lang w:val="en-US" w:eastAsia="zh-CN" w:bidi="ar"/>
        </w:rPr>
        <w:t>本项目招标日程安排具体时间和场地安排请各投标人密切留意广州公共资源交易中心公布的本项目的日程安排，投标人可登录广州公共资源交易中心网站首页，点击“交易业务-建设工程”专栏中的“项目查询（日程安排、答疑纪要）”，输入项目编号或项目名称查询最新信息。</w:t>
      </w:r>
    </w:p>
    <w:p w14:paraId="1EB95F74">
      <w:pPr>
        <w:keepNext w:val="0"/>
        <w:keepLines w:val="0"/>
        <w:widowControl/>
        <w:numPr>
          <w:ilvl w:val="0"/>
          <w:numId w:val="1"/>
        </w:numPr>
        <w:suppressLineNumbers w:val="0"/>
        <w:spacing w:before="0" w:beforeAutospacing="0" w:after="0" w:afterAutospacing="0" w:line="360" w:lineRule="auto"/>
        <w:ind w:left="0" w:right="0" w:firstLine="484" w:firstLineChars="202"/>
        <w:jc w:val="left"/>
        <w:rPr>
          <w:rFonts w:hint="eastAsia" w:ascii="宋体" w:hAnsi="宋体" w:eastAsia="宋体" w:cs="宋体"/>
          <w:b w:val="0"/>
          <w:color w:val="000000"/>
          <w:kern w:val="0"/>
          <w:sz w:val="28"/>
          <w:szCs w:val="28"/>
        </w:rPr>
      </w:pPr>
      <w:r>
        <w:rPr>
          <w:rFonts w:hint="eastAsia" w:ascii="宋体" w:hAnsi="宋体" w:eastAsia="宋体" w:cs="宋体"/>
          <w:b w:val="0"/>
          <w:color w:val="000000"/>
          <w:kern w:val="0"/>
          <w:sz w:val="24"/>
          <w:szCs w:val="24"/>
          <w:u w:val="single"/>
          <w:lang w:val="en-US" w:eastAsia="zh-CN" w:bidi="ar"/>
        </w:rPr>
        <w:t>原招标文件内容与本补充公告内容不一致之处，以本补充公告为准，本补充公告未说明事宜仍按原招标文件内容执行</w:t>
      </w:r>
      <w:r>
        <w:rPr>
          <w:rFonts w:hint="eastAsia" w:ascii="宋体" w:hAnsi="宋体" w:eastAsia="宋体" w:cs="宋体"/>
          <w:b w:val="0"/>
          <w:color w:val="000000"/>
          <w:kern w:val="0"/>
          <w:sz w:val="24"/>
          <w:szCs w:val="24"/>
          <w:lang w:val="en-US" w:eastAsia="zh-CN" w:bidi="ar"/>
        </w:rPr>
        <w:t>。</w:t>
      </w:r>
    </w:p>
    <w:p w14:paraId="485D6B55">
      <w:pPr>
        <w:keepNext w:val="0"/>
        <w:keepLines w:val="0"/>
        <w:widowControl/>
        <w:suppressLineNumbers w:val="0"/>
        <w:spacing w:before="315" w:beforeLines="100" w:beforeAutospacing="0" w:after="0" w:afterAutospacing="0" w:line="360" w:lineRule="auto"/>
        <w:ind w:left="0" w:right="0"/>
        <w:jc w:val="right"/>
        <w:rPr>
          <w:rFonts w:hint="eastAsia" w:ascii="宋体" w:hAnsi="宋体" w:eastAsia="宋体" w:cs="宋体"/>
          <w:color w:val="000000"/>
          <w:kern w:val="0"/>
          <w:sz w:val="24"/>
          <w:szCs w:val="24"/>
          <w:lang w:val="en-US" w:eastAsia="zh-CN" w:bidi="ar"/>
        </w:rPr>
      </w:pPr>
    </w:p>
    <w:p w14:paraId="5B5FBB67">
      <w:pPr>
        <w:keepNext w:val="0"/>
        <w:keepLines w:val="0"/>
        <w:widowControl/>
        <w:suppressLineNumbers w:val="0"/>
        <w:spacing w:before="315" w:beforeLines="100" w:beforeAutospacing="0" w:after="0" w:afterAutospacing="0" w:line="360" w:lineRule="auto"/>
        <w:ind w:left="0" w:right="0"/>
        <w:jc w:val="right"/>
        <w:rPr>
          <w:rFonts w:hint="eastAsia" w:ascii="宋体" w:hAnsi="宋体" w:eastAsia="宋体" w:cs="宋体"/>
          <w:color w:val="000000"/>
          <w:kern w:val="0"/>
          <w:sz w:val="24"/>
          <w:szCs w:val="24"/>
          <w:lang w:val="en-US" w:eastAsia="zh-CN" w:bidi="ar"/>
        </w:rPr>
      </w:pPr>
      <w:bookmarkStart w:id="1" w:name="_GoBack"/>
      <w:bookmarkEnd w:id="1"/>
    </w:p>
    <w:p w14:paraId="1931F312">
      <w:pPr>
        <w:keepNext w:val="0"/>
        <w:keepLines w:val="0"/>
        <w:widowControl/>
        <w:suppressLineNumbers w:val="0"/>
        <w:spacing w:before="315" w:beforeLines="100" w:beforeAutospacing="0" w:after="0" w:afterAutospacing="0" w:line="360" w:lineRule="auto"/>
        <w:ind w:left="0" w:right="0"/>
        <w:jc w:val="right"/>
        <w:rPr>
          <w:rFonts w:hint="eastAsia" w:ascii="宋体" w:hAnsi="宋体" w:eastAsia="宋体" w:cs="宋体"/>
          <w:color w:val="000000"/>
          <w:kern w:val="0"/>
          <w:sz w:val="24"/>
          <w:szCs w:val="24"/>
          <w:lang w:val="en-US" w:eastAsia="zh-CN" w:bidi="ar"/>
        </w:rPr>
      </w:pPr>
    </w:p>
    <w:p w14:paraId="07106BF9">
      <w:pPr>
        <w:keepNext w:val="0"/>
        <w:keepLines w:val="0"/>
        <w:widowControl/>
        <w:suppressLineNumbers w:val="0"/>
        <w:spacing w:before="315" w:beforeLines="100" w:beforeAutospacing="0" w:after="0" w:afterAutospacing="0" w:line="360" w:lineRule="auto"/>
        <w:ind w:left="0" w:right="0"/>
        <w:jc w:val="right"/>
        <w:rPr>
          <w:rFonts w:hint="eastAsia" w:ascii="宋体" w:hAnsi="宋体" w:eastAsia="宋体" w:cs="宋体"/>
          <w:color w:val="000000"/>
          <w:kern w:val="0"/>
          <w:sz w:val="24"/>
          <w:szCs w:val="24"/>
          <w:lang w:val="en-US" w:eastAsia="zh-CN" w:bidi="ar"/>
        </w:rPr>
      </w:pPr>
    </w:p>
    <w:p w14:paraId="58E25EEB">
      <w:pPr>
        <w:keepNext w:val="0"/>
        <w:keepLines w:val="0"/>
        <w:widowControl/>
        <w:suppressLineNumbers w:val="0"/>
        <w:spacing w:before="315" w:beforeLines="100" w:beforeAutospacing="0" w:after="0" w:afterAutospacing="0" w:line="360" w:lineRule="auto"/>
        <w:ind w:left="0" w:right="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招标单位：广州市重点公共建设项目管理中心</w:t>
      </w:r>
    </w:p>
    <w:p w14:paraId="230A1527">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招标代理机构：广东重工建设监理有限公司</w:t>
      </w:r>
    </w:p>
    <w:p w14:paraId="450D2541">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2024年11月4日</w:t>
      </w:r>
    </w:p>
    <w:p w14:paraId="2B995996">
      <w:pPr>
        <w:jc w:val="left"/>
        <w:rPr>
          <w:rFonts w:hint="default" w:ascii="黑体" w:hAnsi="宋体" w:eastAsia="黑体" w:cs="黑体"/>
          <w:b/>
          <w:bCs w:val="0"/>
          <w:color w:val="auto"/>
          <w:spacing w:val="26"/>
          <w:kern w:val="2"/>
          <w:sz w:val="28"/>
          <w:szCs w:val="28"/>
          <w:highlight w:val="none"/>
          <w:lang w:val="en-US" w:eastAsia="zh-CN" w:bidi="ar"/>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36FF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908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2AB9B"/>
    <w:multiLevelType w:val="multilevel"/>
    <w:tmpl w:val="BFB2AB9B"/>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136417B"/>
    <w:rsid w:val="024420C2"/>
    <w:rsid w:val="08E26C00"/>
    <w:rsid w:val="0C366469"/>
    <w:rsid w:val="0FAA47E5"/>
    <w:rsid w:val="165F2A2B"/>
    <w:rsid w:val="1AEF9B16"/>
    <w:rsid w:val="1CC61A56"/>
    <w:rsid w:val="1CEF10B6"/>
    <w:rsid w:val="1FE86BA3"/>
    <w:rsid w:val="2519649B"/>
    <w:rsid w:val="27E1CB83"/>
    <w:rsid w:val="2CA47603"/>
    <w:rsid w:val="2D4A5D8B"/>
    <w:rsid w:val="325F4087"/>
    <w:rsid w:val="363F31ED"/>
    <w:rsid w:val="37EB7B3F"/>
    <w:rsid w:val="3D97B374"/>
    <w:rsid w:val="467D0B27"/>
    <w:rsid w:val="47A01F12"/>
    <w:rsid w:val="49B7306F"/>
    <w:rsid w:val="4B386DCB"/>
    <w:rsid w:val="4FF958F4"/>
    <w:rsid w:val="56F40992"/>
    <w:rsid w:val="577606F8"/>
    <w:rsid w:val="5F47CE33"/>
    <w:rsid w:val="5FC5111D"/>
    <w:rsid w:val="677F8147"/>
    <w:rsid w:val="6A1E37FD"/>
    <w:rsid w:val="6D9F2F10"/>
    <w:rsid w:val="6E661D1D"/>
    <w:rsid w:val="6F754809"/>
    <w:rsid w:val="739254CE"/>
    <w:rsid w:val="76D417EE"/>
    <w:rsid w:val="77087B85"/>
    <w:rsid w:val="7BFFB6AC"/>
    <w:rsid w:val="7D59B88E"/>
    <w:rsid w:val="7DDA2CEF"/>
    <w:rsid w:val="7FB7BFB0"/>
    <w:rsid w:val="8FB7A68D"/>
    <w:rsid w:val="ABFE34AF"/>
    <w:rsid w:val="DF7FAC74"/>
    <w:rsid w:val="EF5CE901"/>
    <w:rsid w:val="EF6F4914"/>
    <w:rsid w:val="F57F914A"/>
    <w:rsid w:val="FBEDC3FB"/>
    <w:rsid w:val="FDFF6A3E"/>
    <w:rsid w:val="FE7F6417"/>
    <w:rsid w:val="FFFFD6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4"/>
    <w:qFormat/>
    <w:uiPriority w:val="0"/>
    <w:pPr>
      <w:keepNext/>
      <w:keepLines/>
      <w:spacing w:before="340" w:after="330" w:line="578" w:lineRule="auto"/>
      <w:outlineLvl w:val="0"/>
    </w:pPr>
    <w:rPr>
      <w:b w:val="0"/>
      <w:bCs/>
      <w:kern w:val="44"/>
      <w:sz w:val="44"/>
      <w:szCs w:val="44"/>
    </w:rPr>
  </w:style>
  <w:style w:type="paragraph" w:styleId="6">
    <w:name w:val="heading 2"/>
    <w:basedOn w:val="1"/>
    <w:next w:val="1"/>
    <w:qFormat/>
    <w:uiPriority w:val="0"/>
    <w:pPr>
      <w:keepNext/>
      <w:keepLines/>
      <w:spacing w:before="120" w:after="120" w:line="415" w:lineRule="auto"/>
      <w:jc w:val="center"/>
      <w:outlineLvl w:val="1"/>
    </w:pPr>
    <w:rPr>
      <w:rFonts w:ascii="Arial" w:hAnsi="Arial"/>
      <w:b/>
      <w:color w:val="000000"/>
      <w:kern w:val="0"/>
      <w:sz w:val="28"/>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120" w:after="60"/>
      <w:jc w:val="center"/>
    </w:pPr>
    <w:rPr>
      <w:rFonts w:ascii="Arial" w:hAnsi="Arial"/>
      <w:b/>
      <w:sz w:val="44"/>
      <w:szCs w:val="20"/>
    </w:rPr>
  </w:style>
  <w:style w:type="paragraph" w:styleId="4">
    <w:name w:val="Body Text First Indent"/>
    <w:basedOn w:val="5"/>
    <w:qFormat/>
    <w:uiPriority w:val="0"/>
    <w:pPr>
      <w:ind w:firstLine="420"/>
    </w:pPr>
  </w:style>
  <w:style w:type="paragraph" w:styleId="5">
    <w:name w:val="Body Text"/>
    <w:basedOn w:val="1"/>
    <w:qFormat/>
    <w:uiPriority w:val="99"/>
    <w:pPr>
      <w:spacing w:after="120"/>
    </w:pPr>
    <w:rPr>
      <w:rFonts w:ascii="Calibri" w:hAnsi="Calibri"/>
      <w:kern w:val="0"/>
      <w:sz w:val="20"/>
      <w:szCs w:val="20"/>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1502</Words>
  <Characters>1642</Characters>
  <Lines>0</Lines>
  <Paragraphs>0</Paragraphs>
  <TotalTime>1</TotalTime>
  <ScaleCrop>false</ScaleCrop>
  <LinksUpToDate>false</LinksUpToDate>
  <CharactersWithSpaces>1646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2024-11-08T11:36:00Z</dcterms:created>
  <dc:creator>SHERRY</dc:creator>
  <cp:lastModifiedBy>GDZG</cp:lastModifiedBy>
  <dcterms:modified xsi:type="dcterms:W3CDTF">2024-11-04T00:58:12Z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014F5B9C1EDD4A8F8FC139CF1450E719_12</vt:lpwstr>
  </property>
</Properties>
</file>