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B419">
      <w:pPr>
        <w:wordWrap w:val="0"/>
        <w:snapToGrid w:val="0"/>
        <w:spacing w:line="360" w:lineRule="auto"/>
        <w:jc w:val="right"/>
        <w:rPr>
          <w:rFonts w:ascii="宋体" w:hAnsi="宋体" w:cs="宋体"/>
          <w:color w:val="auto"/>
          <w:sz w:val="28"/>
          <w:szCs w:val="28"/>
          <w:highlight w:val="none"/>
        </w:rPr>
      </w:pPr>
      <w:bookmarkStart w:id="6" w:name="_GoBack"/>
      <w:r>
        <w:rPr>
          <w:rFonts w:hint="eastAsia" w:ascii="宋体" w:hAnsi="宋体" w:cs="宋体"/>
          <w:color w:val="auto"/>
          <w:sz w:val="28"/>
          <w:szCs w:val="28"/>
          <w:highlight w:val="none"/>
        </w:rPr>
        <w:t xml:space="preserve">                              </w:t>
      </w:r>
    </w:p>
    <w:p w14:paraId="25047F9A">
      <w:pPr>
        <w:wordWrap w:val="0"/>
        <w:spacing w:line="600" w:lineRule="auto"/>
        <w:jc w:val="center"/>
        <w:outlineLvl w:val="0"/>
        <w:rPr>
          <w:rFonts w:ascii="宋体" w:hAnsi="宋体" w:cs="宋体"/>
          <w:color w:val="auto"/>
          <w:sz w:val="28"/>
          <w:szCs w:val="28"/>
          <w:highlight w:val="none"/>
        </w:rPr>
      </w:pPr>
    </w:p>
    <w:p w14:paraId="65F48604">
      <w:pPr>
        <w:jc w:val="center"/>
        <w:rPr>
          <w:rFonts w:ascii="宋体" w:hAnsi="宋体" w:cs="宋体"/>
          <w:b/>
          <w:color w:val="auto"/>
          <w:sz w:val="28"/>
          <w:szCs w:val="28"/>
          <w:highlight w:val="none"/>
        </w:rPr>
      </w:pPr>
    </w:p>
    <w:p w14:paraId="037EB572">
      <w:pPr>
        <w:jc w:val="center"/>
        <w:rPr>
          <w:rFonts w:ascii="宋体" w:hAnsi="宋体" w:cs="宋体"/>
          <w:b/>
          <w:color w:val="auto"/>
          <w:sz w:val="28"/>
          <w:szCs w:val="28"/>
          <w:highlight w:val="none"/>
        </w:rPr>
      </w:pPr>
    </w:p>
    <w:p w14:paraId="7702439F">
      <w:pPr>
        <w:jc w:val="center"/>
        <w:rPr>
          <w:rFonts w:ascii="宋体" w:hAnsi="宋体" w:cs="宋体"/>
          <w:b/>
          <w:color w:val="auto"/>
          <w:sz w:val="28"/>
          <w:szCs w:val="28"/>
          <w:highlight w:val="none"/>
        </w:rPr>
      </w:pPr>
    </w:p>
    <w:p w14:paraId="1637B9C1">
      <w:pPr>
        <w:jc w:val="center"/>
        <w:outlineLvl w:val="0"/>
        <w:rPr>
          <w:rFonts w:ascii="宋体" w:hAnsi="宋体" w:cs="宋体"/>
          <w:b/>
          <w:bCs/>
          <w:color w:val="auto"/>
          <w:sz w:val="52"/>
          <w:szCs w:val="52"/>
          <w:highlight w:val="none"/>
        </w:rPr>
      </w:pPr>
      <w:r>
        <w:rPr>
          <w:rFonts w:hint="eastAsia" w:ascii="宋体" w:hAnsi="宋体" w:cs="宋体"/>
          <w:b/>
          <w:bCs/>
          <w:color w:val="auto"/>
          <w:sz w:val="28"/>
          <w:szCs w:val="28"/>
          <w:highlight w:val="none"/>
        </w:rPr>
        <w:t xml:space="preserve"> </w:t>
      </w:r>
      <w:r>
        <w:rPr>
          <w:rFonts w:hint="eastAsia" w:ascii="宋体" w:hAnsi="宋体" w:cs="宋体"/>
          <w:b/>
          <w:bCs/>
          <w:color w:val="auto"/>
          <w:sz w:val="52"/>
          <w:szCs w:val="52"/>
          <w:highlight w:val="none"/>
        </w:rPr>
        <w:t>萝岗和苑配售型保障性住房</w:t>
      </w:r>
    </w:p>
    <w:p w14:paraId="510D474C">
      <w:pPr>
        <w:jc w:val="center"/>
        <w:outlineLvl w:val="0"/>
        <w:rPr>
          <w:rFonts w:ascii="宋体" w:hAnsi="宋体" w:cs="宋体"/>
          <w:b/>
          <w:bCs/>
          <w:color w:val="auto"/>
          <w:sz w:val="28"/>
          <w:szCs w:val="28"/>
          <w:highlight w:val="none"/>
        </w:rPr>
      </w:pPr>
      <w:r>
        <w:rPr>
          <w:rFonts w:hint="eastAsia" w:ascii="宋体" w:hAnsi="宋体" w:cs="宋体"/>
          <w:b/>
          <w:bCs/>
          <w:color w:val="auto"/>
          <w:sz w:val="52"/>
          <w:szCs w:val="52"/>
          <w:highlight w:val="none"/>
        </w:rPr>
        <w:t>房屋品质</w:t>
      </w:r>
      <w:r>
        <w:rPr>
          <w:rFonts w:hint="eastAsia" w:ascii="宋体" w:hAnsi="宋体" w:cs="宋体"/>
          <w:b/>
          <w:bCs/>
          <w:color w:val="auto"/>
          <w:sz w:val="52"/>
          <w:szCs w:val="52"/>
          <w:highlight w:val="none"/>
          <w:lang w:eastAsia="zh-CN"/>
        </w:rPr>
        <w:t>提升承包</w:t>
      </w:r>
      <w:r>
        <w:rPr>
          <w:rFonts w:hint="eastAsia" w:ascii="宋体" w:hAnsi="宋体" w:cs="宋体"/>
          <w:b/>
          <w:bCs/>
          <w:color w:val="auto"/>
          <w:sz w:val="52"/>
          <w:szCs w:val="52"/>
          <w:highlight w:val="none"/>
        </w:rPr>
        <w:t>合同</w:t>
      </w:r>
    </w:p>
    <w:p w14:paraId="6F8D7A45">
      <w:pPr>
        <w:spacing w:line="6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FC06711">
      <w:pPr>
        <w:spacing w:line="600" w:lineRule="auto"/>
        <w:rPr>
          <w:rFonts w:ascii="宋体" w:hAnsi="宋体" w:cs="宋体"/>
          <w:color w:val="auto"/>
          <w:sz w:val="28"/>
          <w:szCs w:val="28"/>
          <w:highlight w:val="none"/>
        </w:rPr>
      </w:pPr>
    </w:p>
    <w:p w14:paraId="5B54EBC9">
      <w:pPr>
        <w:tabs>
          <w:tab w:val="left" w:pos="7560"/>
        </w:tabs>
        <w:spacing w:line="600" w:lineRule="auto"/>
        <w:rPr>
          <w:rFonts w:ascii="宋体" w:hAnsi="宋体" w:cs="宋体"/>
          <w:color w:val="auto"/>
          <w:sz w:val="28"/>
          <w:szCs w:val="28"/>
          <w:highlight w:val="none"/>
        </w:rPr>
      </w:pPr>
    </w:p>
    <w:p w14:paraId="7411290C">
      <w:pPr>
        <w:tabs>
          <w:tab w:val="left" w:pos="7560"/>
        </w:tabs>
        <w:spacing w:line="600" w:lineRule="auto"/>
        <w:rPr>
          <w:rFonts w:ascii="宋体" w:hAnsi="宋体" w:cs="宋体"/>
          <w:color w:val="auto"/>
          <w:sz w:val="28"/>
          <w:szCs w:val="28"/>
          <w:highlight w:val="none"/>
        </w:rPr>
      </w:pPr>
    </w:p>
    <w:p w14:paraId="02374F48">
      <w:pPr>
        <w:pStyle w:val="41"/>
        <w:widowControl w:val="0"/>
        <w:spacing w:beforeAutospacing="0" w:afterAutospacing="0"/>
        <w:ind w:firstLine="1400" w:firstLineChars="500"/>
        <w:jc w:val="both"/>
        <w:rPr>
          <w:rFonts w:cs="宋体"/>
          <w:bCs/>
          <w:color w:val="auto"/>
          <w:kern w:val="2"/>
          <w:sz w:val="28"/>
          <w:szCs w:val="28"/>
          <w:highlight w:val="none"/>
        </w:rPr>
      </w:pPr>
      <w:r>
        <w:rPr>
          <w:rFonts w:hint="eastAsia" w:cs="宋体"/>
          <w:bCs/>
          <w:color w:val="auto"/>
          <w:kern w:val="2"/>
          <w:sz w:val="28"/>
          <w:szCs w:val="28"/>
          <w:highlight w:val="none"/>
        </w:rPr>
        <w:t>合同编号：</w:t>
      </w:r>
      <w:r>
        <w:rPr>
          <w:rFonts w:hint="eastAsia" w:cs="宋体"/>
          <w:bCs/>
          <w:color w:val="auto"/>
          <w:kern w:val="2"/>
          <w:sz w:val="28"/>
          <w:szCs w:val="28"/>
          <w:highlight w:val="none"/>
          <w:u w:val="single"/>
        </w:rPr>
        <w:t xml:space="preserve">                         </w:t>
      </w:r>
    </w:p>
    <w:p w14:paraId="7DB8BBBB">
      <w:pPr>
        <w:spacing w:line="360" w:lineRule="auto"/>
        <w:ind w:left="2796" w:leftChars="665" w:hanging="1400" w:hangingChars="500"/>
        <w:rPr>
          <w:rFonts w:ascii="宋体" w:hAnsi="宋体" w:cs="宋体"/>
          <w:bCs/>
          <w:color w:val="auto"/>
          <w:sz w:val="28"/>
          <w:szCs w:val="28"/>
          <w:highlight w:val="none"/>
          <w:u w:val="single"/>
        </w:rPr>
      </w:pPr>
      <w:r>
        <w:rPr>
          <w:rFonts w:hint="eastAsia" w:ascii="宋体" w:hAnsi="宋体" w:cs="宋体"/>
          <w:bCs/>
          <w:color w:val="auto"/>
          <w:sz w:val="28"/>
          <w:szCs w:val="28"/>
          <w:highlight w:val="none"/>
        </w:rPr>
        <w:t>项目名称：</w:t>
      </w:r>
      <w:r>
        <w:rPr>
          <w:rFonts w:hint="eastAsia" w:ascii="宋体" w:hAnsi="宋体" w:cs="宋体"/>
          <w:bCs/>
          <w:color w:val="auto"/>
          <w:sz w:val="28"/>
          <w:szCs w:val="28"/>
          <w:highlight w:val="none"/>
          <w:u w:val="single"/>
        </w:rPr>
        <w:t>萝岗和苑配售型保障性住房房屋品质</w:t>
      </w:r>
      <w:r>
        <w:rPr>
          <w:rFonts w:hint="eastAsia" w:ascii="宋体" w:hAnsi="宋体" w:cs="宋体"/>
          <w:bCs/>
          <w:color w:val="auto"/>
          <w:sz w:val="28"/>
          <w:szCs w:val="28"/>
          <w:highlight w:val="none"/>
          <w:u w:val="single"/>
          <w:lang w:eastAsia="zh-CN"/>
        </w:rPr>
        <w:t>提升</w:t>
      </w:r>
    </w:p>
    <w:p w14:paraId="53CB4BFC">
      <w:pPr>
        <w:spacing w:line="360" w:lineRule="auto"/>
        <w:ind w:firstLine="1400" w:firstLineChars="500"/>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采购人（甲方）：</w:t>
      </w:r>
      <w:r>
        <w:rPr>
          <w:rFonts w:hint="eastAsia" w:ascii="宋体" w:hAnsi="宋体" w:cs="宋体"/>
          <w:color w:val="auto"/>
          <w:sz w:val="28"/>
          <w:szCs w:val="28"/>
          <w:highlight w:val="none"/>
          <w:u w:val="single"/>
        </w:rPr>
        <w:t>广州城投住房租赁发展投资有限公司</w:t>
      </w:r>
      <w:r>
        <w:rPr>
          <w:rFonts w:hint="eastAsia" w:ascii="宋体" w:hAnsi="宋体" w:cs="宋体"/>
          <w:bCs/>
          <w:color w:val="auto"/>
          <w:sz w:val="28"/>
          <w:szCs w:val="28"/>
          <w:highlight w:val="none"/>
        </w:rPr>
        <w:t xml:space="preserve"> </w:t>
      </w:r>
    </w:p>
    <w:p w14:paraId="0E148DE2">
      <w:pPr>
        <w:spacing w:line="360" w:lineRule="auto"/>
        <w:ind w:firstLine="1400" w:firstLineChars="500"/>
        <w:rPr>
          <w:rFonts w:ascii="宋体" w:hAnsi="宋体" w:cs="宋体"/>
          <w:bCs/>
          <w:color w:val="auto"/>
          <w:sz w:val="28"/>
          <w:szCs w:val="28"/>
          <w:highlight w:val="none"/>
          <w:u w:val="single"/>
        </w:rPr>
      </w:pPr>
      <w:r>
        <w:rPr>
          <w:rFonts w:hint="eastAsia" w:ascii="宋体" w:hAnsi="宋体" w:cs="宋体"/>
          <w:bCs/>
          <w:color w:val="auto"/>
          <w:sz w:val="28"/>
          <w:szCs w:val="28"/>
          <w:highlight w:val="none"/>
          <w:lang w:eastAsia="zh-CN"/>
        </w:rPr>
        <w:t>承包</w:t>
      </w:r>
      <w:r>
        <w:rPr>
          <w:rFonts w:hint="eastAsia" w:ascii="宋体" w:hAnsi="宋体" w:cs="宋体"/>
          <w:bCs/>
          <w:color w:val="auto"/>
          <w:sz w:val="28"/>
          <w:szCs w:val="28"/>
          <w:highlight w:val="none"/>
        </w:rPr>
        <w:t>人（乙方）：</w:t>
      </w:r>
      <w:r>
        <w:rPr>
          <w:rFonts w:hint="eastAsia" w:ascii="宋体" w:hAnsi="宋体" w:cs="宋体"/>
          <w:bCs/>
          <w:color w:val="auto"/>
          <w:sz w:val="28"/>
          <w:szCs w:val="28"/>
          <w:highlight w:val="none"/>
          <w:u w:val="single"/>
        </w:rPr>
        <w:t xml:space="preserve">                        </w:t>
      </w:r>
    </w:p>
    <w:p w14:paraId="3293E7C9">
      <w:pPr>
        <w:spacing w:line="360" w:lineRule="auto"/>
        <w:ind w:firstLine="1400" w:firstLineChars="500"/>
        <w:rPr>
          <w:rFonts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 xml:space="preserve">2024年  月  日 </w:t>
      </w:r>
    </w:p>
    <w:p w14:paraId="360F81FE">
      <w:pPr>
        <w:spacing w:line="360" w:lineRule="auto"/>
        <w:ind w:firstLine="1400" w:firstLineChars="500"/>
        <w:rPr>
          <w:rFonts w:ascii="宋体" w:hAnsi="宋体" w:cs="宋体"/>
          <w:bCs/>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广东省广州市  </w:t>
      </w:r>
    </w:p>
    <w:p w14:paraId="37C52C74">
      <w:pPr>
        <w:ind w:firstLine="1960" w:firstLineChars="700"/>
        <w:rPr>
          <w:rFonts w:ascii="宋体" w:hAnsi="宋体" w:cs="宋体"/>
          <w:color w:val="auto"/>
          <w:sz w:val="28"/>
          <w:szCs w:val="28"/>
          <w:highlight w:val="none"/>
          <w:u w:val="single"/>
        </w:rPr>
      </w:pPr>
    </w:p>
    <w:p w14:paraId="61ADB34E">
      <w:pPr>
        <w:pStyle w:val="83"/>
        <w:rPr>
          <w:rFonts w:ascii="宋体" w:hAnsi="宋体" w:eastAsia="宋体" w:cs="宋体"/>
          <w:color w:val="auto"/>
          <w:sz w:val="28"/>
          <w:szCs w:val="28"/>
          <w:highlight w:val="none"/>
          <w:u w:val="single"/>
        </w:rPr>
      </w:pPr>
    </w:p>
    <w:p w14:paraId="20E05F4E">
      <w:pPr>
        <w:tabs>
          <w:tab w:val="left" w:pos="720"/>
        </w:tabs>
        <w:spacing w:line="360" w:lineRule="auto"/>
        <w:rPr>
          <w:rFonts w:ascii="宋体" w:hAnsi="宋体" w:cs="宋体"/>
          <w:b/>
          <w:color w:val="auto"/>
          <w:sz w:val="28"/>
          <w:szCs w:val="28"/>
          <w:highlight w:val="none"/>
        </w:rPr>
      </w:pPr>
    </w:p>
    <w:p w14:paraId="15EC1B2F">
      <w:pPr>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萝岗和苑配售型保障性住房</w:t>
      </w:r>
    </w:p>
    <w:p w14:paraId="53983D51">
      <w:pPr>
        <w:jc w:val="center"/>
        <w:outlineLvl w:val="0"/>
        <w:rPr>
          <w:rFonts w:ascii="宋体" w:hAnsi="宋体" w:cs="宋体"/>
          <w:b/>
          <w:bCs/>
          <w:color w:val="auto"/>
          <w:sz w:val="28"/>
          <w:szCs w:val="28"/>
          <w:highlight w:val="none"/>
        </w:rPr>
      </w:pPr>
      <w:r>
        <w:rPr>
          <w:rFonts w:hint="eastAsia" w:ascii="宋体" w:hAnsi="宋体" w:cs="宋体"/>
          <w:b/>
          <w:bCs/>
          <w:color w:val="auto"/>
          <w:sz w:val="44"/>
          <w:szCs w:val="44"/>
          <w:highlight w:val="none"/>
        </w:rPr>
        <w:t>房屋品质</w:t>
      </w:r>
      <w:r>
        <w:rPr>
          <w:rFonts w:hint="eastAsia" w:ascii="宋体" w:hAnsi="宋体" w:cs="宋体"/>
          <w:b/>
          <w:bCs/>
          <w:color w:val="auto"/>
          <w:sz w:val="44"/>
          <w:szCs w:val="44"/>
          <w:highlight w:val="none"/>
          <w:lang w:eastAsia="zh-CN"/>
        </w:rPr>
        <w:t>提升承包</w:t>
      </w:r>
      <w:r>
        <w:rPr>
          <w:rFonts w:hint="eastAsia" w:ascii="宋体" w:hAnsi="宋体" w:cs="宋体"/>
          <w:b/>
          <w:bCs/>
          <w:color w:val="auto"/>
          <w:sz w:val="44"/>
          <w:szCs w:val="44"/>
          <w:highlight w:val="none"/>
        </w:rPr>
        <w:t>合同</w:t>
      </w:r>
    </w:p>
    <w:p w14:paraId="5138FA95">
      <w:pPr>
        <w:tabs>
          <w:tab w:val="left" w:pos="720"/>
        </w:tabs>
        <w:spacing w:line="360" w:lineRule="auto"/>
        <w:rPr>
          <w:rFonts w:ascii="宋体" w:hAnsi="宋体" w:cs="宋体"/>
          <w:b/>
          <w:color w:val="auto"/>
          <w:sz w:val="28"/>
          <w:szCs w:val="28"/>
          <w:highlight w:val="none"/>
        </w:rPr>
      </w:pPr>
    </w:p>
    <w:p w14:paraId="3858F080">
      <w:pPr>
        <w:tabs>
          <w:tab w:val="left" w:pos="720"/>
        </w:tabs>
        <w:spacing w:line="360" w:lineRule="auto"/>
        <w:rPr>
          <w:rFonts w:ascii="宋体" w:hAnsi="宋体" w:cs="宋体"/>
          <w:bCs/>
          <w:color w:val="auto"/>
          <w:sz w:val="28"/>
          <w:szCs w:val="28"/>
          <w:highlight w:val="none"/>
        </w:rPr>
      </w:pPr>
      <w:r>
        <w:rPr>
          <w:rFonts w:hint="eastAsia" w:ascii="宋体" w:hAnsi="宋体" w:cs="宋体"/>
          <w:b/>
          <w:color w:val="auto"/>
          <w:sz w:val="28"/>
          <w:szCs w:val="28"/>
          <w:highlight w:val="none"/>
        </w:rPr>
        <w:t>甲方：</w:t>
      </w:r>
      <w:r>
        <w:rPr>
          <w:rFonts w:hint="eastAsia" w:ascii="宋体" w:hAnsi="宋体" w:cs="宋体"/>
          <w:b/>
          <w:color w:val="auto"/>
          <w:sz w:val="28"/>
          <w:szCs w:val="28"/>
          <w:highlight w:val="none"/>
          <w:u w:val="single"/>
        </w:rPr>
        <w:t>广州城投住房租赁发展投资有限公司</w:t>
      </w:r>
    </w:p>
    <w:p w14:paraId="738671AB">
      <w:pPr>
        <w:tabs>
          <w:tab w:val="left" w:pos="720"/>
        </w:tabs>
        <w:spacing w:line="360" w:lineRule="auto"/>
        <w:rPr>
          <w:rFonts w:ascii="宋体" w:hAnsi="宋体" w:cs="宋体"/>
          <w:bCs/>
          <w:color w:val="auto"/>
          <w:sz w:val="28"/>
          <w:szCs w:val="28"/>
          <w:highlight w:val="none"/>
        </w:rPr>
      </w:pPr>
      <w:r>
        <w:rPr>
          <w:rFonts w:hint="eastAsia" w:ascii="宋体" w:hAnsi="宋体" w:cs="宋体"/>
          <w:b/>
          <w:color w:val="auto"/>
          <w:sz w:val="28"/>
          <w:szCs w:val="28"/>
          <w:highlight w:val="none"/>
        </w:rPr>
        <w:t xml:space="preserve">乙方：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w:t>
      </w:r>
    </w:p>
    <w:p w14:paraId="3E012623">
      <w:pPr>
        <w:tabs>
          <w:tab w:val="left" w:pos="720"/>
        </w:tabs>
        <w:spacing w:line="360" w:lineRule="auto"/>
        <w:ind w:firstLine="560" w:firstLineChars="200"/>
        <w:rPr>
          <w:rFonts w:ascii="宋体" w:hAnsi="宋体" w:cs="宋体"/>
          <w:color w:val="auto"/>
          <w:sz w:val="28"/>
          <w:szCs w:val="28"/>
          <w:highlight w:val="none"/>
        </w:rPr>
      </w:pPr>
    </w:p>
    <w:p w14:paraId="265A503E">
      <w:pPr>
        <w:tabs>
          <w:tab w:val="left" w:pos="720"/>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根据萝岗和苑配售型保障性住房房屋品质</w:t>
      </w:r>
      <w:r>
        <w:rPr>
          <w:rFonts w:hint="eastAsia" w:ascii="宋体" w:hAnsi="宋体" w:cs="宋体"/>
          <w:color w:val="auto"/>
          <w:sz w:val="28"/>
          <w:szCs w:val="28"/>
          <w:highlight w:val="none"/>
          <w:lang w:eastAsia="zh-CN"/>
        </w:rPr>
        <w:t>提升</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结果，按照《中华人民共和国民法典》和采购文件的规定，经双方协商，本着平等互利和诚实信用的原则，一致同意签订本合同如下：</w:t>
      </w:r>
    </w:p>
    <w:p w14:paraId="1FCC9AC8">
      <w:pPr>
        <w:numPr>
          <w:ilvl w:val="-1"/>
          <w:numId w:val="0"/>
        </w:numPr>
        <w:tabs>
          <w:tab w:val="left" w:pos="720"/>
        </w:tabs>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一、</w:t>
      </w:r>
      <w:r>
        <w:rPr>
          <w:rFonts w:hint="eastAsia" w:ascii="宋体" w:hAnsi="宋体" w:cs="宋体"/>
          <w:b/>
          <w:color w:val="auto"/>
          <w:sz w:val="28"/>
          <w:szCs w:val="28"/>
          <w:highlight w:val="none"/>
        </w:rPr>
        <w:t>项目情况</w:t>
      </w:r>
    </w:p>
    <w:p w14:paraId="722D56EF">
      <w:pPr>
        <w:tabs>
          <w:tab w:val="left" w:pos="720"/>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1.1项目名称：</w:t>
      </w:r>
      <w:r>
        <w:rPr>
          <w:rFonts w:hint="eastAsia" w:ascii="宋体" w:hAnsi="宋体" w:cs="宋体"/>
          <w:color w:val="auto"/>
          <w:sz w:val="28"/>
          <w:szCs w:val="28"/>
          <w:highlight w:val="none"/>
          <w:u w:val="single"/>
        </w:rPr>
        <w:t>萝岗和苑配售型保障性住房房屋品质</w:t>
      </w:r>
      <w:r>
        <w:rPr>
          <w:rFonts w:hint="eastAsia" w:ascii="宋体" w:hAnsi="宋体" w:cs="宋体"/>
          <w:color w:val="auto"/>
          <w:sz w:val="28"/>
          <w:szCs w:val="28"/>
          <w:highlight w:val="none"/>
          <w:u w:val="single"/>
          <w:lang w:eastAsia="zh-CN"/>
        </w:rPr>
        <w:t>提升</w:t>
      </w:r>
      <w:r>
        <w:rPr>
          <w:rFonts w:hint="eastAsia" w:ascii="宋体" w:hAnsi="宋体" w:cs="宋体"/>
          <w:color w:val="auto"/>
          <w:sz w:val="28"/>
          <w:szCs w:val="28"/>
          <w:highlight w:val="none"/>
          <w:u w:val="single"/>
        </w:rPr>
        <w:t>。</w:t>
      </w:r>
    </w:p>
    <w:p w14:paraId="4A7CEE82">
      <w:pPr>
        <w:tabs>
          <w:tab w:val="left" w:pos="720"/>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1.2项目地点：</w:t>
      </w:r>
      <w:r>
        <w:rPr>
          <w:rFonts w:hint="eastAsia" w:ascii="宋体" w:hAnsi="宋体" w:cs="宋体"/>
          <w:color w:val="auto"/>
          <w:sz w:val="28"/>
          <w:szCs w:val="28"/>
          <w:highlight w:val="none"/>
          <w:u w:val="single"/>
        </w:rPr>
        <w:t>广州市黄埔区水西路萝岗和苑。</w:t>
      </w:r>
    </w:p>
    <w:p w14:paraId="75976B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u w:val="single"/>
        </w:rPr>
      </w:pPr>
      <w:r>
        <w:rPr>
          <w:rFonts w:hint="eastAsia" w:ascii="宋体" w:hAnsi="宋体" w:cs="宋体"/>
          <w:color w:val="auto"/>
          <w:sz w:val="28"/>
          <w:szCs w:val="28"/>
          <w:highlight w:val="none"/>
        </w:rPr>
        <w:t xml:space="preserve">1.3 </w:t>
      </w:r>
      <w:r>
        <w:rPr>
          <w:rFonts w:hint="eastAsia" w:ascii="宋体" w:hAnsi="宋体" w:eastAsia="宋体"/>
          <w:sz w:val="28"/>
          <w:szCs w:val="28"/>
          <w:highlight w:val="none"/>
        </w:rPr>
        <w:t>项目概况及规模：</w:t>
      </w:r>
      <w:r>
        <w:rPr>
          <w:rFonts w:hint="eastAsia" w:ascii="宋体" w:hAnsi="宋体" w:eastAsia="宋体"/>
          <w:sz w:val="28"/>
          <w:szCs w:val="28"/>
          <w:highlight w:val="none"/>
          <w:u w:val="single"/>
        </w:rPr>
        <w:t>萝岗和苑（一期）A9栋（13-33层）、A10栋、萝岗和苑（二期）E1-E7、E8（9层部分、10-32层）共2411户，包含每户包含橱柜、浴室柜、厨电等。</w:t>
      </w:r>
    </w:p>
    <w:p w14:paraId="07624D51">
      <w:pPr>
        <w:pStyle w:val="54"/>
        <w:ind w:firstLine="0"/>
        <w:jc w:val="both"/>
        <w:rPr>
          <w:rFonts w:hint="eastAsia" w:ascii="宋体" w:hAnsi="宋体" w:eastAsia="宋体"/>
          <w:sz w:val="28"/>
          <w:szCs w:val="28"/>
          <w:highlight w:val="none"/>
          <w:u w:val="single"/>
          <w:lang w:val="en-US" w:eastAsia="zh-CN"/>
        </w:rPr>
      </w:pPr>
      <w:r>
        <w:rPr>
          <w:rFonts w:hint="eastAsia" w:ascii="宋体" w:hAnsi="宋体" w:eastAsia="宋体"/>
          <w:sz w:val="28"/>
          <w:szCs w:val="28"/>
          <w:highlight w:val="none"/>
          <w:u w:val="single"/>
          <w:lang w:val="en-US" w:eastAsia="zh-CN"/>
        </w:rPr>
        <w:t>二、承包范围与工程内容</w:t>
      </w:r>
    </w:p>
    <w:p w14:paraId="69C25CC8">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.承包范围：根据</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提供的基础资料，负责萝岗和苑配售型保障性住房小区内，在原有的户内交标配套进行提升，提升内容包括但不限于：增配橱柜、浴室柜、厨电等设计、货品供应、安装等内容。</w:t>
      </w:r>
    </w:p>
    <w:p w14:paraId="317E3B78">
      <w:pPr>
        <w:spacing w:line="360" w:lineRule="auto"/>
        <w:ind w:firstLine="562" w:firstLineChars="201"/>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工程内容：包括但不限于以下内容</w:t>
      </w:r>
      <w:r>
        <w:rPr>
          <w:rFonts w:hint="eastAsia" w:ascii="宋体" w:hAnsi="宋体" w:eastAsia="宋体" w:cs="宋体"/>
          <w:sz w:val="28"/>
          <w:szCs w:val="28"/>
          <w:highlight w:val="none"/>
          <w:lang w:eastAsia="zh-CN"/>
        </w:rPr>
        <w:t>：</w:t>
      </w:r>
    </w:p>
    <w:p w14:paraId="4B6823A9">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设计工作</w:t>
      </w:r>
    </w:p>
    <w:p w14:paraId="044BD3C8">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根据招标人提供的初始数据及材质要求，完成</w:t>
      </w:r>
      <w:r>
        <w:rPr>
          <w:rFonts w:hint="eastAsia" w:ascii="宋体" w:hAnsi="宋体" w:eastAsia="宋体" w:cs="宋体"/>
          <w:sz w:val="28"/>
          <w:szCs w:val="28"/>
          <w:highlight w:val="none"/>
        </w:rPr>
        <w:t>负责萝岗和苑配售型保障性住房小区内园户内家具配套的设计工作，包含方案全案设计、设计深化、安装图设计、竣工图等阶段，包括但不限于橱柜、浴室柜的设计工作，以及上述相对应阶段的造价文件编制工作，确保满足国家、省、市现行有效规范的要求，满足</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相关设计管理要求、以及安装进度、安装安全要求。设计方案要求理念新颖、设计风格及功能区规划符合人才房用户群体的使用习惯。</w:t>
      </w:r>
    </w:p>
    <w:p w14:paraId="0E9CB4CF">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（2）本工程实行全过程限额设计安装，</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有权在限额范围内，根据项目实际情况对</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的承包范围和承包工程内容进行适当调整，</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应无条件予以配合。</w:t>
      </w:r>
    </w:p>
    <w:p w14:paraId="5BA3990A">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（3）设计依据</w:t>
      </w:r>
    </w:p>
    <w:p w14:paraId="6EE125E7">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①国家、行业及地方现行相关标准规范；</w:t>
      </w:r>
    </w:p>
    <w:p w14:paraId="454F7B35">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②广州安居集团有限公司建设工程设计管理办法（试行）；</w:t>
      </w:r>
    </w:p>
    <w:p w14:paraId="2C4F631C">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③其他资料。</w:t>
      </w:r>
    </w:p>
    <w:p w14:paraId="7B9F8B8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在合同执行期间，上述标准、规范、文件如有更新，按新的标准或要求执行。</w:t>
      </w:r>
    </w:p>
    <w:p w14:paraId="289FC47B">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安装工作</w:t>
      </w:r>
    </w:p>
    <w:p w14:paraId="334F57D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（1）按照</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文件及合同约定的范围和</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批复的安装图进行安装总承包，包工、包材料、包设备、包工期、包质量、包安全生产、包文明安装、包工程竣工验收通过、包结算编制、包竣工图编制、工程资料汇总及整理归档、包保修等，包括但不限于如下内容：</w:t>
      </w:r>
    </w:p>
    <w:p w14:paraId="5909690D">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①萝岗和苑（一期）A9栋（13-33层）、A10栋、萝岗和苑（二期）E1-E7、E8（9层部分、10-32层）户内家具配套提升改造，清除原有柱盆。</w:t>
      </w:r>
    </w:p>
    <w:p w14:paraId="5CB1951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②萝岗和苑（一期）A9栋（13-33层）、A10栋、萝岗和苑（二期）E1-E7、E8（9层部分、10-32层）户内家具配套提升改造，增配橱柜、浴室柜、厨电。</w:t>
      </w:r>
    </w:p>
    <w:p w14:paraId="67E95D6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（2）承担本工程建设相关的工作，包括但不限于：</w:t>
      </w:r>
    </w:p>
    <w:p w14:paraId="3B11433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①负责组织本工程范围内的竣工验收手续，包括分部分项工程验收、各项专业工程验收以及涉及</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的验收后续及证明等；</w:t>
      </w:r>
    </w:p>
    <w:p w14:paraId="385D0DA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②负责本工程范围内安装管理配合服务，配合进行移交场地、设施及相关资料；</w:t>
      </w:r>
    </w:p>
    <w:p w14:paraId="6624F4CD">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③负责本工程范围的安装场地保管以及本工程范围内的现场安全文明安装管理。</w:t>
      </w:r>
    </w:p>
    <w:p w14:paraId="1E4E9BCB">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三、质量标准和要求</w:t>
      </w:r>
    </w:p>
    <w:p w14:paraId="71DA4F64">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3.1</w:t>
      </w:r>
      <w:r>
        <w:rPr>
          <w:rFonts w:hint="eastAsia" w:ascii="宋体" w:hAnsi="宋体" w:eastAsia="宋体" w:cs="宋体"/>
          <w:sz w:val="28"/>
          <w:szCs w:val="28"/>
          <w:highlight w:val="none"/>
        </w:rPr>
        <w:t>设计标准和要求（设计文件编制及限额设计目标）：在符合有关国家规范、标准的基础上，须同时满足当地政府颁布的规范/标准，及满足</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提出的设计管理、技术指引、现场安装等相关要求。</w:t>
      </w:r>
    </w:p>
    <w:p w14:paraId="4BAA6CDB">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3.2</w:t>
      </w:r>
      <w:r>
        <w:rPr>
          <w:rFonts w:hint="eastAsia" w:ascii="宋体" w:hAnsi="宋体" w:eastAsia="宋体" w:cs="宋体"/>
          <w:sz w:val="28"/>
          <w:szCs w:val="28"/>
          <w:highlight w:val="none"/>
        </w:rPr>
        <w:t>工程质量标准和要求（安装质量及项目成效目标）：确保符合国家、省、市或行业现行的《建筑工程安装质量验收统一标准》及相应配套的各专业验收规范（如在合同执行期间有新规范标准则，按新的规范标准执行），单位工程验收合格率100%，并达到合格或（以上标准），确保一次验收合格，满足</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的工程质量要求。</w:t>
      </w:r>
    </w:p>
    <w:p w14:paraId="07E3A05A">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本工程按照国家有关规定、规范进行设计、安装、验收，具体以安装图纸及相关技术和验收标准、遵照</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相关规定要求为准。</w:t>
      </w:r>
    </w:p>
    <w:p w14:paraId="1A77E089">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（1）本工程采用的工程建设标准、规范必须遵守现行中华人民共和国以及广东省、广州市或行业最新的工程建设标准及规范，且必须满足设计文件以及</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相关规章制度的要求。</w:t>
      </w:r>
    </w:p>
    <w:p w14:paraId="0CECFF0D">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（2）本工程实施中采购的材料、设备与工艺，都必须符合上述标准、规范及设计文件、</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规章制度的相应要求。</w:t>
      </w:r>
    </w:p>
    <w:p w14:paraId="5A3A1D0A">
      <w:pPr>
        <w:spacing w:line="360" w:lineRule="auto"/>
        <w:ind w:firstLine="562" w:firstLineChars="201"/>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3.4</w:t>
      </w:r>
      <w:r>
        <w:rPr>
          <w:rFonts w:hint="eastAsia" w:ascii="宋体" w:hAnsi="宋体" w:eastAsia="宋体" w:cs="宋体"/>
          <w:sz w:val="28"/>
          <w:szCs w:val="28"/>
          <w:highlight w:val="none"/>
          <w:lang w:val="en-US" w:eastAsia="zh-CN"/>
        </w:rPr>
        <w:t>本工程所用的材料、设备须符合工程量清单中所列参数规格，且</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须对材料、设备的质量负责，在提供产品合格证明和检验报告的同时，承担维修责任和保修义务。如出现不合格的材料、设备用于本工程的情况，由</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承担全部责任。</w:t>
      </w:r>
    </w:p>
    <w:p w14:paraId="2A177E35">
      <w:pPr>
        <w:spacing w:line="360" w:lineRule="auto"/>
        <w:ind w:firstLine="562" w:firstLineChars="20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工程主要材料、设备品牌及档次要求为：橱柜、浴室柜、橱柜五金、浴室柜五金等材料的品牌应参照或相当于尚品宅配、博洛尼、领尚等品牌及档次，触控式烟机、灶具等设备应参照或相当于方太、老板、美的等品牌及档次。</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承诺上述品牌的合格供应商优先用于本工程，</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已于投标报价中充分考虑上述品牌及档次因素，</w:t>
      </w:r>
      <w:r>
        <w:rPr>
          <w:rFonts w:hint="eastAsia" w:ascii="宋体" w:hAnsi="宋体" w:cs="宋体"/>
          <w:sz w:val="28"/>
          <w:szCs w:val="28"/>
          <w:highlight w:val="none"/>
          <w:lang w:val="en-US" w:eastAsia="zh-CN"/>
        </w:rPr>
        <w:t>甲方</w:t>
      </w:r>
      <w:r>
        <w:rPr>
          <w:rFonts w:hint="eastAsia" w:ascii="宋体" w:hAnsi="宋体" w:eastAsia="宋体" w:cs="宋体"/>
          <w:sz w:val="28"/>
          <w:szCs w:val="28"/>
          <w:highlight w:val="none"/>
          <w:lang w:val="en-US" w:eastAsia="zh-CN"/>
        </w:rPr>
        <w:t>有权要求</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选用参照或相当于上述品牌及档次中的材料设备品牌，结算时材料设备单价按中标单价不变。主要材料、设备的选用须执行</w:t>
      </w:r>
      <w:r>
        <w:rPr>
          <w:rFonts w:hint="eastAsia" w:ascii="宋体" w:hAnsi="宋体" w:cs="宋体"/>
          <w:sz w:val="28"/>
          <w:szCs w:val="28"/>
          <w:highlight w:val="none"/>
          <w:lang w:val="en-US" w:eastAsia="zh-CN"/>
        </w:rPr>
        <w:t>甲方</w:t>
      </w:r>
      <w:r>
        <w:rPr>
          <w:rFonts w:hint="eastAsia" w:ascii="宋体" w:hAnsi="宋体" w:eastAsia="宋体" w:cs="宋体"/>
          <w:sz w:val="28"/>
          <w:szCs w:val="28"/>
          <w:highlight w:val="none"/>
          <w:lang w:val="en-US" w:eastAsia="zh-CN"/>
        </w:rPr>
        <w:t>看样定板相关制度，经</w:t>
      </w:r>
      <w:r>
        <w:rPr>
          <w:rFonts w:hint="eastAsia" w:ascii="宋体" w:hAnsi="宋体" w:cs="宋体"/>
          <w:sz w:val="28"/>
          <w:szCs w:val="28"/>
          <w:highlight w:val="none"/>
          <w:lang w:val="en-US" w:eastAsia="zh-CN"/>
        </w:rPr>
        <w:t>甲方</w:t>
      </w:r>
      <w:r>
        <w:rPr>
          <w:rFonts w:hint="eastAsia" w:ascii="宋体" w:hAnsi="宋体" w:eastAsia="宋体" w:cs="宋体"/>
          <w:sz w:val="28"/>
          <w:szCs w:val="28"/>
          <w:highlight w:val="none"/>
          <w:lang w:val="en-US" w:eastAsia="zh-CN"/>
        </w:rPr>
        <w:t>审批后方可采购、进场、安装。</w:t>
      </w:r>
    </w:p>
    <w:p w14:paraId="2CD98781">
      <w:pPr>
        <w:pStyle w:val="54"/>
        <w:rPr>
          <w:rFonts w:hint="eastAsia"/>
          <w:highlight w:val="none"/>
        </w:rPr>
      </w:pPr>
    </w:p>
    <w:p w14:paraId="24F0ED4A">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四、管理目标</w:t>
      </w:r>
    </w:p>
    <w:p w14:paraId="61A2F59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4.1</w:t>
      </w:r>
      <w:r>
        <w:rPr>
          <w:rFonts w:hint="eastAsia" w:ascii="宋体" w:hAnsi="宋体" w:eastAsia="宋体" w:cs="宋体"/>
          <w:sz w:val="28"/>
          <w:szCs w:val="28"/>
          <w:highlight w:val="none"/>
        </w:rPr>
        <w:t>职业健康安全管理目标：杜绝发生一般事故等级及以上的伤亡事故且工伤责任事故死亡人数为零。</w:t>
      </w:r>
    </w:p>
    <w:p w14:paraId="61ECC223">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4.2</w:t>
      </w:r>
      <w:r>
        <w:rPr>
          <w:rFonts w:hint="eastAsia" w:ascii="宋体" w:hAnsi="宋体" w:eastAsia="宋体" w:cs="宋体"/>
          <w:sz w:val="28"/>
          <w:szCs w:val="28"/>
          <w:highlight w:val="none"/>
        </w:rPr>
        <w:t>环境管理目标：严格按照国家、省、市最新颁布的法律法规、规章制度及建设行政主管部门最新发布的相关文件等执行，杜绝环境破坏、环境污染和水体污染事故等。</w:t>
      </w:r>
    </w:p>
    <w:p w14:paraId="74D1F921">
      <w:pPr>
        <w:pStyle w:val="54"/>
        <w:ind w:firstLine="0"/>
        <w:jc w:val="both"/>
        <w:rPr>
          <w:rFonts w:hint="default" w:ascii="宋体" w:hAnsi="宋体" w:eastAsia="宋体"/>
          <w:sz w:val="28"/>
          <w:szCs w:val="28"/>
          <w:highlight w:val="none"/>
          <w:u w:val="single"/>
          <w:lang w:val="en-US" w:eastAsia="zh-CN"/>
        </w:rPr>
      </w:pPr>
      <w:r>
        <w:rPr>
          <w:rFonts w:ascii="宋体" w:hAnsi="宋体" w:eastAsia="宋体"/>
          <w:b/>
          <w:bCs/>
          <w:sz w:val="28"/>
          <w:szCs w:val="28"/>
          <w:highlight w:val="none"/>
        </w:rPr>
        <w:t>五、工期</w:t>
      </w:r>
    </w:p>
    <w:p w14:paraId="276B2A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cs="宋体"/>
          <w:color w:val="auto"/>
          <w:sz w:val="28"/>
          <w:szCs w:val="28"/>
          <w:highlight w:val="none"/>
          <w:lang w:val="en-US" w:eastAsia="zh-CN"/>
        </w:rPr>
        <w:t>5.1</w:t>
      </w:r>
      <w:r>
        <w:rPr>
          <w:rFonts w:hint="eastAsia" w:ascii="宋体" w:hAnsi="宋体" w:eastAsia="宋体" w:cs="宋体"/>
          <w:sz w:val="28"/>
          <w:szCs w:val="28"/>
          <w:highlight w:val="none"/>
        </w:rPr>
        <w:t>总工期为65日历天（包括设计工期、生产工期及安装工期）。其中，设计工期5日历天，从合同签订之日起计；生产工期30日历天，从开工令发出之日起计；安装工期30日历天，从货到现场之日起计。工期总日历天数与设计、安装等各分项计划开、竣工日期计算的工期天数不一致的，以合同工期总日历天数为准。</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应当严格按安装图纸及</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指令进行安装。</w:t>
      </w:r>
    </w:p>
    <w:p w14:paraId="44F79842">
      <w:pPr>
        <w:spacing w:line="360" w:lineRule="auto"/>
        <w:ind w:firstLine="560" w:firstLineChars="200"/>
        <w:rPr>
          <w:rFonts w:ascii="宋体" w:hAnsi="宋体" w:cs="宋体"/>
          <w:b/>
          <w:color w:val="auto"/>
          <w:sz w:val="28"/>
          <w:szCs w:val="28"/>
          <w:highlight w:val="none"/>
        </w:rPr>
      </w:pPr>
      <w:r>
        <w:rPr>
          <w:rFonts w:hint="eastAsia" w:ascii="宋体" w:hAnsi="宋体" w:eastAsia="宋体" w:cs="宋体"/>
          <w:sz w:val="28"/>
          <w:szCs w:val="28"/>
          <w:highlight w:val="none"/>
          <w:lang w:val="en-US" w:eastAsia="zh-CN"/>
        </w:rPr>
        <w:t>5.2</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有权根据工程实际情况，对本工程中的工序及安装顺序进行适当合理调整，</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必须采取一切有效措施配合及不得延误总工期，并不得要求另行增加费用。若因非</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原因引起的暂停安装、开工，工期顺延。</w:t>
      </w:r>
      <w:r>
        <w:rPr>
          <w:rFonts w:hint="eastAsia" w:ascii="宋体" w:hAnsi="宋体" w:cs="宋体"/>
          <w:b/>
          <w:color w:val="auto"/>
          <w:sz w:val="28"/>
          <w:szCs w:val="28"/>
          <w:highlight w:val="none"/>
          <w:lang w:eastAsia="zh-CN"/>
        </w:rPr>
        <w:t>六</w:t>
      </w:r>
      <w:r>
        <w:rPr>
          <w:rFonts w:hint="eastAsia" w:ascii="宋体" w:hAnsi="宋体" w:cs="宋体"/>
          <w:b/>
          <w:color w:val="auto"/>
          <w:sz w:val="28"/>
          <w:szCs w:val="28"/>
          <w:highlight w:val="none"/>
        </w:rPr>
        <w:t>、质量保证及技术要求</w:t>
      </w:r>
    </w:p>
    <w:p w14:paraId="74BFFEE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.1本合同范围内，乙方根据甲方要求提供设备，交货标准必须全部满足或不低于</w:t>
      </w:r>
      <w:r>
        <w:rPr>
          <w:rFonts w:hint="eastAsia" w:ascii="宋体" w:hAnsi="宋体" w:cs="宋体"/>
          <w:color w:val="auto"/>
          <w:sz w:val="28"/>
          <w:szCs w:val="28"/>
          <w:highlight w:val="none"/>
          <w:lang w:eastAsia="zh-CN"/>
        </w:rPr>
        <w:t>采购文件</w:t>
      </w:r>
      <w:r>
        <w:rPr>
          <w:rFonts w:hint="eastAsia" w:ascii="宋体" w:hAnsi="宋体" w:cs="宋体"/>
          <w:color w:val="auto"/>
          <w:sz w:val="28"/>
          <w:szCs w:val="28"/>
          <w:highlight w:val="none"/>
        </w:rPr>
        <w:t>、本合同附件1《用户需求书》的技术参数要求，</w:t>
      </w:r>
      <w:r>
        <w:rPr>
          <w:rFonts w:hint="eastAsia" w:ascii="宋体" w:hAnsi="宋体" w:cs="宋体"/>
          <w:color w:val="auto"/>
          <w:sz w:val="28"/>
          <w:szCs w:val="28"/>
          <w:highlight w:val="none"/>
          <w:lang w:eastAsia="zh-CN"/>
        </w:rPr>
        <w:t>采购文件</w:t>
      </w:r>
      <w:r>
        <w:rPr>
          <w:rFonts w:hint="eastAsia" w:ascii="宋体" w:hAnsi="宋体" w:cs="宋体"/>
          <w:color w:val="auto"/>
          <w:sz w:val="28"/>
          <w:szCs w:val="28"/>
          <w:highlight w:val="none"/>
        </w:rPr>
        <w:t xml:space="preserve">、投标文件、《用户需求书》及设计要求的技术参数、标准如有不一致的，以要求高者为准。    </w:t>
      </w:r>
    </w:p>
    <w:p w14:paraId="7E4E3EA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2乙方须保证货物是全新、未使用过的，符合国家标准。没有国家标准的，应符合行业标准或者企业标准。乙方应在交货的同时提供产品的有关出厂证明、合格证明书、检验证明书和质量保证书等文件，否则，甲方可以拒绝收货或对所提供的产品随时提出异议，乙方必须认同。乙方迟延交付相关文件的，视为没有交付（甲方同意的除外）。乙方提交的文件必须真实有效，否则视为没有提交，并可推定相关产品质量不符合合同的约定，乙方应承担因此造成的一切损失。</w:t>
      </w:r>
    </w:p>
    <w:p w14:paraId="6598C9FB">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3乙方须保证所提供的货物经正确安装、正常使用和保养，在其使用寿命期内须具有符合质量要求和产品说明书的性能。在货物质量保证期内，乙方须对由于设计、工艺或材料的缺陷而发生的任何不足或故障负责。</w:t>
      </w:r>
    </w:p>
    <w:p w14:paraId="588B480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4根据甲方按检验标准自己检验的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10天内应免费维修或更换有缺陷的货物或部件。</w:t>
      </w:r>
    </w:p>
    <w:p w14:paraId="3832479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.5如果乙方在收到通知后10天内没有弥补缺陷，甲方可采取必要的补救措施，但由此引发的费用将由乙方承担。</w:t>
      </w:r>
    </w:p>
    <w:p w14:paraId="37A9F10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.6质量标准：符合国家或行业规定的合格标准，满足甲方提出的技术标准和要求。</w:t>
      </w:r>
    </w:p>
    <w:p w14:paraId="3FD9121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.7乙方必须保证其所供的货物无任何权利瑕疵或质量瑕疵，否则，造成的一切责任由乙方承担，造成甲方损失的，乙方还应赔偿。乙方的义务或质量担保责任不因货物的交付而免除。</w:t>
      </w:r>
    </w:p>
    <w:p w14:paraId="59CE4E4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.8质量保证期：质量保证期为2年，自货物经甲方验收合格之日起计算。自产品交付之日起 2年内如货物出现质量问题的，乙方须按甲方的要求无条件无偿修复、更换或退货。质量保证期内货物出现质量问题的，乙方应按甲方的要求及时进行无偿的修复，不能修复的，乙方应按甲方的要求及时更换或赔偿。因货物质量问题造成甲方损失的，乙方还应赔偿。若乙方在收到通知后不及时派员维修，甲方可另请人员修理，甲方有权向乙方追偿相关费用。</w:t>
      </w:r>
    </w:p>
    <w:p w14:paraId="708FB78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.9.质量保证期（2年）结束后，乙方可申请退还质保金，基本质保期满后，乙方需根据自身品牌以及家电品牌对外承诺的质保期限继续履行质保义务。</w:t>
      </w:r>
    </w:p>
    <w:p w14:paraId="42FB830A">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七、</w:t>
      </w:r>
      <w:r>
        <w:rPr>
          <w:rFonts w:hint="eastAsia" w:ascii="宋体" w:hAnsi="宋体" w:cs="宋体"/>
          <w:b/>
          <w:color w:val="auto"/>
          <w:sz w:val="28"/>
          <w:szCs w:val="28"/>
          <w:highlight w:val="none"/>
        </w:rPr>
        <w:t>合同金额</w:t>
      </w:r>
    </w:p>
    <w:p w14:paraId="3F8C3087">
      <w:pPr>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7</w:t>
      </w:r>
      <w:r>
        <w:rPr>
          <w:rFonts w:hint="eastAsia" w:ascii="宋体" w:hAnsi="宋体" w:cs="宋体"/>
          <w:bCs/>
          <w:color w:val="auto"/>
          <w:sz w:val="28"/>
          <w:szCs w:val="28"/>
          <w:highlight w:val="none"/>
        </w:rPr>
        <w:t>.1本项目合同金额暂定为大写：</w:t>
      </w:r>
      <w:r>
        <w:rPr>
          <w:rFonts w:hint="eastAsia" w:ascii="宋体" w:hAnsi="宋体" w:cs="宋体"/>
          <w:bCs/>
          <w:color w:val="auto"/>
          <w:sz w:val="28"/>
          <w:szCs w:val="28"/>
          <w:highlight w:val="none"/>
          <w:u w:val="single"/>
        </w:rPr>
        <w:t xml:space="preserve">人民币           </w:t>
      </w:r>
      <w:r>
        <w:rPr>
          <w:rFonts w:hint="eastAsia" w:ascii="宋体" w:hAnsi="宋体" w:cs="宋体"/>
          <w:bCs/>
          <w:color w:val="auto"/>
          <w:sz w:val="28"/>
          <w:szCs w:val="28"/>
          <w:highlight w:val="none"/>
        </w:rPr>
        <w:t>（￥</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元）。</w:t>
      </w:r>
      <w:r>
        <w:rPr>
          <w:rFonts w:hint="eastAsia" w:ascii="宋体" w:hAnsi="宋体" w:cs="宋体"/>
          <w:color w:val="auto"/>
          <w:spacing w:val="-5"/>
          <w:sz w:val="28"/>
          <w:szCs w:val="28"/>
          <w:highlight w:val="none"/>
        </w:rPr>
        <w:t>其中：不含税价为</w:t>
      </w:r>
      <w:r>
        <w:rPr>
          <w:rFonts w:hint="eastAsia" w:ascii="宋体" w:hAnsi="宋体" w:cs="宋体"/>
          <w:color w:val="auto"/>
          <w:spacing w:val="-5"/>
          <w:sz w:val="28"/>
          <w:szCs w:val="28"/>
          <w:highlight w:val="none"/>
          <w:u w:val="single"/>
        </w:rPr>
        <w:t>人民币          元</w:t>
      </w:r>
      <w:r>
        <w:rPr>
          <w:rFonts w:hint="eastAsia" w:ascii="宋体" w:hAnsi="宋体" w:cs="宋体"/>
          <w:color w:val="auto"/>
          <w:spacing w:val="-5"/>
          <w:sz w:val="28"/>
          <w:szCs w:val="28"/>
          <w:highlight w:val="none"/>
        </w:rPr>
        <w:t>，税金为</w:t>
      </w:r>
      <w:r>
        <w:rPr>
          <w:rFonts w:hint="eastAsia" w:ascii="宋体" w:hAnsi="宋体" w:cs="宋体"/>
          <w:color w:val="auto"/>
          <w:spacing w:val="-5"/>
          <w:sz w:val="28"/>
          <w:szCs w:val="28"/>
          <w:highlight w:val="none"/>
          <w:u w:val="single"/>
        </w:rPr>
        <w:t>人民币          元</w:t>
      </w:r>
      <w:r>
        <w:rPr>
          <w:rFonts w:hint="eastAsia" w:ascii="宋体" w:hAnsi="宋体" w:cs="宋体"/>
          <w:color w:val="auto"/>
          <w:spacing w:val="-5"/>
          <w:sz w:val="28"/>
          <w:szCs w:val="28"/>
          <w:highlight w:val="none"/>
        </w:rPr>
        <w:t>（税率：</w:t>
      </w:r>
      <w:r>
        <w:rPr>
          <w:rFonts w:hint="eastAsia" w:ascii="宋体" w:hAnsi="宋体" w:cs="宋体"/>
          <w:color w:val="auto"/>
          <w:spacing w:val="-5"/>
          <w:sz w:val="28"/>
          <w:szCs w:val="28"/>
          <w:highlight w:val="none"/>
          <w:u w:val="single"/>
        </w:rPr>
        <w:t>13</w:t>
      </w:r>
      <w:r>
        <w:rPr>
          <w:rFonts w:hint="eastAsia" w:ascii="宋体" w:hAnsi="宋体" w:cs="宋体"/>
          <w:color w:val="auto"/>
          <w:spacing w:val="-5"/>
          <w:sz w:val="28"/>
          <w:szCs w:val="28"/>
          <w:highlight w:val="none"/>
        </w:rPr>
        <w:t>%）。</w:t>
      </w:r>
      <w:r>
        <w:rPr>
          <w:rFonts w:hint="eastAsia" w:ascii="宋体" w:hAnsi="宋体" w:cs="宋体"/>
          <w:bCs/>
          <w:color w:val="auto"/>
          <w:sz w:val="28"/>
          <w:szCs w:val="28"/>
          <w:highlight w:val="none"/>
        </w:rPr>
        <w:t>采用全费用综合单价</w:t>
      </w:r>
      <w:r>
        <w:rPr>
          <w:rFonts w:hint="eastAsia" w:ascii="宋体" w:hAnsi="宋体" w:cs="宋体"/>
          <w:color w:val="auto"/>
          <w:sz w:val="28"/>
          <w:szCs w:val="28"/>
          <w:highlight w:val="none"/>
        </w:rPr>
        <w:t>包干</w:t>
      </w:r>
      <w:r>
        <w:rPr>
          <w:rFonts w:hint="eastAsia" w:ascii="宋体" w:hAnsi="宋体" w:cs="宋体"/>
          <w:bCs/>
          <w:color w:val="auto"/>
          <w:sz w:val="28"/>
          <w:szCs w:val="28"/>
          <w:highlight w:val="none"/>
        </w:rPr>
        <w:t>，增减部分的结算方式按本合同第</w:t>
      </w:r>
      <w:r>
        <w:rPr>
          <w:rFonts w:hint="eastAsia" w:ascii="宋体" w:hAnsi="宋体" w:cs="宋体"/>
          <w:bCs/>
          <w:color w:val="auto"/>
          <w:sz w:val="28"/>
          <w:szCs w:val="28"/>
          <w:highlight w:val="none"/>
          <w:lang w:eastAsia="zh-CN"/>
        </w:rPr>
        <w:t>八</w:t>
      </w:r>
      <w:r>
        <w:rPr>
          <w:rFonts w:hint="eastAsia" w:ascii="宋体" w:hAnsi="宋体" w:cs="宋体"/>
          <w:bCs/>
          <w:color w:val="auto"/>
          <w:sz w:val="28"/>
          <w:szCs w:val="28"/>
          <w:highlight w:val="none"/>
        </w:rPr>
        <w:t>条约定执行。除合同另有约定，</w:t>
      </w:r>
      <w:r>
        <w:rPr>
          <w:rFonts w:hint="eastAsia" w:ascii="宋体" w:hAnsi="宋体" w:cs="宋体"/>
          <w:bCs/>
          <w:color w:val="auto"/>
          <w:sz w:val="28"/>
          <w:szCs w:val="28"/>
          <w:highlight w:val="none"/>
          <w:lang w:eastAsia="zh-CN"/>
        </w:rPr>
        <w:t>最终</w:t>
      </w:r>
      <w:r>
        <w:rPr>
          <w:rFonts w:hint="eastAsia" w:ascii="宋体" w:hAnsi="宋体" w:cs="宋体"/>
          <w:bCs/>
          <w:color w:val="auto"/>
          <w:sz w:val="28"/>
          <w:szCs w:val="28"/>
          <w:highlight w:val="none"/>
        </w:rPr>
        <w:t>结算价不超过合同暂定总价。</w:t>
      </w:r>
    </w:p>
    <w:p w14:paraId="4A4433AC">
      <w:pPr>
        <w:tabs>
          <w:tab w:val="left" w:pos="720"/>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2本合同全费用综合单价包括但不限于材料费、安装费、加工费、辅料费、包装费、运输费、装卸费、保管费、完工清理、卫生保洁、交楼阶段整改配合、利润、税费（增值税专用发票）、资料归档、周边关系协调、价格涨跌及不可预见风险等一切与本工程相关的等费用。</w:t>
      </w:r>
    </w:p>
    <w:p w14:paraId="39A0C74A">
      <w:pPr>
        <w:spacing w:line="360" w:lineRule="auto"/>
        <w:ind w:firstLine="551" w:firstLineChars="196"/>
        <w:rPr>
          <w:rFonts w:hint="eastAsia" w:ascii="宋体" w:hAnsi="宋体" w:cs="宋体"/>
          <w:b/>
          <w:color w:val="auto"/>
          <w:sz w:val="28"/>
          <w:szCs w:val="28"/>
          <w:highlight w:val="none"/>
        </w:rPr>
      </w:pPr>
    </w:p>
    <w:p w14:paraId="38627327">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cs="宋体"/>
          <w:b/>
          <w:color w:val="auto"/>
          <w:sz w:val="28"/>
          <w:szCs w:val="28"/>
          <w:highlight w:val="none"/>
        </w:rPr>
        <w:t>、合同的变更及价格调整：</w:t>
      </w:r>
    </w:p>
    <w:p w14:paraId="26457E8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.1甲方有权根据实际情况，调整相应用户需求，对货物范围、内容、标准进行调整，乙方不得有异议。</w:t>
      </w:r>
    </w:p>
    <w:p w14:paraId="64CF2E39">
      <w:pPr>
        <w:spacing w:line="360" w:lineRule="auto"/>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.2 合同价款允许调整的情况：经甲方提出或同意，可以调整本合同附件3规定的货物规格数量，增减部分的全费用综合单价按中标价，数量按实计算</w:t>
      </w:r>
      <w:r>
        <w:rPr>
          <w:rFonts w:hint="eastAsia" w:ascii="宋体" w:hAnsi="宋体" w:cs="宋体"/>
          <w:bCs/>
          <w:color w:val="auto"/>
          <w:sz w:val="28"/>
          <w:szCs w:val="28"/>
          <w:highlight w:val="none"/>
        </w:rPr>
        <w:t>。若调整内容无法参照中标的综合单价，需按</w:t>
      </w:r>
      <w:r>
        <w:rPr>
          <w:rFonts w:hint="eastAsia" w:ascii="宋体" w:hAnsi="宋体" w:cs="宋体"/>
          <w:bCs/>
          <w:color w:val="auto"/>
          <w:sz w:val="28"/>
          <w:szCs w:val="28"/>
          <w:highlight w:val="none"/>
          <w:lang w:val="en-US" w:eastAsia="zh-CN"/>
        </w:rPr>
        <w:t>8</w:t>
      </w:r>
      <w:r>
        <w:rPr>
          <w:rFonts w:ascii="宋体" w:hAnsi="宋体" w:cs="宋体"/>
          <w:bCs/>
          <w:color w:val="auto"/>
          <w:sz w:val="28"/>
          <w:szCs w:val="28"/>
          <w:highlight w:val="none"/>
        </w:rPr>
        <w:t>.2.3</w:t>
      </w:r>
      <w:r>
        <w:rPr>
          <w:rFonts w:hint="eastAsia" w:ascii="宋体" w:hAnsi="宋体" w:cs="宋体"/>
          <w:bCs/>
          <w:color w:val="auto"/>
          <w:sz w:val="28"/>
          <w:szCs w:val="28"/>
          <w:highlight w:val="none"/>
        </w:rPr>
        <w:t>条重新审定变更部分的预算，并</w:t>
      </w:r>
      <w:r>
        <w:rPr>
          <w:rFonts w:hint="eastAsia" w:ascii="宋体" w:hAnsi="宋体" w:cs="宋体"/>
          <w:bCs/>
          <w:color w:val="auto"/>
          <w:sz w:val="28"/>
          <w:szCs w:val="28"/>
          <w:highlight w:val="none"/>
          <w:lang w:eastAsia="zh-CN"/>
        </w:rPr>
        <w:t>可</w:t>
      </w:r>
      <w:r>
        <w:rPr>
          <w:rFonts w:hint="eastAsia" w:ascii="宋体" w:hAnsi="宋体" w:cs="宋体"/>
          <w:bCs/>
          <w:color w:val="auto"/>
          <w:sz w:val="28"/>
          <w:szCs w:val="28"/>
          <w:highlight w:val="none"/>
        </w:rPr>
        <w:t>签定补充协议调整合同总价。</w:t>
      </w:r>
    </w:p>
    <w:p w14:paraId="3BAC031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.2.1若发生技术要求的变更</w:t>
      </w:r>
    </w:p>
    <w:p w14:paraId="2B6A7584">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①若乙方投标时所选用的材料不能满足</w:t>
      </w:r>
      <w:r>
        <w:rPr>
          <w:rFonts w:hint="eastAsia" w:ascii="宋体" w:hAnsi="宋体" w:cs="宋体"/>
          <w:color w:val="auto"/>
          <w:sz w:val="28"/>
          <w:szCs w:val="28"/>
          <w:highlight w:val="none"/>
          <w:lang w:eastAsia="zh-CN"/>
        </w:rPr>
        <w:t>采购文件</w:t>
      </w:r>
      <w:r>
        <w:rPr>
          <w:rFonts w:hint="eastAsia" w:ascii="宋体" w:hAnsi="宋体" w:cs="宋体"/>
          <w:color w:val="auto"/>
          <w:sz w:val="28"/>
          <w:szCs w:val="28"/>
          <w:highlight w:val="none"/>
        </w:rPr>
        <w:t>所规定的技术要求，实际施工时，甲方有权进行调整至满足技术要求为止，但其价格不作调整。</w:t>
      </w:r>
    </w:p>
    <w:p w14:paraId="5B14C44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因非甲方原因造成招标投标时所定设备、材料的品牌、规格、型号等发生变化的，所有设备、材料的调整必须经甲方批准，如乙方未经审批擅自更换材料，该部分材料不予计价，甲方有权要求乙方按合同要求更正并承担所有延误工期责任。</w:t>
      </w:r>
    </w:p>
    <w:p w14:paraId="0A3C7A34">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.2.2材料堆放场地的整理、成品保护费、施工中的临时停水停电、完工清场后的垃圾外运等不属于变更和现场签证内容，已包含在合同全费用综合单价中，结算时不予另行计算。</w:t>
      </w:r>
    </w:p>
    <w:p w14:paraId="0FBDEC7D">
      <w:pPr>
        <w:autoSpaceDE w:val="0"/>
        <w:autoSpaceDN w:val="0"/>
        <w:adjustRightIn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ascii="宋体" w:hAnsi="宋体" w:cs="宋体"/>
          <w:color w:val="auto"/>
          <w:sz w:val="28"/>
          <w:szCs w:val="28"/>
          <w:highlight w:val="none"/>
        </w:rPr>
        <w:t>.2.3</w:t>
      </w:r>
      <w:r>
        <w:rPr>
          <w:rFonts w:hint="eastAsia" w:ascii="宋体" w:hAnsi="宋体" w:cs="宋体"/>
          <w:color w:val="auto"/>
          <w:sz w:val="28"/>
          <w:szCs w:val="28"/>
          <w:highlight w:val="none"/>
        </w:rPr>
        <w:t>合同价款调整的计价原则和计价方式：</w:t>
      </w:r>
    </w:p>
    <w:p w14:paraId="58AD58FD">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（1）工程量清单报价存在相同的清单项目，则沿用；</w:t>
      </w:r>
    </w:p>
    <w:p w14:paraId="608D87BF">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（2）工程量清单报价存在类似的清单项目，则按该报价换算，换算时，管理费、利润水平保持原报价不变；</w:t>
      </w:r>
    </w:p>
    <w:p w14:paraId="173556D4">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（3）工程量清单报价中</w:t>
      </w:r>
      <w:r>
        <w:rPr>
          <w:rFonts w:hint="eastAsia" w:ascii="宋体" w:hAnsi="宋体" w:cs="宋体"/>
          <w:color w:val="auto"/>
          <w:sz w:val="28"/>
          <w:szCs w:val="28"/>
          <w:highlight w:val="none"/>
        </w:rPr>
        <w:t>类似</w:t>
      </w:r>
      <w:r>
        <w:rPr>
          <w:rFonts w:ascii="宋体" w:hAnsi="宋体" w:cs="宋体"/>
          <w:color w:val="auto"/>
          <w:sz w:val="28"/>
          <w:szCs w:val="28"/>
          <w:highlight w:val="none"/>
        </w:rPr>
        <w:t>清单项目存在多个报价的，取最有利于</w:t>
      </w:r>
      <w:r>
        <w:rPr>
          <w:rFonts w:hint="eastAsia" w:ascii="宋体" w:hAnsi="宋体" w:cs="宋体"/>
          <w:color w:val="auto"/>
          <w:sz w:val="28"/>
          <w:szCs w:val="28"/>
          <w:highlight w:val="none"/>
        </w:rPr>
        <w:t>甲方</w:t>
      </w:r>
      <w:r>
        <w:rPr>
          <w:rFonts w:ascii="宋体" w:hAnsi="宋体" w:cs="宋体"/>
          <w:color w:val="auto"/>
          <w:sz w:val="28"/>
          <w:szCs w:val="28"/>
          <w:highlight w:val="none"/>
        </w:rPr>
        <w:t>的报价；</w:t>
      </w:r>
    </w:p>
    <w:p w14:paraId="278918A3">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（4）工程量清单报价中没有相同或类似清单项目的，有定额可套用的清单项目，则按本合同计价基准期（</w:t>
      </w:r>
      <w:r>
        <w:rPr>
          <w:rFonts w:hint="eastAsia" w:ascii="宋体" w:hAnsi="宋体" w:cs="宋体"/>
          <w:color w:val="auto"/>
          <w:sz w:val="28"/>
          <w:szCs w:val="28"/>
          <w:highlight w:val="none"/>
        </w:rPr>
        <w:t>按投标截止期前28天</w:t>
      </w:r>
      <w:r>
        <w:rPr>
          <w:rFonts w:ascii="宋体" w:hAnsi="宋体" w:cs="宋体"/>
          <w:color w:val="auto"/>
          <w:sz w:val="28"/>
          <w:szCs w:val="28"/>
          <w:highlight w:val="none"/>
        </w:rPr>
        <w:t>）适用的计价规范、行业或工程所在地定额标准及有关规定计算，定额标准及有关规定中利润和相关取费有上下限的取平均值，人工、机械台班、材料（设备）单价按本条第（</w:t>
      </w:r>
      <w:r>
        <w:rPr>
          <w:rFonts w:hint="eastAsia" w:ascii="宋体" w:hAnsi="宋体" w:cs="宋体"/>
          <w:color w:val="auto"/>
          <w:sz w:val="28"/>
          <w:szCs w:val="28"/>
          <w:highlight w:val="none"/>
        </w:rPr>
        <w:t>5）款</w:t>
      </w:r>
      <w:r>
        <w:rPr>
          <w:rFonts w:ascii="宋体" w:hAnsi="宋体" w:cs="宋体"/>
          <w:color w:val="auto"/>
          <w:sz w:val="28"/>
          <w:szCs w:val="28"/>
          <w:highlight w:val="none"/>
        </w:rPr>
        <w:t>执行；没有定额可套用的清单项目，参照标准综合单价的计算方法，由</w:t>
      </w:r>
      <w:r>
        <w:rPr>
          <w:rFonts w:hint="eastAsia" w:ascii="宋体" w:hAnsi="宋体" w:cs="宋体"/>
          <w:color w:val="auto"/>
          <w:sz w:val="28"/>
          <w:szCs w:val="28"/>
          <w:highlight w:val="none"/>
          <w:lang w:eastAsia="zh-CN"/>
        </w:rPr>
        <w:t>乙方</w:t>
      </w:r>
      <w:r>
        <w:rPr>
          <w:rFonts w:ascii="宋体" w:hAnsi="宋体" w:cs="宋体"/>
          <w:color w:val="auto"/>
          <w:sz w:val="28"/>
          <w:szCs w:val="28"/>
          <w:highlight w:val="none"/>
        </w:rPr>
        <w:t>提供详细的单价分析，经</w:t>
      </w:r>
      <w:r>
        <w:rPr>
          <w:rFonts w:hint="eastAsia" w:ascii="宋体" w:hAnsi="宋体" w:cs="宋体"/>
          <w:color w:val="auto"/>
          <w:sz w:val="28"/>
          <w:szCs w:val="28"/>
          <w:highlight w:val="none"/>
        </w:rPr>
        <w:t>甲方</w:t>
      </w:r>
      <w:r>
        <w:rPr>
          <w:rFonts w:ascii="宋体" w:hAnsi="宋体" w:cs="宋体"/>
          <w:color w:val="auto"/>
          <w:sz w:val="28"/>
          <w:szCs w:val="28"/>
          <w:highlight w:val="none"/>
        </w:rPr>
        <w:t>审核后执行。</w:t>
      </w:r>
    </w:p>
    <w:p w14:paraId="4D1BE659">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（5）人工、机械台班、材料（设备）单价：</w:t>
      </w:r>
    </w:p>
    <w:p w14:paraId="7E80C455">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①人工、机械台班单价，按广州市建设工程造价管理部门颁布的基准期适用的建设工程结算文件（如建设工程结算及有关问题的通知等）规定的人工日工资单价、机械台班单格执行；</w:t>
      </w:r>
    </w:p>
    <w:p w14:paraId="0045E2FB">
      <w:pPr>
        <w:spacing w:line="360" w:lineRule="auto"/>
        <w:ind w:firstLine="560" w:firstLineChars="200"/>
        <w:rPr>
          <w:rFonts w:hint="eastAsia" w:ascii="宋体" w:hAnsi="宋体" w:eastAsia="宋体" w:cs="宋体"/>
          <w:color w:val="auto"/>
          <w:sz w:val="28"/>
          <w:szCs w:val="28"/>
          <w:highlight w:val="none"/>
          <w:lang w:eastAsia="zh-CN"/>
        </w:rPr>
      </w:pPr>
      <w:r>
        <w:rPr>
          <w:rFonts w:ascii="宋体" w:hAnsi="宋体" w:cs="宋体"/>
          <w:color w:val="auto"/>
          <w:sz w:val="28"/>
          <w:szCs w:val="28"/>
          <w:highlight w:val="none"/>
        </w:rPr>
        <w:t>②材料单价，按广州市建设工程造价管理部门颁布的基准期《广州地区建设工程常用材料综合价格》（以下简称材料综合价格）执行</w:t>
      </w:r>
      <w:r>
        <w:rPr>
          <w:rFonts w:hint="eastAsia" w:ascii="宋体" w:hAnsi="宋体" w:cs="宋体"/>
          <w:color w:val="auto"/>
          <w:sz w:val="28"/>
          <w:szCs w:val="28"/>
          <w:highlight w:val="none"/>
          <w:lang w:val="en-US" w:eastAsia="zh-CN"/>
        </w:rPr>
        <w:t>。</w:t>
      </w:r>
    </w:p>
    <w:p w14:paraId="5D0FC3E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.3无论乙方提供的货物是按原合同的要求或变更后的货物，乙方都不能免除对货物应承担的责任。</w:t>
      </w:r>
    </w:p>
    <w:p w14:paraId="5101932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.4甲方对已发出书面供货通知的设备进行变更：乙方未开始生产的，到货时间顺延，甲方不承担其他违约及赔偿责任。</w:t>
      </w:r>
    </w:p>
    <w:p w14:paraId="04CB93C5">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cs="宋体"/>
          <w:b/>
          <w:color w:val="auto"/>
          <w:sz w:val="28"/>
          <w:szCs w:val="28"/>
          <w:highlight w:val="none"/>
        </w:rPr>
        <w:t>、付款方式</w:t>
      </w:r>
    </w:p>
    <w:p w14:paraId="55AA31FF">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由甲方按下列程序付款：</w:t>
      </w:r>
    </w:p>
    <w:p w14:paraId="1CD598C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.1 乙方在合同生效后21天内，向甲方提交不可撤销的国内商业银行保函，包括合同暂定总价1</w:t>
      </w:r>
      <w:r>
        <w:rPr>
          <w:rFonts w:ascii="宋体" w:hAnsi="宋体" w:cs="宋体"/>
          <w:color w:val="auto"/>
          <w:sz w:val="28"/>
          <w:szCs w:val="28"/>
          <w:highlight w:val="none"/>
        </w:rPr>
        <w:t>0</w:t>
      </w:r>
      <w:r>
        <w:rPr>
          <w:rFonts w:hint="eastAsia" w:ascii="宋体" w:hAnsi="宋体" w:cs="宋体"/>
          <w:color w:val="auto"/>
          <w:sz w:val="28"/>
          <w:szCs w:val="28"/>
          <w:highlight w:val="none"/>
        </w:rPr>
        <w:t>%的预付款保函（如不申请预付款可不提供）和合同暂定总价</w:t>
      </w:r>
      <w:r>
        <w:rPr>
          <w:rFonts w:ascii="宋体" w:hAnsi="宋体" w:cs="宋体"/>
          <w:color w:val="auto"/>
          <w:sz w:val="28"/>
          <w:szCs w:val="28"/>
          <w:highlight w:val="none"/>
        </w:rPr>
        <w:t>10</w:t>
      </w:r>
      <w:r>
        <w:rPr>
          <w:rFonts w:hint="eastAsia" w:ascii="宋体" w:hAnsi="宋体" w:cs="宋体"/>
          <w:color w:val="auto"/>
          <w:sz w:val="28"/>
          <w:szCs w:val="28"/>
          <w:highlight w:val="none"/>
        </w:rPr>
        <w:t>%的履约保函。甲方收到乙方提供的预付款</w:t>
      </w:r>
      <w:r>
        <w:rPr>
          <w:rFonts w:hint="eastAsia" w:ascii="宋体" w:hAnsi="宋体" w:cs="宋体"/>
          <w:color w:val="auto"/>
          <w:sz w:val="28"/>
          <w:szCs w:val="28"/>
          <w:highlight w:val="none"/>
          <w:lang w:eastAsia="zh-CN"/>
        </w:rPr>
        <w:t>保函</w:t>
      </w:r>
      <w:r>
        <w:rPr>
          <w:rFonts w:hint="eastAsia" w:ascii="宋体" w:hAnsi="宋体" w:cs="宋体"/>
          <w:color w:val="auto"/>
          <w:sz w:val="28"/>
          <w:szCs w:val="28"/>
          <w:highlight w:val="none"/>
        </w:rPr>
        <w:t>和履约保函后，按约定向乙方支付合同暂定总价的</w:t>
      </w:r>
      <w:r>
        <w:rPr>
          <w:rFonts w:ascii="宋体" w:hAnsi="宋体" w:cs="宋体"/>
          <w:color w:val="auto"/>
          <w:sz w:val="28"/>
          <w:szCs w:val="28"/>
          <w:highlight w:val="none"/>
        </w:rPr>
        <w:t>10</w:t>
      </w:r>
      <w:r>
        <w:rPr>
          <w:rFonts w:hint="eastAsia" w:ascii="宋体" w:hAnsi="宋体" w:cs="宋体"/>
          <w:color w:val="auto"/>
          <w:sz w:val="28"/>
          <w:szCs w:val="28"/>
          <w:highlight w:val="none"/>
        </w:rPr>
        <w:t>%作为预付款，预付款计入进度款，不另行抵扣。具体支付节点如下：</w:t>
      </w:r>
    </w:p>
    <w:p w14:paraId="7641EA5C">
      <w:pPr>
        <w:pStyle w:val="20"/>
        <w:spacing w:after="0"/>
        <w:rPr>
          <w:color w:val="auto"/>
          <w:highlight w:val="none"/>
        </w:rPr>
      </w:pPr>
    </w:p>
    <w:tbl>
      <w:tblPr>
        <w:tblStyle w:val="45"/>
        <w:tblpPr w:leftFromText="180" w:rightFromText="180" w:vertAnchor="text" w:horzAnchor="page" w:tblpX="1107" w:tblpY="296"/>
        <w:tblOverlap w:val="never"/>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771"/>
        <w:gridCol w:w="3321"/>
        <w:gridCol w:w="3761"/>
      </w:tblGrid>
      <w:tr w14:paraId="0C20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5" w:type="dxa"/>
            <w:vAlign w:val="center"/>
          </w:tcPr>
          <w:p w14:paraId="63E3172C">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支付期数</w:t>
            </w:r>
          </w:p>
        </w:tc>
        <w:tc>
          <w:tcPr>
            <w:tcW w:w="1771" w:type="dxa"/>
            <w:vAlign w:val="center"/>
          </w:tcPr>
          <w:p w14:paraId="583F4857">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支付内容</w:t>
            </w:r>
          </w:p>
        </w:tc>
        <w:tc>
          <w:tcPr>
            <w:tcW w:w="3321" w:type="dxa"/>
            <w:vAlign w:val="center"/>
          </w:tcPr>
          <w:p w14:paraId="6AA32F0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支付条件</w:t>
            </w:r>
          </w:p>
        </w:tc>
        <w:tc>
          <w:tcPr>
            <w:tcW w:w="3761" w:type="dxa"/>
            <w:vAlign w:val="center"/>
          </w:tcPr>
          <w:p w14:paraId="5D9261E4">
            <w:pPr>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支付金额</w:t>
            </w:r>
          </w:p>
        </w:tc>
      </w:tr>
      <w:tr w14:paraId="575E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085" w:type="dxa"/>
            <w:vAlign w:val="center"/>
          </w:tcPr>
          <w:p w14:paraId="3DEDC421">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771" w:type="dxa"/>
            <w:vAlign w:val="center"/>
          </w:tcPr>
          <w:p w14:paraId="1D3F0E0A">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预付款</w:t>
            </w:r>
          </w:p>
        </w:tc>
        <w:tc>
          <w:tcPr>
            <w:tcW w:w="3321" w:type="dxa"/>
            <w:vAlign w:val="center"/>
          </w:tcPr>
          <w:p w14:paraId="17370A98">
            <w:pPr>
              <w:snapToGrid w:val="0"/>
              <w:spacing w:line="360" w:lineRule="auto"/>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合同签订并提交预付款</w:t>
            </w:r>
            <w:r>
              <w:rPr>
                <w:rFonts w:hint="eastAsia" w:ascii="宋体" w:hAnsi="宋体" w:cs="宋体"/>
                <w:color w:val="auto"/>
                <w:sz w:val="28"/>
                <w:szCs w:val="28"/>
                <w:highlight w:val="none"/>
                <w:lang w:eastAsia="zh-CN"/>
              </w:rPr>
              <w:t>保函</w:t>
            </w:r>
            <w:r>
              <w:rPr>
                <w:rFonts w:hint="eastAsia" w:ascii="宋体" w:hAnsi="宋体" w:cs="宋体"/>
                <w:color w:val="auto"/>
                <w:sz w:val="28"/>
                <w:szCs w:val="28"/>
                <w:highlight w:val="none"/>
              </w:rPr>
              <w:t>和履约保函后</w:t>
            </w:r>
            <w:r>
              <w:rPr>
                <w:rFonts w:hint="eastAsia" w:ascii="宋体" w:hAnsi="宋体" w:cs="宋体"/>
                <w:color w:val="auto"/>
                <w:sz w:val="28"/>
                <w:szCs w:val="28"/>
                <w:highlight w:val="none"/>
                <w:lang w:val="en-US" w:eastAsia="zh-CN"/>
              </w:rPr>
              <w:t>15天内</w:t>
            </w:r>
          </w:p>
        </w:tc>
        <w:tc>
          <w:tcPr>
            <w:tcW w:w="3761" w:type="dxa"/>
            <w:vAlign w:val="center"/>
          </w:tcPr>
          <w:p w14:paraId="26DA5A6D">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合同暂定总价的10%</w:t>
            </w:r>
          </w:p>
        </w:tc>
      </w:tr>
      <w:tr w14:paraId="1E8B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085" w:type="dxa"/>
            <w:vAlign w:val="center"/>
          </w:tcPr>
          <w:p w14:paraId="5283B568">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771" w:type="dxa"/>
            <w:vAlign w:val="center"/>
          </w:tcPr>
          <w:p w14:paraId="3D2A8363">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进度款</w:t>
            </w:r>
          </w:p>
        </w:tc>
        <w:tc>
          <w:tcPr>
            <w:tcW w:w="3321" w:type="dxa"/>
            <w:vAlign w:val="center"/>
          </w:tcPr>
          <w:p w14:paraId="4A8DC54B">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每月申请一次</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乙方按要求提供支付文件，支付文件审核后</w:t>
            </w:r>
          </w:p>
        </w:tc>
        <w:tc>
          <w:tcPr>
            <w:tcW w:w="3761" w:type="dxa"/>
            <w:vAlign w:val="center"/>
          </w:tcPr>
          <w:p w14:paraId="114C508B">
            <w:pPr>
              <w:pStyle w:val="18"/>
              <w:rPr>
                <w:rFonts w:ascii="宋体" w:hAnsi="宋体" w:cs="宋体"/>
                <w:color w:val="auto"/>
                <w:sz w:val="28"/>
                <w:szCs w:val="28"/>
                <w:highlight w:val="none"/>
              </w:rPr>
            </w:pPr>
            <w:r>
              <w:rPr>
                <w:rFonts w:hint="eastAsia" w:ascii="宋体" w:hAnsi="宋体" w:cs="宋体"/>
                <w:color w:val="auto"/>
                <w:sz w:val="28"/>
                <w:szCs w:val="28"/>
                <w:highlight w:val="none"/>
              </w:rPr>
              <w:t>已进场的货物累计支付至该批货物清单合价的6</w:t>
            </w:r>
            <w:r>
              <w:rPr>
                <w:rFonts w:ascii="宋体" w:hAnsi="宋体" w:cs="宋体"/>
                <w:color w:val="auto"/>
                <w:sz w:val="28"/>
                <w:szCs w:val="28"/>
                <w:highlight w:val="none"/>
              </w:rPr>
              <w:t>0%；</w:t>
            </w:r>
            <w:r>
              <w:rPr>
                <w:rFonts w:hint="eastAsia" w:ascii="宋体" w:hAnsi="宋体" w:cs="宋体"/>
                <w:color w:val="auto"/>
                <w:sz w:val="28"/>
                <w:szCs w:val="28"/>
                <w:highlight w:val="none"/>
              </w:rPr>
              <w:t>已安装完成的货物累计支付至该批货物清单合价的</w:t>
            </w:r>
            <w:r>
              <w:rPr>
                <w:rFonts w:ascii="宋体" w:hAnsi="宋体" w:cs="宋体"/>
                <w:color w:val="auto"/>
                <w:sz w:val="28"/>
                <w:szCs w:val="28"/>
                <w:highlight w:val="none"/>
              </w:rPr>
              <w:t>80%</w:t>
            </w:r>
          </w:p>
        </w:tc>
      </w:tr>
      <w:tr w14:paraId="4255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085" w:type="dxa"/>
            <w:vAlign w:val="center"/>
          </w:tcPr>
          <w:p w14:paraId="18D02EF5">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771" w:type="dxa"/>
            <w:vAlign w:val="center"/>
          </w:tcPr>
          <w:p w14:paraId="1F85D3D7">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进度款</w:t>
            </w:r>
          </w:p>
        </w:tc>
        <w:tc>
          <w:tcPr>
            <w:tcW w:w="3321" w:type="dxa"/>
            <w:vAlign w:val="center"/>
          </w:tcPr>
          <w:p w14:paraId="7D1946D2">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全部货物安装完成，并经验收合格后</w:t>
            </w:r>
          </w:p>
        </w:tc>
        <w:tc>
          <w:tcPr>
            <w:tcW w:w="3761" w:type="dxa"/>
            <w:vAlign w:val="center"/>
          </w:tcPr>
          <w:p w14:paraId="00AB721B">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支付至本合同结算价的90%</w:t>
            </w:r>
          </w:p>
        </w:tc>
      </w:tr>
      <w:tr w14:paraId="530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85" w:type="dxa"/>
            <w:vAlign w:val="center"/>
          </w:tcPr>
          <w:p w14:paraId="3A7CD998">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771" w:type="dxa"/>
            <w:vAlign w:val="center"/>
          </w:tcPr>
          <w:p w14:paraId="6B15C8F3">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结算款</w:t>
            </w:r>
          </w:p>
        </w:tc>
        <w:tc>
          <w:tcPr>
            <w:tcW w:w="3321" w:type="dxa"/>
            <w:vAlign w:val="center"/>
          </w:tcPr>
          <w:p w14:paraId="53B1AC5C">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乙方履行完本合同项下的全部设备采购、安装、调试等义务，在办理项目结算终审并经</w:t>
            </w:r>
            <w:r>
              <w:rPr>
                <w:rFonts w:hint="eastAsia" w:ascii="宋体" w:hAnsi="宋体" w:cs="宋体"/>
                <w:color w:val="auto"/>
                <w:sz w:val="28"/>
                <w:szCs w:val="28"/>
                <w:highlight w:val="none"/>
                <w:lang w:eastAsia="zh-CN"/>
              </w:rPr>
              <w:t>有权审定的部门或单位</w:t>
            </w:r>
            <w:r>
              <w:rPr>
                <w:rFonts w:hint="eastAsia" w:ascii="宋体" w:hAnsi="宋体" w:cs="宋体"/>
                <w:color w:val="auto"/>
                <w:sz w:val="28"/>
                <w:szCs w:val="28"/>
                <w:highlight w:val="none"/>
              </w:rPr>
              <w:t>确认、完成项目竣工资料及相关档案资料移交后</w:t>
            </w:r>
          </w:p>
        </w:tc>
        <w:tc>
          <w:tcPr>
            <w:tcW w:w="3761" w:type="dxa"/>
            <w:vAlign w:val="center"/>
          </w:tcPr>
          <w:p w14:paraId="6CCDCCD1">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支付至合同结算价的97%</w:t>
            </w:r>
          </w:p>
        </w:tc>
      </w:tr>
      <w:tr w14:paraId="6E69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85" w:type="dxa"/>
            <w:vAlign w:val="center"/>
          </w:tcPr>
          <w:p w14:paraId="5DCBC4A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5</w:t>
            </w:r>
          </w:p>
        </w:tc>
        <w:tc>
          <w:tcPr>
            <w:tcW w:w="1771" w:type="dxa"/>
            <w:vAlign w:val="center"/>
          </w:tcPr>
          <w:p w14:paraId="3EC44ECC">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质保金</w:t>
            </w:r>
          </w:p>
        </w:tc>
        <w:tc>
          <w:tcPr>
            <w:tcW w:w="3321" w:type="dxa"/>
            <w:vAlign w:val="center"/>
          </w:tcPr>
          <w:p w14:paraId="0061370D">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质量保证期满</w:t>
            </w:r>
          </w:p>
        </w:tc>
        <w:tc>
          <w:tcPr>
            <w:tcW w:w="3761" w:type="dxa"/>
            <w:vAlign w:val="center"/>
          </w:tcPr>
          <w:p w14:paraId="3C310376">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支付至合同结算价的100%</w:t>
            </w:r>
          </w:p>
        </w:tc>
      </w:tr>
    </w:tbl>
    <w:p w14:paraId="2728CA0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乙方在按合同约定交付合同设备时，应当同步提交下列全部单据并经甲方审核无误：</w:t>
      </w:r>
    </w:p>
    <w:p w14:paraId="6BB3B00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（1）乙方出具的交货清单正本壹份，并经甲方和监理确认；</w:t>
      </w:r>
    </w:p>
    <w:p w14:paraId="386CBD3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（2）制造商出具的出厂质量合格证正本壹份；</w:t>
      </w:r>
    </w:p>
    <w:p w14:paraId="20E20BB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（3）产品经国家权威部门检测和认证的检测报告正本壹份。</w:t>
      </w:r>
    </w:p>
    <w:p w14:paraId="557C591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.2 在乙方履行完本合同项下的全部义务，在办理项目结算终审并经</w:t>
      </w:r>
      <w:r>
        <w:rPr>
          <w:rFonts w:hint="eastAsia" w:ascii="宋体" w:hAnsi="宋体" w:cs="宋体"/>
          <w:color w:val="auto"/>
          <w:sz w:val="28"/>
          <w:szCs w:val="28"/>
          <w:highlight w:val="none"/>
          <w:lang w:eastAsia="zh-CN"/>
        </w:rPr>
        <w:t>有权审定的部门或单位</w:t>
      </w:r>
      <w:r>
        <w:rPr>
          <w:rFonts w:hint="eastAsia" w:ascii="宋体" w:hAnsi="宋体" w:cs="宋体"/>
          <w:color w:val="auto"/>
          <w:sz w:val="28"/>
          <w:szCs w:val="28"/>
          <w:highlight w:val="none"/>
        </w:rPr>
        <w:t>确认、完成项目竣工资料及相关档案资料移交后，甲方向乙方支付至结算总价的97%，结算总价金额的3%作为质量保证金，同时，甲方将第</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.1条所述履约保函归还乙方。</w:t>
      </w:r>
    </w:p>
    <w:p w14:paraId="7B9525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.3 质量保修金</w:t>
      </w:r>
    </w:p>
    <w:p w14:paraId="5F003C76">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结算价的3%作为质量保修金，按照全部设备完成安全调试工作，取得《最终验收证明》之日起计算2年，期间若未发生质量问题，甲方无息支付结算价的3%给乙方。</w:t>
      </w:r>
    </w:p>
    <w:p w14:paraId="2898CF0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9.4</w:t>
      </w:r>
      <w:r>
        <w:rPr>
          <w:rFonts w:hint="eastAsia" w:ascii="宋体" w:hAnsi="宋体" w:cs="宋体"/>
          <w:color w:val="auto"/>
          <w:sz w:val="28"/>
          <w:szCs w:val="28"/>
          <w:highlight w:val="none"/>
        </w:rPr>
        <w:t>乙方收取前述所有款项时均须向甲方开具真实、等额、有效且符合国家法律法规规定的增值税专用发票。</w:t>
      </w:r>
    </w:p>
    <w:p w14:paraId="014A5427">
      <w:pPr>
        <w:pStyle w:val="23"/>
        <w:spacing w:line="360" w:lineRule="auto"/>
        <w:ind w:firstLine="0" w:firstLineChars="0"/>
        <w:jc w:val="left"/>
        <w:rPr>
          <w:rFonts w:hAnsi="宋体" w:cs="宋体"/>
          <w:b/>
          <w:color w:val="auto"/>
          <w:sz w:val="28"/>
          <w:szCs w:val="28"/>
          <w:highlight w:val="none"/>
        </w:rPr>
      </w:pPr>
      <w:r>
        <w:rPr>
          <w:rFonts w:hint="eastAsia" w:hAnsi="宋体" w:cs="宋体"/>
          <w:color w:val="auto"/>
          <w:sz w:val="28"/>
          <w:szCs w:val="28"/>
          <w:highlight w:val="none"/>
          <w:lang w:eastAsia="zh-CN"/>
        </w:rPr>
        <w:t>十</w:t>
      </w:r>
      <w:r>
        <w:rPr>
          <w:rFonts w:hint="eastAsia" w:hAnsi="宋体" w:cs="宋体"/>
          <w:b/>
          <w:color w:val="auto"/>
          <w:sz w:val="28"/>
          <w:szCs w:val="28"/>
          <w:highlight w:val="none"/>
        </w:rPr>
        <w:t>、相关服务要求</w:t>
      </w:r>
    </w:p>
    <w:p w14:paraId="680F1559">
      <w:pPr>
        <w:spacing w:line="360" w:lineRule="auto"/>
        <w:ind w:firstLine="548" w:firstLineChars="196"/>
        <w:rPr>
          <w:rFonts w:ascii="宋体" w:hAnsi="宋体" w:cs="宋体"/>
          <w:bCs/>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.1 维保期要求：乙方</w:t>
      </w:r>
      <w:r>
        <w:rPr>
          <w:rFonts w:hint="eastAsia" w:ascii="宋体" w:hAnsi="宋体" w:cs="宋体"/>
          <w:bCs/>
          <w:color w:val="auto"/>
          <w:sz w:val="28"/>
          <w:szCs w:val="28"/>
          <w:highlight w:val="none"/>
        </w:rPr>
        <w:t>应为质保期服务配备充足且具备相应专业资质的技术人员、工具和备件并保证提供的联系方式有效。 除供货要求等合同文件另有约定外，</w:t>
      </w:r>
      <w:r>
        <w:rPr>
          <w:rFonts w:hint="eastAsia" w:ascii="宋体" w:hAnsi="宋体" w:cs="宋体"/>
          <w:color w:val="auto"/>
          <w:sz w:val="28"/>
          <w:szCs w:val="28"/>
          <w:highlight w:val="none"/>
        </w:rPr>
        <w:t>乙方</w:t>
      </w:r>
      <w:r>
        <w:rPr>
          <w:rFonts w:hint="eastAsia" w:ascii="宋体" w:hAnsi="宋体" w:cs="宋体"/>
          <w:bCs/>
          <w:color w:val="auto"/>
          <w:sz w:val="28"/>
          <w:szCs w:val="28"/>
          <w:highlight w:val="none"/>
        </w:rPr>
        <w:t>应在收到甲方通知后</w:t>
      </w:r>
      <w:r>
        <w:rPr>
          <w:rFonts w:ascii="宋体" w:hAnsi="宋体" w:cs="宋体"/>
          <w:bCs/>
          <w:color w:val="auto"/>
          <w:sz w:val="28"/>
          <w:szCs w:val="28"/>
          <w:highlight w:val="none"/>
        </w:rPr>
        <w:t>24</w:t>
      </w:r>
      <w:r>
        <w:rPr>
          <w:rFonts w:hint="eastAsia" w:ascii="宋体" w:hAnsi="宋体" w:cs="宋体"/>
          <w:bCs/>
          <w:color w:val="auto"/>
          <w:sz w:val="28"/>
          <w:szCs w:val="28"/>
          <w:highlight w:val="none"/>
        </w:rPr>
        <w:t>小时内做出响应，如需</w:t>
      </w:r>
      <w:r>
        <w:rPr>
          <w:rFonts w:hint="eastAsia" w:ascii="宋体" w:hAnsi="宋体" w:cs="宋体"/>
          <w:color w:val="auto"/>
          <w:sz w:val="28"/>
          <w:szCs w:val="28"/>
          <w:highlight w:val="none"/>
        </w:rPr>
        <w:t>乙方</w:t>
      </w:r>
      <w:r>
        <w:rPr>
          <w:rFonts w:hint="eastAsia" w:ascii="宋体" w:hAnsi="宋体" w:cs="宋体"/>
          <w:bCs/>
          <w:color w:val="auto"/>
          <w:sz w:val="28"/>
          <w:szCs w:val="28"/>
          <w:highlight w:val="none"/>
        </w:rPr>
        <w:t>到现场，</w:t>
      </w:r>
      <w:r>
        <w:rPr>
          <w:rFonts w:hint="eastAsia" w:ascii="宋体" w:hAnsi="宋体" w:cs="宋体"/>
          <w:color w:val="auto"/>
          <w:sz w:val="28"/>
          <w:szCs w:val="28"/>
          <w:highlight w:val="none"/>
        </w:rPr>
        <w:t>乙方</w:t>
      </w:r>
      <w:r>
        <w:rPr>
          <w:rFonts w:hint="eastAsia" w:ascii="宋体" w:hAnsi="宋体" w:cs="宋体"/>
          <w:bCs/>
          <w:color w:val="auto"/>
          <w:sz w:val="28"/>
          <w:szCs w:val="28"/>
          <w:highlight w:val="none"/>
        </w:rPr>
        <w:t>应在收到甲方通知后</w:t>
      </w:r>
      <w:r>
        <w:rPr>
          <w:rFonts w:ascii="宋体" w:hAnsi="宋体" w:cs="宋体"/>
          <w:bCs/>
          <w:color w:val="auto"/>
          <w:sz w:val="28"/>
          <w:szCs w:val="28"/>
          <w:highlight w:val="none"/>
        </w:rPr>
        <w:t xml:space="preserve">48 </w:t>
      </w:r>
      <w:r>
        <w:rPr>
          <w:rFonts w:hint="eastAsia" w:ascii="宋体" w:hAnsi="宋体" w:cs="宋体"/>
          <w:bCs/>
          <w:color w:val="auto"/>
          <w:sz w:val="28"/>
          <w:szCs w:val="28"/>
          <w:highlight w:val="none"/>
        </w:rPr>
        <w:t>小时内到达，并在到达后</w:t>
      </w:r>
      <w:r>
        <w:rPr>
          <w:rFonts w:ascii="宋体" w:hAnsi="宋体" w:cs="宋体"/>
          <w:bCs/>
          <w:color w:val="auto"/>
          <w:sz w:val="28"/>
          <w:szCs w:val="28"/>
          <w:highlight w:val="none"/>
        </w:rPr>
        <w:t>7</w:t>
      </w:r>
      <w:r>
        <w:rPr>
          <w:rFonts w:hint="eastAsia" w:ascii="宋体" w:hAnsi="宋体" w:cs="宋体"/>
          <w:bCs/>
          <w:color w:val="auto"/>
          <w:sz w:val="28"/>
          <w:szCs w:val="28"/>
          <w:highlight w:val="none"/>
        </w:rPr>
        <w:t>日内处理完成。如果</w:t>
      </w:r>
      <w:r>
        <w:rPr>
          <w:rFonts w:hint="eastAsia" w:ascii="宋体" w:hAnsi="宋体" w:cs="宋体"/>
          <w:color w:val="auto"/>
          <w:sz w:val="28"/>
          <w:szCs w:val="28"/>
          <w:highlight w:val="none"/>
        </w:rPr>
        <w:t>乙方</w:t>
      </w:r>
      <w:r>
        <w:rPr>
          <w:rFonts w:hint="eastAsia" w:ascii="宋体" w:hAnsi="宋体" w:cs="宋体"/>
          <w:bCs/>
          <w:color w:val="auto"/>
          <w:sz w:val="28"/>
          <w:szCs w:val="28"/>
          <w:highlight w:val="none"/>
        </w:rPr>
        <w:t>未在上述时间内未能作出及时响应，则甲方有权自行或委托第三方解决相关问题或查找和解决合同设备的故障，</w:t>
      </w:r>
      <w:r>
        <w:rPr>
          <w:rFonts w:hint="eastAsia" w:ascii="宋体" w:hAnsi="宋体" w:cs="宋体"/>
          <w:color w:val="auto"/>
          <w:sz w:val="28"/>
          <w:szCs w:val="28"/>
          <w:highlight w:val="none"/>
        </w:rPr>
        <w:t>乙方</w:t>
      </w:r>
      <w:r>
        <w:rPr>
          <w:rFonts w:hint="eastAsia" w:ascii="宋体" w:hAnsi="宋体" w:cs="宋体"/>
          <w:bCs/>
          <w:color w:val="auto"/>
          <w:sz w:val="28"/>
          <w:szCs w:val="28"/>
          <w:highlight w:val="none"/>
        </w:rPr>
        <w:t>应承担由此发生的全部费用。</w:t>
      </w:r>
    </w:p>
    <w:p w14:paraId="4A140AB4">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.2 产品与服务要求：</w:t>
      </w:r>
    </w:p>
    <w:p w14:paraId="4A77596B">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rPr>
        <w:t>（1）所供产品与服务不会侵犯任何第三方知识产权；</w:t>
      </w:r>
    </w:p>
    <w:p w14:paraId="1F37CD7F">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rPr>
        <w:t>（2）乙方所供的产品与服务应符合国家强制性标准，其中硬件产品应保证全新；</w:t>
      </w:r>
    </w:p>
    <w:p w14:paraId="57076A3A">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rPr>
        <w:t>（3）乙方所供的产品与服务必须保证与本次招标活动要求相一致；</w:t>
      </w:r>
    </w:p>
    <w:p w14:paraId="4E5B9CC5">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rPr>
        <w:t>（4）甲方根据采购技术要求进行功能验收；</w:t>
      </w:r>
    </w:p>
    <w:p w14:paraId="69F4CA4F">
      <w:pPr>
        <w:widowControl/>
        <w:snapToGrid w:val="0"/>
        <w:spacing w:line="360" w:lineRule="auto"/>
        <w:ind w:firstLine="480"/>
        <w:rPr>
          <w:rFonts w:ascii="宋体" w:hAnsi="宋体" w:cs="宋体"/>
          <w:color w:val="auto"/>
          <w:sz w:val="28"/>
          <w:szCs w:val="28"/>
          <w:highlight w:val="none"/>
        </w:rPr>
      </w:pPr>
      <w:r>
        <w:rPr>
          <w:rFonts w:hint="eastAsia" w:ascii="宋体" w:hAnsi="宋体" w:cs="宋体"/>
          <w:color w:val="auto"/>
          <w:sz w:val="28"/>
          <w:szCs w:val="28"/>
          <w:highlight w:val="none"/>
        </w:rPr>
        <w:t>（5）如未通过供货验收的，乙方将负全责，并承担由此造成的一切损失；</w:t>
      </w:r>
    </w:p>
    <w:p w14:paraId="7DD09F61">
      <w:pPr>
        <w:widowControl/>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（6）货物安装调试完毕后，能在其功能范围内保障用户的系统安全、稳定运行；</w:t>
      </w:r>
    </w:p>
    <w:p w14:paraId="5F929E6E">
      <w:pPr>
        <w:pStyle w:val="23"/>
        <w:spacing w:line="360" w:lineRule="auto"/>
        <w:ind w:firstLine="0" w:firstLineChars="0"/>
        <w:jc w:val="left"/>
        <w:rPr>
          <w:rFonts w:hAnsi="宋体" w:cs="宋体"/>
          <w:b/>
          <w:color w:val="auto"/>
          <w:sz w:val="28"/>
          <w:szCs w:val="28"/>
          <w:highlight w:val="none"/>
        </w:rPr>
      </w:pPr>
      <w:r>
        <w:rPr>
          <w:rFonts w:hint="eastAsia" w:hAnsi="宋体" w:cs="宋体"/>
          <w:b/>
          <w:color w:val="auto"/>
          <w:sz w:val="28"/>
          <w:szCs w:val="28"/>
          <w:highlight w:val="none"/>
          <w:lang w:eastAsia="zh-CN"/>
        </w:rPr>
        <w:t>十一</w:t>
      </w:r>
      <w:r>
        <w:rPr>
          <w:rFonts w:hint="eastAsia" w:hAnsi="宋体" w:cs="宋体"/>
          <w:b/>
          <w:color w:val="auto"/>
          <w:sz w:val="28"/>
          <w:szCs w:val="28"/>
          <w:highlight w:val="none"/>
        </w:rPr>
        <w:t>、甲方权利和义务</w:t>
      </w:r>
    </w:p>
    <w:p w14:paraId="461E412E">
      <w:pPr>
        <w:pStyle w:val="23"/>
        <w:spacing w:line="360" w:lineRule="auto"/>
        <w:ind w:firstLine="548" w:firstLineChars="196"/>
        <w:jc w:val="left"/>
        <w:rPr>
          <w:rFonts w:hAnsi="宋体" w:cs="宋体"/>
          <w:color w:val="auto"/>
          <w:sz w:val="28"/>
          <w:szCs w:val="28"/>
          <w:highlight w:val="none"/>
        </w:rPr>
      </w:pPr>
      <w:r>
        <w:rPr>
          <w:rFonts w:hint="eastAsia" w:hAnsi="宋体" w:cs="宋体"/>
          <w:color w:val="auto"/>
          <w:sz w:val="28"/>
          <w:szCs w:val="28"/>
          <w:highlight w:val="none"/>
          <w:lang w:val="en-US" w:eastAsia="zh-CN"/>
        </w:rPr>
        <w:t>11</w:t>
      </w:r>
      <w:r>
        <w:rPr>
          <w:rFonts w:hint="eastAsia" w:hAnsi="宋体" w:cs="宋体"/>
          <w:color w:val="auto"/>
          <w:sz w:val="28"/>
          <w:szCs w:val="28"/>
          <w:highlight w:val="none"/>
        </w:rPr>
        <w:t>.1甲方有权利对本合同项下的设备采购、安装及相关服务进行监督和检查，乙方应随时接受甲方的监督和检查。</w:t>
      </w:r>
    </w:p>
    <w:p w14:paraId="4A31B187">
      <w:pPr>
        <w:pStyle w:val="23"/>
        <w:spacing w:line="360" w:lineRule="auto"/>
        <w:ind w:firstLine="548" w:firstLineChars="196"/>
        <w:jc w:val="left"/>
        <w:rPr>
          <w:rFonts w:hAnsi="宋体" w:cs="宋体"/>
          <w:color w:val="auto"/>
          <w:sz w:val="28"/>
          <w:szCs w:val="28"/>
          <w:highlight w:val="none"/>
        </w:rPr>
      </w:pPr>
      <w:r>
        <w:rPr>
          <w:rFonts w:hint="eastAsia" w:hAnsi="宋体" w:cs="宋体"/>
          <w:color w:val="auto"/>
          <w:sz w:val="28"/>
          <w:szCs w:val="28"/>
          <w:highlight w:val="none"/>
          <w:lang w:val="en-US" w:eastAsia="zh-CN"/>
        </w:rPr>
        <w:t>11</w:t>
      </w:r>
      <w:r>
        <w:rPr>
          <w:rFonts w:hint="eastAsia" w:hAnsi="宋体" w:cs="宋体"/>
          <w:color w:val="auto"/>
          <w:sz w:val="28"/>
          <w:szCs w:val="28"/>
          <w:highlight w:val="none"/>
        </w:rPr>
        <w:t>.2甲方负责组织本项目合同履约监督、付款、办理结算、协调等相关事宜，并应及时支付相应款项。</w:t>
      </w:r>
    </w:p>
    <w:p w14:paraId="2470753B">
      <w:pPr>
        <w:pStyle w:val="23"/>
        <w:spacing w:line="360" w:lineRule="auto"/>
        <w:ind w:firstLine="0" w:firstLineChars="0"/>
        <w:jc w:val="left"/>
        <w:rPr>
          <w:rFonts w:hAnsi="宋体" w:cs="宋体"/>
          <w:b/>
          <w:color w:val="auto"/>
          <w:sz w:val="28"/>
          <w:szCs w:val="28"/>
          <w:highlight w:val="none"/>
        </w:rPr>
      </w:pPr>
      <w:r>
        <w:rPr>
          <w:rFonts w:hint="eastAsia" w:hAnsi="宋体" w:cs="宋体"/>
          <w:b/>
          <w:color w:val="auto"/>
          <w:sz w:val="28"/>
          <w:szCs w:val="28"/>
          <w:highlight w:val="none"/>
          <w:lang w:eastAsia="zh-CN"/>
        </w:rPr>
        <w:t>十二</w:t>
      </w:r>
      <w:r>
        <w:rPr>
          <w:rFonts w:hint="eastAsia" w:hAnsi="宋体" w:cs="宋体"/>
          <w:b/>
          <w:color w:val="auto"/>
          <w:sz w:val="28"/>
          <w:szCs w:val="28"/>
          <w:highlight w:val="none"/>
        </w:rPr>
        <w:t>、乙方权利和义务</w:t>
      </w:r>
    </w:p>
    <w:p w14:paraId="4A0BDF7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.1 乙方负责按照合同约定的规范、技术标准及甲方的要求完成本合同的</w:t>
      </w:r>
      <w:r>
        <w:rPr>
          <w:rFonts w:hint="eastAsia" w:ascii="宋体" w:hAnsi="宋体" w:cs="宋体"/>
          <w:color w:val="auto"/>
          <w:sz w:val="28"/>
          <w:szCs w:val="28"/>
          <w:highlight w:val="none"/>
          <w:lang w:eastAsia="zh-CN"/>
        </w:rPr>
        <w:t>所有义务</w:t>
      </w:r>
      <w:r>
        <w:rPr>
          <w:rFonts w:hint="eastAsia" w:ascii="宋体" w:hAnsi="宋体" w:cs="宋体"/>
          <w:color w:val="auto"/>
          <w:sz w:val="28"/>
          <w:szCs w:val="28"/>
          <w:highlight w:val="none"/>
        </w:rPr>
        <w:t>，确保按时按质按量完成本项目内容。</w:t>
      </w:r>
    </w:p>
    <w:p w14:paraId="5FE05A3D">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.2乙方不得以经济纠纷为借口，拒绝在本项目的验收资料上签字盖章，进而影响后续工作的开展。</w:t>
      </w:r>
    </w:p>
    <w:p w14:paraId="0425EE9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.3乙方负责到场设备及材料的安全，在项目验收合格并移交给甲方之前的材料设备毁损、灭失或者丢失的风险由乙方承担。</w:t>
      </w:r>
    </w:p>
    <w:p w14:paraId="45531FFF">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.4 乙方的工作人员与甲方无任何劳动、劳务关系，乙方的劳资事项由其自行负责，乙方不得因拖欠其工作人员的相关待遇而影响本项目的进程。如因乙方原因影响甲方项目进度及给甲方名誉造成损失的或社会负面影响的，由乙方承担全部责任。</w:t>
      </w:r>
    </w:p>
    <w:p w14:paraId="47355DB1">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.5 遵守施工现场的有关规章制度。参加现场施工协调会议；制定措施、教育人员遵守甲方的工地管理有关制度，安全生产和文明施工制度。</w:t>
      </w:r>
    </w:p>
    <w:p w14:paraId="351B8B1C">
      <w:pPr>
        <w:spacing w:line="360" w:lineRule="auto"/>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.6 负责为进入安装现场人员购买生命财产保险,并支付一切费用。</w:t>
      </w:r>
    </w:p>
    <w:p w14:paraId="188AD04F">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.7乙方在合同工程量外增加的内容，须经甲方确认和批准手续后方可实施。</w:t>
      </w:r>
    </w:p>
    <w:p w14:paraId="658B25C5">
      <w:pPr>
        <w:pStyle w:val="83"/>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.8乙方对履行本协议的全过程承担安全责任，包括但不限于对甲方、甲方员工、乙方员工及其他第三人造成的损失承担赔偿责任。</w:t>
      </w:r>
    </w:p>
    <w:p w14:paraId="18DF978A">
      <w:pPr>
        <w:pStyle w:val="23"/>
        <w:spacing w:line="360" w:lineRule="auto"/>
        <w:ind w:firstLine="0" w:firstLineChars="0"/>
        <w:jc w:val="left"/>
        <w:rPr>
          <w:rFonts w:hAnsi="宋体" w:cs="宋体"/>
          <w:b/>
          <w:color w:val="auto"/>
          <w:sz w:val="28"/>
          <w:szCs w:val="28"/>
          <w:highlight w:val="none"/>
        </w:rPr>
      </w:pPr>
      <w:r>
        <w:rPr>
          <w:rFonts w:hint="eastAsia" w:hAnsi="宋体" w:cs="宋体"/>
          <w:b/>
          <w:color w:val="auto"/>
          <w:sz w:val="28"/>
          <w:szCs w:val="28"/>
          <w:highlight w:val="none"/>
          <w:lang w:eastAsia="zh-CN"/>
        </w:rPr>
        <w:t>十三</w:t>
      </w:r>
      <w:r>
        <w:rPr>
          <w:rFonts w:hint="eastAsia" w:hAnsi="宋体" w:cs="宋体"/>
          <w:b/>
          <w:color w:val="auto"/>
          <w:sz w:val="28"/>
          <w:szCs w:val="28"/>
          <w:highlight w:val="none"/>
        </w:rPr>
        <w:t>、验收和移交</w:t>
      </w:r>
    </w:p>
    <w:p w14:paraId="2857B3BE">
      <w:pPr>
        <w:pStyle w:val="23"/>
        <w:spacing w:line="360" w:lineRule="auto"/>
        <w:ind w:firstLine="548" w:firstLineChars="196"/>
        <w:jc w:val="left"/>
        <w:rPr>
          <w:rFonts w:hAnsi="宋体" w:cs="宋体"/>
          <w:bCs/>
          <w:color w:val="auto"/>
          <w:sz w:val="28"/>
          <w:szCs w:val="28"/>
          <w:highlight w:val="none"/>
        </w:rPr>
      </w:pPr>
      <w:r>
        <w:rPr>
          <w:rFonts w:hint="eastAsia" w:hAnsi="宋体" w:cs="宋体"/>
          <w:bCs/>
          <w:color w:val="auto"/>
          <w:sz w:val="28"/>
          <w:szCs w:val="28"/>
          <w:highlight w:val="none"/>
          <w:lang w:val="en-US" w:eastAsia="zh-CN"/>
        </w:rPr>
        <w:t>13</w:t>
      </w:r>
      <w:r>
        <w:rPr>
          <w:rFonts w:hint="eastAsia" w:hAnsi="宋体" w:cs="宋体"/>
          <w:bCs/>
          <w:color w:val="auto"/>
          <w:sz w:val="28"/>
          <w:szCs w:val="28"/>
          <w:highlight w:val="none"/>
        </w:rPr>
        <w:t>.1在交货前，</w:t>
      </w:r>
      <w:r>
        <w:rPr>
          <w:rFonts w:hint="eastAsia" w:hAnsi="宋体" w:cs="宋体"/>
          <w:color w:val="auto"/>
          <w:sz w:val="28"/>
          <w:szCs w:val="28"/>
          <w:highlight w:val="none"/>
        </w:rPr>
        <w:t>乙方</w:t>
      </w:r>
      <w:r>
        <w:rPr>
          <w:rFonts w:hint="eastAsia" w:hAnsi="宋体" w:cs="宋体"/>
          <w:bCs/>
          <w:color w:val="auto"/>
          <w:sz w:val="28"/>
          <w:szCs w:val="28"/>
          <w:highlight w:val="none"/>
        </w:rPr>
        <w:t>应对货物的质量、规格、性能、数量和重量等进行详细而全面的检验。</w:t>
      </w:r>
    </w:p>
    <w:p w14:paraId="7B911F0F">
      <w:pPr>
        <w:pStyle w:val="23"/>
        <w:spacing w:line="360" w:lineRule="auto"/>
        <w:ind w:firstLine="548" w:firstLineChars="196"/>
        <w:jc w:val="left"/>
        <w:rPr>
          <w:rFonts w:hAnsi="宋体" w:cs="宋体"/>
          <w:bCs/>
          <w:color w:val="auto"/>
          <w:sz w:val="28"/>
          <w:szCs w:val="28"/>
          <w:highlight w:val="none"/>
        </w:rPr>
      </w:pPr>
      <w:r>
        <w:rPr>
          <w:rFonts w:hint="eastAsia" w:hAnsi="宋体" w:cs="宋体"/>
          <w:bCs/>
          <w:color w:val="auto"/>
          <w:sz w:val="28"/>
          <w:szCs w:val="28"/>
          <w:highlight w:val="none"/>
          <w:lang w:val="en-US" w:eastAsia="zh-CN"/>
        </w:rPr>
        <w:t>13</w:t>
      </w:r>
      <w:r>
        <w:rPr>
          <w:rFonts w:hint="eastAsia" w:hAnsi="宋体" w:cs="宋体"/>
          <w:bCs/>
          <w:color w:val="auto"/>
          <w:sz w:val="28"/>
          <w:szCs w:val="28"/>
          <w:highlight w:val="none"/>
        </w:rPr>
        <w:t>.2货物运抵现场安装调试完毕之日起十个工作日内，由合同双方共同对全部货物、产品、型号、规格、数量、外型、外观、包装及资料、文件（如装箱单、保修单、随箱介质等）进行验收。乙方应负责在项目验收时将系统的全部有关产品说明书、原厂家安装手册、技术文件、资料、及安装、验收报告等文档汇集成册交付甲方。验收合格后，双方签署验收合格证书。甲方对产品的交货验收并不表示产品已完全符合质量要求，亦不代表甲方对产品内在性能的最终验收和认可，乙方仍须承担产品质量缺陷、设计缺陷引致的责任。</w:t>
      </w:r>
    </w:p>
    <w:p w14:paraId="4566236F">
      <w:pPr>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13</w:t>
      </w:r>
      <w:r>
        <w:rPr>
          <w:rFonts w:hint="eastAsia" w:ascii="宋体" w:hAnsi="宋体" w:cs="宋体"/>
          <w:bCs/>
          <w:color w:val="auto"/>
          <w:sz w:val="28"/>
          <w:szCs w:val="28"/>
          <w:highlight w:val="none"/>
        </w:rPr>
        <w:t>.3首次检定：仪器需经有资质的，权威的法定计量检定机构检测合格，外观良好，结构坚固，并出具检定合格证书。检定费用由乙方提供。</w:t>
      </w:r>
    </w:p>
    <w:p w14:paraId="004DA0B3">
      <w:pPr>
        <w:pStyle w:val="23"/>
        <w:spacing w:line="360" w:lineRule="auto"/>
        <w:ind w:firstLine="548" w:firstLineChars="196"/>
        <w:jc w:val="left"/>
        <w:rPr>
          <w:rFonts w:hAnsi="宋体" w:cs="宋体"/>
          <w:bCs/>
          <w:color w:val="auto"/>
          <w:sz w:val="28"/>
          <w:szCs w:val="28"/>
          <w:highlight w:val="none"/>
        </w:rPr>
      </w:pPr>
      <w:r>
        <w:rPr>
          <w:rFonts w:hint="eastAsia" w:hAnsi="宋体" w:cs="宋体"/>
          <w:bCs/>
          <w:color w:val="auto"/>
          <w:sz w:val="28"/>
          <w:szCs w:val="28"/>
          <w:highlight w:val="none"/>
          <w:lang w:val="en-US" w:eastAsia="zh-CN"/>
        </w:rPr>
        <w:t>13</w:t>
      </w:r>
      <w:r>
        <w:rPr>
          <w:rFonts w:hint="eastAsia" w:hAnsi="宋体" w:cs="宋体"/>
          <w:bCs/>
          <w:color w:val="auto"/>
          <w:sz w:val="28"/>
          <w:szCs w:val="28"/>
          <w:highlight w:val="none"/>
        </w:rPr>
        <w:t xml:space="preserve">.4甲方有在货物制造过程中派员监造的权利, </w:t>
      </w:r>
      <w:r>
        <w:rPr>
          <w:rFonts w:hint="eastAsia" w:hAnsi="宋体" w:cs="宋体"/>
          <w:color w:val="auto"/>
          <w:sz w:val="28"/>
          <w:szCs w:val="28"/>
          <w:highlight w:val="none"/>
        </w:rPr>
        <w:t>乙方</w:t>
      </w:r>
      <w:r>
        <w:rPr>
          <w:rFonts w:hint="eastAsia" w:hAnsi="宋体" w:cs="宋体"/>
          <w:bCs/>
          <w:color w:val="auto"/>
          <w:sz w:val="28"/>
          <w:szCs w:val="28"/>
          <w:highlight w:val="none"/>
        </w:rPr>
        <w:t>有义务为甲方监造人员行使该权利提供方便。</w:t>
      </w:r>
    </w:p>
    <w:p w14:paraId="542D2647">
      <w:pPr>
        <w:pStyle w:val="23"/>
        <w:spacing w:line="360" w:lineRule="auto"/>
        <w:ind w:firstLine="548" w:firstLineChars="196"/>
        <w:jc w:val="left"/>
        <w:rPr>
          <w:rFonts w:hAnsi="宋体" w:cs="宋体"/>
          <w:bCs/>
          <w:color w:val="auto"/>
          <w:sz w:val="28"/>
          <w:szCs w:val="28"/>
          <w:highlight w:val="none"/>
        </w:rPr>
      </w:pPr>
      <w:r>
        <w:rPr>
          <w:rFonts w:hint="eastAsia" w:hAnsi="宋体" w:cs="宋体"/>
          <w:bCs/>
          <w:color w:val="auto"/>
          <w:sz w:val="28"/>
          <w:szCs w:val="28"/>
          <w:highlight w:val="none"/>
          <w:lang w:val="en-US" w:eastAsia="zh-CN"/>
        </w:rPr>
        <w:t>13</w:t>
      </w:r>
      <w:r>
        <w:rPr>
          <w:rFonts w:hint="eastAsia" w:hAnsi="宋体" w:cs="宋体"/>
          <w:bCs/>
          <w:color w:val="auto"/>
          <w:sz w:val="28"/>
          <w:szCs w:val="28"/>
          <w:highlight w:val="none"/>
        </w:rPr>
        <w:t>.5安装调试完成之后所有系统功能必须现场演示并经甲方和监理确认，才可视作验收完成。</w:t>
      </w:r>
    </w:p>
    <w:p w14:paraId="158C8960">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十</w:t>
      </w:r>
      <w:r>
        <w:rPr>
          <w:rFonts w:hint="eastAsia" w:ascii="宋体" w:hAnsi="宋体" w:cs="宋体"/>
          <w:b/>
          <w:color w:val="auto"/>
          <w:sz w:val="28"/>
          <w:szCs w:val="28"/>
          <w:highlight w:val="none"/>
          <w:lang w:eastAsia="zh-CN"/>
        </w:rPr>
        <w:t>四</w:t>
      </w:r>
      <w:r>
        <w:rPr>
          <w:rFonts w:hint="eastAsia" w:ascii="宋体" w:hAnsi="宋体" w:cs="宋体"/>
          <w:b/>
          <w:color w:val="auto"/>
          <w:sz w:val="28"/>
          <w:szCs w:val="28"/>
          <w:highlight w:val="none"/>
        </w:rPr>
        <w:t>、争议索赔：</w:t>
      </w:r>
    </w:p>
    <w:p w14:paraId="28355F1B">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乙方同意甲方选择下述方法解决索赔事宜：</w:t>
      </w:r>
    </w:p>
    <w:p w14:paraId="53D526A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14</w:t>
      </w:r>
      <w:r>
        <w:rPr>
          <w:rFonts w:hint="eastAsia" w:ascii="宋体" w:hAnsi="宋体" w:cs="宋体"/>
          <w:color w:val="auto"/>
          <w:sz w:val="28"/>
          <w:szCs w:val="28"/>
          <w:highlight w:val="none"/>
        </w:rPr>
        <w:t>.1 乙方所提供的设备与合同要求不符的，甲方有权拒收，乙方应双倍返还被拒收的设备的预付款及已付金额，以合同规定的同类货币退给甲方，乙方负担由此发生的一切损失和费用，包括银行利息、运输和保险费、检验费、仓储和装卸费以及为保管和保护被拒绝货物所需要的其它必要费用。</w:t>
      </w:r>
    </w:p>
    <w:p w14:paraId="447C92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.2 对有缺陷的设备及其附件，乙方应及时更换，以达到合同规定的规格、质量和性能，乙方承担一切费用和风险并负担甲方遭受的一切损失，同时乙方应相应顺延被更换货物的质保期。</w:t>
      </w:r>
    </w:p>
    <w:p w14:paraId="774B2AB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.3 如经乙方更换，设备仍不能达到合同约定标准的，甲方有权退货，要求乙方双倍返还退货设备的退回全部货款，乙方负担由此发生的一切损失和费用，包括银行利息、运输和保险费、检验费、仓储和装卸费以及为保管和保护被拒绝货物所需要的其它必要费用，并赔偿甲方因此遭受的损失。</w:t>
      </w:r>
    </w:p>
    <w:p w14:paraId="3F911F7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.4 如果乙方在收到索赔通知后十天内未作答复，上述索赔应视为已被乙方接受。如乙方未能在甲方收到索赔通知后十天内或征得甲方同意的延长期限内，按照甲方选择的方法解决索赔事宜，甲方将有权从预付货款或从乙方的履约担保中扣回违约金及索赔金额，同时保留进一步要求索赔的权利。</w:t>
      </w:r>
    </w:p>
    <w:p w14:paraId="2680D80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.5 事故索赔：凡乙方为履行本合同而导致人员的伤亡或财产损失，由乙方负责，并保证甲方免于上述损失、开支或赔偿。否则，乙方应赔偿甲方由此产生的损失。</w:t>
      </w:r>
    </w:p>
    <w:p w14:paraId="6C2DB60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.6 因设备的质量问题发生争议，由第三方质量鉴定单位进行质量鉴定。工程质量符合标准的，鉴定费由甲方承担；工程质量不符合标准的，鉴定费由乙方承担。</w:t>
      </w:r>
    </w:p>
    <w:p w14:paraId="3E4900C1">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十</w:t>
      </w:r>
      <w:r>
        <w:rPr>
          <w:rFonts w:hint="eastAsia" w:ascii="宋体" w:hAnsi="宋体" w:cs="宋体"/>
          <w:b/>
          <w:color w:val="auto"/>
          <w:sz w:val="28"/>
          <w:szCs w:val="28"/>
          <w:highlight w:val="none"/>
          <w:lang w:eastAsia="zh-CN"/>
        </w:rPr>
        <w:t>五</w:t>
      </w:r>
      <w:r>
        <w:rPr>
          <w:rFonts w:hint="eastAsia" w:ascii="宋体" w:hAnsi="宋体" w:cs="宋体"/>
          <w:b/>
          <w:color w:val="auto"/>
          <w:sz w:val="28"/>
          <w:szCs w:val="28"/>
          <w:highlight w:val="none"/>
        </w:rPr>
        <w:t>、违约条款：</w:t>
      </w:r>
    </w:p>
    <w:p w14:paraId="1748B12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.1 如乙方未按甲方书面通知的供货时间供货，提前供货的保管责任由乙方承担，且甲方有权不提供相关的场地与库房。乙方逾期供货的，每延误一天，违约金按该批次合同金额万分之五计算，不足一天的以一天计。逾期三十天后货物仍未到场的，则甲方有权解除合同，而乙方除向甲方支付违约金外，仍须立即按双倍于预付款金额计得的赔偿金支付给甲方。</w:t>
      </w:r>
    </w:p>
    <w:p w14:paraId="72728CDD">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.2 如乙方违反了合同的规定或将已验收的产品擅自更换的，经甲方发现后，乙方除按符合验收清单的产品安装外，甲方对乙方进行10000元/次的罚款。累计3次，甲方有权解除合同。同时，乙方仍要承担由此造成的经济损失责任。</w:t>
      </w:r>
    </w:p>
    <w:p w14:paraId="1E7AE4F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.3 乙方送达现场的设备不符合同及规范规定的质量要求，致使不能实现合同目的，甲方可拒收货物。甲方拒收货物时，标的物毁损、丢失的风险由乙方承担，乙方需按甲方约定时限进行整改，并按本合同价款的10%向甲方支付违约金，同时承担由此造成的逾期违约责任。</w:t>
      </w:r>
    </w:p>
    <w:p w14:paraId="3A3EBF1F">
      <w:pPr>
        <w:pStyle w:val="23"/>
        <w:spacing w:line="360" w:lineRule="auto"/>
        <w:ind w:firstLine="0" w:firstLineChars="0"/>
        <w:jc w:val="left"/>
        <w:rPr>
          <w:rFonts w:hAnsi="宋体" w:cs="宋体"/>
          <w:b/>
          <w:color w:val="auto"/>
          <w:sz w:val="28"/>
          <w:szCs w:val="28"/>
          <w:highlight w:val="none"/>
        </w:rPr>
      </w:pPr>
      <w:r>
        <w:rPr>
          <w:rFonts w:hint="eastAsia" w:hAnsi="宋体" w:cs="宋体"/>
          <w:b/>
          <w:color w:val="auto"/>
          <w:sz w:val="28"/>
          <w:szCs w:val="28"/>
          <w:highlight w:val="none"/>
        </w:rPr>
        <w:t>十</w:t>
      </w:r>
      <w:r>
        <w:rPr>
          <w:rFonts w:hint="eastAsia" w:hAnsi="宋体" w:cs="宋体"/>
          <w:b/>
          <w:color w:val="auto"/>
          <w:sz w:val="28"/>
          <w:szCs w:val="28"/>
          <w:highlight w:val="none"/>
          <w:lang w:eastAsia="zh-CN"/>
        </w:rPr>
        <w:t>六</w:t>
      </w:r>
      <w:r>
        <w:rPr>
          <w:rFonts w:hint="eastAsia" w:hAnsi="宋体" w:cs="宋体"/>
          <w:b/>
          <w:color w:val="auto"/>
          <w:sz w:val="28"/>
          <w:szCs w:val="28"/>
          <w:highlight w:val="none"/>
        </w:rPr>
        <w:t>、纠纷解决：</w:t>
      </w:r>
    </w:p>
    <w:p w14:paraId="366DEC6E">
      <w:pPr>
        <w:tabs>
          <w:tab w:val="left" w:pos="0"/>
        </w:tabs>
        <w:autoSpaceDE w:val="0"/>
        <w:autoSpaceDN w:val="0"/>
        <w:spacing w:line="360" w:lineRule="auto"/>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本合同在履行过程中发生争议，</w:t>
      </w:r>
      <w:r>
        <w:rPr>
          <w:rFonts w:hint="eastAsia" w:ascii="宋体" w:hAnsi="宋体" w:cs="宋体"/>
          <w:color w:val="auto"/>
          <w:sz w:val="28"/>
          <w:szCs w:val="28"/>
          <w:highlight w:val="none"/>
        </w:rPr>
        <w:t>双</w:t>
      </w:r>
      <w:r>
        <w:rPr>
          <w:rFonts w:hint="eastAsia" w:ascii="宋体" w:hAnsi="宋体" w:cs="宋体"/>
          <w:color w:val="auto"/>
          <w:sz w:val="28"/>
          <w:szCs w:val="28"/>
          <w:highlight w:val="none"/>
          <w:lang w:val="zh-CN"/>
        </w:rPr>
        <w:t>方应本着友好协商原则解决；协商解决不成，任何一方可向</w:t>
      </w:r>
      <w:r>
        <w:rPr>
          <w:rFonts w:hint="eastAsia" w:ascii="宋体" w:hAnsi="宋体" w:cs="宋体"/>
          <w:color w:val="auto"/>
          <w:sz w:val="28"/>
          <w:szCs w:val="28"/>
          <w:highlight w:val="none"/>
        </w:rPr>
        <w:t>甲</w:t>
      </w:r>
      <w:r>
        <w:rPr>
          <w:rFonts w:hint="eastAsia" w:ascii="宋体" w:hAnsi="宋体" w:cs="宋体"/>
          <w:color w:val="auto"/>
          <w:sz w:val="28"/>
          <w:szCs w:val="28"/>
          <w:highlight w:val="none"/>
          <w:lang w:val="zh-CN"/>
        </w:rPr>
        <w:t>方所在地人民法院提起诉讼。</w:t>
      </w:r>
    </w:p>
    <w:p w14:paraId="7D235D0D">
      <w:pPr>
        <w:spacing w:line="360" w:lineRule="auto"/>
        <w:ind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十</w:t>
      </w:r>
      <w:r>
        <w:rPr>
          <w:rFonts w:hint="eastAsia" w:ascii="宋体" w:hAnsi="宋体" w:cs="宋体"/>
          <w:b/>
          <w:color w:val="auto"/>
          <w:sz w:val="28"/>
          <w:szCs w:val="28"/>
          <w:highlight w:val="none"/>
          <w:lang w:eastAsia="zh-CN"/>
        </w:rPr>
        <w:t>七</w:t>
      </w:r>
      <w:r>
        <w:rPr>
          <w:rFonts w:hint="eastAsia" w:ascii="宋体" w:hAnsi="宋体" w:cs="宋体"/>
          <w:b/>
          <w:color w:val="auto"/>
          <w:sz w:val="28"/>
          <w:szCs w:val="28"/>
          <w:highlight w:val="none"/>
        </w:rPr>
        <w:t>、其他事项：</w:t>
      </w:r>
    </w:p>
    <w:p w14:paraId="7AB8297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.1 本合同条款如有更改，须另行签署补充协议。任何修改须经双方代表共同签署并加盖公章或合同专用章。</w:t>
      </w:r>
    </w:p>
    <w:p w14:paraId="79CCA6E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.2 本合同自双方签字加盖公章或合同专用章之日起生效。</w:t>
      </w:r>
    </w:p>
    <w:p w14:paraId="62C709DD">
      <w:pPr>
        <w:spacing w:line="360" w:lineRule="auto"/>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本合同一式</w:t>
      </w:r>
      <w:r>
        <w:rPr>
          <w:rFonts w:hint="eastAsia" w:ascii="宋体" w:hAnsi="宋体" w:cs="宋体"/>
          <w:color w:val="auto"/>
          <w:sz w:val="28"/>
          <w:szCs w:val="28"/>
          <w:highlight w:val="none"/>
        </w:rPr>
        <w:t>捌</w:t>
      </w:r>
      <w:r>
        <w:rPr>
          <w:rFonts w:hint="eastAsia" w:ascii="宋体" w:hAnsi="宋体" w:cs="宋体"/>
          <w:color w:val="auto"/>
          <w:sz w:val="28"/>
          <w:szCs w:val="28"/>
          <w:highlight w:val="none"/>
          <w:lang w:val="zh-CN"/>
        </w:rPr>
        <w:t>份</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甲方</w:t>
      </w:r>
      <w:r>
        <w:rPr>
          <w:rFonts w:hint="eastAsia" w:ascii="宋体" w:hAnsi="宋体" w:cs="宋体"/>
          <w:color w:val="auto"/>
          <w:sz w:val="28"/>
          <w:szCs w:val="28"/>
          <w:highlight w:val="none"/>
        </w:rPr>
        <w:t>肆</w:t>
      </w:r>
      <w:r>
        <w:rPr>
          <w:rFonts w:hint="eastAsia" w:ascii="宋体" w:hAnsi="宋体" w:cs="宋体"/>
          <w:color w:val="auto"/>
          <w:sz w:val="28"/>
          <w:szCs w:val="28"/>
          <w:highlight w:val="none"/>
          <w:lang w:val="zh-CN"/>
        </w:rPr>
        <w:t>份、乙方</w:t>
      </w:r>
      <w:r>
        <w:rPr>
          <w:rFonts w:hint="eastAsia" w:ascii="宋体" w:hAnsi="宋体" w:cs="宋体"/>
          <w:color w:val="auto"/>
          <w:sz w:val="28"/>
          <w:szCs w:val="28"/>
          <w:highlight w:val="none"/>
        </w:rPr>
        <w:t>肆</w:t>
      </w:r>
      <w:r>
        <w:rPr>
          <w:rFonts w:hint="eastAsia" w:ascii="宋体" w:hAnsi="宋体" w:cs="宋体"/>
          <w:color w:val="auto"/>
          <w:sz w:val="28"/>
          <w:szCs w:val="28"/>
          <w:highlight w:val="none"/>
          <w:lang w:val="zh-CN"/>
        </w:rPr>
        <w:t>份</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具同等法律效力。</w:t>
      </w:r>
    </w:p>
    <w:p w14:paraId="36632751">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（以下无正文）</w:t>
      </w:r>
    </w:p>
    <w:p w14:paraId="10A28142">
      <w:pPr>
        <w:spacing w:line="360"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附件：1.用户需求书</w:t>
      </w:r>
    </w:p>
    <w:p w14:paraId="2553ED91">
      <w:pPr>
        <w:spacing w:line="360" w:lineRule="auto"/>
        <w:ind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2.廉政合同</w:t>
      </w:r>
    </w:p>
    <w:p w14:paraId="77F16E02">
      <w:pPr>
        <w:spacing w:line="360" w:lineRule="auto"/>
        <w:ind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3.投标清单</w:t>
      </w:r>
    </w:p>
    <w:p w14:paraId="24E5096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4890CADF">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（签署页）</w:t>
      </w:r>
    </w:p>
    <w:p w14:paraId="4236CEC5">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甲方： </w:t>
      </w:r>
    </w:p>
    <w:p w14:paraId="72CE23B5">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14:paraId="4D1A9FCE">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或委托代理人： </w:t>
      </w:r>
    </w:p>
    <w:p w14:paraId="1EEF28AB">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p>
    <w:p w14:paraId="1D640863">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电话： </w:t>
      </w:r>
    </w:p>
    <w:p w14:paraId="3B945D65">
      <w:pPr>
        <w:spacing w:line="360" w:lineRule="auto"/>
        <w:rPr>
          <w:rFonts w:ascii="宋体" w:hAnsi="宋体" w:cs="宋体"/>
          <w:color w:val="auto"/>
          <w:sz w:val="28"/>
          <w:szCs w:val="28"/>
          <w:highlight w:val="none"/>
        </w:rPr>
      </w:pPr>
    </w:p>
    <w:p w14:paraId="0BEEB9D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乙方：  </w:t>
      </w:r>
    </w:p>
    <w:p w14:paraId="05C167C8">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14:paraId="5D47579D">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或委托代理人：</w:t>
      </w:r>
    </w:p>
    <w:p w14:paraId="5BEBC2A1">
      <w:pPr>
        <w:spacing w:line="360" w:lineRule="auto"/>
        <w:ind w:left="6160" w:right="92" w:rightChars="44" w:hanging="6160" w:hangingChars="2200"/>
        <w:jc w:val="left"/>
        <w:rPr>
          <w:rFonts w:ascii="宋体" w:hAnsi="宋体" w:cs="宋体"/>
          <w:color w:val="auto"/>
          <w:sz w:val="28"/>
          <w:szCs w:val="28"/>
          <w:highlight w:val="none"/>
        </w:rPr>
      </w:pPr>
      <w:r>
        <w:rPr>
          <w:rFonts w:hint="eastAsia" w:ascii="宋体" w:hAnsi="宋体" w:cs="宋体"/>
          <w:color w:val="auto"/>
          <w:sz w:val="28"/>
          <w:szCs w:val="28"/>
          <w:highlight w:val="none"/>
        </w:rPr>
        <w:t>地址：</w:t>
      </w:r>
    </w:p>
    <w:p w14:paraId="35A1C11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电话：</w:t>
      </w:r>
    </w:p>
    <w:p w14:paraId="37CCA445">
      <w:pPr>
        <w:spacing w:line="360" w:lineRule="auto"/>
        <w:ind w:right="92" w:rightChars="44"/>
        <w:jc w:val="left"/>
        <w:rPr>
          <w:rFonts w:ascii="宋体" w:hAnsi="宋体" w:cs="宋体"/>
          <w:color w:val="auto"/>
          <w:sz w:val="28"/>
          <w:szCs w:val="28"/>
          <w:highlight w:val="none"/>
        </w:rPr>
      </w:pPr>
      <w:r>
        <w:rPr>
          <w:rFonts w:hint="eastAsia" w:ascii="宋体" w:hAnsi="宋体" w:cs="宋体"/>
          <w:color w:val="auto"/>
          <w:sz w:val="28"/>
          <w:szCs w:val="28"/>
          <w:highlight w:val="none"/>
        </w:rPr>
        <w:t>开户银行：</w:t>
      </w:r>
    </w:p>
    <w:p w14:paraId="266F2B62">
      <w:pPr>
        <w:pStyle w:val="23"/>
        <w:spacing w:line="360" w:lineRule="auto"/>
        <w:jc w:val="left"/>
        <w:rPr>
          <w:rFonts w:hint="eastAsia" w:hAnsi="宋体" w:cs="宋体"/>
          <w:color w:val="auto"/>
          <w:sz w:val="28"/>
          <w:szCs w:val="28"/>
          <w:highlight w:val="none"/>
        </w:rPr>
      </w:pPr>
      <w:r>
        <w:rPr>
          <w:rFonts w:hint="eastAsia" w:hAnsi="宋体" w:cs="宋体"/>
          <w:color w:val="auto"/>
          <w:sz w:val="28"/>
          <w:szCs w:val="28"/>
          <w:highlight w:val="none"/>
        </w:rPr>
        <w:t>账号：</w:t>
      </w:r>
    </w:p>
    <w:p w14:paraId="1FE00780">
      <w:pPr>
        <w:pStyle w:val="23"/>
        <w:spacing w:line="360" w:lineRule="auto"/>
        <w:jc w:val="left"/>
        <w:rPr>
          <w:rFonts w:hint="eastAsia" w:hAnsi="宋体" w:cs="宋体"/>
          <w:color w:val="auto"/>
          <w:sz w:val="28"/>
          <w:szCs w:val="28"/>
          <w:highlight w:val="none"/>
        </w:rPr>
      </w:pPr>
    </w:p>
    <w:p w14:paraId="122C202C">
      <w:pPr>
        <w:pStyle w:val="23"/>
        <w:spacing w:line="360" w:lineRule="auto"/>
        <w:jc w:val="left"/>
        <w:rPr>
          <w:rFonts w:hint="eastAsia" w:hAnsi="宋体" w:cs="宋体"/>
          <w:color w:val="auto"/>
          <w:sz w:val="28"/>
          <w:szCs w:val="28"/>
          <w:highlight w:val="none"/>
        </w:rPr>
      </w:pPr>
    </w:p>
    <w:p w14:paraId="036D84BD">
      <w:pPr>
        <w:pStyle w:val="23"/>
        <w:spacing w:line="360" w:lineRule="auto"/>
        <w:jc w:val="left"/>
        <w:rPr>
          <w:rFonts w:hAnsi="宋体" w:cs="宋体"/>
          <w:color w:val="auto"/>
          <w:sz w:val="28"/>
          <w:szCs w:val="28"/>
          <w:highlight w:val="none"/>
        </w:rPr>
      </w:pPr>
      <w:r>
        <w:rPr>
          <w:rFonts w:hint="eastAsia" w:hAnsi="宋体" w:cs="宋体"/>
          <w:color w:val="auto"/>
          <w:sz w:val="28"/>
          <w:szCs w:val="28"/>
          <w:highlight w:val="none"/>
          <w:lang w:val="en-US" w:eastAsia="zh-CN"/>
        </w:rPr>
        <w:t xml:space="preserve">                                签订日期：2024年  月  日</w:t>
      </w:r>
      <w:r>
        <w:rPr>
          <w:rFonts w:hint="eastAsia" w:hAnsi="宋体" w:cs="宋体"/>
          <w:color w:val="auto"/>
          <w:sz w:val="28"/>
          <w:szCs w:val="28"/>
          <w:highlight w:val="none"/>
        </w:rPr>
        <w:br w:type="page"/>
      </w:r>
    </w:p>
    <w:p w14:paraId="77529346">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附件1</w:t>
      </w:r>
    </w:p>
    <w:p w14:paraId="009AD76D">
      <w:pPr>
        <w:pStyle w:val="5"/>
        <w:spacing w:before="0" w:after="0" w:line="24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用户需求书</w:t>
      </w:r>
    </w:p>
    <w:p w14:paraId="2AA74DE0">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一、工程概况</w:t>
      </w:r>
    </w:p>
    <w:p w14:paraId="17CCCD64">
      <w:pPr>
        <w:spacing w:line="360" w:lineRule="auto"/>
        <w:ind w:firstLine="562" w:firstLineChars="201"/>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1.工程名称：</w:t>
      </w:r>
      <w:r>
        <w:rPr>
          <w:rFonts w:hint="eastAsia" w:ascii="宋体" w:hAnsi="宋体" w:eastAsia="宋体" w:cs="宋体"/>
          <w:sz w:val="28"/>
          <w:szCs w:val="28"/>
          <w:highlight w:val="none"/>
          <w:lang w:eastAsia="zh-CN"/>
        </w:rPr>
        <w:t>萝岗和苑配售型保障性住房房屋品质提升</w:t>
      </w:r>
    </w:p>
    <w:p w14:paraId="006C33F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2.工程建设地点：广州市黄埔区水西路萝岗和苑</w:t>
      </w:r>
    </w:p>
    <w:p w14:paraId="60E06B1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3.工程建设规模：萝岗和苑（一期）A9栋（13-33层）、A10栋、萝岗和苑（二期）E1-E7、E8（9层部分、10-32层）共2411户，包含每户包含橱柜、浴室柜、厨电等。</w:t>
      </w:r>
    </w:p>
    <w:p w14:paraId="1698164F">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二、承包范围与工程内容</w:t>
      </w:r>
    </w:p>
    <w:p w14:paraId="3551D335">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1.承包范围：根据</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人提供的基础资料，负责萝岗和苑配售型保障性住房小区内，在原有的户内交标配套进行提升，提升内容包括但不限于：增配橱柜、浴室柜、厨电等设计、货品供应、安装等内容。</w:t>
      </w:r>
    </w:p>
    <w:p w14:paraId="4391DC1D">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2.工程内容：包括但不限于以下内容</w:t>
      </w:r>
    </w:p>
    <w:p w14:paraId="460BE9C4">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2.1设计工作</w:t>
      </w:r>
    </w:p>
    <w:p w14:paraId="49DB4139">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负责萝岗和苑配售型保障性住房小区内园户内家具配套的设计工作，包含方案全案设计、设计深化、安装图设计、竣工图等阶段，包括但不限于橱柜、浴室柜的设计工作，以及上述相对应阶段的造价文件编制工作，确保满足国家、省、市现行有效规范的要求，满足</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人相关设计管理要求、以及安装进度、安装安全要求。设计方案要求理念新颖、设计风格及功能区规划符合人才房用户群体的使用习惯。</w:t>
      </w:r>
    </w:p>
    <w:p w14:paraId="15D38683">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（2）本工程实行全过程限额设计安装，</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人有权在限额范围内，根据项目实际情况对</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的承包范围和承包工程内容进行适当调整，</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应无条件予以配合。</w:t>
      </w:r>
    </w:p>
    <w:p w14:paraId="24A77555">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（3）设计依据</w:t>
      </w:r>
    </w:p>
    <w:p w14:paraId="6AD392A7">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①国家、行业及地方现行相关标准规范；</w:t>
      </w:r>
    </w:p>
    <w:p w14:paraId="356809E6">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②广州安居集团有限公司建设工程设计管理办法（试行）；</w:t>
      </w:r>
    </w:p>
    <w:p w14:paraId="60F80F0A">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③其他资料。</w:t>
      </w:r>
    </w:p>
    <w:p w14:paraId="7E0D79D5">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在合同执行期间，上述标准、规范、文件如有更新，按新的标准或要求执行。</w:t>
      </w:r>
    </w:p>
    <w:p w14:paraId="401B38FA">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2.2安装工作</w:t>
      </w:r>
    </w:p>
    <w:p w14:paraId="52A9341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（1）按照</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文件及合同约定的范围和</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批复的安装图进行安装总承包，包工、包材料、包设备、包工期、包质量、包安全生产、包文明安装、包工程竣工验收通过、包结算编制、包竣工图编制、工程资料汇总及整理归档、包保修等，包括但不限于如下内容：</w:t>
      </w:r>
    </w:p>
    <w:p w14:paraId="070005BE">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①萝岗和苑（一期）A9栋（13-33层）、A10栋、萝岗和苑（二期）E1-E7、E8（9层部分、10-32层）户内家具配套提升改造，清除原有柱盆。</w:t>
      </w:r>
    </w:p>
    <w:p w14:paraId="1343B1F8">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②萝岗和苑（一期）A9栋（13-33层）、A10栋、萝岗和苑（二期）E1-E7、E8（9层部分、10-32层）户内家具配套提升改造，增配橱柜、浴室柜、厨电。</w:t>
      </w:r>
    </w:p>
    <w:p w14:paraId="346A7952">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（2）承担本工程建设相关的工作，包括但不限于：</w:t>
      </w:r>
    </w:p>
    <w:p w14:paraId="36008623">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①负责组织本工程范围内的竣工验收手续，包括分部分项工程验收、各项专业工程验收以及涉及</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的验收后续及证明等；</w:t>
      </w:r>
    </w:p>
    <w:p w14:paraId="126D2AC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②负责本工程范围内安装管理配合服务，配合进行移交场地、设施及相关资料；</w:t>
      </w:r>
    </w:p>
    <w:p w14:paraId="390F45F1">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③负责本工程范围的安装场地保管以及本工程范围内的现场安全文明安装管理。</w:t>
      </w:r>
    </w:p>
    <w:p w14:paraId="1A0C8872">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三、质量标准和要求</w:t>
      </w:r>
    </w:p>
    <w:p w14:paraId="0A0F9D36">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1.设计标准和要求（设计文件编制及限额设计目标）：在符合有关国家规范、标准的基础上，须同时满足当地政府颁布的规范/标准，及满足</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人提出的设计管理、技术指引、现场安装等相关要求。</w:t>
      </w:r>
    </w:p>
    <w:p w14:paraId="3A246B77">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工程质量标准和要求（安装质量及项目成效目标）：确保符合国家、省、市或行业现行的《建筑工程安装质量验收统一标准》及相应配套的各专业验收规范（如在合同执行期间有新规范标准则，按新的规范标准执行），单位工程验收合格率100%，并达到合格或（以上标准），确保一次验收合格，满足</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人的工程质量要求。</w:t>
      </w:r>
    </w:p>
    <w:p w14:paraId="4F38EF96">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3.本工程按照国家有关规定、规范进行设计、安装、验收，具体以安装图纸及相关技术和验收标准、遵照</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人相关规定要求为准。</w:t>
      </w:r>
    </w:p>
    <w:p w14:paraId="46E60CFC">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（1）本工程采用的工程建设标准、规范必须遵守现行中华人民共和国以及广东省、广州市或行业最新的工程建设标准及规范，且必须满足设计文件以及</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人相关规章制度的要求。</w:t>
      </w:r>
    </w:p>
    <w:p w14:paraId="442901C4">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（2）本工程实施中采购的材料、设备与工艺，都必须符合上述标准、规范及设计文件、</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人规章制度的相应要求。</w:t>
      </w:r>
    </w:p>
    <w:p w14:paraId="1616E0C9">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四、管理目标</w:t>
      </w:r>
    </w:p>
    <w:p w14:paraId="5EA12C23">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1.职业健康安全管理目标：杜绝发生一般事故等级及以上的伤亡事故且工伤责任事故死亡人数为零。</w:t>
      </w:r>
    </w:p>
    <w:p w14:paraId="4CB6FB40">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2.环境管理目标：严格按照国家、省、市最新颁布的法律法规、规章制度及建设行政主管部门最新发布的相关文件等执行，杜绝环境破坏、环境污染和水体污染事故等。</w:t>
      </w:r>
    </w:p>
    <w:p w14:paraId="4378DBCB">
      <w:pPr>
        <w:widowControl/>
        <w:adjustRightInd w:val="0"/>
        <w:snapToGrid w:val="0"/>
        <w:spacing w:line="360" w:lineRule="auto"/>
        <w:jc w:val="left"/>
        <w:rPr>
          <w:rFonts w:ascii="宋体" w:hAnsi="宋体" w:eastAsia="宋体"/>
          <w:b/>
          <w:bCs/>
          <w:sz w:val="28"/>
          <w:szCs w:val="28"/>
          <w:highlight w:val="none"/>
        </w:rPr>
      </w:pPr>
      <w:r>
        <w:rPr>
          <w:rFonts w:ascii="宋体" w:hAnsi="宋体" w:eastAsia="宋体"/>
          <w:b/>
          <w:bCs/>
          <w:sz w:val="28"/>
          <w:szCs w:val="28"/>
          <w:highlight w:val="none"/>
        </w:rPr>
        <w:t>五、合同工期</w:t>
      </w:r>
    </w:p>
    <w:p w14:paraId="5B5C0C87">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rPr>
        <w:t>总工期为65日历天（包括设计工期、生产工期及安装工期）。其中，设计工期5日历天，从合同签订之日起计；生产工期30日历天，从开工令发出之日起计；安装工期30日历天，从货到现场之日起计。工期总日历天数与设计、安装等各分项计划开、竣工日期计算的工期天数不一致的，以合同工期总日历天数为准。</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应当严格按安装图纸及</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人指令进行安装。</w:t>
      </w:r>
    </w:p>
    <w:p w14:paraId="31615503">
      <w:pPr>
        <w:spacing w:line="360" w:lineRule="auto"/>
        <w:ind w:firstLine="562" w:firstLineChars="20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人有权根据工程实际情况，对本工程中的工序及安装顺序进行适当合理调整，</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必须采取一切有效措施配合及不得延误总工期，并不得要求另行增加费用。若因非</w:t>
      </w:r>
      <w:r>
        <w:rPr>
          <w:rFonts w:hint="eastAsia" w:ascii="宋体" w:hAnsi="宋体" w:eastAsia="宋体" w:cs="宋体"/>
          <w:sz w:val="28"/>
          <w:szCs w:val="28"/>
          <w:highlight w:val="none"/>
          <w:lang w:eastAsia="zh-CN"/>
        </w:rPr>
        <w:t>承包人</w:t>
      </w:r>
      <w:r>
        <w:rPr>
          <w:rFonts w:hint="eastAsia" w:ascii="宋体" w:hAnsi="宋体" w:eastAsia="宋体" w:cs="宋体"/>
          <w:sz w:val="28"/>
          <w:szCs w:val="28"/>
          <w:highlight w:val="none"/>
        </w:rPr>
        <w:t>原因引起的暂停安装、开工，工期顺延。</w:t>
      </w:r>
    </w:p>
    <w:p w14:paraId="26D1549D">
      <w:pPr>
        <w:pStyle w:val="23"/>
        <w:rPr>
          <w:rFonts w:hAnsi="宋体" w:cs="宋体"/>
          <w:color w:val="auto"/>
          <w:sz w:val="28"/>
          <w:szCs w:val="28"/>
          <w:highlight w:val="none"/>
        </w:rPr>
      </w:pPr>
    </w:p>
    <w:p w14:paraId="051D834F">
      <w:pPr>
        <w:rPr>
          <w:rFonts w:hAnsi="宋体" w:cs="宋体"/>
          <w:color w:val="auto"/>
          <w:sz w:val="28"/>
          <w:szCs w:val="28"/>
          <w:highlight w:val="none"/>
        </w:rPr>
      </w:pPr>
    </w:p>
    <w:p w14:paraId="6EA1285F">
      <w:pPr>
        <w:pStyle w:val="54"/>
        <w:rPr>
          <w:rFonts w:hAnsi="宋体" w:cs="宋体"/>
          <w:color w:val="auto"/>
          <w:sz w:val="28"/>
          <w:szCs w:val="28"/>
          <w:highlight w:val="none"/>
        </w:rPr>
      </w:pPr>
    </w:p>
    <w:p w14:paraId="0E240A21">
      <w:pPr>
        <w:pStyle w:val="54"/>
        <w:rPr>
          <w:rFonts w:hAnsi="宋体" w:cs="宋体"/>
          <w:color w:val="auto"/>
          <w:sz w:val="28"/>
          <w:szCs w:val="28"/>
          <w:highlight w:val="none"/>
        </w:rPr>
      </w:pPr>
    </w:p>
    <w:p w14:paraId="41C6537E">
      <w:pPr>
        <w:pStyle w:val="54"/>
        <w:rPr>
          <w:rFonts w:hAnsi="宋体" w:cs="宋体"/>
          <w:color w:val="auto"/>
          <w:sz w:val="28"/>
          <w:szCs w:val="28"/>
          <w:highlight w:val="none"/>
        </w:rPr>
      </w:pPr>
    </w:p>
    <w:p w14:paraId="4C1E752C">
      <w:pPr>
        <w:pStyle w:val="54"/>
        <w:rPr>
          <w:rFonts w:hAnsi="宋体" w:cs="宋体"/>
          <w:color w:val="auto"/>
          <w:sz w:val="28"/>
          <w:szCs w:val="28"/>
          <w:highlight w:val="none"/>
        </w:rPr>
      </w:pPr>
    </w:p>
    <w:p w14:paraId="6FAECA2C">
      <w:pPr>
        <w:pStyle w:val="54"/>
        <w:rPr>
          <w:rFonts w:hAnsi="宋体" w:cs="宋体"/>
          <w:color w:val="auto"/>
          <w:sz w:val="28"/>
          <w:szCs w:val="28"/>
          <w:highlight w:val="none"/>
        </w:rPr>
      </w:pPr>
    </w:p>
    <w:p w14:paraId="3CC2008E">
      <w:pPr>
        <w:pStyle w:val="54"/>
        <w:rPr>
          <w:rFonts w:hAnsi="宋体" w:cs="宋体"/>
          <w:color w:val="auto"/>
          <w:sz w:val="28"/>
          <w:szCs w:val="28"/>
          <w:highlight w:val="none"/>
        </w:rPr>
      </w:pPr>
    </w:p>
    <w:p w14:paraId="1B1BB284">
      <w:pPr>
        <w:pStyle w:val="54"/>
        <w:rPr>
          <w:rFonts w:hAnsi="宋体" w:cs="宋体"/>
          <w:color w:val="auto"/>
          <w:sz w:val="28"/>
          <w:szCs w:val="28"/>
          <w:highlight w:val="none"/>
        </w:rPr>
      </w:pPr>
    </w:p>
    <w:p w14:paraId="50544016">
      <w:pPr>
        <w:spacing w:line="400" w:lineRule="exact"/>
        <w:rPr>
          <w:rFonts w:ascii="宋体" w:hAnsi="宋体" w:cs="宋体"/>
          <w:color w:val="auto"/>
          <w:sz w:val="28"/>
          <w:szCs w:val="28"/>
          <w:highlight w:val="none"/>
        </w:rPr>
      </w:pPr>
      <w:r>
        <w:rPr>
          <w:rFonts w:hint="eastAsia" w:ascii="宋体" w:hAnsi="宋体" w:cs="宋体"/>
          <w:b/>
          <w:color w:val="auto"/>
          <w:sz w:val="28"/>
          <w:szCs w:val="28"/>
          <w:highlight w:val="none"/>
        </w:rPr>
        <w:t>附件2</w:t>
      </w:r>
    </w:p>
    <w:p w14:paraId="1128DB7A">
      <w:pPr>
        <w:tabs>
          <w:tab w:val="center" w:pos="4792"/>
          <w:tab w:val="right" w:pos="9045"/>
        </w:tabs>
        <w:spacing w:line="360" w:lineRule="auto"/>
        <w:ind w:firstLine="3357" w:firstLineChars="1045"/>
        <w:jc w:val="left"/>
        <w:rPr>
          <w:rFonts w:ascii="宋体" w:hAnsi="宋体" w:cs="宋体"/>
          <w:color w:val="auto"/>
          <w:sz w:val="28"/>
          <w:szCs w:val="28"/>
          <w:highlight w:val="none"/>
        </w:rPr>
      </w:pPr>
      <w:r>
        <w:rPr>
          <w:rFonts w:hint="eastAsia" w:ascii="宋体" w:hAnsi="宋体" w:cs="宋体"/>
          <w:b/>
          <w:color w:val="auto"/>
          <w:sz w:val="32"/>
          <w:szCs w:val="32"/>
          <w:highlight w:val="none"/>
        </w:rPr>
        <w:t>廉政合同</w:t>
      </w:r>
      <w:r>
        <w:rPr>
          <w:rFonts w:hint="eastAsia" w:ascii="宋体" w:hAnsi="宋体" w:cs="宋体"/>
          <w:b/>
          <w:color w:val="auto"/>
          <w:sz w:val="28"/>
          <w:szCs w:val="28"/>
          <w:highlight w:val="none"/>
        </w:rPr>
        <w:tab/>
      </w:r>
    </w:p>
    <w:p w14:paraId="6ED12BB0">
      <w:pPr>
        <w:autoSpaceDE w:val="0"/>
        <w:autoSpaceDN w:val="0"/>
        <w:spacing w:line="360" w:lineRule="auto"/>
        <w:ind w:firstLine="540"/>
        <w:rPr>
          <w:rFonts w:ascii="宋体" w:hAnsi="宋体" w:cs="宋体"/>
          <w:color w:val="auto"/>
          <w:sz w:val="28"/>
          <w:szCs w:val="28"/>
          <w:highlight w:val="none"/>
          <w:lang w:val="zh-CN"/>
        </w:rPr>
      </w:pPr>
    </w:p>
    <w:p w14:paraId="00E8C56A">
      <w:pPr>
        <w:tabs>
          <w:tab w:val="center" w:pos="4153"/>
        </w:tabs>
        <w:snapToGrid w:val="0"/>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8"/>
          <w:szCs w:val="28"/>
          <w:highlight w:val="none"/>
        </w:rPr>
        <w:t>甲方：</w:t>
      </w:r>
      <w:r>
        <w:rPr>
          <w:rFonts w:hint="eastAsia" w:asciiTheme="minorEastAsia" w:hAnsiTheme="minorEastAsia" w:eastAsiaTheme="minorEastAsia" w:cstheme="minorEastAsia"/>
          <w:color w:val="auto"/>
          <w:sz w:val="28"/>
          <w:szCs w:val="28"/>
          <w:highlight w:val="none"/>
          <w:u w:val="single"/>
        </w:rPr>
        <w:t>广州城投住房租赁发展投资有限公司</w:t>
      </w:r>
      <w:r>
        <w:rPr>
          <w:rFonts w:hint="eastAsia" w:asciiTheme="minorEastAsia" w:hAnsiTheme="minorEastAsia" w:eastAsiaTheme="minorEastAsia" w:cstheme="minorEastAsia"/>
          <w:color w:val="auto"/>
          <w:sz w:val="24"/>
          <w:highlight w:val="none"/>
          <w:u w:val="single"/>
        </w:rPr>
        <w:t xml:space="preserve"> </w:t>
      </w:r>
    </w:p>
    <w:p w14:paraId="04869F55">
      <w:pPr>
        <w:autoSpaceDE w:val="0"/>
        <w:autoSpaceDN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8"/>
          <w:szCs w:val="28"/>
          <w:highlight w:val="none"/>
        </w:rPr>
        <w:t>乙方：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DADE3DC">
      <w:pPr>
        <w:autoSpaceDE w:val="0"/>
        <w:autoSpaceDN w:val="0"/>
        <w:spacing w:line="360" w:lineRule="auto"/>
        <w:ind w:firstLine="540"/>
        <w:rPr>
          <w:rFonts w:asciiTheme="minorEastAsia" w:hAnsiTheme="minorEastAsia" w:eastAsiaTheme="minorEastAsia" w:cstheme="minorEastAsia"/>
          <w:color w:val="auto"/>
          <w:sz w:val="28"/>
          <w:szCs w:val="28"/>
          <w:highlight w:val="none"/>
        </w:rPr>
      </w:pPr>
    </w:p>
    <w:p w14:paraId="2973CD02">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根据国家、省有关廉政建设的规定，为做好合同的廉政建设，保证服务质量与安全，提高资金的有效使用和投资效益，合同双方当事人就加强合同的廉政建设，订立本合同</w:t>
      </w:r>
      <w:r>
        <w:rPr>
          <w:rFonts w:hint="eastAsia" w:asciiTheme="minorEastAsia" w:hAnsiTheme="minorEastAsia" w:eastAsiaTheme="minorEastAsia" w:cstheme="minorEastAsia"/>
          <w:color w:val="auto"/>
          <w:sz w:val="28"/>
          <w:szCs w:val="28"/>
          <w:highlight w:val="none"/>
        </w:rPr>
        <w:t>。</w:t>
      </w:r>
    </w:p>
    <w:p w14:paraId="3587AFAE">
      <w:pPr>
        <w:spacing w:line="360" w:lineRule="auto"/>
        <w:rPr>
          <w:rFonts w:asciiTheme="minorEastAsia" w:hAnsiTheme="minorEastAsia" w:eastAsiaTheme="minorEastAsia" w:cstheme="minorEastAsia"/>
          <w:b/>
          <w:bCs/>
          <w:color w:val="auto"/>
          <w:sz w:val="28"/>
          <w:szCs w:val="28"/>
          <w:highlight w:val="none"/>
        </w:rPr>
      </w:pPr>
      <w:bookmarkStart w:id="0" w:name="_Toc11148"/>
      <w:r>
        <w:rPr>
          <w:rFonts w:hint="eastAsia" w:asciiTheme="minorEastAsia" w:hAnsiTheme="minorEastAsia" w:eastAsiaTheme="minorEastAsia" w:cstheme="minorEastAsia"/>
          <w:b/>
          <w:bCs/>
          <w:color w:val="auto"/>
          <w:sz w:val="28"/>
          <w:szCs w:val="28"/>
          <w:highlight w:val="none"/>
        </w:rPr>
        <w:t>一、双方权利和义务</w:t>
      </w:r>
      <w:bookmarkEnd w:id="0"/>
    </w:p>
    <w:p w14:paraId="624558EC">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严格遵守国家、省有关法律法规的规定。</w:t>
      </w:r>
    </w:p>
    <w:p w14:paraId="4EED3019">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 严格执行合同一切合同文件，自觉按合同办事。</w:t>
      </w:r>
    </w:p>
    <w:p w14:paraId="1657175B">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1.3 </w:t>
      </w:r>
      <w:r>
        <w:rPr>
          <w:rFonts w:hint="eastAsia" w:asciiTheme="minorEastAsia" w:hAnsiTheme="minorEastAsia" w:eastAsiaTheme="minorEastAsia" w:cstheme="minorEastAsia"/>
          <w:color w:val="auto"/>
          <w:sz w:val="28"/>
          <w:szCs w:val="28"/>
          <w:highlight w:val="none"/>
          <w:lang w:val="zh-CN"/>
        </w:rPr>
        <w:t>合同双方当事人的业务活动应坚持公平、公开、公正和诚信的原则（法律认定的商业秘密和合同文件另有规定除外），不得损害国家和集体利益，不得违反廉政建设管理规章制度</w:t>
      </w:r>
      <w:r>
        <w:rPr>
          <w:rFonts w:hint="eastAsia" w:asciiTheme="minorEastAsia" w:hAnsiTheme="minorEastAsia" w:eastAsiaTheme="minorEastAsia" w:cstheme="minorEastAsia"/>
          <w:color w:val="auto"/>
          <w:sz w:val="28"/>
          <w:szCs w:val="28"/>
          <w:highlight w:val="none"/>
        </w:rPr>
        <w:t>。</w:t>
      </w:r>
    </w:p>
    <w:p w14:paraId="24B5E5B3">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 建立健全廉政制度，开展廉政教育，设立廉政告示牌，公布举报电话，监督并认真查处违法违纪行为。</w:t>
      </w:r>
    </w:p>
    <w:p w14:paraId="079A10D3">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 发现对方在业务活动中有违反廉政建设规定的行为，应及时给予提醒和纠正。</w:t>
      </w:r>
    </w:p>
    <w:p w14:paraId="63FF3647">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 发现对方严重违反合同的行为，有向其主管部门举报、建议给予处理并要求告知处理结果的权利。</w:t>
      </w:r>
      <w:bookmarkStart w:id="1" w:name="_Toc18074"/>
    </w:p>
    <w:p w14:paraId="1054FAC4">
      <w:pPr>
        <w:spacing w:line="360" w:lineRule="auto"/>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二、甲方义务</w:t>
      </w:r>
      <w:bookmarkEnd w:id="1"/>
    </w:p>
    <w:p w14:paraId="23D96275">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2.1 甲方及其工作人员不得索要或接受乙方的礼金、有价证券和贵重物品，不得在乙方报销任何应由甲方或工作人员个人支付的费用等。</w:t>
      </w:r>
    </w:p>
    <w:p w14:paraId="17328622">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2.2 甲方及其工作人员不得参加乙方安排的宴请（工作餐除外）和娱乐活动；不得接受乙方提供的通讯工具、交通工具和高档办公用品等。</w:t>
      </w:r>
    </w:p>
    <w:p w14:paraId="538C9CB0">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2.3 甲方及其工作人员不得要求或者接受乙方为其住房装修、婚丧嫁娶活动、配偶子女的工作安排以及出国出境、旅游等提供方便等。</w:t>
      </w:r>
    </w:p>
    <w:p w14:paraId="4E97ADCD">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2.4 不准向乙方介绍配偶、子女、亲属参与与甲方有关的经济活动，不得以任何理由向乙方和相关单位推荐第三方单位。</w:t>
      </w:r>
    </w:p>
    <w:p w14:paraId="6F1C2DA2">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2.5 </w:t>
      </w:r>
      <w:r>
        <w:rPr>
          <w:rFonts w:hint="eastAsia" w:asciiTheme="minorEastAsia" w:hAnsiTheme="minorEastAsia" w:eastAsiaTheme="minorEastAsia" w:cstheme="minorEastAsia"/>
          <w:color w:val="auto"/>
          <w:sz w:val="28"/>
          <w:szCs w:val="28"/>
          <w:highlight w:val="none"/>
          <w:lang w:val="zh-CN"/>
        </w:rPr>
        <w:t>甲方及其工作人员要秉公办事，不准营私舞弊，不准利用职权私自为合同工作安排承包人员，也不得从事与合同有关的各种有偿中介活动</w:t>
      </w:r>
      <w:r>
        <w:rPr>
          <w:rFonts w:hint="eastAsia" w:asciiTheme="minorEastAsia" w:hAnsiTheme="minorEastAsia" w:eastAsiaTheme="minorEastAsia" w:cstheme="minorEastAsia"/>
          <w:color w:val="auto"/>
          <w:sz w:val="28"/>
          <w:szCs w:val="28"/>
          <w:highlight w:val="none"/>
        </w:rPr>
        <w:t>。</w:t>
      </w:r>
    </w:p>
    <w:p w14:paraId="15F13167">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2.6 不准参与影响相关工作正常和公正开展的其他活动。</w:t>
      </w:r>
    </w:p>
    <w:p w14:paraId="1DAB2D1A">
      <w:pPr>
        <w:spacing w:line="360" w:lineRule="auto"/>
        <w:rPr>
          <w:rFonts w:asciiTheme="minorEastAsia" w:hAnsiTheme="minorEastAsia" w:eastAsiaTheme="minorEastAsia" w:cstheme="minorEastAsia"/>
          <w:b/>
          <w:bCs/>
          <w:color w:val="auto"/>
          <w:sz w:val="28"/>
          <w:szCs w:val="28"/>
          <w:highlight w:val="none"/>
        </w:rPr>
      </w:pPr>
      <w:bookmarkStart w:id="2" w:name="_Toc14380"/>
      <w:r>
        <w:rPr>
          <w:rFonts w:hint="eastAsia" w:asciiTheme="minorEastAsia" w:hAnsiTheme="minorEastAsia" w:eastAsiaTheme="minorEastAsia" w:cstheme="minorEastAsia"/>
          <w:b/>
          <w:bCs/>
          <w:color w:val="auto"/>
          <w:sz w:val="28"/>
          <w:szCs w:val="28"/>
          <w:highlight w:val="none"/>
        </w:rPr>
        <w:t>三、乙方义务</w:t>
      </w:r>
      <w:bookmarkEnd w:id="2"/>
    </w:p>
    <w:p w14:paraId="64F97E3F">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 乙方不得以任何理由向甲方及其工作人员行贿或馈赠礼金、有价证券、贵重礼品。</w:t>
      </w:r>
    </w:p>
    <w:p w14:paraId="68D6A736">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 乙方不得以任何名义为甲方及其工作人员报销应由甲方或工作人员个人支付的任何费用。</w:t>
      </w:r>
    </w:p>
    <w:p w14:paraId="10CAE5E3">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 乙方不得以任何理由安排甲方及其工作人员参加宴请（工作餐除外）及娱乐活动。</w:t>
      </w:r>
    </w:p>
    <w:p w14:paraId="627ECAEB">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 乙方不得为甲方和个人购置或提供通讯工具、交通工具和高档办公用品等。</w:t>
      </w:r>
    </w:p>
    <w:p w14:paraId="56ED347B">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3.5 </w:t>
      </w:r>
      <w:r>
        <w:rPr>
          <w:rFonts w:hint="eastAsia" w:asciiTheme="minorEastAsia" w:hAnsiTheme="minorEastAsia" w:eastAsiaTheme="minorEastAsia" w:cstheme="minorEastAsia"/>
          <w:color w:val="auto"/>
          <w:sz w:val="28"/>
          <w:szCs w:val="28"/>
          <w:highlight w:val="none"/>
          <w:lang w:val="zh-CN"/>
        </w:rPr>
        <w:t>乙方不得为甲方及其工作人员的住房装修、婚丧嫁娶活动、配偶子女工作安排以及出国出境、旅游等提供方便。</w:t>
      </w:r>
    </w:p>
    <w:p w14:paraId="415DB130">
      <w:pPr>
        <w:spacing w:line="360" w:lineRule="auto"/>
        <w:rPr>
          <w:rFonts w:asciiTheme="minorEastAsia" w:hAnsiTheme="minorEastAsia" w:eastAsiaTheme="minorEastAsia" w:cstheme="minorEastAsia"/>
          <w:b/>
          <w:bCs/>
          <w:color w:val="auto"/>
          <w:sz w:val="28"/>
          <w:szCs w:val="28"/>
          <w:highlight w:val="none"/>
        </w:rPr>
      </w:pPr>
      <w:bookmarkStart w:id="3" w:name="_Toc8886"/>
      <w:r>
        <w:rPr>
          <w:rFonts w:hint="eastAsia" w:asciiTheme="minorEastAsia" w:hAnsiTheme="minorEastAsia" w:eastAsiaTheme="minorEastAsia" w:cstheme="minorEastAsia"/>
          <w:b/>
          <w:bCs/>
          <w:color w:val="auto"/>
          <w:sz w:val="28"/>
          <w:szCs w:val="28"/>
          <w:highlight w:val="none"/>
        </w:rPr>
        <w:t>四、违约责任</w:t>
      </w:r>
      <w:bookmarkEnd w:id="3"/>
    </w:p>
    <w:p w14:paraId="086D673D">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4.1 甲方及其工作人员违反本合同第一条和第二条约定，应依据有关规定给予廉政建设规定的处分；涉嫌犯罪的，移交司法机关追究刑事责任；给乙方造成经济损失的，应予赔偿。</w:t>
      </w:r>
    </w:p>
    <w:p w14:paraId="5C5D1D26">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4.2 </w:t>
      </w:r>
      <w:r>
        <w:rPr>
          <w:rFonts w:hint="eastAsia" w:asciiTheme="minorEastAsia" w:hAnsiTheme="minorEastAsia" w:eastAsiaTheme="minorEastAsia" w:cstheme="minorEastAsia"/>
          <w:color w:val="auto"/>
          <w:sz w:val="28"/>
          <w:szCs w:val="28"/>
          <w:highlight w:val="none"/>
          <w:lang w:val="zh-CN"/>
        </w:rPr>
        <w:t>乙方及其工作人员违反本合同第</w:t>
      </w:r>
      <w:r>
        <w:rPr>
          <w:rFonts w:hint="eastAsia" w:asciiTheme="minorEastAsia" w:hAnsiTheme="minorEastAsia" w:eastAsia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lang w:val="zh-CN"/>
        </w:rPr>
        <w:t>条和第</w:t>
      </w:r>
      <w:r>
        <w:rPr>
          <w:rFonts w:hint="eastAsia" w:asciiTheme="minorEastAsia" w:hAnsiTheme="minorEastAsia" w:eastAsiaTheme="minorEastAsia" w:cstheme="minorEastAsia"/>
          <w:color w:val="auto"/>
          <w:sz w:val="28"/>
          <w:szCs w:val="28"/>
          <w:highlight w:val="none"/>
        </w:rPr>
        <w:t>三</w:t>
      </w:r>
      <w:r>
        <w:rPr>
          <w:rFonts w:hint="eastAsia" w:asciiTheme="minorEastAsia" w:hAnsiTheme="minorEastAsia" w:eastAsiaTheme="minorEastAsia" w:cstheme="minorEastAsia"/>
          <w:color w:val="auto"/>
          <w:sz w:val="28"/>
          <w:szCs w:val="28"/>
          <w:highlight w:val="none"/>
          <w:lang w:val="zh-CN"/>
        </w:rPr>
        <w:t>条约定，应按照廉政建设的有关规定给予处分；涉嫌犯罪的，移交司法机关追究刑事责任；给甲方造成损失的，应予赔偿。</w:t>
      </w:r>
    </w:p>
    <w:p w14:paraId="0FC2BE2D">
      <w:pPr>
        <w:spacing w:line="360" w:lineRule="auto"/>
        <w:rPr>
          <w:rFonts w:asciiTheme="minorEastAsia" w:hAnsiTheme="minorEastAsia" w:eastAsiaTheme="minorEastAsia" w:cstheme="minorEastAsia"/>
          <w:b/>
          <w:bCs/>
          <w:color w:val="auto"/>
          <w:sz w:val="28"/>
          <w:szCs w:val="28"/>
          <w:highlight w:val="none"/>
        </w:rPr>
      </w:pPr>
      <w:bookmarkStart w:id="4" w:name="_Toc20236"/>
      <w:r>
        <w:rPr>
          <w:rFonts w:hint="eastAsia" w:asciiTheme="minorEastAsia" w:hAnsiTheme="minorEastAsia" w:eastAsiaTheme="minorEastAsia" w:cstheme="minorEastAsia"/>
          <w:b/>
          <w:bCs/>
          <w:color w:val="auto"/>
          <w:sz w:val="28"/>
          <w:szCs w:val="28"/>
          <w:highlight w:val="none"/>
        </w:rPr>
        <w:t>五、双方约定</w:t>
      </w:r>
      <w:bookmarkEnd w:id="4"/>
    </w:p>
    <w:p w14:paraId="32AF39D8">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本合同由合同双方当事人或其主管部门负责监督执行</w:t>
      </w:r>
      <w:r>
        <w:rPr>
          <w:rFonts w:hint="eastAsia" w:asciiTheme="minorEastAsia" w:hAnsiTheme="minorEastAsia" w:eastAsiaTheme="minorEastAsia" w:cstheme="minorEastAsia"/>
          <w:color w:val="auto"/>
          <w:sz w:val="28"/>
          <w:szCs w:val="28"/>
          <w:highlight w:val="none"/>
        </w:rPr>
        <w:t>。</w:t>
      </w:r>
    </w:p>
    <w:p w14:paraId="641230D2">
      <w:pPr>
        <w:spacing w:line="360" w:lineRule="auto"/>
        <w:rPr>
          <w:rFonts w:asciiTheme="minorEastAsia" w:hAnsiTheme="minorEastAsia" w:eastAsiaTheme="minorEastAsia" w:cstheme="minorEastAsia"/>
          <w:b/>
          <w:bCs/>
          <w:color w:val="auto"/>
          <w:sz w:val="28"/>
          <w:szCs w:val="28"/>
          <w:highlight w:val="none"/>
        </w:rPr>
      </w:pPr>
      <w:bookmarkStart w:id="5" w:name="_Toc18718"/>
      <w:r>
        <w:rPr>
          <w:rFonts w:hint="eastAsia" w:asciiTheme="minorEastAsia" w:hAnsiTheme="minorEastAsia" w:eastAsiaTheme="minorEastAsia" w:cstheme="minorEastAsia"/>
          <w:b/>
          <w:bCs/>
          <w:color w:val="auto"/>
          <w:sz w:val="28"/>
          <w:szCs w:val="28"/>
          <w:highlight w:val="none"/>
        </w:rPr>
        <w:t>六、合同法律效力</w:t>
      </w:r>
      <w:bookmarkEnd w:id="5"/>
    </w:p>
    <w:p w14:paraId="20252210">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本合同作为</w:t>
      </w:r>
      <w:r>
        <w:rPr>
          <w:rFonts w:hint="eastAsia" w:ascii="宋体" w:hAnsi="宋体" w:cs="宋体"/>
          <w:color w:val="auto"/>
          <w:sz w:val="28"/>
          <w:szCs w:val="28"/>
          <w:highlight w:val="none"/>
          <w:u w:val="single"/>
        </w:rPr>
        <w:t>萝岗和苑配售型保障性住房房屋品质</w:t>
      </w:r>
      <w:r>
        <w:rPr>
          <w:rFonts w:hint="eastAsia" w:ascii="宋体" w:hAnsi="宋体" w:cs="宋体"/>
          <w:color w:val="auto"/>
          <w:sz w:val="28"/>
          <w:szCs w:val="28"/>
          <w:highlight w:val="none"/>
          <w:u w:val="single"/>
          <w:lang w:eastAsia="zh-CN"/>
        </w:rPr>
        <w:t>提升承包</w:t>
      </w:r>
      <w:r>
        <w:rPr>
          <w:rFonts w:hint="eastAsia" w:ascii="宋体" w:hAnsi="宋体" w:cs="宋体"/>
          <w:color w:val="auto"/>
          <w:sz w:val="28"/>
          <w:szCs w:val="28"/>
          <w:highlight w:val="none"/>
          <w:u w:val="single"/>
        </w:rPr>
        <w:t>合同</w:t>
      </w:r>
      <w:r>
        <w:rPr>
          <w:rFonts w:hint="eastAsia" w:asciiTheme="minorEastAsia" w:hAnsiTheme="minorEastAsia" w:eastAsiaTheme="minorEastAsia" w:cstheme="minorEastAsia"/>
          <w:color w:val="auto"/>
          <w:sz w:val="28"/>
          <w:szCs w:val="28"/>
          <w:highlight w:val="none"/>
        </w:rPr>
        <w:t>的附件，与主合同具有同等的法律效力。</w:t>
      </w:r>
    </w:p>
    <w:p w14:paraId="27C27AB7">
      <w:pPr>
        <w:spacing w:line="360" w:lineRule="auto"/>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七、合同份数</w:t>
      </w:r>
    </w:p>
    <w:p w14:paraId="6E261F77">
      <w:pPr>
        <w:tabs>
          <w:tab w:val="center" w:pos="4153"/>
        </w:tabs>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本合同</w:t>
      </w:r>
      <w:r>
        <w:rPr>
          <w:rFonts w:hint="eastAsia" w:ascii="宋体" w:hAnsi="宋体" w:cs="宋体"/>
          <w:color w:val="auto"/>
          <w:sz w:val="28"/>
          <w:szCs w:val="28"/>
          <w:highlight w:val="none"/>
        </w:rPr>
        <w:t>一式</w:t>
      </w:r>
      <w:r>
        <w:rPr>
          <w:rFonts w:hint="eastAsia" w:ascii="宋体" w:hAnsi="宋体" w:cs="宋体"/>
          <w:bCs/>
          <w:snapToGrid w:val="0"/>
          <w:color w:val="auto"/>
          <w:kern w:val="0"/>
          <w:sz w:val="28"/>
          <w:szCs w:val="28"/>
          <w:highlight w:val="none"/>
          <w:u w:val="single"/>
        </w:rPr>
        <w:t>捌</w:t>
      </w:r>
      <w:r>
        <w:rPr>
          <w:rFonts w:hint="eastAsia" w:ascii="宋体" w:hAnsi="宋体" w:cs="宋体"/>
          <w:color w:val="auto"/>
          <w:sz w:val="28"/>
          <w:szCs w:val="28"/>
          <w:highlight w:val="none"/>
        </w:rPr>
        <w:t>份，甲、乙双方各执</w:t>
      </w:r>
      <w:r>
        <w:rPr>
          <w:rFonts w:hint="eastAsia" w:ascii="宋体" w:hAnsi="宋体" w:cs="宋体"/>
          <w:bCs/>
          <w:snapToGrid w:val="0"/>
          <w:color w:val="auto"/>
          <w:kern w:val="0"/>
          <w:sz w:val="28"/>
          <w:szCs w:val="28"/>
          <w:highlight w:val="none"/>
          <w:u w:val="single"/>
        </w:rPr>
        <w:t>肆</w:t>
      </w:r>
      <w:r>
        <w:rPr>
          <w:rFonts w:hint="eastAsia" w:ascii="宋体" w:hAnsi="宋体" w:cs="宋体"/>
          <w:color w:val="auto"/>
          <w:sz w:val="28"/>
          <w:szCs w:val="28"/>
          <w:highlight w:val="none"/>
        </w:rPr>
        <w:t>份</w:t>
      </w:r>
      <w:r>
        <w:rPr>
          <w:rFonts w:hint="eastAsia" w:asciiTheme="minorEastAsia" w:hAnsiTheme="minorEastAsia" w:eastAsiaTheme="minorEastAsia" w:cstheme="minorEastAsia"/>
          <w:color w:val="auto"/>
          <w:sz w:val="28"/>
          <w:szCs w:val="28"/>
          <w:highlight w:val="none"/>
        </w:rPr>
        <w:t>，均具有同等法律效力。</w:t>
      </w:r>
    </w:p>
    <w:p w14:paraId="4533AEBF">
      <w:pPr>
        <w:tabs>
          <w:tab w:val="center" w:pos="4153"/>
        </w:tabs>
        <w:spacing w:line="360" w:lineRule="auto"/>
        <w:ind w:firstLine="560" w:firstLineChars="200"/>
        <w:rPr>
          <w:rFonts w:ascii="宋体" w:hAnsi="宋体" w:cs="宋体"/>
          <w:color w:val="auto"/>
          <w:sz w:val="28"/>
          <w:szCs w:val="28"/>
          <w:highlight w:val="none"/>
        </w:rPr>
      </w:pPr>
    </w:p>
    <w:p w14:paraId="3CF34F06">
      <w:pPr>
        <w:spacing w:line="360" w:lineRule="auto"/>
        <w:rPr>
          <w:rFonts w:ascii="宋体" w:hAnsi="宋体" w:cs="宋体"/>
          <w:color w:val="auto"/>
          <w:sz w:val="28"/>
          <w:szCs w:val="28"/>
          <w:highlight w:val="none"/>
        </w:rPr>
      </w:pPr>
    </w:p>
    <w:p w14:paraId="00DCD652">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甲      方：（公章）                        乙      方：（公章）</w:t>
      </w:r>
    </w:p>
    <w:p w14:paraId="3CAD0331">
      <w:pPr>
        <w:spacing w:line="360" w:lineRule="auto"/>
        <w:rPr>
          <w:rFonts w:ascii="宋体" w:hAnsi="宋体" w:cs="宋体"/>
          <w:color w:val="auto"/>
          <w:sz w:val="28"/>
          <w:szCs w:val="28"/>
          <w:highlight w:val="none"/>
        </w:rPr>
      </w:pPr>
    </w:p>
    <w:p w14:paraId="33660905">
      <w:pPr>
        <w:spacing w:line="360" w:lineRule="auto"/>
        <w:rPr>
          <w:rFonts w:ascii="宋体" w:hAnsi="宋体" w:cs="宋体"/>
          <w:color w:val="auto"/>
          <w:sz w:val="28"/>
          <w:szCs w:val="28"/>
          <w:highlight w:val="none"/>
        </w:rPr>
      </w:pPr>
    </w:p>
    <w:p w14:paraId="1317D4E4">
      <w:pPr>
        <w:tabs>
          <w:tab w:val="left" w:pos="4320"/>
          <w:tab w:val="left" w:pos="6195"/>
        </w:tabs>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签订日期：2024年   月  日</w:t>
      </w:r>
    </w:p>
    <w:p w14:paraId="6235860A">
      <w:pPr>
        <w:pStyle w:val="54"/>
        <w:rPr>
          <w:rFonts w:ascii="宋体" w:hAnsi="宋体" w:cs="宋体"/>
          <w:color w:val="auto"/>
          <w:sz w:val="28"/>
          <w:szCs w:val="28"/>
          <w:highlight w:val="none"/>
        </w:rPr>
      </w:pPr>
    </w:p>
    <w:p w14:paraId="4F9CDEBC">
      <w:pPr>
        <w:pStyle w:val="54"/>
        <w:jc w:val="both"/>
        <w:rPr>
          <w:rFonts w:ascii="宋体" w:hAnsi="宋体" w:cs="宋体"/>
          <w:color w:val="auto"/>
          <w:sz w:val="28"/>
          <w:szCs w:val="28"/>
          <w:highlight w:val="none"/>
        </w:rPr>
        <w:sectPr>
          <w:headerReference r:id="rId3" w:type="first"/>
          <w:footerReference r:id="rId6" w:type="first"/>
          <w:footerReference r:id="rId4" w:type="default"/>
          <w:footerReference r:id="rId5" w:type="even"/>
          <w:pgSz w:w="11906" w:h="16838"/>
          <w:pgMar w:top="1418" w:right="1417" w:bottom="1418" w:left="1417" w:header="850" w:footer="850" w:gutter="0"/>
          <w:cols w:space="720" w:num="1"/>
          <w:titlePg/>
          <w:docGrid w:type="lines" w:linePitch="312" w:charSpace="0"/>
        </w:sectPr>
      </w:pPr>
    </w:p>
    <w:p w14:paraId="538BB2E1">
      <w:pPr>
        <w:pStyle w:val="54"/>
        <w:jc w:val="both"/>
        <w:rPr>
          <w:rFonts w:ascii="宋体" w:hAnsi="宋体" w:cs="宋体"/>
          <w:color w:val="auto"/>
          <w:sz w:val="28"/>
          <w:szCs w:val="28"/>
          <w:highlight w:val="none"/>
        </w:rPr>
      </w:pPr>
      <w:r>
        <w:rPr>
          <w:rFonts w:hint="eastAsia" w:ascii="宋体" w:hAnsi="宋体" w:cs="宋体"/>
          <w:color w:val="auto"/>
          <w:sz w:val="28"/>
          <w:szCs w:val="28"/>
          <w:highlight w:val="none"/>
        </w:rPr>
        <w:t>附件3：投标清单</w:t>
      </w:r>
    </w:p>
    <w:p w14:paraId="62DCA3D4">
      <w:pPr>
        <w:pStyle w:val="9"/>
        <w:ind w:firstLine="0"/>
        <w:rPr>
          <w:rFonts w:ascii="宋体" w:hAnsi="宋体" w:eastAsia="宋体" w:cs="宋体"/>
          <w:color w:val="auto"/>
          <w:sz w:val="28"/>
          <w:szCs w:val="28"/>
          <w:highlight w:val="none"/>
        </w:rPr>
      </w:pPr>
    </w:p>
    <w:bookmarkEnd w:id="6"/>
    <w:sectPr>
      <w:pgSz w:w="16838" w:h="11906" w:orient="landscape"/>
      <w:pgMar w:top="1417" w:right="1418" w:bottom="1417" w:left="1418" w:header="85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仿宋体">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312066"/>
    </w:sdtPr>
    <w:sdtContent>
      <w:p w14:paraId="2AACF6C3">
        <w:pPr>
          <w:pStyle w:val="29"/>
          <w:jc w:val="center"/>
        </w:pPr>
        <w:r>
          <w:fldChar w:fldCharType="begin"/>
        </w:r>
        <w:r>
          <w:instrText xml:space="preserve">PAGE   \* MERGEFORMAT</w:instrText>
        </w:r>
        <w:r>
          <w:fldChar w:fldCharType="separate"/>
        </w:r>
        <w:r>
          <w:rPr>
            <w:lang w:val="zh-CN"/>
          </w:rPr>
          <w:t>7</w:t>
        </w:r>
        <w:r>
          <w:fldChar w:fldCharType="end"/>
        </w:r>
      </w:p>
    </w:sdtContent>
  </w:sdt>
  <w:p w14:paraId="2E0C130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6EA3">
    <w:pPr>
      <w:pStyle w:val="29"/>
      <w:framePr w:wrap="around" w:vAnchor="text" w:hAnchor="margin" w:xAlign="center" w:y="1"/>
      <w:rPr>
        <w:rStyle w:val="49"/>
      </w:rPr>
    </w:pPr>
    <w:r>
      <w:fldChar w:fldCharType="begin"/>
    </w:r>
    <w:r>
      <w:rPr>
        <w:rStyle w:val="49"/>
      </w:rPr>
      <w:instrText xml:space="preserve">PAGE  </w:instrText>
    </w:r>
    <w:r>
      <w:fldChar w:fldCharType="end"/>
    </w:r>
  </w:p>
  <w:p w14:paraId="764198F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20446"/>
    </w:sdtPr>
    <w:sdtContent>
      <w:p w14:paraId="06D0BA95">
        <w:pPr>
          <w:pStyle w:val="29"/>
          <w:jc w:val="center"/>
        </w:pPr>
        <w:r>
          <w:fldChar w:fldCharType="begin"/>
        </w:r>
        <w:r>
          <w:instrText xml:space="preserve">PAGE   \* MERGEFORMAT</w:instrText>
        </w:r>
        <w:r>
          <w:fldChar w:fldCharType="separate"/>
        </w:r>
        <w:r>
          <w:rPr>
            <w:lang w:val="zh-CN"/>
          </w:rPr>
          <w:t>1</w:t>
        </w:r>
        <w:r>
          <w:fldChar w:fldCharType="end"/>
        </w:r>
      </w:p>
    </w:sdtContent>
  </w:sdt>
  <w:p w14:paraId="03D1CC6C">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6C98">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jQ5ZjZmZjEwZTIyZWM5ZDUxYmFkOGM2MzY0ZTYifQ=="/>
    <w:docVar w:name="KSO_WPS_MARK_KEY" w:val="46efb683-2d17-43a0-b424-d7a0579e9e1d"/>
  </w:docVars>
  <w:rsids>
    <w:rsidRoot w:val="00172A27"/>
    <w:rsid w:val="00001CFC"/>
    <w:rsid w:val="00042005"/>
    <w:rsid w:val="000421D6"/>
    <w:rsid w:val="000451E6"/>
    <w:rsid w:val="00060BD6"/>
    <w:rsid w:val="000B2E64"/>
    <w:rsid w:val="000B33D8"/>
    <w:rsid w:val="000B7072"/>
    <w:rsid w:val="000C64F9"/>
    <w:rsid w:val="00112F0B"/>
    <w:rsid w:val="00116020"/>
    <w:rsid w:val="00126AAD"/>
    <w:rsid w:val="00131905"/>
    <w:rsid w:val="00151D41"/>
    <w:rsid w:val="00162D04"/>
    <w:rsid w:val="00164379"/>
    <w:rsid w:val="001660C2"/>
    <w:rsid w:val="001723EA"/>
    <w:rsid w:val="00172A27"/>
    <w:rsid w:val="00174E62"/>
    <w:rsid w:val="00183317"/>
    <w:rsid w:val="001C0E56"/>
    <w:rsid w:val="001D689E"/>
    <w:rsid w:val="001E1EBE"/>
    <w:rsid w:val="001E1FE5"/>
    <w:rsid w:val="001E5B4D"/>
    <w:rsid w:val="001F0F24"/>
    <w:rsid w:val="001F4B9C"/>
    <w:rsid w:val="0020159E"/>
    <w:rsid w:val="00203CD2"/>
    <w:rsid w:val="002121ED"/>
    <w:rsid w:val="002155B8"/>
    <w:rsid w:val="00221D21"/>
    <w:rsid w:val="0022535A"/>
    <w:rsid w:val="0023579D"/>
    <w:rsid w:val="00236AA4"/>
    <w:rsid w:val="00242FF0"/>
    <w:rsid w:val="00264BB8"/>
    <w:rsid w:val="00264C93"/>
    <w:rsid w:val="002802BA"/>
    <w:rsid w:val="002844AD"/>
    <w:rsid w:val="00293188"/>
    <w:rsid w:val="002A7149"/>
    <w:rsid w:val="002A77EC"/>
    <w:rsid w:val="002D6986"/>
    <w:rsid w:val="002E1E15"/>
    <w:rsid w:val="002E2F93"/>
    <w:rsid w:val="002E2FD7"/>
    <w:rsid w:val="00304EB2"/>
    <w:rsid w:val="003105AB"/>
    <w:rsid w:val="00324D64"/>
    <w:rsid w:val="003312F0"/>
    <w:rsid w:val="00355126"/>
    <w:rsid w:val="00356512"/>
    <w:rsid w:val="0036207E"/>
    <w:rsid w:val="00374EC2"/>
    <w:rsid w:val="00384584"/>
    <w:rsid w:val="003C086A"/>
    <w:rsid w:val="003C0B37"/>
    <w:rsid w:val="003C538A"/>
    <w:rsid w:val="003D21DE"/>
    <w:rsid w:val="003E1211"/>
    <w:rsid w:val="003E1CED"/>
    <w:rsid w:val="003F09FE"/>
    <w:rsid w:val="00415EF7"/>
    <w:rsid w:val="0042647C"/>
    <w:rsid w:val="004356D0"/>
    <w:rsid w:val="00436726"/>
    <w:rsid w:val="00447DE3"/>
    <w:rsid w:val="004503AC"/>
    <w:rsid w:val="00456062"/>
    <w:rsid w:val="0047259D"/>
    <w:rsid w:val="00481563"/>
    <w:rsid w:val="00486512"/>
    <w:rsid w:val="00495FF3"/>
    <w:rsid w:val="004D299C"/>
    <w:rsid w:val="004D5C79"/>
    <w:rsid w:val="004F178F"/>
    <w:rsid w:val="00500F8E"/>
    <w:rsid w:val="00501533"/>
    <w:rsid w:val="00510EFC"/>
    <w:rsid w:val="0052629B"/>
    <w:rsid w:val="00555567"/>
    <w:rsid w:val="00557476"/>
    <w:rsid w:val="005605DA"/>
    <w:rsid w:val="005643CD"/>
    <w:rsid w:val="00564A1D"/>
    <w:rsid w:val="0057668E"/>
    <w:rsid w:val="00582BF5"/>
    <w:rsid w:val="005870D1"/>
    <w:rsid w:val="005945C1"/>
    <w:rsid w:val="005D176E"/>
    <w:rsid w:val="005E25C1"/>
    <w:rsid w:val="00601C24"/>
    <w:rsid w:val="00604D4D"/>
    <w:rsid w:val="00615EE2"/>
    <w:rsid w:val="00617AD8"/>
    <w:rsid w:val="00636B48"/>
    <w:rsid w:val="00641778"/>
    <w:rsid w:val="00646129"/>
    <w:rsid w:val="0065021E"/>
    <w:rsid w:val="00655421"/>
    <w:rsid w:val="00657DF6"/>
    <w:rsid w:val="00687CB8"/>
    <w:rsid w:val="006A3FC0"/>
    <w:rsid w:val="006A4FA3"/>
    <w:rsid w:val="006B29FE"/>
    <w:rsid w:val="006B2BF8"/>
    <w:rsid w:val="006D320D"/>
    <w:rsid w:val="006F0406"/>
    <w:rsid w:val="006F3A6C"/>
    <w:rsid w:val="00707485"/>
    <w:rsid w:val="007118C7"/>
    <w:rsid w:val="00732AB0"/>
    <w:rsid w:val="00733B6F"/>
    <w:rsid w:val="0076200B"/>
    <w:rsid w:val="0076731D"/>
    <w:rsid w:val="007713E8"/>
    <w:rsid w:val="007732C1"/>
    <w:rsid w:val="00781885"/>
    <w:rsid w:val="00794451"/>
    <w:rsid w:val="007B5C1C"/>
    <w:rsid w:val="007C10EE"/>
    <w:rsid w:val="007F2B63"/>
    <w:rsid w:val="007F430A"/>
    <w:rsid w:val="007F7C75"/>
    <w:rsid w:val="00806F26"/>
    <w:rsid w:val="00814DB5"/>
    <w:rsid w:val="00823A9E"/>
    <w:rsid w:val="0084140F"/>
    <w:rsid w:val="008475B5"/>
    <w:rsid w:val="0089705F"/>
    <w:rsid w:val="008B327F"/>
    <w:rsid w:val="008C25AE"/>
    <w:rsid w:val="008C297A"/>
    <w:rsid w:val="008C3E5C"/>
    <w:rsid w:val="008D2DF8"/>
    <w:rsid w:val="008E5552"/>
    <w:rsid w:val="008F43E4"/>
    <w:rsid w:val="00900220"/>
    <w:rsid w:val="00902F4B"/>
    <w:rsid w:val="00924174"/>
    <w:rsid w:val="0093013B"/>
    <w:rsid w:val="0093497F"/>
    <w:rsid w:val="00937A9F"/>
    <w:rsid w:val="0095141B"/>
    <w:rsid w:val="00951D61"/>
    <w:rsid w:val="009530CA"/>
    <w:rsid w:val="0095334D"/>
    <w:rsid w:val="009559F5"/>
    <w:rsid w:val="00955A98"/>
    <w:rsid w:val="00966DBC"/>
    <w:rsid w:val="00972F0E"/>
    <w:rsid w:val="00973897"/>
    <w:rsid w:val="00976B9E"/>
    <w:rsid w:val="0099449F"/>
    <w:rsid w:val="009944FA"/>
    <w:rsid w:val="009B34F3"/>
    <w:rsid w:val="009B6605"/>
    <w:rsid w:val="009C182B"/>
    <w:rsid w:val="009D3830"/>
    <w:rsid w:val="009F641B"/>
    <w:rsid w:val="00A07867"/>
    <w:rsid w:val="00A14873"/>
    <w:rsid w:val="00A14AE1"/>
    <w:rsid w:val="00A24813"/>
    <w:rsid w:val="00A33A48"/>
    <w:rsid w:val="00A44F9E"/>
    <w:rsid w:val="00A80AA6"/>
    <w:rsid w:val="00A84469"/>
    <w:rsid w:val="00A86688"/>
    <w:rsid w:val="00A946CB"/>
    <w:rsid w:val="00AB5F4F"/>
    <w:rsid w:val="00AC0946"/>
    <w:rsid w:val="00AD2505"/>
    <w:rsid w:val="00AD25F2"/>
    <w:rsid w:val="00AF5EF2"/>
    <w:rsid w:val="00B01B78"/>
    <w:rsid w:val="00B04086"/>
    <w:rsid w:val="00B17248"/>
    <w:rsid w:val="00B37482"/>
    <w:rsid w:val="00B410B8"/>
    <w:rsid w:val="00B44A28"/>
    <w:rsid w:val="00B50F68"/>
    <w:rsid w:val="00B61C72"/>
    <w:rsid w:val="00B71DAF"/>
    <w:rsid w:val="00BA3D97"/>
    <w:rsid w:val="00BB07DC"/>
    <w:rsid w:val="00BB3B27"/>
    <w:rsid w:val="00BB76A6"/>
    <w:rsid w:val="00BC49C0"/>
    <w:rsid w:val="00BC68B6"/>
    <w:rsid w:val="00BC7EDF"/>
    <w:rsid w:val="00BD1479"/>
    <w:rsid w:val="00BD25D7"/>
    <w:rsid w:val="00BD2AA8"/>
    <w:rsid w:val="00BF1E05"/>
    <w:rsid w:val="00C03AAD"/>
    <w:rsid w:val="00C254A2"/>
    <w:rsid w:val="00C344DC"/>
    <w:rsid w:val="00C40402"/>
    <w:rsid w:val="00C40F06"/>
    <w:rsid w:val="00C424F0"/>
    <w:rsid w:val="00C4343E"/>
    <w:rsid w:val="00C45D0E"/>
    <w:rsid w:val="00C47A91"/>
    <w:rsid w:val="00C502DF"/>
    <w:rsid w:val="00C53312"/>
    <w:rsid w:val="00C62C46"/>
    <w:rsid w:val="00C651BC"/>
    <w:rsid w:val="00C8186A"/>
    <w:rsid w:val="00C832E2"/>
    <w:rsid w:val="00CA0FC6"/>
    <w:rsid w:val="00CB6670"/>
    <w:rsid w:val="00CC5C93"/>
    <w:rsid w:val="00CE00A4"/>
    <w:rsid w:val="00CE69A2"/>
    <w:rsid w:val="00CF3C5A"/>
    <w:rsid w:val="00D2380F"/>
    <w:rsid w:val="00D314B8"/>
    <w:rsid w:val="00D32A06"/>
    <w:rsid w:val="00D51ADF"/>
    <w:rsid w:val="00D71CE3"/>
    <w:rsid w:val="00D863B2"/>
    <w:rsid w:val="00D916C4"/>
    <w:rsid w:val="00DB1578"/>
    <w:rsid w:val="00DB78A1"/>
    <w:rsid w:val="00DC23DF"/>
    <w:rsid w:val="00DD5A10"/>
    <w:rsid w:val="00DD5BCF"/>
    <w:rsid w:val="00DE7181"/>
    <w:rsid w:val="00E078BD"/>
    <w:rsid w:val="00E3220C"/>
    <w:rsid w:val="00E3762F"/>
    <w:rsid w:val="00E43224"/>
    <w:rsid w:val="00E5181E"/>
    <w:rsid w:val="00E72FD3"/>
    <w:rsid w:val="00E87842"/>
    <w:rsid w:val="00EA33D2"/>
    <w:rsid w:val="00EA4B34"/>
    <w:rsid w:val="00EA5747"/>
    <w:rsid w:val="00EA622F"/>
    <w:rsid w:val="00ED0576"/>
    <w:rsid w:val="00ED21E2"/>
    <w:rsid w:val="00ED41D7"/>
    <w:rsid w:val="00F0268A"/>
    <w:rsid w:val="00F10664"/>
    <w:rsid w:val="00F15275"/>
    <w:rsid w:val="00F16ED7"/>
    <w:rsid w:val="00F22170"/>
    <w:rsid w:val="00F25FD2"/>
    <w:rsid w:val="00F51EA6"/>
    <w:rsid w:val="00F560A8"/>
    <w:rsid w:val="00F61793"/>
    <w:rsid w:val="00F625B8"/>
    <w:rsid w:val="00F90E48"/>
    <w:rsid w:val="00F91764"/>
    <w:rsid w:val="00FD2894"/>
    <w:rsid w:val="00FD3108"/>
    <w:rsid w:val="00FD57B0"/>
    <w:rsid w:val="00FD71DA"/>
    <w:rsid w:val="00FF3E62"/>
    <w:rsid w:val="016C68C2"/>
    <w:rsid w:val="01844BCD"/>
    <w:rsid w:val="01FD19A6"/>
    <w:rsid w:val="022F1780"/>
    <w:rsid w:val="02874149"/>
    <w:rsid w:val="0328001C"/>
    <w:rsid w:val="03BB798A"/>
    <w:rsid w:val="040354C1"/>
    <w:rsid w:val="042C2C6A"/>
    <w:rsid w:val="04B36EC3"/>
    <w:rsid w:val="055B6826"/>
    <w:rsid w:val="060C68AF"/>
    <w:rsid w:val="062731ED"/>
    <w:rsid w:val="063536AC"/>
    <w:rsid w:val="066835B3"/>
    <w:rsid w:val="07762167"/>
    <w:rsid w:val="0779764A"/>
    <w:rsid w:val="07DF729B"/>
    <w:rsid w:val="0BA155D2"/>
    <w:rsid w:val="0BF91BEE"/>
    <w:rsid w:val="0C2A7D46"/>
    <w:rsid w:val="0C844309"/>
    <w:rsid w:val="10490767"/>
    <w:rsid w:val="105B16B3"/>
    <w:rsid w:val="107B3F8E"/>
    <w:rsid w:val="130361A6"/>
    <w:rsid w:val="13575F75"/>
    <w:rsid w:val="13EC5FC0"/>
    <w:rsid w:val="17347E93"/>
    <w:rsid w:val="177B4740"/>
    <w:rsid w:val="17F67D59"/>
    <w:rsid w:val="184243B2"/>
    <w:rsid w:val="189B2734"/>
    <w:rsid w:val="1A4C2E4C"/>
    <w:rsid w:val="1AEC1F7F"/>
    <w:rsid w:val="1B9F2ED0"/>
    <w:rsid w:val="1BD23913"/>
    <w:rsid w:val="1C0172A4"/>
    <w:rsid w:val="1C077A20"/>
    <w:rsid w:val="1C8E58D9"/>
    <w:rsid w:val="1D886326"/>
    <w:rsid w:val="1D9C5010"/>
    <w:rsid w:val="1DCD1A65"/>
    <w:rsid w:val="1ECB39FF"/>
    <w:rsid w:val="1EF32518"/>
    <w:rsid w:val="20057C52"/>
    <w:rsid w:val="20122AF3"/>
    <w:rsid w:val="201C198C"/>
    <w:rsid w:val="205817DC"/>
    <w:rsid w:val="20604DE2"/>
    <w:rsid w:val="20691611"/>
    <w:rsid w:val="20AC2D10"/>
    <w:rsid w:val="22202243"/>
    <w:rsid w:val="22291101"/>
    <w:rsid w:val="22E363B0"/>
    <w:rsid w:val="23805A44"/>
    <w:rsid w:val="24392B0D"/>
    <w:rsid w:val="24A7558D"/>
    <w:rsid w:val="24AD52A9"/>
    <w:rsid w:val="24B85556"/>
    <w:rsid w:val="24C147CA"/>
    <w:rsid w:val="24EA2059"/>
    <w:rsid w:val="24EB2D2C"/>
    <w:rsid w:val="25892B78"/>
    <w:rsid w:val="26237793"/>
    <w:rsid w:val="2665408D"/>
    <w:rsid w:val="26A3772B"/>
    <w:rsid w:val="27736336"/>
    <w:rsid w:val="27794C8E"/>
    <w:rsid w:val="2ACB7FE9"/>
    <w:rsid w:val="2AD3179E"/>
    <w:rsid w:val="2BD7615F"/>
    <w:rsid w:val="2D2515EC"/>
    <w:rsid w:val="2DB45249"/>
    <w:rsid w:val="2ECE4187"/>
    <w:rsid w:val="2EE32F4A"/>
    <w:rsid w:val="2F110037"/>
    <w:rsid w:val="2F3D4E71"/>
    <w:rsid w:val="308D2D0D"/>
    <w:rsid w:val="311F1A33"/>
    <w:rsid w:val="320F1D8D"/>
    <w:rsid w:val="32470A3D"/>
    <w:rsid w:val="32866448"/>
    <w:rsid w:val="329A7087"/>
    <w:rsid w:val="32E03EFA"/>
    <w:rsid w:val="34B62216"/>
    <w:rsid w:val="35895609"/>
    <w:rsid w:val="369B4FA8"/>
    <w:rsid w:val="36CE2403"/>
    <w:rsid w:val="371B3AF7"/>
    <w:rsid w:val="377309DB"/>
    <w:rsid w:val="39396782"/>
    <w:rsid w:val="39612F36"/>
    <w:rsid w:val="39AC4F67"/>
    <w:rsid w:val="3DDC5C8C"/>
    <w:rsid w:val="3E1D0142"/>
    <w:rsid w:val="3EBA5B5B"/>
    <w:rsid w:val="3F23643C"/>
    <w:rsid w:val="3F4F66F2"/>
    <w:rsid w:val="3F614664"/>
    <w:rsid w:val="414B3632"/>
    <w:rsid w:val="42095AB3"/>
    <w:rsid w:val="432C74FF"/>
    <w:rsid w:val="43887208"/>
    <w:rsid w:val="43B24BA9"/>
    <w:rsid w:val="44136CD9"/>
    <w:rsid w:val="45260C21"/>
    <w:rsid w:val="45732442"/>
    <w:rsid w:val="45C97F53"/>
    <w:rsid w:val="471442C3"/>
    <w:rsid w:val="477F26A4"/>
    <w:rsid w:val="48A028AB"/>
    <w:rsid w:val="48AD77F6"/>
    <w:rsid w:val="4A104CDF"/>
    <w:rsid w:val="4AD31FF5"/>
    <w:rsid w:val="4B42355B"/>
    <w:rsid w:val="4B57372D"/>
    <w:rsid w:val="4BAB4049"/>
    <w:rsid w:val="4BED17FE"/>
    <w:rsid w:val="4E422A08"/>
    <w:rsid w:val="4E840858"/>
    <w:rsid w:val="4EAA4680"/>
    <w:rsid w:val="4F3A5782"/>
    <w:rsid w:val="4F406E3C"/>
    <w:rsid w:val="5001701C"/>
    <w:rsid w:val="505405E4"/>
    <w:rsid w:val="50D8314E"/>
    <w:rsid w:val="5192016C"/>
    <w:rsid w:val="51934F71"/>
    <w:rsid w:val="5252288B"/>
    <w:rsid w:val="53A30A94"/>
    <w:rsid w:val="53F97C67"/>
    <w:rsid w:val="54144DB5"/>
    <w:rsid w:val="54B04BDA"/>
    <w:rsid w:val="55482300"/>
    <w:rsid w:val="556B6102"/>
    <w:rsid w:val="56B2049C"/>
    <w:rsid w:val="56BF26E6"/>
    <w:rsid w:val="58AB7E49"/>
    <w:rsid w:val="58AF74C6"/>
    <w:rsid w:val="591E1664"/>
    <w:rsid w:val="594F78C4"/>
    <w:rsid w:val="59FB6372"/>
    <w:rsid w:val="5B0504AA"/>
    <w:rsid w:val="5B307415"/>
    <w:rsid w:val="5B4453A6"/>
    <w:rsid w:val="5CA53381"/>
    <w:rsid w:val="5CFD79F1"/>
    <w:rsid w:val="5D3141D8"/>
    <w:rsid w:val="5D661D96"/>
    <w:rsid w:val="5D7A62D6"/>
    <w:rsid w:val="5E4F3B07"/>
    <w:rsid w:val="5EDF6834"/>
    <w:rsid w:val="5FA25906"/>
    <w:rsid w:val="60E57677"/>
    <w:rsid w:val="614F0957"/>
    <w:rsid w:val="61E62E34"/>
    <w:rsid w:val="620C212C"/>
    <w:rsid w:val="622D603F"/>
    <w:rsid w:val="62B31701"/>
    <w:rsid w:val="62C87F5B"/>
    <w:rsid w:val="63B81B07"/>
    <w:rsid w:val="669D7279"/>
    <w:rsid w:val="66F55B14"/>
    <w:rsid w:val="68EC1898"/>
    <w:rsid w:val="69A522F9"/>
    <w:rsid w:val="69B042AA"/>
    <w:rsid w:val="69E04587"/>
    <w:rsid w:val="6A8F7E36"/>
    <w:rsid w:val="6A9E67A6"/>
    <w:rsid w:val="6B150C44"/>
    <w:rsid w:val="6B172858"/>
    <w:rsid w:val="6BAB6680"/>
    <w:rsid w:val="6C720CEF"/>
    <w:rsid w:val="6C9001EE"/>
    <w:rsid w:val="6E1B6578"/>
    <w:rsid w:val="6F2E0918"/>
    <w:rsid w:val="6F4A36EA"/>
    <w:rsid w:val="6FC91759"/>
    <w:rsid w:val="71106929"/>
    <w:rsid w:val="71314169"/>
    <w:rsid w:val="7232342B"/>
    <w:rsid w:val="72B602D2"/>
    <w:rsid w:val="730B3DB7"/>
    <w:rsid w:val="73420365"/>
    <w:rsid w:val="73E62AF2"/>
    <w:rsid w:val="74E90D19"/>
    <w:rsid w:val="752639AB"/>
    <w:rsid w:val="76197675"/>
    <w:rsid w:val="769D6E02"/>
    <w:rsid w:val="771E28FC"/>
    <w:rsid w:val="77BE63B0"/>
    <w:rsid w:val="781B273D"/>
    <w:rsid w:val="79846494"/>
    <w:rsid w:val="7A1A5E91"/>
    <w:rsid w:val="7A7B26AD"/>
    <w:rsid w:val="7A975A48"/>
    <w:rsid w:val="7AD16B1B"/>
    <w:rsid w:val="7B1E2FDF"/>
    <w:rsid w:val="7C8119BC"/>
    <w:rsid w:val="7D014C8A"/>
    <w:rsid w:val="7D344329"/>
    <w:rsid w:val="7D3F3542"/>
    <w:rsid w:val="7EE37AF9"/>
    <w:rsid w:val="7F0F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nhideWhenUsed="0"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8"/>
    <w:qFormat/>
    <w:uiPriority w:val="0"/>
    <w:pPr>
      <w:keepNext/>
      <w:keepLines/>
      <w:spacing w:before="260" w:after="260" w:line="416" w:lineRule="auto"/>
      <w:outlineLvl w:val="2"/>
    </w:pPr>
    <w:rPr>
      <w:b/>
      <w:bCs/>
      <w:sz w:val="32"/>
      <w:szCs w:val="32"/>
    </w:rPr>
  </w:style>
  <w:style w:type="paragraph" w:styleId="8">
    <w:name w:val="heading 4"/>
    <w:basedOn w:val="7"/>
    <w:next w:val="9"/>
    <w:link w:val="60"/>
    <w:qFormat/>
    <w:uiPriority w:val="0"/>
    <w:pPr>
      <w:tabs>
        <w:tab w:val="left" w:pos="2760"/>
      </w:tabs>
      <w:spacing w:beforeLines="50" w:afterLines="50" w:line="360" w:lineRule="auto"/>
      <w:ind w:left="2760" w:hanging="420"/>
      <w:jc w:val="center"/>
      <w:outlineLvl w:val="3"/>
    </w:pPr>
    <w:rPr>
      <w:rFonts w:ascii="Arial" w:hAnsi="Arial"/>
      <w:b w:val="0"/>
      <w:bCs w:val="0"/>
      <w:sz w:val="24"/>
      <w:szCs w:val="24"/>
    </w:rPr>
  </w:style>
  <w:style w:type="paragraph" w:styleId="10">
    <w:name w:val="heading 5"/>
    <w:basedOn w:val="8"/>
    <w:next w:val="9"/>
    <w:link w:val="61"/>
    <w:qFormat/>
    <w:uiPriority w:val="0"/>
    <w:pPr>
      <w:tabs>
        <w:tab w:val="left" w:pos="3180"/>
      </w:tabs>
      <w:spacing w:line="240" w:lineRule="exact"/>
      <w:outlineLvl w:val="4"/>
    </w:pPr>
  </w:style>
  <w:style w:type="paragraph" w:styleId="11">
    <w:name w:val="heading 6"/>
    <w:basedOn w:val="1"/>
    <w:next w:val="1"/>
    <w:link w:val="62"/>
    <w:qFormat/>
    <w:uiPriority w:val="0"/>
    <w:pPr>
      <w:keepNext/>
      <w:keepLines/>
      <w:tabs>
        <w:tab w:val="left" w:pos="3357"/>
      </w:tabs>
      <w:spacing w:before="240" w:after="64" w:line="320" w:lineRule="auto"/>
      <w:ind w:left="3357" w:hanging="420"/>
      <w:outlineLvl w:val="5"/>
    </w:pPr>
    <w:rPr>
      <w:rFonts w:ascii="Arial" w:hAnsi="Arial" w:eastAsia="黑体"/>
      <w:b/>
      <w:bCs/>
      <w:sz w:val="24"/>
    </w:rPr>
  </w:style>
  <w:style w:type="paragraph" w:styleId="12">
    <w:name w:val="heading 7"/>
    <w:basedOn w:val="1"/>
    <w:next w:val="9"/>
    <w:link w:val="63"/>
    <w:qFormat/>
    <w:uiPriority w:val="0"/>
    <w:pPr>
      <w:keepNext/>
      <w:keepLines/>
      <w:tabs>
        <w:tab w:val="left" w:pos="4020"/>
      </w:tabs>
      <w:spacing w:before="240" w:after="64" w:line="320" w:lineRule="auto"/>
      <w:ind w:left="4020" w:hanging="420"/>
      <w:outlineLvl w:val="6"/>
    </w:pPr>
    <w:rPr>
      <w:b/>
      <w:sz w:val="24"/>
      <w:szCs w:val="20"/>
    </w:rPr>
  </w:style>
  <w:style w:type="paragraph" w:styleId="13">
    <w:name w:val="heading 8"/>
    <w:basedOn w:val="1"/>
    <w:next w:val="9"/>
    <w:link w:val="64"/>
    <w:qFormat/>
    <w:uiPriority w:val="0"/>
    <w:pPr>
      <w:keepNext/>
      <w:keepLines/>
      <w:tabs>
        <w:tab w:val="left" w:pos="4440"/>
      </w:tabs>
      <w:spacing w:before="240" w:after="64" w:line="320" w:lineRule="auto"/>
      <w:ind w:left="4440" w:hanging="420"/>
      <w:outlineLvl w:val="7"/>
    </w:pPr>
    <w:rPr>
      <w:rFonts w:ascii="Arial" w:hAnsi="Arial" w:eastAsia="黑体"/>
      <w:sz w:val="24"/>
      <w:szCs w:val="20"/>
    </w:rPr>
  </w:style>
  <w:style w:type="paragraph" w:styleId="14">
    <w:name w:val="heading 9"/>
    <w:basedOn w:val="1"/>
    <w:next w:val="9"/>
    <w:link w:val="65"/>
    <w:qFormat/>
    <w:uiPriority w:val="0"/>
    <w:pPr>
      <w:keepNext/>
      <w:keepLines/>
      <w:tabs>
        <w:tab w:val="left" w:pos="4860"/>
      </w:tabs>
      <w:spacing w:before="240" w:after="64" w:line="320" w:lineRule="auto"/>
      <w:ind w:left="4860" w:hanging="420"/>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spacing w:after="120" w:line="240" w:lineRule="auto"/>
      <w:ind w:left="420" w:leftChars="200" w:firstLine="420" w:firstLineChars="200"/>
      <w:jc w:val="both"/>
    </w:pPr>
    <w:rPr>
      <w:rFonts w:ascii="Times New Roman" w:hAnsi="Times New Roman" w:eastAsia="仿宋_GB2312"/>
      <w:color w:val="auto"/>
      <w:kern w:val="2"/>
      <w:sz w:val="32"/>
      <w:szCs w:val="32"/>
    </w:rPr>
  </w:style>
  <w:style w:type="paragraph" w:styleId="3">
    <w:name w:val="Body Text Indent"/>
    <w:basedOn w:val="1"/>
    <w:next w:val="4"/>
    <w:link w:val="70"/>
    <w:qFormat/>
    <w:uiPriority w:val="0"/>
    <w:pPr>
      <w:ind w:firstLine="795"/>
    </w:pPr>
    <w:rPr>
      <w:rFonts w:asciiTheme="minorHAnsi" w:hAnsiTheme="minorHAnsi" w:cstheme="minorBidi"/>
      <w:sz w:val="36"/>
    </w:rPr>
  </w:style>
  <w:style w:type="paragraph" w:styleId="4">
    <w:name w:val="envelope return"/>
    <w:basedOn w:val="1"/>
    <w:qFormat/>
    <w:uiPriority w:val="0"/>
    <w:pPr>
      <w:snapToGrid w:val="0"/>
    </w:pPr>
    <w:rPr>
      <w:rFonts w:ascii="Arial" w:hAnsi="Arial"/>
      <w:szCs w:val="24"/>
    </w:rPr>
  </w:style>
  <w:style w:type="paragraph" w:styleId="9">
    <w:name w:val="Normal Indent"/>
    <w:basedOn w:val="1"/>
    <w:link w:val="59"/>
    <w:qFormat/>
    <w:uiPriority w:val="0"/>
    <w:pPr>
      <w:ind w:firstLine="420"/>
    </w:pPr>
    <w:rPr>
      <w:rFonts w:asciiTheme="minorHAnsi" w:hAnsiTheme="minorHAnsi" w:eastAsiaTheme="minorEastAsia" w:cstheme="minorBidi"/>
      <w:szCs w:val="22"/>
    </w:rPr>
  </w:style>
  <w:style w:type="paragraph" w:styleId="15">
    <w:name w:val="toc 7"/>
    <w:basedOn w:val="1"/>
    <w:next w:val="1"/>
    <w:unhideWhenUsed/>
    <w:qFormat/>
    <w:uiPriority w:val="0"/>
    <w:pPr>
      <w:ind w:left="1260"/>
      <w:jc w:val="left"/>
    </w:pPr>
    <w:rPr>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6"/>
    <w:semiHidden/>
    <w:qFormat/>
    <w:uiPriority w:val="0"/>
    <w:pPr>
      <w:shd w:val="clear" w:color="auto" w:fill="000080"/>
    </w:pPr>
  </w:style>
  <w:style w:type="paragraph" w:styleId="18">
    <w:name w:val="annotation text"/>
    <w:basedOn w:val="1"/>
    <w:link w:val="67"/>
    <w:qFormat/>
    <w:uiPriority w:val="0"/>
    <w:pPr>
      <w:jc w:val="left"/>
    </w:pPr>
  </w:style>
  <w:style w:type="paragraph" w:styleId="19">
    <w:name w:val="Body Text 3"/>
    <w:basedOn w:val="1"/>
    <w:link w:val="68"/>
    <w:qFormat/>
    <w:uiPriority w:val="0"/>
    <w:pPr>
      <w:spacing w:after="120"/>
    </w:pPr>
    <w:rPr>
      <w:rFonts w:asciiTheme="minorHAnsi" w:hAnsiTheme="minorHAnsi" w:cstheme="minorBidi"/>
      <w:sz w:val="16"/>
      <w:szCs w:val="16"/>
    </w:rPr>
  </w:style>
  <w:style w:type="paragraph" w:styleId="20">
    <w:name w:val="Body Text"/>
    <w:basedOn w:val="1"/>
    <w:next w:val="1"/>
    <w:link w:val="69"/>
    <w:unhideWhenUsed/>
    <w:qFormat/>
    <w:uiPriority w:val="0"/>
    <w:pPr>
      <w:spacing w:after="120"/>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0"/>
    <w:pPr>
      <w:ind w:left="840" w:leftChars="400"/>
    </w:pPr>
  </w:style>
  <w:style w:type="paragraph" w:styleId="23">
    <w:name w:val="Plain Text"/>
    <w:basedOn w:val="1"/>
    <w:next w:val="1"/>
    <w:link w:val="55"/>
    <w:qFormat/>
    <w:uiPriority w:val="99"/>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1"/>
    <w:qFormat/>
    <w:uiPriority w:val="0"/>
    <w:rPr>
      <w:szCs w:val="20"/>
    </w:rPr>
  </w:style>
  <w:style w:type="paragraph" w:styleId="26">
    <w:name w:val="Body Text Indent 2"/>
    <w:basedOn w:val="1"/>
    <w:link w:val="72"/>
    <w:qFormat/>
    <w:uiPriority w:val="0"/>
    <w:pPr>
      <w:ind w:firstLine="435"/>
    </w:pPr>
    <w:rPr>
      <w:rFonts w:eastAsia="楷体_GB2312" w:asciiTheme="minorHAnsi" w:hAnsiTheme="minorHAnsi" w:cstheme="minorBidi"/>
      <w:sz w:val="44"/>
    </w:rPr>
  </w:style>
  <w:style w:type="paragraph" w:styleId="27">
    <w:name w:val="endnote text"/>
    <w:basedOn w:val="1"/>
    <w:link w:val="73"/>
    <w:qFormat/>
    <w:uiPriority w:val="0"/>
    <w:pPr>
      <w:snapToGrid w:val="0"/>
      <w:jc w:val="left"/>
    </w:pPr>
    <w:rPr>
      <w:rFonts w:asciiTheme="minorHAnsi" w:hAnsiTheme="minorHAnsi" w:eastAsiaTheme="minorEastAsia" w:cstheme="minorBidi"/>
    </w:rPr>
  </w:style>
  <w:style w:type="paragraph" w:styleId="28">
    <w:name w:val="Balloon Text"/>
    <w:basedOn w:val="1"/>
    <w:link w:val="74"/>
    <w:semiHidden/>
    <w:qFormat/>
    <w:uiPriority w:val="0"/>
    <w:rPr>
      <w:rFonts w:asciiTheme="minorHAnsi" w:hAnsiTheme="minorHAnsi" w:cstheme="minorBidi"/>
      <w:sz w:val="18"/>
      <w:szCs w:val="18"/>
    </w:rPr>
  </w:style>
  <w:style w:type="paragraph" w:styleId="29">
    <w:name w:val="footer"/>
    <w:basedOn w:val="1"/>
    <w:link w:val="75"/>
    <w:qFormat/>
    <w:uiPriority w:val="99"/>
    <w:pPr>
      <w:tabs>
        <w:tab w:val="center" w:pos="4153"/>
        <w:tab w:val="right" w:pos="8306"/>
      </w:tabs>
      <w:snapToGrid w:val="0"/>
      <w:jc w:val="left"/>
    </w:pPr>
    <w:rPr>
      <w:rFonts w:asciiTheme="minorHAnsi" w:hAnsiTheme="minorHAnsi" w:cstheme="minorBidi"/>
      <w:sz w:val="18"/>
      <w:szCs w:val="18"/>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31">
    <w:name w:val="toc 1"/>
    <w:basedOn w:val="1"/>
    <w:next w:val="1"/>
    <w:qFormat/>
    <w:uiPriority w:val="0"/>
    <w:pPr>
      <w:tabs>
        <w:tab w:val="right" w:leader="dot" w:pos="9000"/>
      </w:tabs>
      <w:spacing w:before="120" w:after="120"/>
      <w:ind w:right="21" w:rightChars="10"/>
      <w:jc w:val="left"/>
    </w:pPr>
    <w:rPr>
      <w:b/>
      <w:bCs/>
      <w:caps/>
      <w:sz w:val="20"/>
      <w:szCs w:val="20"/>
    </w:rPr>
  </w:style>
  <w:style w:type="paragraph" w:styleId="32">
    <w:name w:val="toc 4"/>
    <w:basedOn w:val="1"/>
    <w:next w:val="1"/>
    <w:unhideWhenUsed/>
    <w:qFormat/>
    <w:uiPriority w:val="0"/>
    <w:pPr>
      <w:ind w:left="630"/>
      <w:jc w:val="left"/>
    </w:pPr>
    <w:rPr>
      <w:sz w:val="18"/>
      <w:szCs w:val="18"/>
    </w:rPr>
  </w:style>
  <w:style w:type="paragraph" w:styleId="33">
    <w:name w:val="index heading"/>
    <w:basedOn w:val="1"/>
    <w:next w:val="34"/>
    <w:qFormat/>
    <w:uiPriority w:val="0"/>
    <w:rPr>
      <w:szCs w:val="20"/>
    </w:rPr>
  </w:style>
  <w:style w:type="paragraph" w:styleId="34">
    <w:name w:val="index 1"/>
    <w:basedOn w:val="1"/>
    <w:next w:val="1"/>
    <w:qFormat/>
    <w:uiPriority w:val="0"/>
  </w:style>
  <w:style w:type="paragraph" w:styleId="35">
    <w:name w:val="footnote text"/>
    <w:basedOn w:val="1"/>
    <w:link w:val="77"/>
    <w:qFormat/>
    <w:uiPriority w:val="0"/>
    <w:pPr>
      <w:snapToGrid w:val="0"/>
      <w:jc w:val="left"/>
    </w:pPr>
    <w:rPr>
      <w:rFonts w:asciiTheme="minorHAnsi" w:hAnsiTheme="minorHAnsi" w:cstheme="minorBidi"/>
      <w:sz w:val="18"/>
      <w:szCs w:val="18"/>
    </w:rPr>
  </w:style>
  <w:style w:type="paragraph" w:styleId="36">
    <w:name w:val="toc 6"/>
    <w:basedOn w:val="1"/>
    <w:next w:val="1"/>
    <w:qFormat/>
    <w:uiPriority w:val="0"/>
    <w:pPr>
      <w:ind w:left="2100" w:leftChars="1000"/>
    </w:pPr>
  </w:style>
  <w:style w:type="paragraph" w:styleId="37">
    <w:name w:val="Body Text Indent 3"/>
    <w:basedOn w:val="1"/>
    <w:link w:val="78"/>
    <w:qFormat/>
    <w:uiPriority w:val="0"/>
    <w:pPr>
      <w:ind w:firstLine="570"/>
    </w:pPr>
    <w:rPr>
      <w:rFonts w:eastAsia="楷体_GB2312" w:asciiTheme="minorHAnsi" w:hAnsiTheme="minorHAnsi" w:cstheme="minorBidi"/>
      <w:sz w:val="30"/>
    </w:rPr>
  </w:style>
  <w:style w:type="paragraph" w:styleId="38">
    <w:name w:val="toc 2"/>
    <w:basedOn w:val="1"/>
    <w:next w:val="1"/>
    <w:qFormat/>
    <w:uiPriority w:val="0"/>
    <w:pPr>
      <w:ind w:left="420" w:leftChars="200"/>
    </w:p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79"/>
    <w:qFormat/>
    <w:uiPriority w:val="0"/>
    <w:pPr>
      <w:spacing w:after="120" w:line="480" w:lineRule="auto"/>
    </w:pPr>
    <w:rPr>
      <w:rFonts w:asciiTheme="minorHAnsi" w:hAnsiTheme="minorHAnsi" w:cstheme="minorBidi"/>
    </w:rPr>
  </w:style>
  <w:style w:type="paragraph" w:styleId="41">
    <w:name w:val="Normal (Web)"/>
    <w:basedOn w:val="1"/>
    <w:next w:val="5"/>
    <w:qFormat/>
    <w:uiPriority w:val="0"/>
    <w:pPr>
      <w:widowControl/>
      <w:spacing w:before="100" w:beforeAutospacing="1" w:after="100" w:afterAutospacing="1"/>
      <w:jc w:val="left"/>
    </w:pPr>
    <w:rPr>
      <w:rFonts w:ascii="宋体" w:hAnsi="宋体"/>
      <w:kern w:val="0"/>
      <w:sz w:val="24"/>
    </w:rPr>
  </w:style>
  <w:style w:type="paragraph" w:styleId="42">
    <w:name w:val="Title"/>
    <w:basedOn w:val="1"/>
    <w:link w:val="80"/>
    <w:qFormat/>
    <w:uiPriority w:val="0"/>
    <w:pPr>
      <w:spacing w:before="120" w:after="60"/>
      <w:jc w:val="center"/>
    </w:pPr>
    <w:rPr>
      <w:rFonts w:ascii="Arial" w:hAnsi="Arial" w:eastAsiaTheme="minorEastAsia" w:cstheme="minorBidi"/>
      <w:b/>
      <w:sz w:val="44"/>
      <w:szCs w:val="22"/>
    </w:rPr>
  </w:style>
  <w:style w:type="paragraph" w:styleId="43">
    <w:name w:val="annotation subject"/>
    <w:basedOn w:val="18"/>
    <w:next w:val="18"/>
    <w:link w:val="81"/>
    <w:semiHidden/>
    <w:qFormat/>
    <w:uiPriority w:val="0"/>
    <w:rPr>
      <w:b/>
      <w:bCs/>
    </w:rPr>
  </w:style>
  <w:style w:type="paragraph" w:styleId="44">
    <w:name w:val="Body Text First Indent"/>
    <w:basedOn w:val="20"/>
    <w:link w:val="82"/>
    <w:qFormat/>
    <w:uiPriority w:val="0"/>
    <w:pPr>
      <w:ind w:firstLine="420" w:firstLineChars="100"/>
    </w:pPr>
    <w:rPr>
      <w:rFonts w:asciiTheme="minorHAnsi" w:hAnsiTheme="minorHAnsi" w:cstheme="minorBidi"/>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qFormat/>
    <w:uiPriority w:val="0"/>
    <w:rPr>
      <w:vertAlign w:val="superscript"/>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Hyperlink"/>
    <w:qFormat/>
    <w:uiPriority w:val="99"/>
    <w:rPr>
      <w:color w:val="0000FF"/>
      <w:u w:val="single"/>
    </w:rPr>
  </w:style>
  <w:style w:type="character" w:styleId="52">
    <w:name w:val="annotation reference"/>
    <w:basedOn w:val="47"/>
    <w:qFormat/>
    <w:uiPriority w:val="0"/>
    <w:rPr>
      <w:sz w:val="21"/>
      <w:szCs w:val="21"/>
    </w:rPr>
  </w:style>
  <w:style w:type="character" w:styleId="53">
    <w:name w:val="footnote reference"/>
    <w:qFormat/>
    <w:uiPriority w:val="0"/>
    <w:rPr>
      <w:vertAlign w:val="superscript"/>
    </w:rPr>
  </w:style>
  <w:style w:type="paragraph" w:customStyle="1" w:styleId="54">
    <w:name w:val="样式 宋体 行距: 1.5 倍行距"/>
    <w:basedOn w:val="1"/>
    <w:qFormat/>
    <w:uiPriority w:val="99"/>
    <w:pPr>
      <w:jc w:val="center"/>
    </w:pPr>
    <w:rPr>
      <w:b/>
      <w:bCs/>
    </w:rPr>
  </w:style>
  <w:style w:type="character" w:customStyle="1" w:styleId="55">
    <w:name w:val="纯文本 Char2"/>
    <w:basedOn w:val="47"/>
    <w:link w:val="23"/>
    <w:semiHidden/>
    <w:qFormat/>
    <w:uiPriority w:val="99"/>
    <w:rPr>
      <w:rFonts w:ascii="宋体" w:hAnsi="Courier New" w:eastAsia="宋体" w:cs="Courier New"/>
      <w:szCs w:val="21"/>
    </w:rPr>
  </w:style>
  <w:style w:type="character" w:customStyle="1" w:styleId="56">
    <w:name w:val="标题 1 Char"/>
    <w:basedOn w:val="47"/>
    <w:link w:val="5"/>
    <w:qFormat/>
    <w:uiPriority w:val="0"/>
    <w:rPr>
      <w:rFonts w:ascii="Calibri" w:hAnsi="Calibri" w:eastAsia="宋体" w:cs="Times New Roman"/>
      <w:b/>
      <w:bCs/>
      <w:kern w:val="44"/>
      <w:sz w:val="44"/>
      <w:szCs w:val="44"/>
    </w:rPr>
  </w:style>
  <w:style w:type="character" w:customStyle="1" w:styleId="57">
    <w:name w:val="标题 2 Char"/>
    <w:basedOn w:val="47"/>
    <w:link w:val="6"/>
    <w:qFormat/>
    <w:uiPriority w:val="0"/>
    <w:rPr>
      <w:rFonts w:ascii="Arial" w:hAnsi="Arial" w:eastAsia="黑体" w:cs="Times New Roman"/>
      <w:b/>
      <w:bCs/>
      <w:sz w:val="32"/>
      <w:szCs w:val="32"/>
    </w:rPr>
  </w:style>
  <w:style w:type="character" w:customStyle="1" w:styleId="58">
    <w:name w:val="标题 3 Char"/>
    <w:basedOn w:val="47"/>
    <w:link w:val="7"/>
    <w:qFormat/>
    <w:uiPriority w:val="0"/>
    <w:rPr>
      <w:rFonts w:ascii="Calibri" w:hAnsi="Calibri" w:eastAsia="宋体" w:cs="Times New Roman"/>
      <w:b/>
      <w:bCs/>
      <w:sz w:val="32"/>
      <w:szCs w:val="32"/>
    </w:rPr>
  </w:style>
  <w:style w:type="character" w:customStyle="1" w:styleId="59">
    <w:name w:val="正文缩进 Char"/>
    <w:link w:val="9"/>
    <w:qFormat/>
    <w:uiPriority w:val="0"/>
  </w:style>
  <w:style w:type="character" w:customStyle="1" w:styleId="60">
    <w:name w:val="标题 4 Char"/>
    <w:basedOn w:val="47"/>
    <w:link w:val="8"/>
    <w:qFormat/>
    <w:uiPriority w:val="0"/>
    <w:rPr>
      <w:rFonts w:ascii="Arial" w:hAnsi="Arial" w:eastAsia="宋体" w:cs="Times New Roman"/>
      <w:sz w:val="24"/>
      <w:szCs w:val="24"/>
    </w:rPr>
  </w:style>
  <w:style w:type="character" w:customStyle="1" w:styleId="61">
    <w:name w:val="标题 5 Char"/>
    <w:basedOn w:val="47"/>
    <w:link w:val="10"/>
    <w:qFormat/>
    <w:uiPriority w:val="0"/>
    <w:rPr>
      <w:rFonts w:ascii="Arial" w:hAnsi="Arial" w:eastAsia="宋体" w:cs="Times New Roman"/>
      <w:sz w:val="24"/>
      <w:szCs w:val="24"/>
    </w:rPr>
  </w:style>
  <w:style w:type="character" w:customStyle="1" w:styleId="62">
    <w:name w:val="标题 6 Char"/>
    <w:basedOn w:val="47"/>
    <w:link w:val="11"/>
    <w:qFormat/>
    <w:uiPriority w:val="0"/>
    <w:rPr>
      <w:rFonts w:ascii="Arial" w:hAnsi="Arial" w:eastAsia="黑体" w:cs="Times New Roman"/>
      <w:b/>
      <w:bCs/>
      <w:sz w:val="24"/>
      <w:szCs w:val="24"/>
    </w:rPr>
  </w:style>
  <w:style w:type="character" w:customStyle="1" w:styleId="63">
    <w:name w:val="标题 7 Char"/>
    <w:basedOn w:val="47"/>
    <w:link w:val="12"/>
    <w:qFormat/>
    <w:uiPriority w:val="0"/>
    <w:rPr>
      <w:rFonts w:ascii="Calibri" w:hAnsi="Calibri" w:eastAsia="宋体" w:cs="Times New Roman"/>
      <w:b/>
      <w:sz w:val="24"/>
      <w:szCs w:val="20"/>
    </w:rPr>
  </w:style>
  <w:style w:type="character" w:customStyle="1" w:styleId="64">
    <w:name w:val="标题 8 Char"/>
    <w:basedOn w:val="47"/>
    <w:link w:val="13"/>
    <w:qFormat/>
    <w:uiPriority w:val="0"/>
    <w:rPr>
      <w:rFonts w:ascii="Arial" w:hAnsi="Arial" w:eastAsia="黑体" w:cs="Times New Roman"/>
      <w:sz w:val="24"/>
      <w:szCs w:val="20"/>
    </w:rPr>
  </w:style>
  <w:style w:type="character" w:customStyle="1" w:styleId="65">
    <w:name w:val="标题 9 Char"/>
    <w:basedOn w:val="47"/>
    <w:link w:val="14"/>
    <w:qFormat/>
    <w:uiPriority w:val="0"/>
    <w:rPr>
      <w:rFonts w:ascii="Arial" w:hAnsi="Arial" w:eastAsia="黑体" w:cs="Times New Roman"/>
      <w:szCs w:val="20"/>
    </w:rPr>
  </w:style>
  <w:style w:type="character" w:customStyle="1" w:styleId="66">
    <w:name w:val="文档结构图 Char"/>
    <w:basedOn w:val="47"/>
    <w:link w:val="17"/>
    <w:semiHidden/>
    <w:qFormat/>
    <w:uiPriority w:val="0"/>
    <w:rPr>
      <w:rFonts w:ascii="Calibri" w:hAnsi="Calibri" w:eastAsia="宋体" w:cs="Times New Roman"/>
      <w:szCs w:val="24"/>
      <w:shd w:val="clear" w:color="auto" w:fill="000080"/>
    </w:rPr>
  </w:style>
  <w:style w:type="character" w:customStyle="1" w:styleId="67">
    <w:name w:val="批注文字 Char"/>
    <w:basedOn w:val="47"/>
    <w:link w:val="18"/>
    <w:qFormat/>
    <w:uiPriority w:val="0"/>
    <w:rPr>
      <w:rFonts w:ascii="Calibri" w:hAnsi="Calibri" w:eastAsia="宋体" w:cs="Times New Roman"/>
      <w:szCs w:val="24"/>
    </w:rPr>
  </w:style>
  <w:style w:type="character" w:customStyle="1" w:styleId="68">
    <w:name w:val="正文文本 3 Char1"/>
    <w:basedOn w:val="47"/>
    <w:link w:val="19"/>
    <w:semiHidden/>
    <w:qFormat/>
    <w:uiPriority w:val="99"/>
    <w:rPr>
      <w:rFonts w:ascii="Calibri" w:hAnsi="Calibri" w:eastAsia="宋体" w:cs="Times New Roman"/>
      <w:sz w:val="16"/>
      <w:szCs w:val="16"/>
    </w:rPr>
  </w:style>
  <w:style w:type="character" w:customStyle="1" w:styleId="69">
    <w:name w:val="正文文本 Char1"/>
    <w:basedOn w:val="47"/>
    <w:link w:val="20"/>
    <w:semiHidden/>
    <w:qFormat/>
    <w:uiPriority w:val="99"/>
    <w:rPr>
      <w:rFonts w:ascii="Calibri" w:hAnsi="Calibri" w:eastAsia="宋体" w:cs="Times New Roman"/>
      <w:szCs w:val="24"/>
    </w:rPr>
  </w:style>
  <w:style w:type="character" w:customStyle="1" w:styleId="70">
    <w:name w:val="正文文本缩进 Char2"/>
    <w:basedOn w:val="47"/>
    <w:link w:val="3"/>
    <w:semiHidden/>
    <w:qFormat/>
    <w:uiPriority w:val="99"/>
    <w:rPr>
      <w:rFonts w:ascii="Calibri" w:hAnsi="Calibri" w:eastAsia="宋体" w:cs="Times New Roman"/>
      <w:szCs w:val="24"/>
    </w:rPr>
  </w:style>
  <w:style w:type="character" w:customStyle="1" w:styleId="71">
    <w:name w:val="日期 Char"/>
    <w:basedOn w:val="47"/>
    <w:link w:val="25"/>
    <w:qFormat/>
    <w:uiPriority w:val="0"/>
    <w:rPr>
      <w:rFonts w:ascii="Calibri" w:hAnsi="Calibri" w:eastAsia="宋体" w:cs="Times New Roman"/>
      <w:szCs w:val="20"/>
    </w:rPr>
  </w:style>
  <w:style w:type="character" w:customStyle="1" w:styleId="72">
    <w:name w:val="正文文本缩进 2 Char2"/>
    <w:basedOn w:val="47"/>
    <w:link w:val="26"/>
    <w:semiHidden/>
    <w:qFormat/>
    <w:uiPriority w:val="99"/>
    <w:rPr>
      <w:rFonts w:ascii="Calibri" w:hAnsi="Calibri" w:eastAsia="宋体" w:cs="Times New Roman"/>
      <w:szCs w:val="24"/>
    </w:rPr>
  </w:style>
  <w:style w:type="character" w:customStyle="1" w:styleId="73">
    <w:name w:val="尾注文本 Char2"/>
    <w:basedOn w:val="47"/>
    <w:link w:val="27"/>
    <w:semiHidden/>
    <w:qFormat/>
    <w:uiPriority w:val="99"/>
    <w:rPr>
      <w:rFonts w:ascii="Calibri" w:hAnsi="Calibri" w:eastAsia="宋体" w:cs="Times New Roman"/>
      <w:szCs w:val="24"/>
    </w:rPr>
  </w:style>
  <w:style w:type="character" w:customStyle="1" w:styleId="74">
    <w:name w:val="批注框文本 Char1"/>
    <w:basedOn w:val="47"/>
    <w:link w:val="28"/>
    <w:semiHidden/>
    <w:qFormat/>
    <w:uiPriority w:val="99"/>
    <w:rPr>
      <w:rFonts w:ascii="Calibri" w:hAnsi="Calibri" w:eastAsia="宋体" w:cs="Times New Roman"/>
      <w:sz w:val="18"/>
      <w:szCs w:val="18"/>
    </w:rPr>
  </w:style>
  <w:style w:type="character" w:customStyle="1" w:styleId="75">
    <w:name w:val="页脚 Char1"/>
    <w:basedOn w:val="47"/>
    <w:link w:val="29"/>
    <w:qFormat/>
    <w:uiPriority w:val="99"/>
    <w:rPr>
      <w:rFonts w:ascii="Calibri" w:hAnsi="Calibri" w:eastAsia="宋体" w:cs="Times New Roman"/>
      <w:sz w:val="18"/>
      <w:szCs w:val="18"/>
    </w:rPr>
  </w:style>
  <w:style w:type="character" w:customStyle="1" w:styleId="76">
    <w:name w:val="页眉 Char1"/>
    <w:basedOn w:val="47"/>
    <w:link w:val="30"/>
    <w:semiHidden/>
    <w:qFormat/>
    <w:uiPriority w:val="99"/>
    <w:rPr>
      <w:rFonts w:ascii="Calibri" w:hAnsi="Calibri" w:eastAsia="宋体" w:cs="Times New Roman"/>
      <w:sz w:val="18"/>
      <w:szCs w:val="18"/>
    </w:rPr>
  </w:style>
  <w:style w:type="character" w:customStyle="1" w:styleId="77">
    <w:name w:val="脚注文本 Char1"/>
    <w:basedOn w:val="47"/>
    <w:link w:val="35"/>
    <w:semiHidden/>
    <w:qFormat/>
    <w:uiPriority w:val="99"/>
    <w:rPr>
      <w:rFonts w:ascii="Calibri" w:hAnsi="Calibri" w:eastAsia="宋体" w:cs="Times New Roman"/>
      <w:sz w:val="18"/>
      <w:szCs w:val="18"/>
    </w:rPr>
  </w:style>
  <w:style w:type="character" w:customStyle="1" w:styleId="78">
    <w:name w:val="正文文本缩进 3 Char1"/>
    <w:basedOn w:val="47"/>
    <w:link w:val="37"/>
    <w:semiHidden/>
    <w:qFormat/>
    <w:uiPriority w:val="99"/>
    <w:rPr>
      <w:rFonts w:ascii="Calibri" w:hAnsi="Calibri" w:eastAsia="宋体" w:cs="Times New Roman"/>
      <w:sz w:val="16"/>
      <w:szCs w:val="16"/>
    </w:rPr>
  </w:style>
  <w:style w:type="character" w:customStyle="1" w:styleId="79">
    <w:name w:val="正文文本 2 Char1"/>
    <w:basedOn w:val="47"/>
    <w:link w:val="40"/>
    <w:semiHidden/>
    <w:qFormat/>
    <w:uiPriority w:val="99"/>
    <w:rPr>
      <w:rFonts w:ascii="Calibri" w:hAnsi="Calibri" w:eastAsia="宋体" w:cs="Times New Roman"/>
      <w:szCs w:val="24"/>
    </w:rPr>
  </w:style>
  <w:style w:type="character" w:customStyle="1" w:styleId="80">
    <w:name w:val="标题 Char2"/>
    <w:basedOn w:val="47"/>
    <w:link w:val="42"/>
    <w:qFormat/>
    <w:uiPriority w:val="10"/>
    <w:rPr>
      <w:rFonts w:eastAsia="宋体" w:asciiTheme="majorHAnsi" w:hAnsiTheme="majorHAnsi" w:cstheme="majorBidi"/>
      <w:b/>
      <w:bCs/>
      <w:sz w:val="32"/>
      <w:szCs w:val="32"/>
    </w:rPr>
  </w:style>
  <w:style w:type="character" w:customStyle="1" w:styleId="81">
    <w:name w:val="批注主题 Char"/>
    <w:basedOn w:val="67"/>
    <w:link w:val="43"/>
    <w:semiHidden/>
    <w:qFormat/>
    <w:uiPriority w:val="0"/>
    <w:rPr>
      <w:rFonts w:ascii="Calibri" w:hAnsi="Calibri" w:eastAsia="宋体" w:cs="Times New Roman"/>
      <w:b/>
      <w:bCs/>
      <w:szCs w:val="24"/>
    </w:rPr>
  </w:style>
  <w:style w:type="character" w:customStyle="1" w:styleId="82">
    <w:name w:val="正文首行缩进 Char1"/>
    <w:basedOn w:val="69"/>
    <w:link w:val="44"/>
    <w:semiHidden/>
    <w:qFormat/>
    <w:uiPriority w:val="99"/>
    <w:rPr>
      <w:rFonts w:ascii="Calibri" w:hAnsi="Calibri" w:eastAsia="宋体" w:cs="Times New Roman"/>
      <w:szCs w:val="24"/>
    </w:rPr>
  </w:style>
  <w:style w:type="paragraph" w:customStyle="1" w:styleId="83">
    <w:name w:val="BodyText1I"/>
    <w:basedOn w:val="84"/>
    <w:qFormat/>
    <w:uiPriority w:val="0"/>
    <w:pPr>
      <w:ind w:firstLine="420"/>
    </w:pPr>
  </w:style>
  <w:style w:type="paragraph" w:customStyle="1" w:styleId="84">
    <w:name w:val="BodyText"/>
    <w:basedOn w:val="1"/>
    <w:qFormat/>
    <w:uiPriority w:val="0"/>
    <w:pPr>
      <w:jc w:val="center"/>
    </w:pPr>
    <w:rPr>
      <w:rFonts w:eastAsia="黑体"/>
      <w:sz w:val="44"/>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semiHidden/>
    <w:qFormat/>
    <w:locked/>
    <w:uiPriority w:val="0"/>
    <w:rPr>
      <w:rFonts w:eastAsia="宋体"/>
      <w:sz w:val="18"/>
      <w:szCs w:val="18"/>
    </w:rPr>
  </w:style>
  <w:style w:type="character" w:customStyle="1" w:styleId="87">
    <w:name w:val="正文文本缩进 2 Char"/>
    <w:qFormat/>
    <w:locked/>
    <w:uiPriority w:val="0"/>
    <w:rPr>
      <w:rFonts w:eastAsia="楷体_GB2312"/>
      <w:sz w:val="44"/>
      <w:szCs w:val="24"/>
    </w:rPr>
  </w:style>
  <w:style w:type="character" w:customStyle="1" w:styleId="88">
    <w:name w:val="正文文本 2 Char"/>
    <w:qFormat/>
    <w:uiPriority w:val="0"/>
    <w:rPr>
      <w:rFonts w:eastAsia="宋体"/>
      <w:szCs w:val="24"/>
    </w:rPr>
  </w:style>
  <w:style w:type="character" w:customStyle="1" w:styleId="89">
    <w:name w:val="普通文字1 Char1"/>
    <w:qFormat/>
    <w:uiPriority w:val="0"/>
    <w:rPr>
      <w:rFonts w:ascii="宋体" w:hAnsi="Courier New" w:eastAsia="宋体"/>
      <w:kern w:val="2"/>
      <w:sz w:val="21"/>
      <w:lang w:val="en-US" w:eastAsia="zh-CN" w:bidi="ar-SA"/>
    </w:rPr>
  </w:style>
  <w:style w:type="character" w:customStyle="1" w:styleId="90">
    <w:name w:val="正文文本缩进 Char"/>
    <w:qFormat/>
    <w:locked/>
    <w:uiPriority w:val="0"/>
    <w:rPr>
      <w:rFonts w:eastAsia="宋体"/>
      <w:sz w:val="36"/>
      <w:szCs w:val="24"/>
    </w:rPr>
  </w:style>
  <w:style w:type="character" w:customStyle="1" w:styleId="91">
    <w:name w:val="页眉 Char"/>
    <w:basedOn w:val="47"/>
    <w:qFormat/>
    <w:uiPriority w:val="0"/>
    <w:rPr>
      <w:rFonts w:eastAsia="宋体"/>
      <w:sz w:val="18"/>
      <w:szCs w:val="18"/>
    </w:rPr>
  </w:style>
  <w:style w:type="character" w:customStyle="1" w:styleId="92">
    <w:name w:val="Char10"/>
    <w:qFormat/>
    <w:locked/>
    <w:uiPriority w:val="0"/>
    <w:rPr>
      <w:rFonts w:eastAsia="宋体"/>
      <w:color w:val="000000"/>
      <w:kern w:val="2"/>
      <w:sz w:val="24"/>
      <w:lang w:val="en-US" w:eastAsia="zh-CN" w:bidi="ar-SA"/>
    </w:rPr>
  </w:style>
  <w:style w:type="character" w:customStyle="1" w:styleId="93">
    <w:name w:val="Char Char17"/>
    <w:qFormat/>
    <w:uiPriority w:val="0"/>
    <w:rPr>
      <w:kern w:val="2"/>
      <w:sz w:val="18"/>
      <w:szCs w:val="18"/>
    </w:rPr>
  </w:style>
  <w:style w:type="character" w:customStyle="1" w:styleId="94">
    <w:name w:val="Char Char16"/>
    <w:qFormat/>
    <w:uiPriority w:val="0"/>
    <w:rPr>
      <w:kern w:val="2"/>
      <w:sz w:val="18"/>
      <w:szCs w:val="18"/>
    </w:rPr>
  </w:style>
  <w:style w:type="character" w:customStyle="1" w:styleId="95">
    <w:name w:val="日期 Char1"/>
    <w:qFormat/>
    <w:uiPriority w:val="0"/>
    <w:rPr>
      <w:kern w:val="2"/>
      <w:sz w:val="21"/>
      <w:szCs w:val="24"/>
    </w:rPr>
  </w:style>
  <w:style w:type="character" w:customStyle="1" w:styleId="96">
    <w:name w:val="正文文本 Char"/>
    <w:qFormat/>
    <w:uiPriority w:val="0"/>
    <w:rPr>
      <w:rFonts w:eastAsia="宋体"/>
      <w:kern w:val="2"/>
      <w:sz w:val="21"/>
      <w:szCs w:val="24"/>
      <w:lang w:val="en-US" w:eastAsia="zh-CN" w:bidi="ar-SA"/>
    </w:rPr>
  </w:style>
  <w:style w:type="character" w:customStyle="1" w:styleId="97">
    <w:name w:val="正文文本缩进 3 Char"/>
    <w:qFormat/>
    <w:uiPriority w:val="0"/>
    <w:rPr>
      <w:rFonts w:eastAsia="楷体_GB2312"/>
      <w:sz w:val="30"/>
      <w:szCs w:val="24"/>
    </w:rPr>
  </w:style>
  <w:style w:type="character" w:customStyle="1" w:styleId="98">
    <w:name w:val="尾注文本 Char1"/>
    <w:qFormat/>
    <w:uiPriority w:val="0"/>
    <w:rPr>
      <w:kern w:val="2"/>
      <w:sz w:val="21"/>
      <w:szCs w:val="24"/>
    </w:rPr>
  </w:style>
  <w:style w:type="character" w:customStyle="1" w:styleId="99">
    <w:name w:val="正文文本缩进 2 Char1"/>
    <w:qFormat/>
    <w:uiPriority w:val="0"/>
    <w:rPr>
      <w:kern w:val="2"/>
      <w:sz w:val="21"/>
      <w:szCs w:val="24"/>
    </w:rPr>
  </w:style>
  <w:style w:type="character" w:customStyle="1" w:styleId="100">
    <w:name w:val="正文首行缩进 Char"/>
    <w:basedOn w:val="96"/>
    <w:qFormat/>
    <w:uiPriority w:val="0"/>
    <w:rPr>
      <w:rFonts w:eastAsia="宋体"/>
      <w:kern w:val="2"/>
      <w:sz w:val="21"/>
      <w:szCs w:val="24"/>
      <w:lang w:val="en-US" w:eastAsia="zh-CN" w:bidi="ar-SA"/>
    </w:rPr>
  </w:style>
  <w:style w:type="character" w:customStyle="1" w:styleId="101">
    <w:name w:val="标题 Char"/>
    <w:qFormat/>
    <w:uiPriority w:val="0"/>
    <w:rPr>
      <w:rFonts w:ascii="Arial" w:hAnsi="Arial"/>
      <w:b/>
      <w:sz w:val="44"/>
    </w:rPr>
  </w:style>
  <w:style w:type="character" w:customStyle="1" w:styleId="102">
    <w:name w:val="脚注文本 Char"/>
    <w:qFormat/>
    <w:uiPriority w:val="0"/>
    <w:rPr>
      <w:rFonts w:eastAsia="宋体"/>
      <w:sz w:val="18"/>
      <w:szCs w:val="18"/>
    </w:rPr>
  </w:style>
  <w:style w:type="character" w:customStyle="1" w:styleId="103">
    <w:name w:val="页脚 Char"/>
    <w:basedOn w:val="47"/>
    <w:qFormat/>
    <w:uiPriority w:val="99"/>
    <w:rPr>
      <w:rFonts w:eastAsia="宋体"/>
      <w:sz w:val="18"/>
      <w:szCs w:val="18"/>
    </w:rPr>
  </w:style>
  <w:style w:type="character" w:customStyle="1" w:styleId="104">
    <w:name w:val="正文文本 3 Char"/>
    <w:qFormat/>
    <w:uiPriority w:val="0"/>
    <w:rPr>
      <w:rFonts w:eastAsia="宋体"/>
      <w:sz w:val="16"/>
      <w:szCs w:val="16"/>
    </w:rPr>
  </w:style>
  <w:style w:type="character" w:customStyle="1" w:styleId="105">
    <w:name w:val="尾注文本 Char"/>
    <w:qFormat/>
    <w:locked/>
    <w:uiPriority w:val="0"/>
    <w:rPr>
      <w:szCs w:val="24"/>
    </w:rPr>
  </w:style>
  <w:style w:type="character" w:customStyle="1" w:styleId="106">
    <w:name w:val="标题 Char1"/>
    <w:qFormat/>
    <w:uiPriority w:val="0"/>
    <w:rPr>
      <w:rFonts w:ascii="Cambria" w:hAnsi="Cambria" w:cs="Times New Roman"/>
      <w:b/>
      <w:bCs/>
      <w:kern w:val="2"/>
      <w:sz w:val="32"/>
      <w:szCs w:val="32"/>
    </w:rPr>
  </w:style>
  <w:style w:type="character" w:customStyle="1" w:styleId="107">
    <w:name w:val="纯文本 Char1"/>
    <w:qFormat/>
    <w:uiPriority w:val="0"/>
    <w:rPr>
      <w:rFonts w:ascii="宋体" w:hAnsi="Courier New" w:eastAsia="宋体" w:cs="Courier New"/>
      <w:szCs w:val="21"/>
    </w:rPr>
  </w:style>
  <w:style w:type="character" w:customStyle="1" w:styleId="108">
    <w:name w:val="文一 Char"/>
    <w:link w:val="109"/>
    <w:qFormat/>
    <w:uiPriority w:val="0"/>
    <w:rPr>
      <w:snapToGrid w:val="0"/>
      <w:spacing w:val="4"/>
      <w:sz w:val="24"/>
      <w:szCs w:val="24"/>
    </w:rPr>
  </w:style>
  <w:style w:type="paragraph" w:customStyle="1" w:styleId="109">
    <w:name w:val="文一"/>
    <w:basedOn w:val="1"/>
    <w:link w:val="108"/>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10">
    <w:name w:val="正文文本缩进 Char1"/>
    <w:qFormat/>
    <w:uiPriority w:val="0"/>
    <w:rPr>
      <w:kern w:val="2"/>
      <w:sz w:val="21"/>
      <w:szCs w:val="24"/>
    </w:rPr>
  </w:style>
  <w:style w:type="paragraph" w:customStyle="1" w:styleId="111">
    <w:name w:val="表格文字"/>
    <w:basedOn w:val="1"/>
    <w:qFormat/>
    <w:uiPriority w:val="0"/>
    <w:pPr>
      <w:spacing w:before="25" w:after="25"/>
      <w:jc w:val="left"/>
    </w:pPr>
    <w:rPr>
      <w:bCs/>
      <w:spacing w:val="10"/>
      <w:kern w:val="0"/>
      <w:sz w:val="24"/>
      <w:szCs w:val="20"/>
    </w:rPr>
  </w:style>
  <w:style w:type="paragraph" w:customStyle="1" w:styleId="112">
    <w:name w:val="Char Char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11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4">
    <w:name w:val="Char14 Char Char Char"/>
    <w:basedOn w:val="1"/>
    <w:qFormat/>
    <w:uiPriority w:val="0"/>
    <w:rPr>
      <w:sz w:val="30"/>
    </w:rPr>
  </w:style>
  <w:style w:type="paragraph" w:customStyle="1" w:styleId="115">
    <w:name w:val="Char13 Char Char Char Char Char Char Char"/>
    <w:basedOn w:val="17"/>
    <w:qFormat/>
    <w:uiPriority w:val="0"/>
    <w:rPr>
      <w:rFonts w:ascii="Tahoma" w:hAnsi="Tahoma"/>
      <w:sz w:val="24"/>
    </w:rPr>
  </w:style>
  <w:style w:type="paragraph" w:customStyle="1" w:styleId="116">
    <w:name w:val="列出段落1"/>
    <w:basedOn w:val="1"/>
    <w:qFormat/>
    <w:uiPriority w:val="0"/>
    <w:pPr>
      <w:ind w:firstLine="420" w:firstLineChars="200"/>
    </w:pPr>
  </w:style>
  <w:style w:type="paragraph" w:customStyle="1" w:styleId="117">
    <w:name w:val="p0"/>
    <w:basedOn w:val="1"/>
    <w:qFormat/>
    <w:uiPriority w:val="0"/>
    <w:pPr>
      <w:widowControl/>
    </w:pPr>
    <w:rPr>
      <w:kern w:val="0"/>
      <w:szCs w:val="21"/>
    </w:rPr>
  </w:style>
  <w:style w:type="paragraph" w:customStyle="1" w:styleId="118">
    <w:name w:val="Char13 Char Char"/>
    <w:basedOn w:val="17"/>
    <w:qFormat/>
    <w:uiPriority w:val="0"/>
    <w:rPr>
      <w:rFonts w:ascii="Tahoma" w:hAnsi="Tahoma"/>
      <w:sz w:val="24"/>
    </w:rPr>
  </w:style>
  <w:style w:type="paragraph" w:customStyle="1" w:styleId="119">
    <w:name w:val="题注5"/>
    <w:basedOn w:val="1"/>
    <w:next w:val="16"/>
    <w:qFormat/>
    <w:uiPriority w:val="0"/>
    <w:pPr>
      <w:jc w:val="center"/>
    </w:pPr>
    <w:rPr>
      <w:b/>
      <w:color w:val="000000"/>
      <w:sz w:val="24"/>
      <w:szCs w:val="21"/>
    </w:rPr>
  </w:style>
  <w:style w:type="paragraph" w:customStyle="1" w:styleId="120">
    <w:name w:val="发文落款"/>
    <w:basedOn w:val="121"/>
    <w:qFormat/>
    <w:uiPriority w:val="0"/>
    <w:pPr>
      <w:ind w:left="4094" w:right="607" w:firstLine="0"/>
      <w:jc w:val="center"/>
    </w:pPr>
  </w:style>
  <w:style w:type="paragraph" w:customStyle="1" w:styleId="1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2">
    <w:name w:val="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13"/>
    <w:basedOn w:val="17"/>
    <w:qFormat/>
    <w:uiPriority w:val="0"/>
    <w:rPr>
      <w:rFonts w:ascii="Tahoma" w:hAnsi="Tahoma"/>
      <w:sz w:val="24"/>
    </w:rPr>
  </w:style>
  <w:style w:type="paragraph" w:customStyle="1" w:styleId="125">
    <w:name w:val="Char Char Char1 Char"/>
    <w:basedOn w:val="17"/>
    <w:qFormat/>
    <w:uiPriority w:val="0"/>
    <w:rPr>
      <w:rFonts w:ascii="Tahoma" w:hAnsi="Tahoma"/>
      <w:sz w:val="24"/>
    </w:rPr>
  </w:style>
  <w:style w:type="paragraph" w:customStyle="1" w:styleId="126">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127">
    <w:name w:val="需求书用目录1"/>
    <w:basedOn w:val="1"/>
    <w:qFormat/>
    <w:uiPriority w:val="0"/>
    <w:pPr>
      <w:spacing w:before="360" w:after="40"/>
      <w:outlineLvl w:val="0"/>
    </w:pPr>
    <w:rPr>
      <w:rFonts w:ascii="宋体" w:hAnsi="宋体"/>
      <w:bCs/>
    </w:rPr>
  </w:style>
  <w:style w:type="paragraph" w:customStyle="1" w:styleId="128">
    <w:name w:val="表头"/>
    <w:basedOn w:val="1"/>
    <w:qFormat/>
    <w:uiPriority w:val="0"/>
    <w:pPr>
      <w:spacing w:line="360" w:lineRule="auto"/>
      <w:jc w:val="center"/>
    </w:pPr>
    <w:rPr>
      <w:rFonts w:ascii="黑体" w:eastAsia="黑体"/>
      <w:kern w:val="0"/>
      <w:sz w:val="24"/>
      <w:szCs w:val="20"/>
    </w:rPr>
  </w:style>
  <w:style w:type="paragraph" w:customStyle="1" w:styleId="12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0">
    <w:name w:val="Char3"/>
    <w:basedOn w:val="17"/>
    <w:qFormat/>
    <w:uiPriority w:val="0"/>
    <w:rPr>
      <w:rFonts w:ascii="Tahoma" w:hAnsi="Tahoma"/>
      <w:sz w:val="24"/>
    </w:rPr>
  </w:style>
  <w:style w:type="paragraph" w:customStyle="1" w:styleId="131">
    <w:name w:val="TOC 标题1"/>
    <w:basedOn w:val="5"/>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paragraph" w:customStyle="1" w:styleId="132">
    <w:name w:val="办公自动化专用标题"/>
    <w:basedOn w:val="42"/>
    <w:qFormat/>
    <w:uiPriority w:val="0"/>
    <w:pPr>
      <w:spacing w:before="240" w:line="560" w:lineRule="atLeast"/>
      <w:outlineLvl w:val="0"/>
    </w:pPr>
    <w:rPr>
      <w:rFonts w:ascii="宋体"/>
    </w:rPr>
  </w:style>
  <w:style w:type="paragraph" w:customStyle="1" w:styleId="133">
    <w:name w:val="Char1"/>
    <w:basedOn w:val="1"/>
    <w:qFormat/>
    <w:uiPriority w:val="0"/>
    <w:pPr>
      <w:ind w:left="567" w:hanging="279"/>
    </w:pPr>
    <w:rPr>
      <w:sz w:val="24"/>
    </w:rPr>
  </w:style>
  <w:style w:type="paragraph" w:customStyle="1" w:styleId="134">
    <w:name w:val="Char"/>
    <w:basedOn w:val="1"/>
    <w:qFormat/>
    <w:uiPriority w:val="0"/>
    <w:rPr>
      <w:rFonts w:ascii="Tahoma" w:hAnsi="Tahoma"/>
      <w:sz w:val="24"/>
      <w:szCs w:val="20"/>
    </w:rPr>
  </w:style>
  <w:style w:type="paragraph" w:customStyle="1" w:styleId="13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6">
    <w:name w:val="p17"/>
    <w:basedOn w:val="1"/>
    <w:qFormat/>
    <w:uiPriority w:val="0"/>
    <w:pPr>
      <w:widowControl/>
    </w:pPr>
    <w:rPr>
      <w:kern w:val="0"/>
      <w:szCs w:val="21"/>
    </w:rPr>
  </w:style>
  <w:style w:type="paragraph" w:customStyle="1" w:styleId="13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8">
    <w:name w:val="Char2"/>
    <w:basedOn w:val="1"/>
    <w:qFormat/>
    <w:uiPriority w:val="0"/>
    <w:rPr>
      <w:rFonts w:ascii="Arial" w:hAnsi="Arial" w:cs="Arial"/>
      <w:sz w:val="20"/>
      <w:szCs w:val="20"/>
    </w:rPr>
  </w:style>
  <w:style w:type="paragraph" w:customStyle="1" w:styleId="139">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13 Char Char Char Char Char"/>
    <w:basedOn w:val="17"/>
    <w:qFormat/>
    <w:uiPriority w:val="0"/>
    <w:rPr>
      <w:rFonts w:ascii="Tahoma" w:hAnsi="Tahoma"/>
      <w:sz w:val="24"/>
    </w:rPr>
  </w:style>
  <w:style w:type="paragraph" w:customStyle="1" w:styleId="141">
    <w:name w:val="须知1"/>
    <w:basedOn w:val="7"/>
    <w:qFormat/>
    <w:uiPriority w:val="0"/>
    <w:pPr>
      <w:spacing w:after="312" w:line="240" w:lineRule="auto"/>
    </w:pPr>
    <w:rPr>
      <w:rFonts w:ascii="宋体" w:hAnsi="宋体"/>
      <w:bCs w:val="0"/>
      <w:sz w:val="24"/>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题注4"/>
    <w:basedOn w:val="1"/>
    <w:next w:val="16"/>
    <w:qFormat/>
    <w:uiPriority w:val="0"/>
    <w:pPr>
      <w:ind w:left="-132" w:leftChars="-64" w:right="-105" w:rightChars="-50" w:hanging="2"/>
      <w:jc w:val="center"/>
    </w:pPr>
    <w:rPr>
      <w:b/>
      <w:color w:val="FF0000"/>
      <w:szCs w:val="21"/>
      <w:lang w:val="en-GB"/>
    </w:rPr>
  </w:style>
  <w:style w:type="paragraph" w:customStyle="1" w:styleId="14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6">
    <w:name w:val="公文标题"/>
    <w:basedOn w:val="7"/>
    <w:qFormat/>
    <w:uiPriority w:val="0"/>
    <w:pPr>
      <w:spacing w:line="240" w:lineRule="auto"/>
      <w:ind w:left="1469" w:right="1542"/>
      <w:jc w:val="center"/>
    </w:pPr>
    <w:rPr>
      <w:bCs w:val="0"/>
      <w:sz w:val="44"/>
      <w:szCs w:val="24"/>
    </w:rPr>
  </w:style>
  <w:style w:type="paragraph" w:customStyle="1" w:styleId="147">
    <w:name w:val="Char Char Char Char Char Char Char"/>
    <w:basedOn w:val="1"/>
    <w:qFormat/>
    <w:uiPriority w:val="0"/>
    <w:pPr>
      <w:tabs>
        <w:tab w:val="left" w:pos="425"/>
      </w:tabs>
      <w:ind w:left="425" w:hanging="425"/>
    </w:pPr>
    <w:rPr>
      <w:rFonts w:eastAsia="仿宋_GB2312"/>
      <w:kern w:val="24"/>
      <w:sz w:val="24"/>
    </w:rPr>
  </w:style>
  <w:style w:type="paragraph" w:customStyle="1" w:styleId="148">
    <w:name w:val="默认段落字体 Para Char"/>
    <w:basedOn w:val="1"/>
    <w:qFormat/>
    <w:uiPriority w:val="0"/>
    <w:rPr>
      <w:sz w:val="30"/>
    </w:rPr>
  </w:style>
  <w:style w:type="paragraph" w:customStyle="1" w:styleId="14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150">
    <w:name w:val="Char Char Char Char Char Char Char Char Char Char"/>
    <w:basedOn w:val="1"/>
    <w:qFormat/>
    <w:uiPriority w:val="0"/>
    <w:rPr>
      <w:rFonts w:ascii="Tahoma" w:hAnsi="Tahoma"/>
      <w:sz w:val="24"/>
      <w:szCs w:val="20"/>
    </w:rPr>
  </w:style>
  <w:style w:type="paragraph" w:customStyle="1" w:styleId="151">
    <w:name w:val="Char Char Char Char Char Char Char Char Char Char1"/>
    <w:basedOn w:val="1"/>
    <w:qFormat/>
    <w:uiPriority w:val="0"/>
    <w:rPr>
      <w:rFonts w:ascii="Tahoma" w:hAnsi="Tahoma"/>
      <w:sz w:val="24"/>
      <w:szCs w:val="20"/>
    </w:rPr>
  </w:style>
  <w:style w:type="paragraph" w:customStyle="1" w:styleId="152">
    <w:name w:val="需求书2"/>
    <w:basedOn w:val="1"/>
    <w:qFormat/>
    <w:uiPriority w:val="0"/>
    <w:pPr>
      <w:autoSpaceDE w:val="0"/>
      <w:autoSpaceDN w:val="0"/>
      <w:adjustRightInd w:val="0"/>
    </w:pPr>
    <w:rPr>
      <w:rFonts w:ascii="宋体"/>
      <w:kern w:val="0"/>
      <w:szCs w:val="21"/>
    </w:rPr>
  </w:style>
  <w:style w:type="paragraph" w:customStyle="1" w:styleId="153">
    <w:name w:val="Char Char2"/>
    <w:basedOn w:val="1"/>
    <w:qFormat/>
    <w:uiPriority w:val="0"/>
    <w:rPr>
      <w:rFonts w:ascii="宋体" w:hAnsi="宋体"/>
      <w:b/>
      <w:sz w:val="28"/>
      <w:szCs w:val="28"/>
    </w:rPr>
  </w:style>
  <w:style w:type="character" w:customStyle="1" w:styleId="154">
    <w:name w:val="Highlighted Variable"/>
    <w:qFormat/>
    <w:uiPriority w:val="0"/>
    <w:rPr>
      <w:rFonts w:hint="default" w:ascii="Times New Roman"/>
      <w:color w:val="000000"/>
    </w:rPr>
  </w:style>
  <w:style w:type="paragraph" w:customStyle="1" w:styleId="155">
    <w:name w:val="_Style 9"/>
    <w:basedOn w:val="20"/>
    <w:next w:val="44"/>
    <w:qFormat/>
    <w:uiPriority w:val="0"/>
    <w:pPr>
      <w:ind w:firstLine="420" w:firstLineChars="100"/>
    </w:pPr>
    <w:rPr>
      <w:rFonts w:ascii="Times New Roman" w:hAnsi="Times New Roman"/>
    </w:rPr>
  </w:style>
  <w:style w:type="paragraph" w:styleId="156">
    <w:name w:val="List Paragraph"/>
    <w:basedOn w:val="1"/>
    <w:qFormat/>
    <w:uiPriority w:val="34"/>
    <w:pPr>
      <w:ind w:firstLine="420" w:firstLineChars="200"/>
    </w:pPr>
    <w:rPr>
      <w:rFonts w:ascii="等线" w:hAnsi="等线" w:eastAsia="等线"/>
    </w:rPr>
  </w:style>
  <w:style w:type="paragraph" w:customStyle="1" w:styleId="157">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AFB2-5796-4904-8C87-3A9F661326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10973</Words>
  <Characters>11369</Characters>
  <Lines>70</Lines>
  <Paragraphs>19</Paragraphs>
  <TotalTime>3</TotalTime>
  <ScaleCrop>false</ScaleCrop>
  <LinksUpToDate>false</LinksUpToDate>
  <CharactersWithSpaces>11727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2020-05-08T01:31:00Z</dcterms:created>
  <dc:creator>Ad</dc:creator>
  <cp:lastModifiedBy>叶常红</cp:lastModifiedBy>
  <cp:lastPrinted>2024-09-25T07:52:00Z</cp:lastPrinted>
  <dcterms:modified xsi:type="dcterms:W3CDTF">2024-10-31T12:38:07Z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1C79E2B405FF4A57A3D274FE1BCAE2FE_13</vt:lpwstr>
  </property>
</Properties>
</file>