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77873">
      <w:pPr>
        <w:spacing w:line="360" w:lineRule="auto"/>
        <w:jc w:val="center"/>
        <w:rPr>
          <w:rFonts w:ascii="宋体" w:hAnsi="宋体" w:cs="宋体"/>
          <w:b/>
          <w:sz w:val="32"/>
          <w:szCs w:val="32"/>
          <w:highlight w:val="none"/>
        </w:rPr>
      </w:pPr>
    </w:p>
    <w:p w14:paraId="6094D8C6">
      <w:pPr>
        <w:spacing w:line="360" w:lineRule="auto"/>
        <w:jc w:val="center"/>
        <w:rPr>
          <w:rFonts w:ascii="宋体" w:hAnsi="宋体" w:cs="宋体"/>
          <w:b/>
          <w:sz w:val="32"/>
          <w:szCs w:val="32"/>
          <w:highlight w:val="none"/>
        </w:rPr>
      </w:pPr>
    </w:p>
    <w:p w14:paraId="494D0DA7">
      <w:pPr>
        <w:spacing w:line="360" w:lineRule="auto"/>
        <w:jc w:val="center"/>
        <w:rPr>
          <w:rFonts w:ascii="宋体" w:hAnsi="宋体" w:cs="宋体"/>
          <w:b/>
          <w:sz w:val="56"/>
          <w:szCs w:val="56"/>
          <w:highlight w:val="none"/>
          <w:u w:val="single"/>
        </w:rPr>
      </w:pPr>
      <w:r>
        <w:rPr>
          <w:rFonts w:hint="eastAsia" w:ascii="宋体" w:hAnsi="宋体" w:cs="宋体"/>
          <w:b/>
          <w:sz w:val="56"/>
          <w:szCs w:val="56"/>
          <w:highlight w:val="none"/>
        </w:rPr>
        <w:t>黄埔区萝岗和苑配售型保障性住房项目销售中心装修工程</w:t>
      </w:r>
    </w:p>
    <w:p w14:paraId="2C11A4D3">
      <w:pPr>
        <w:spacing w:line="360" w:lineRule="auto"/>
        <w:jc w:val="center"/>
        <w:rPr>
          <w:rFonts w:ascii="宋体" w:hAnsi="宋体" w:cs="宋体"/>
          <w:b/>
          <w:sz w:val="32"/>
          <w:szCs w:val="32"/>
          <w:highlight w:val="none"/>
        </w:rPr>
      </w:pPr>
    </w:p>
    <w:p w14:paraId="3BECEE5F">
      <w:pPr>
        <w:spacing w:line="360" w:lineRule="auto"/>
        <w:jc w:val="center"/>
        <w:rPr>
          <w:rFonts w:ascii="宋体" w:hAnsi="宋体" w:cs="宋体"/>
          <w:b/>
          <w:sz w:val="32"/>
          <w:szCs w:val="32"/>
          <w:highlight w:val="none"/>
        </w:rPr>
      </w:pPr>
    </w:p>
    <w:p w14:paraId="0B818370">
      <w:pPr>
        <w:spacing w:line="360" w:lineRule="auto"/>
        <w:jc w:val="center"/>
        <w:rPr>
          <w:rFonts w:ascii="宋体" w:hAnsi="宋体" w:cs="宋体"/>
          <w:b/>
          <w:sz w:val="32"/>
          <w:szCs w:val="32"/>
          <w:highlight w:val="none"/>
        </w:rPr>
      </w:pPr>
    </w:p>
    <w:p w14:paraId="029C19C3">
      <w:pPr>
        <w:spacing w:line="360" w:lineRule="auto"/>
        <w:jc w:val="center"/>
        <w:rPr>
          <w:rFonts w:ascii="宋体" w:hAnsi="宋体" w:cs="宋体"/>
          <w:b/>
          <w:sz w:val="32"/>
          <w:szCs w:val="32"/>
          <w:highlight w:val="none"/>
        </w:rPr>
      </w:pPr>
    </w:p>
    <w:p w14:paraId="3994F88D">
      <w:pPr>
        <w:spacing w:line="360" w:lineRule="auto"/>
        <w:jc w:val="center"/>
        <w:rPr>
          <w:rFonts w:ascii="宋体" w:hAnsi="宋体" w:cs="宋体"/>
          <w:b/>
          <w:bCs/>
          <w:spacing w:val="26"/>
          <w:sz w:val="96"/>
          <w:szCs w:val="96"/>
          <w:highlight w:val="none"/>
        </w:rPr>
      </w:pPr>
      <w:r>
        <w:rPr>
          <w:rFonts w:hint="eastAsia" w:ascii="宋体" w:hAnsi="宋体" w:cs="宋体"/>
          <w:b/>
          <w:bCs/>
          <w:spacing w:val="26"/>
          <w:sz w:val="96"/>
          <w:szCs w:val="96"/>
          <w:highlight w:val="none"/>
        </w:rPr>
        <w:t>招标文件</w:t>
      </w:r>
    </w:p>
    <w:p w14:paraId="2310013C">
      <w:pPr>
        <w:spacing w:line="360" w:lineRule="auto"/>
        <w:jc w:val="center"/>
        <w:rPr>
          <w:rFonts w:ascii="宋体" w:hAnsi="宋体" w:cs="宋体"/>
          <w:b/>
          <w:sz w:val="32"/>
          <w:szCs w:val="32"/>
          <w:highlight w:val="none"/>
        </w:rPr>
      </w:pPr>
    </w:p>
    <w:p w14:paraId="380C1445">
      <w:pPr>
        <w:spacing w:line="360" w:lineRule="auto"/>
        <w:jc w:val="center"/>
        <w:rPr>
          <w:rFonts w:ascii="宋体" w:hAnsi="宋体" w:cs="宋体"/>
          <w:b/>
          <w:sz w:val="32"/>
          <w:szCs w:val="32"/>
          <w:highlight w:val="none"/>
        </w:rPr>
      </w:pPr>
    </w:p>
    <w:p w14:paraId="42725AC1">
      <w:pPr>
        <w:spacing w:line="360" w:lineRule="auto"/>
        <w:jc w:val="center"/>
        <w:rPr>
          <w:rFonts w:ascii="宋体" w:hAnsi="宋体" w:cs="宋体"/>
          <w:b/>
          <w:sz w:val="32"/>
          <w:szCs w:val="32"/>
          <w:highlight w:val="none"/>
        </w:rPr>
      </w:pPr>
    </w:p>
    <w:p w14:paraId="38108717">
      <w:pPr>
        <w:spacing w:line="360" w:lineRule="auto"/>
        <w:jc w:val="center"/>
        <w:rPr>
          <w:rFonts w:ascii="宋体" w:hAnsi="宋体" w:cs="宋体"/>
          <w:b/>
          <w:sz w:val="32"/>
          <w:szCs w:val="32"/>
          <w:highlight w:val="none"/>
        </w:rPr>
      </w:pPr>
    </w:p>
    <w:p w14:paraId="6D1B4330">
      <w:pPr>
        <w:spacing w:line="360" w:lineRule="auto"/>
        <w:jc w:val="center"/>
        <w:rPr>
          <w:rFonts w:ascii="宋体" w:hAnsi="宋体" w:cs="宋体"/>
          <w:b/>
          <w:sz w:val="32"/>
          <w:szCs w:val="32"/>
          <w:highlight w:val="none"/>
        </w:rPr>
      </w:pPr>
    </w:p>
    <w:p w14:paraId="49ED6D5E">
      <w:pPr>
        <w:spacing w:line="360" w:lineRule="auto"/>
        <w:jc w:val="center"/>
        <w:rPr>
          <w:rFonts w:ascii="宋体" w:hAnsi="宋体" w:cs="宋体"/>
          <w:b/>
          <w:sz w:val="32"/>
          <w:szCs w:val="32"/>
          <w:highlight w:val="none"/>
        </w:rPr>
      </w:pPr>
    </w:p>
    <w:p w14:paraId="34897C67">
      <w:pPr>
        <w:spacing w:line="360" w:lineRule="auto"/>
        <w:jc w:val="center"/>
        <w:rPr>
          <w:rFonts w:ascii="宋体" w:hAnsi="宋体" w:cs="宋体"/>
          <w:b/>
          <w:sz w:val="32"/>
          <w:szCs w:val="32"/>
          <w:highlight w:val="none"/>
        </w:rPr>
      </w:pPr>
    </w:p>
    <w:p w14:paraId="19763950">
      <w:pPr>
        <w:spacing w:line="360" w:lineRule="auto"/>
        <w:jc w:val="center"/>
        <w:rPr>
          <w:rFonts w:ascii="宋体" w:hAnsi="宋体" w:cs="宋体"/>
          <w:b/>
          <w:sz w:val="32"/>
          <w:szCs w:val="32"/>
          <w:highlight w:val="none"/>
        </w:rPr>
      </w:pPr>
    </w:p>
    <w:p w14:paraId="678166E3">
      <w:pPr>
        <w:spacing w:line="360" w:lineRule="auto"/>
        <w:ind w:firstLine="1285" w:firstLineChars="400"/>
        <w:jc w:val="left"/>
        <w:rPr>
          <w:rFonts w:ascii="宋体" w:hAnsi="宋体" w:cs="宋体"/>
          <w:b/>
          <w:sz w:val="32"/>
          <w:szCs w:val="32"/>
          <w:highlight w:val="none"/>
        </w:rPr>
      </w:pPr>
      <w:r>
        <w:rPr>
          <w:rFonts w:hint="eastAsia" w:ascii="宋体" w:hAnsi="宋体" w:cs="宋体"/>
          <w:b/>
          <w:sz w:val="32"/>
          <w:szCs w:val="32"/>
          <w:highlight w:val="none"/>
        </w:rPr>
        <w:t>招 标 单  位：</w:t>
      </w:r>
      <w:r>
        <w:rPr>
          <w:rFonts w:hint="eastAsia" w:ascii="宋体" w:hAnsi="宋体" w:cs="宋体"/>
          <w:b/>
          <w:sz w:val="32"/>
          <w:szCs w:val="32"/>
          <w:highlight w:val="none"/>
          <w:u w:val="single"/>
        </w:rPr>
        <w:t>广州城投住房租赁发展投资有限公司</w:t>
      </w:r>
    </w:p>
    <w:p w14:paraId="6A54EE79">
      <w:pPr>
        <w:spacing w:line="360" w:lineRule="auto"/>
        <w:ind w:firstLine="1285" w:firstLineChars="400"/>
        <w:jc w:val="left"/>
        <w:rPr>
          <w:rFonts w:ascii="宋体" w:hAnsi="宋体" w:cs="宋体"/>
          <w:b/>
          <w:sz w:val="32"/>
          <w:szCs w:val="32"/>
          <w:highlight w:val="none"/>
        </w:rPr>
      </w:pPr>
      <w:r>
        <w:rPr>
          <w:rFonts w:hint="eastAsia" w:ascii="宋体" w:hAnsi="宋体" w:cs="宋体"/>
          <w:b/>
          <w:sz w:val="32"/>
          <w:szCs w:val="32"/>
          <w:highlight w:val="none"/>
        </w:rPr>
        <w:t>招标代理机构：</w:t>
      </w:r>
      <w:r>
        <w:rPr>
          <w:rFonts w:hint="eastAsia" w:ascii="宋体" w:hAnsi="宋体" w:cs="宋体"/>
          <w:b/>
          <w:sz w:val="32"/>
          <w:szCs w:val="32"/>
          <w:highlight w:val="none"/>
          <w:u w:val="single"/>
        </w:rPr>
        <w:t>北京中交建设工程咨询有限公司</w:t>
      </w:r>
    </w:p>
    <w:p w14:paraId="574D9A42">
      <w:pPr>
        <w:spacing w:line="360" w:lineRule="auto"/>
        <w:ind w:firstLine="1285" w:firstLineChars="400"/>
        <w:rPr>
          <w:rFonts w:ascii="宋体" w:hAnsi="宋体" w:cs="宋体"/>
          <w:b/>
          <w:sz w:val="32"/>
          <w:szCs w:val="32"/>
          <w:highlight w:val="none"/>
        </w:rPr>
      </w:pPr>
      <w:r>
        <w:rPr>
          <w:rFonts w:hint="eastAsia" w:ascii="宋体" w:hAnsi="宋体" w:cs="宋体"/>
          <w:b/>
          <w:sz w:val="32"/>
          <w:szCs w:val="32"/>
          <w:highlight w:val="none"/>
        </w:rPr>
        <w:t>日        期：</w:t>
      </w:r>
      <w:r>
        <w:rPr>
          <w:rFonts w:hint="eastAsia" w:ascii="宋体" w:hAnsi="宋体" w:cs="宋体"/>
          <w:b/>
          <w:sz w:val="32"/>
          <w:szCs w:val="32"/>
          <w:highlight w:val="none"/>
          <w:u w:val="single"/>
        </w:rPr>
        <w:t>2024</w:t>
      </w:r>
      <w:r>
        <w:rPr>
          <w:rFonts w:hint="eastAsia" w:ascii="宋体" w:hAnsi="宋体" w:cs="宋体"/>
          <w:b/>
          <w:sz w:val="32"/>
          <w:szCs w:val="32"/>
          <w:highlight w:val="none"/>
        </w:rPr>
        <w:t>年</w:t>
      </w:r>
      <w:r>
        <w:rPr>
          <w:rFonts w:hint="eastAsia" w:ascii="宋体" w:hAnsi="宋体" w:cs="宋体"/>
          <w:b/>
          <w:sz w:val="32"/>
          <w:szCs w:val="32"/>
          <w:highlight w:val="none"/>
          <w:u w:val="single"/>
        </w:rPr>
        <w:t>1</w:t>
      </w:r>
      <w:r>
        <w:rPr>
          <w:rFonts w:hint="eastAsia" w:ascii="宋体" w:hAnsi="宋体" w:cs="宋体"/>
          <w:b/>
          <w:sz w:val="32"/>
          <w:szCs w:val="32"/>
          <w:highlight w:val="none"/>
          <w:u w:val="single"/>
          <w:lang w:val="en-US" w:eastAsia="zh-CN"/>
        </w:rPr>
        <w:t>1</w:t>
      </w:r>
      <w:bookmarkStart w:id="140" w:name="_GoBack"/>
      <w:bookmarkEnd w:id="140"/>
      <w:r>
        <w:rPr>
          <w:rFonts w:hint="eastAsia" w:ascii="宋体" w:hAnsi="宋体" w:cs="宋体"/>
          <w:b/>
          <w:sz w:val="32"/>
          <w:szCs w:val="32"/>
          <w:highlight w:val="none"/>
        </w:rPr>
        <w:t>月</w:t>
      </w:r>
    </w:p>
    <w:p w14:paraId="5723AAF2">
      <w:pPr>
        <w:pStyle w:val="18"/>
        <w:rPr>
          <w:rFonts w:hint="default" w:hAnsi="宋体" w:cs="宋体"/>
          <w:highlight w:val="none"/>
        </w:rPr>
      </w:pPr>
    </w:p>
    <w:p w14:paraId="0E61DF02">
      <w:pPr>
        <w:spacing w:line="360" w:lineRule="auto"/>
        <w:jc w:val="center"/>
        <w:rPr>
          <w:rFonts w:ascii="宋体" w:hAnsi="宋体" w:cs="宋体"/>
          <w:b/>
          <w:bCs/>
          <w:caps/>
          <w:kern w:val="0"/>
          <w:sz w:val="32"/>
          <w:szCs w:val="32"/>
          <w:highlight w:val="none"/>
        </w:rPr>
      </w:pPr>
      <w:r>
        <w:rPr>
          <w:rStyle w:val="43"/>
          <w:rFonts w:hint="eastAsia" w:ascii="宋体" w:hAnsi="宋体" w:cs="宋体"/>
          <w:b/>
          <w:bCs/>
          <w:color w:val="auto"/>
          <w:sz w:val="32"/>
          <w:szCs w:val="32"/>
          <w:highlight w:val="none"/>
          <w:u w:val="none"/>
        </w:rPr>
        <w:t>目  录</w:t>
      </w:r>
    </w:p>
    <w:p w14:paraId="5BB50214">
      <w:pPr>
        <w:pStyle w:val="25"/>
        <w:tabs>
          <w:tab w:val="right" w:leader="dot" w:pos="9070"/>
          <w:tab w:val="clear" w:pos="9060"/>
        </w:tabs>
        <w:rPr>
          <w:rFonts w:cs="宋体"/>
          <w:sz w:val="28"/>
          <w:szCs w:val="28"/>
          <w:highlight w:val="none"/>
        </w:rPr>
      </w:pPr>
      <w:r>
        <w:rPr>
          <w:rFonts w:hint="eastAsia" w:cs="宋体"/>
          <w:sz w:val="28"/>
          <w:szCs w:val="28"/>
          <w:highlight w:val="none"/>
        </w:rPr>
        <w:fldChar w:fldCharType="begin"/>
      </w:r>
      <w:r>
        <w:rPr>
          <w:rFonts w:hint="eastAsia" w:cs="宋体"/>
          <w:sz w:val="28"/>
          <w:szCs w:val="28"/>
          <w:highlight w:val="none"/>
        </w:rPr>
        <w:instrText xml:space="preserve"> TOC \o "1-3" \h \z \u </w:instrText>
      </w:r>
      <w:r>
        <w:rPr>
          <w:rFonts w:hint="eastAsia" w:cs="宋体"/>
          <w:sz w:val="28"/>
          <w:szCs w:val="28"/>
          <w:highlight w:val="none"/>
        </w:rPr>
        <w:fldChar w:fldCharType="separate"/>
      </w:r>
      <w:r>
        <w:rPr>
          <w:highlight w:val="none"/>
        </w:rPr>
        <w:fldChar w:fldCharType="begin"/>
      </w:r>
      <w:r>
        <w:rPr>
          <w:highlight w:val="none"/>
        </w:rPr>
        <w:instrText xml:space="preserve"> HYPERLINK \l "_Toc24486" </w:instrText>
      </w:r>
      <w:r>
        <w:rPr>
          <w:highlight w:val="none"/>
        </w:rPr>
        <w:fldChar w:fldCharType="separate"/>
      </w:r>
      <w:r>
        <w:rPr>
          <w:rFonts w:hint="eastAsia" w:cs="宋体"/>
          <w:sz w:val="28"/>
          <w:szCs w:val="28"/>
          <w:highlight w:val="none"/>
        </w:rPr>
        <w:t>第一章  投标须知</w:t>
      </w:r>
      <w:r>
        <w:rPr>
          <w:rFonts w:hint="eastAsia" w:cs="宋体"/>
          <w:sz w:val="28"/>
          <w:szCs w:val="28"/>
          <w:highlight w:val="none"/>
        </w:rPr>
        <w:tab/>
      </w:r>
      <w:r>
        <w:rPr>
          <w:rFonts w:hint="eastAsia" w:cs="宋体"/>
          <w:sz w:val="28"/>
          <w:szCs w:val="28"/>
          <w:highlight w:val="none"/>
        </w:rPr>
        <w:fldChar w:fldCharType="begin"/>
      </w:r>
      <w:r>
        <w:rPr>
          <w:rFonts w:hint="eastAsia" w:cs="宋体"/>
          <w:sz w:val="28"/>
          <w:szCs w:val="28"/>
          <w:highlight w:val="none"/>
        </w:rPr>
        <w:instrText xml:space="preserve"> PAGEREF _Toc24486 \h </w:instrText>
      </w:r>
      <w:r>
        <w:rPr>
          <w:rFonts w:hint="eastAsia" w:cs="宋体"/>
          <w:sz w:val="28"/>
          <w:szCs w:val="28"/>
          <w:highlight w:val="none"/>
        </w:rPr>
        <w:fldChar w:fldCharType="separate"/>
      </w:r>
      <w:r>
        <w:rPr>
          <w:rFonts w:hint="eastAsia" w:cs="宋体"/>
          <w:sz w:val="28"/>
          <w:szCs w:val="28"/>
          <w:highlight w:val="none"/>
        </w:rPr>
        <w:t>3</w:t>
      </w:r>
      <w:r>
        <w:rPr>
          <w:rFonts w:hint="eastAsia" w:cs="宋体"/>
          <w:sz w:val="28"/>
          <w:szCs w:val="28"/>
          <w:highlight w:val="none"/>
        </w:rPr>
        <w:fldChar w:fldCharType="end"/>
      </w:r>
      <w:r>
        <w:rPr>
          <w:rFonts w:hint="eastAsia" w:cs="宋体"/>
          <w:sz w:val="28"/>
          <w:szCs w:val="28"/>
          <w:highlight w:val="none"/>
        </w:rPr>
        <w:fldChar w:fldCharType="end"/>
      </w:r>
    </w:p>
    <w:p w14:paraId="4A1D9581">
      <w:pPr>
        <w:pStyle w:val="28"/>
        <w:tabs>
          <w:tab w:val="right" w:leader="dot" w:pos="9070"/>
          <w:tab w:val="clear" w:pos="9060"/>
        </w:tabs>
        <w:ind w:left="0" w:leftChars="0" w:firstLine="480" w:firstLineChars="200"/>
        <w:rPr>
          <w:rFonts w:ascii="宋体" w:hAnsi="宋体" w:cs="宋体"/>
          <w:sz w:val="28"/>
          <w:szCs w:val="28"/>
          <w:highlight w:val="none"/>
        </w:rPr>
      </w:pPr>
      <w:r>
        <w:rPr>
          <w:highlight w:val="none"/>
        </w:rPr>
        <w:fldChar w:fldCharType="begin"/>
      </w:r>
      <w:r>
        <w:rPr>
          <w:highlight w:val="none"/>
        </w:rPr>
        <w:instrText xml:space="preserve"> HYPERLINK \l "_Toc16820" </w:instrText>
      </w:r>
      <w:r>
        <w:rPr>
          <w:highlight w:val="none"/>
        </w:rPr>
        <w:fldChar w:fldCharType="separate"/>
      </w:r>
      <w:r>
        <w:rPr>
          <w:rFonts w:hint="eastAsia" w:ascii="宋体" w:hAnsi="宋体" w:cs="宋体"/>
          <w:sz w:val="28"/>
          <w:szCs w:val="28"/>
          <w:highlight w:val="none"/>
        </w:rPr>
        <w:t>一、投标须知前附表</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_Toc16820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6BFD4057">
      <w:pPr>
        <w:pStyle w:val="28"/>
        <w:tabs>
          <w:tab w:val="right" w:leader="dot" w:pos="9070"/>
          <w:tab w:val="clear" w:pos="9060"/>
        </w:tabs>
        <w:ind w:left="0" w:leftChars="0" w:firstLine="480" w:firstLineChars="200"/>
        <w:rPr>
          <w:rFonts w:ascii="宋体" w:hAnsi="宋体" w:cs="宋体"/>
          <w:sz w:val="28"/>
          <w:szCs w:val="28"/>
          <w:highlight w:val="none"/>
        </w:rPr>
      </w:pPr>
      <w:r>
        <w:rPr>
          <w:highlight w:val="none"/>
        </w:rPr>
        <w:fldChar w:fldCharType="begin"/>
      </w:r>
      <w:r>
        <w:rPr>
          <w:highlight w:val="none"/>
        </w:rPr>
        <w:instrText xml:space="preserve"> HYPERLINK \l "_Toc27078" </w:instrText>
      </w:r>
      <w:r>
        <w:rPr>
          <w:highlight w:val="none"/>
        </w:rPr>
        <w:fldChar w:fldCharType="separate"/>
      </w:r>
      <w:r>
        <w:rPr>
          <w:rFonts w:hint="eastAsia" w:ascii="宋体" w:hAnsi="宋体" w:cs="宋体"/>
          <w:sz w:val="28"/>
          <w:szCs w:val="28"/>
          <w:highlight w:val="none"/>
        </w:rPr>
        <w:t>二、投标须知修改表</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_Toc27078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13</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6D9A3892">
      <w:pPr>
        <w:pStyle w:val="28"/>
        <w:tabs>
          <w:tab w:val="right" w:leader="dot" w:pos="9070"/>
          <w:tab w:val="clear" w:pos="9060"/>
        </w:tabs>
        <w:ind w:left="0" w:leftChars="0" w:firstLine="480" w:firstLineChars="200"/>
        <w:rPr>
          <w:rFonts w:ascii="宋体" w:hAnsi="宋体" w:cs="宋体"/>
          <w:sz w:val="28"/>
          <w:szCs w:val="28"/>
          <w:highlight w:val="none"/>
        </w:rPr>
      </w:pPr>
      <w:r>
        <w:rPr>
          <w:highlight w:val="none"/>
        </w:rPr>
        <w:fldChar w:fldCharType="begin"/>
      </w:r>
      <w:r>
        <w:rPr>
          <w:highlight w:val="none"/>
        </w:rPr>
        <w:instrText xml:space="preserve"> HYPERLINK \l "_Toc27084" </w:instrText>
      </w:r>
      <w:r>
        <w:rPr>
          <w:highlight w:val="none"/>
        </w:rPr>
        <w:fldChar w:fldCharType="separate"/>
      </w:r>
      <w:r>
        <w:rPr>
          <w:rFonts w:hint="eastAsia" w:ascii="宋体" w:hAnsi="宋体" w:cs="宋体"/>
          <w:sz w:val="28"/>
          <w:szCs w:val="28"/>
          <w:highlight w:val="none"/>
        </w:rPr>
        <w:t>三、投标须知通用条款</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_Toc27084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30</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507939B1">
      <w:pPr>
        <w:pStyle w:val="17"/>
        <w:tabs>
          <w:tab w:val="right" w:leader="dot" w:pos="9070"/>
        </w:tabs>
        <w:ind w:left="0" w:leftChars="0" w:firstLine="720" w:firstLineChars="300"/>
        <w:rPr>
          <w:rFonts w:ascii="宋体" w:hAnsi="宋体" w:cs="宋体"/>
          <w:sz w:val="28"/>
          <w:szCs w:val="28"/>
          <w:highlight w:val="none"/>
        </w:rPr>
      </w:pPr>
      <w:r>
        <w:rPr>
          <w:highlight w:val="none"/>
        </w:rPr>
        <w:fldChar w:fldCharType="begin"/>
      </w:r>
      <w:r>
        <w:rPr>
          <w:highlight w:val="none"/>
        </w:rPr>
        <w:instrText xml:space="preserve"> HYPERLINK \l "_Toc6197" </w:instrText>
      </w:r>
      <w:r>
        <w:rPr>
          <w:highlight w:val="none"/>
        </w:rPr>
        <w:fldChar w:fldCharType="separate"/>
      </w:r>
      <w:r>
        <w:rPr>
          <w:rFonts w:hint="eastAsia" w:ascii="宋体" w:hAnsi="宋体" w:cs="宋体"/>
          <w:sz w:val="28"/>
          <w:szCs w:val="28"/>
          <w:highlight w:val="none"/>
        </w:rPr>
        <w:t>（一）总则</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_Toc6197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30</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55A7107E">
      <w:pPr>
        <w:pStyle w:val="17"/>
        <w:tabs>
          <w:tab w:val="right" w:leader="dot" w:pos="9070"/>
        </w:tabs>
        <w:ind w:left="0" w:leftChars="0" w:firstLine="720" w:firstLineChars="300"/>
        <w:rPr>
          <w:rFonts w:ascii="宋体" w:hAnsi="宋体" w:cs="宋体"/>
          <w:sz w:val="28"/>
          <w:szCs w:val="28"/>
          <w:highlight w:val="none"/>
        </w:rPr>
      </w:pPr>
      <w:r>
        <w:rPr>
          <w:highlight w:val="none"/>
        </w:rPr>
        <w:fldChar w:fldCharType="begin"/>
      </w:r>
      <w:r>
        <w:rPr>
          <w:highlight w:val="none"/>
        </w:rPr>
        <w:instrText xml:space="preserve"> HYPERLINK \l "_Toc31735" </w:instrText>
      </w:r>
      <w:r>
        <w:rPr>
          <w:highlight w:val="none"/>
        </w:rPr>
        <w:fldChar w:fldCharType="separate"/>
      </w:r>
      <w:r>
        <w:rPr>
          <w:rFonts w:hint="eastAsia" w:ascii="宋体" w:hAnsi="宋体" w:cs="宋体"/>
          <w:sz w:val="28"/>
          <w:szCs w:val="28"/>
          <w:highlight w:val="none"/>
        </w:rPr>
        <w:t>（二）招标文件</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_Toc31735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05309FC6">
      <w:pPr>
        <w:pStyle w:val="17"/>
        <w:tabs>
          <w:tab w:val="right" w:leader="dot" w:pos="9070"/>
        </w:tabs>
        <w:ind w:left="0" w:leftChars="0" w:firstLine="720" w:firstLineChars="300"/>
        <w:rPr>
          <w:rFonts w:ascii="宋体" w:hAnsi="宋体" w:cs="宋体"/>
          <w:sz w:val="28"/>
          <w:szCs w:val="28"/>
          <w:highlight w:val="none"/>
        </w:rPr>
      </w:pPr>
      <w:r>
        <w:rPr>
          <w:highlight w:val="none"/>
        </w:rPr>
        <w:fldChar w:fldCharType="begin"/>
      </w:r>
      <w:r>
        <w:rPr>
          <w:highlight w:val="none"/>
        </w:rPr>
        <w:instrText xml:space="preserve"> HYPERLINK \l "_Toc21612" </w:instrText>
      </w:r>
      <w:r>
        <w:rPr>
          <w:highlight w:val="none"/>
        </w:rPr>
        <w:fldChar w:fldCharType="separate"/>
      </w:r>
      <w:r>
        <w:rPr>
          <w:rFonts w:hint="eastAsia" w:ascii="宋体" w:hAnsi="宋体" w:cs="宋体"/>
          <w:sz w:val="28"/>
          <w:szCs w:val="28"/>
          <w:highlight w:val="none"/>
        </w:rPr>
        <w:t>（三）投标文件的编制</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_Toc21612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356E14EB">
      <w:pPr>
        <w:pStyle w:val="17"/>
        <w:tabs>
          <w:tab w:val="right" w:leader="dot" w:pos="9070"/>
        </w:tabs>
        <w:ind w:left="0" w:leftChars="0" w:firstLine="720" w:firstLineChars="300"/>
        <w:rPr>
          <w:rFonts w:ascii="宋体" w:hAnsi="宋体" w:cs="宋体"/>
          <w:sz w:val="28"/>
          <w:szCs w:val="28"/>
          <w:highlight w:val="none"/>
        </w:rPr>
      </w:pPr>
      <w:r>
        <w:rPr>
          <w:highlight w:val="none"/>
        </w:rPr>
        <w:fldChar w:fldCharType="begin"/>
      </w:r>
      <w:r>
        <w:rPr>
          <w:highlight w:val="none"/>
        </w:rPr>
        <w:instrText xml:space="preserve"> HYPERLINK \l "_Toc3533" </w:instrText>
      </w:r>
      <w:r>
        <w:rPr>
          <w:highlight w:val="none"/>
        </w:rPr>
        <w:fldChar w:fldCharType="separate"/>
      </w:r>
      <w:r>
        <w:rPr>
          <w:rFonts w:hint="eastAsia" w:ascii="宋体" w:hAnsi="宋体" w:cs="宋体"/>
          <w:sz w:val="28"/>
          <w:szCs w:val="28"/>
          <w:highlight w:val="none"/>
        </w:rPr>
        <w:t>（四）投标文件的提交</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_Toc3533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40</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5B2558BB">
      <w:pPr>
        <w:pStyle w:val="17"/>
        <w:tabs>
          <w:tab w:val="right" w:leader="dot" w:pos="9070"/>
        </w:tabs>
        <w:ind w:left="0" w:leftChars="0" w:firstLine="720" w:firstLineChars="300"/>
        <w:rPr>
          <w:rFonts w:ascii="宋体" w:hAnsi="宋体" w:cs="宋体"/>
          <w:sz w:val="28"/>
          <w:szCs w:val="28"/>
          <w:highlight w:val="none"/>
        </w:rPr>
      </w:pPr>
      <w:r>
        <w:rPr>
          <w:highlight w:val="none"/>
        </w:rPr>
        <w:fldChar w:fldCharType="begin"/>
      </w:r>
      <w:r>
        <w:rPr>
          <w:highlight w:val="none"/>
        </w:rPr>
        <w:instrText xml:space="preserve"> HYPERLINK \l "_Toc28573" </w:instrText>
      </w:r>
      <w:r>
        <w:rPr>
          <w:highlight w:val="none"/>
        </w:rPr>
        <w:fldChar w:fldCharType="separate"/>
      </w:r>
      <w:r>
        <w:rPr>
          <w:rFonts w:hint="eastAsia" w:ascii="宋体" w:hAnsi="宋体" w:cs="宋体"/>
          <w:sz w:val="28"/>
          <w:szCs w:val="28"/>
          <w:highlight w:val="none"/>
        </w:rPr>
        <w:t>（五）开标、评标、定标及合同签定</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_Toc28573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42C9E436">
      <w:pPr>
        <w:pStyle w:val="25"/>
        <w:tabs>
          <w:tab w:val="right" w:leader="dot" w:pos="9070"/>
          <w:tab w:val="clear" w:pos="9060"/>
        </w:tabs>
        <w:rPr>
          <w:rFonts w:cs="宋体"/>
          <w:sz w:val="28"/>
          <w:szCs w:val="28"/>
          <w:highlight w:val="none"/>
        </w:rPr>
      </w:pPr>
      <w:r>
        <w:rPr>
          <w:highlight w:val="none"/>
        </w:rPr>
        <w:fldChar w:fldCharType="begin"/>
      </w:r>
      <w:r>
        <w:rPr>
          <w:highlight w:val="none"/>
        </w:rPr>
        <w:instrText xml:space="preserve"> HYPERLINK \l "_Toc24011" </w:instrText>
      </w:r>
      <w:r>
        <w:rPr>
          <w:highlight w:val="none"/>
        </w:rPr>
        <w:fldChar w:fldCharType="separate"/>
      </w:r>
      <w:r>
        <w:rPr>
          <w:rFonts w:hint="eastAsia" w:cs="宋体"/>
          <w:sz w:val="28"/>
          <w:szCs w:val="28"/>
          <w:highlight w:val="none"/>
        </w:rPr>
        <w:t>第二章  开标、评标及定标办法</w:t>
      </w:r>
      <w:r>
        <w:rPr>
          <w:rFonts w:hint="eastAsia" w:cs="宋体"/>
          <w:sz w:val="28"/>
          <w:szCs w:val="28"/>
          <w:highlight w:val="none"/>
        </w:rPr>
        <w:tab/>
      </w:r>
      <w:r>
        <w:rPr>
          <w:rFonts w:hint="eastAsia" w:cs="宋体"/>
          <w:sz w:val="28"/>
          <w:szCs w:val="28"/>
          <w:highlight w:val="none"/>
        </w:rPr>
        <w:fldChar w:fldCharType="begin"/>
      </w:r>
      <w:r>
        <w:rPr>
          <w:rFonts w:hint="eastAsia" w:cs="宋体"/>
          <w:sz w:val="28"/>
          <w:szCs w:val="28"/>
          <w:highlight w:val="none"/>
        </w:rPr>
        <w:instrText xml:space="preserve"> PAGEREF _Toc24011 \h </w:instrText>
      </w:r>
      <w:r>
        <w:rPr>
          <w:rFonts w:hint="eastAsia" w:cs="宋体"/>
          <w:sz w:val="28"/>
          <w:szCs w:val="28"/>
          <w:highlight w:val="none"/>
        </w:rPr>
        <w:fldChar w:fldCharType="separate"/>
      </w:r>
      <w:r>
        <w:rPr>
          <w:rFonts w:hint="eastAsia" w:cs="宋体"/>
          <w:sz w:val="28"/>
          <w:szCs w:val="28"/>
          <w:highlight w:val="none"/>
        </w:rPr>
        <w:t>44</w:t>
      </w:r>
      <w:r>
        <w:rPr>
          <w:rFonts w:hint="eastAsia" w:cs="宋体"/>
          <w:sz w:val="28"/>
          <w:szCs w:val="28"/>
          <w:highlight w:val="none"/>
        </w:rPr>
        <w:fldChar w:fldCharType="end"/>
      </w:r>
      <w:r>
        <w:rPr>
          <w:rFonts w:hint="eastAsia" w:cs="宋体"/>
          <w:sz w:val="28"/>
          <w:szCs w:val="28"/>
          <w:highlight w:val="none"/>
        </w:rPr>
        <w:fldChar w:fldCharType="end"/>
      </w:r>
    </w:p>
    <w:p w14:paraId="5644C322">
      <w:pPr>
        <w:pStyle w:val="28"/>
        <w:tabs>
          <w:tab w:val="right" w:leader="dot" w:pos="9070"/>
          <w:tab w:val="clear" w:pos="9060"/>
        </w:tabs>
        <w:ind w:left="0" w:leftChars="0" w:firstLine="480" w:firstLineChars="200"/>
        <w:rPr>
          <w:rFonts w:ascii="宋体" w:hAnsi="宋体" w:cs="宋体"/>
          <w:sz w:val="28"/>
          <w:szCs w:val="28"/>
          <w:highlight w:val="none"/>
        </w:rPr>
      </w:pPr>
      <w:r>
        <w:rPr>
          <w:highlight w:val="none"/>
        </w:rPr>
        <w:fldChar w:fldCharType="begin"/>
      </w:r>
      <w:r>
        <w:rPr>
          <w:highlight w:val="none"/>
        </w:rPr>
        <w:instrText xml:space="preserve"> HYPERLINK \l "_Toc24598" </w:instrText>
      </w:r>
      <w:r>
        <w:rPr>
          <w:highlight w:val="none"/>
        </w:rPr>
        <w:fldChar w:fldCharType="separate"/>
      </w:r>
      <w:r>
        <w:rPr>
          <w:rFonts w:hint="eastAsia" w:ascii="宋体" w:hAnsi="宋体" w:cs="宋体"/>
          <w:sz w:val="28"/>
          <w:szCs w:val="28"/>
          <w:highlight w:val="none"/>
        </w:rPr>
        <w:t>一、开标、评标及定标办法修改表</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_Toc24598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44</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26FECF30">
      <w:pPr>
        <w:pStyle w:val="28"/>
        <w:tabs>
          <w:tab w:val="right" w:leader="dot" w:pos="9070"/>
          <w:tab w:val="clear" w:pos="9060"/>
        </w:tabs>
        <w:ind w:left="0" w:leftChars="0" w:firstLine="480" w:firstLineChars="200"/>
        <w:rPr>
          <w:rFonts w:ascii="宋体" w:hAnsi="宋体" w:cs="宋体"/>
          <w:sz w:val="28"/>
          <w:szCs w:val="28"/>
          <w:highlight w:val="none"/>
        </w:rPr>
      </w:pPr>
      <w:r>
        <w:rPr>
          <w:highlight w:val="none"/>
        </w:rPr>
        <w:fldChar w:fldCharType="begin"/>
      </w:r>
      <w:r>
        <w:rPr>
          <w:highlight w:val="none"/>
        </w:rPr>
        <w:instrText xml:space="preserve"> HYPERLINK \l "_Toc7074" </w:instrText>
      </w:r>
      <w:r>
        <w:rPr>
          <w:highlight w:val="none"/>
        </w:rPr>
        <w:fldChar w:fldCharType="separate"/>
      </w:r>
      <w:r>
        <w:rPr>
          <w:rFonts w:hint="eastAsia" w:ascii="宋体" w:hAnsi="宋体" w:cs="宋体"/>
          <w:sz w:val="28"/>
          <w:szCs w:val="28"/>
          <w:highlight w:val="none"/>
        </w:rPr>
        <w:t>二、开标、评标及定标办法通用条款</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_Toc7074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57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185F2421">
      <w:pPr>
        <w:pStyle w:val="17"/>
        <w:tabs>
          <w:tab w:val="right" w:leader="dot" w:pos="9070"/>
        </w:tabs>
        <w:ind w:left="0" w:leftChars="0" w:firstLine="720" w:firstLineChars="300"/>
        <w:rPr>
          <w:rFonts w:ascii="宋体" w:hAnsi="宋体" w:cs="宋体"/>
          <w:sz w:val="28"/>
          <w:szCs w:val="28"/>
          <w:highlight w:val="none"/>
        </w:rPr>
      </w:pPr>
      <w:r>
        <w:rPr>
          <w:highlight w:val="none"/>
        </w:rPr>
        <w:fldChar w:fldCharType="begin"/>
      </w:r>
      <w:r>
        <w:rPr>
          <w:highlight w:val="none"/>
        </w:rPr>
        <w:instrText xml:space="preserve"> HYPERLINK \l "_Toc26336" </w:instrText>
      </w:r>
      <w:r>
        <w:rPr>
          <w:highlight w:val="none"/>
        </w:rPr>
        <w:fldChar w:fldCharType="separate"/>
      </w:r>
      <w:r>
        <w:rPr>
          <w:rFonts w:hint="eastAsia" w:ascii="宋体" w:hAnsi="宋体" w:cs="宋体"/>
          <w:sz w:val="28"/>
          <w:szCs w:val="28"/>
          <w:highlight w:val="none"/>
        </w:rPr>
        <w:t>（一）总则</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_Toc26336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57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14F9C89A">
      <w:pPr>
        <w:pStyle w:val="17"/>
        <w:tabs>
          <w:tab w:val="right" w:leader="dot" w:pos="9070"/>
        </w:tabs>
        <w:ind w:left="0" w:leftChars="0" w:firstLine="720" w:firstLineChars="300"/>
        <w:rPr>
          <w:rFonts w:ascii="宋体" w:hAnsi="宋体" w:cs="宋体"/>
          <w:sz w:val="28"/>
          <w:szCs w:val="28"/>
          <w:highlight w:val="none"/>
        </w:rPr>
      </w:pPr>
      <w:r>
        <w:rPr>
          <w:highlight w:val="none"/>
        </w:rPr>
        <w:fldChar w:fldCharType="begin"/>
      </w:r>
      <w:r>
        <w:rPr>
          <w:highlight w:val="none"/>
        </w:rPr>
        <w:instrText xml:space="preserve"> HYPERLINK \l "_Toc31731" </w:instrText>
      </w:r>
      <w:r>
        <w:rPr>
          <w:highlight w:val="none"/>
        </w:rPr>
        <w:fldChar w:fldCharType="separate"/>
      </w:r>
      <w:r>
        <w:rPr>
          <w:rFonts w:hint="eastAsia" w:ascii="宋体" w:hAnsi="宋体" w:cs="宋体"/>
          <w:sz w:val="28"/>
          <w:szCs w:val="28"/>
          <w:highlight w:val="none"/>
        </w:rPr>
        <w:t>（二）开标评标办法程序和细则</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_Toc31731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59</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4D9181C7">
      <w:pPr>
        <w:pStyle w:val="17"/>
        <w:tabs>
          <w:tab w:val="right" w:leader="dot" w:pos="9070"/>
        </w:tabs>
        <w:ind w:left="0" w:leftChars="0" w:firstLine="720" w:firstLineChars="300"/>
        <w:rPr>
          <w:rFonts w:ascii="宋体" w:hAnsi="宋体" w:cs="宋体"/>
          <w:sz w:val="28"/>
          <w:szCs w:val="28"/>
          <w:highlight w:val="none"/>
        </w:rPr>
      </w:pPr>
      <w:r>
        <w:rPr>
          <w:highlight w:val="none"/>
        </w:rPr>
        <w:fldChar w:fldCharType="begin"/>
      </w:r>
      <w:r>
        <w:rPr>
          <w:highlight w:val="none"/>
        </w:rPr>
        <w:instrText xml:space="preserve"> HYPERLINK \l "_Toc18181" </w:instrText>
      </w:r>
      <w:r>
        <w:rPr>
          <w:highlight w:val="none"/>
        </w:rPr>
        <w:fldChar w:fldCharType="separate"/>
      </w:r>
      <w:r>
        <w:rPr>
          <w:rFonts w:hint="eastAsia" w:ascii="宋体" w:hAnsi="宋体" w:cs="宋体"/>
          <w:sz w:val="28"/>
          <w:szCs w:val="28"/>
          <w:highlight w:val="none"/>
        </w:rPr>
        <w:t>可选办法六（适合综合评分法三，技术标与经济标同时开启）</w:t>
      </w:r>
      <w:r>
        <w:rPr>
          <w:rFonts w:hint="eastAsia" w:ascii="宋体" w:hAnsi="宋体" w:cs="宋体"/>
          <w:sz w:val="28"/>
          <w:szCs w:val="28"/>
          <w:highlight w:val="none"/>
        </w:rPr>
        <w:tab/>
      </w:r>
      <w:r>
        <w:rPr>
          <w:rFonts w:hint="eastAsia" w:ascii="宋体" w:hAnsi="宋体" w:cs="宋体"/>
          <w:sz w:val="28"/>
          <w:szCs w:val="28"/>
          <w:highlight w:val="none"/>
        </w:rPr>
        <w:t>60</w:t>
      </w:r>
      <w:r>
        <w:rPr>
          <w:rFonts w:hint="eastAsia" w:ascii="宋体" w:hAnsi="宋体" w:cs="宋体"/>
          <w:sz w:val="28"/>
          <w:szCs w:val="28"/>
          <w:highlight w:val="none"/>
        </w:rPr>
        <w:fldChar w:fldCharType="end"/>
      </w:r>
    </w:p>
    <w:p w14:paraId="622C9438">
      <w:pPr>
        <w:pStyle w:val="25"/>
        <w:tabs>
          <w:tab w:val="right" w:leader="dot" w:pos="9070"/>
          <w:tab w:val="clear" w:pos="9060"/>
        </w:tabs>
        <w:rPr>
          <w:rFonts w:cs="宋体"/>
          <w:sz w:val="28"/>
          <w:szCs w:val="28"/>
          <w:highlight w:val="none"/>
        </w:rPr>
      </w:pPr>
      <w:r>
        <w:rPr>
          <w:highlight w:val="none"/>
        </w:rPr>
        <w:fldChar w:fldCharType="begin"/>
      </w:r>
      <w:r>
        <w:rPr>
          <w:highlight w:val="none"/>
        </w:rPr>
        <w:instrText xml:space="preserve"> HYPERLINK \l "_Toc11264" </w:instrText>
      </w:r>
      <w:r>
        <w:rPr>
          <w:highlight w:val="none"/>
        </w:rPr>
        <w:fldChar w:fldCharType="separate"/>
      </w:r>
      <w:r>
        <w:rPr>
          <w:rFonts w:hint="eastAsia" w:cs="宋体"/>
          <w:sz w:val="28"/>
          <w:szCs w:val="28"/>
          <w:highlight w:val="none"/>
        </w:rPr>
        <w:t>第三章  合同条款</w:t>
      </w:r>
      <w:r>
        <w:rPr>
          <w:rFonts w:hint="eastAsia" w:cs="宋体"/>
          <w:sz w:val="28"/>
          <w:szCs w:val="28"/>
          <w:highlight w:val="none"/>
        </w:rPr>
        <w:tab/>
      </w:r>
      <w:r>
        <w:rPr>
          <w:rFonts w:hint="eastAsia" w:cs="宋体"/>
          <w:sz w:val="28"/>
          <w:szCs w:val="28"/>
          <w:highlight w:val="none"/>
        </w:rPr>
        <w:fldChar w:fldCharType="begin"/>
      </w:r>
      <w:r>
        <w:rPr>
          <w:rFonts w:hint="eastAsia" w:cs="宋体"/>
          <w:sz w:val="28"/>
          <w:szCs w:val="28"/>
          <w:highlight w:val="none"/>
        </w:rPr>
        <w:instrText xml:space="preserve"> PAGEREF _Toc11264 \h </w:instrText>
      </w:r>
      <w:r>
        <w:rPr>
          <w:rFonts w:hint="eastAsia" w:cs="宋体"/>
          <w:sz w:val="28"/>
          <w:szCs w:val="28"/>
          <w:highlight w:val="none"/>
        </w:rPr>
        <w:fldChar w:fldCharType="separate"/>
      </w:r>
      <w:r>
        <w:rPr>
          <w:rFonts w:hint="eastAsia" w:cs="宋体"/>
          <w:sz w:val="28"/>
          <w:szCs w:val="28"/>
          <w:highlight w:val="none"/>
        </w:rPr>
        <w:t>82</w:t>
      </w:r>
      <w:r>
        <w:rPr>
          <w:rFonts w:hint="eastAsia" w:cs="宋体"/>
          <w:sz w:val="28"/>
          <w:szCs w:val="28"/>
          <w:highlight w:val="none"/>
        </w:rPr>
        <w:fldChar w:fldCharType="end"/>
      </w:r>
      <w:r>
        <w:rPr>
          <w:rFonts w:hint="eastAsia" w:cs="宋体"/>
          <w:sz w:val="28"/>
          <w:szCs w:val="28"/>
          <w:highlight w:val="none"/>
        </w:rPr>
        <w:fldChar w:fldCharType="end"/>
      </w:r>
    </w:p>
    <w:p w14:paraId="633F1BE2">
      <w:pPr>
        <w:pStyle w:val="25"/>
        <w:tabs>
          <w:tab w:val="right" w:leader="dot" w:pos="9070"/>
          <w:tab w:val="clear" w:pos="9060"/>
        </w:tabs>
        <w:rPr>
          <w:rFonts w:cs="宋体"/>
          <w:sz w:val="28"/>
          <w:szCs w:val="28"/>
          <w:highlight w:val="none"/>
        </w:rPr>
      </w:pPr>
      <w:r>
        <w:rPr>
          <w:highlight w:val="none"/>
        </w:rPr>
        <w:fldChar w:fldCharType="begin"/>
      </w:r>
      <w:r>
        <w:rPr>
          <w:highlight w:val="none"/>
        </w:rPr>
        <w:instrText xml:space="preserve"> HYPERLINK \l "_Toc6310" </w:instrText>
      </w:r>
      <w:r>
        <w:rPr>
          <w:highlight w:val="none"/>
        </w:rPr>
        <w:fldChar w:fldCharType="separate"/>
      </w:r>
      <w:r>
        <w:rPr>
          <w:rFonts w:hint="eastAsia" w:cs="宋体"/>
          <w:sz w:val="28"/>
          <w:szCs w:val="28"/>
          <w:highlight w:val="none"/>
        </w:rPr>
        <w:t>第四章  投标文件格式</w:t>
      </w:r>
      <w:r>
        <w:rPr>
          <w:rFonts w:hint="eastAsia" w:cs="宋体"/>
          <w:sz w:val="28"/>
          <w:szCs w:val="28"/>
          <w:highlight w:val="none"/>
        </w:rPr>
        <w:tab/>
      </w:r>
      <w:r>
        <w:rPr>
          <w:rFonts w:hint="eastAsia" w:cs="宋体"/>
          <w:sz w:val="28"/>
          <w:szCs w:val="28"/>
          <w:highlight w:val="none"/>
        </w:rPr>
        <w:fldChar w:fldCharType="begin"/>
      </w:r>
      <w:r>
        <w:rPr>
          <w:rFonts w:hint="eastAsia" w:cs="宋体"/>
          <w:sz w:val="28"/>
          <w:szCs w:val="28"/>
          <w:highlight w:val="none"/>
        </w:rPr>
        <w:instrText xml:space="preserve"> PAGEREF _Toc6310 \h </w:instrText>
      </w:r>
      <w:r>
        <w:rPr>
          <w:rFonts w:hint="eastAsia" w:cs="宋体"/>
          <w:sz w:val="28"/>
          <w:szCs w:val="28"/>
          <w:highlight w:val="none"/>
        </w:rPr>
        <w:fldChar w:fldCharType="separate"/>
      </w:r>
      <w:r>
        <w:rPr>
          <w:rFonts w:hint="eastAsia" w:cs="宋体"/>
          <w:sz w:val="28"/>
          <w:szCs w:val="28"/>
          <w:highlight w:val="none"/>
        </w:rPr>
        <w:t>90</w:t>
      </w:r>
      <w:r>
        <w:rPr>
          <w:rFonts w:hint="eastAsia" w:cs="宋体"/>
          <w:sz w:val="28"/>
          <w:szCs w:val="28"/>
          <w:highlight w:val="none"/>
        </w:rPr>
        <w:fldChar w:fldCharType="end"/>
      </w:r>
      <w:r>
        <w:rPr>
          <w:rFonts w:hint="eastAsia" w:cs="宋体"/>
          <w:sz w:val="28"/>
          <w:szCs w:val="28"/>
          <w:highlight w:val="none"/>
        </w:rPr>
        <w:fldChar w:fldCharType="end"/>
      </w:r>
    </w:p>
    <w:p w14:paraId="071D8A64">
      <w:pPr>
        <w:pStyle w:val="28"/>
        <w:tabs>
          <w:tab w:val="right" w:leader="dot" w:pos="9070"/>
          <w:tab w:val="clear" w:pos="9060"/>
        </w:tabs>
        <w:ind w:left="0" w:leftChars="0" w:firstLine="480" w:firstLineChars="200"/>
        <w:rPr>
          <w:rFonts w:ascii="宋体" w:hAnsi="宋体" w:cs="宋体"/>
          <w:sz w:val="28"/>
          <w:szCs w:val="28"/>
          <w:highlight w:val="none"/>
        </w:rPr>
      </w:pPr>
      <w:r>
        <w:rPr>
          <w:highlight w:val="none"/>
        </w:rPr>
        <w:fldChar w:fldCharType="begin"/>
      </w:r>
      <w:r>
        <w:rPr>
          <w:highlight w:val="none"/>
        </w:rPr>
        <w:instrText xml:space="preserve"> HYPERLINK \l "_Toc9856" </w:instrText>
      </w:r>
      <w:r>
        <w:rPr>
          <w:highlight w:val="none"/>
        </w:rPr>
        <w:fldChar w:fldCharType="separate"/>
      </w:r>
      <w:r>
        <w:rPr>
          <w:rFonts w:hint="eastAsia" w:ascii="宋体" w:hAnsi="宋体" w:cs="宋体"/>
          <w:sz w:val="28"/>
          <w:szCs w:val="28"/>
          <w:highlight w:val="none"/>
        </w:rPr>
        <w:t>一、技术标投标文件格式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_Toc9856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90</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1352D747">
      <w:pPr>
        <w:pStyle w:val="28"/>
        <w:tabs>
          <w:tab w:val="right" w:leader="dot" w:pos="9070"/>
          <w:tab w:val="clear" w:pos="9060"/>
        </w:tabs>
        <w:ind w:left="0" w:leftChars="0" w:firstLine="480" w:firstLineChars="200"/>
        <w:rPr>
          <w:rFonts w:ascii="宋体" w:hAnsi="宋体" w:cs="宋体"/>
          <w:sz w:val="28"/>
          <w:szCs w:val="28"/>
          <w:highlight w:val="none"/>
        </w:rPr>
      </w:pPr>
      <w:r>
        <w:rPr>
          <w:highlight w:val="none"/>
        </w:rPr>
        <w:fldChar w:fldCharType="begin"/>
      </w:r>
      <w:r>
        <w:rPr>
          <w:highlight w:val="none"/>
        </w:rPr>
        <w:instrText xml:space="preserve"> HYPERLINK \l "_Toc23301" </w:instrText>
      </w:r>
      <w:r>
        <w:rPr>
          <w:highlight w:val="none"/>
        </w:rPr>
        <w:fldChar w:fldCharType="separate"/>
      </w:r>
      <w:r>
        <w:rPr>
          <w:rFonts w:hint="eastAsia" w:ascii="宋体" w:hAnsi="宋体" w:cs="宋体"/>
          <w:sz w:val="28"/>
          <w:szCs w:val="28"/>
          <w:highlight w:val="none"/>
        </w:rPr>
        <w:t>二、经济标投标文件格式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_Toc23301 \h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106</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14:paraId="6C197411">
      <w:pPr>
        <w:pStyle w:val="25"/>
        <w:tabs>
          <w:tab w:val="right" w:leader="dot" w:pos="9070"/>
          <w:tab w:val="clear" w:pos="9060"/>
        </w:tabs>
        <w:rPr>
          <w:rFonts w:cs="宋体"/>
          <w:sz w:val="28"/>
          <w:szCs w:val="28"/>
          <w:highlight w:val="none"/>
        </w:rPr>
      </w:pPr>
      <w:r>
        <w:rPr>
          <w:highlight w:val="none"/>
        </w:rPr>
        <w:fldChar w:fldCharType="begin"/>
      </w:r>
      <w:r>
        <w:rPr>
          <w:highlight w:val="none"/>
        </w:rPr>
        <w:instrText xml:space="preserve"> HYPERLINK \l "_Toc31919" </w:instrText>
      </w:r>
      <w:r>
        <w:rPr>
          <w:highlight w:val="none"/>
        </w:rPr>
        <w:fldChar w:fldCharType="separate"/>
      </w:r>
      <w:r>
        <w:rPr>
          <w:rFonts w:hint="eastAsia" w:cs="宋体"/>
          <w:sz w:val="28"/>
          <w:szCs w:val="28"/>
          <w:highlight w:val="none"/>
        </w:rPr>
        <w:t>第五章  技术条件（工程建设标准）</w:t>
      </w:r>
      <w:r>
        <w:rPr>
          <w:rFonts w:hint="eastAsia" w:cs="宋体"/>
          <w:sz w:val="28"/>
          <w:szCs w:val="28"/>
          <w:highlight w:val="none"/>
        </w:rPr>
        <w:tab/>
      </w:r>
      <w:r>
        <w:rPr>
          <w:rFonts w:hint="eastAsia" w:cs="宋体"/>
          <w:sz w:val="28"/>
          <w:szCs w:val="28"/>
          <w:highlight w:val="none"/>
        </w:rPr>
        <w:fldChar w:fldCharType="begin"/>
      </w:r>
      <w:r>
        <w:rPr>
          <w:rFonts w:hint="eastAsia" w:cs="宋体"/>
          <w:sz w:val="28"/>
          <w:szCs w:val="28"/>
          <w:highlight w:val="none"/>
        </w:rPr>
        <w:instrText xml:space="preserve"> PAGEREF _Toc31919 \h </w:instrText>
      </w:r>
      <w:r>
        <w:rPr>
          <w:rFonts w:hint="eastAsia" w:cs="宋体"/>
          <w:sz w:val="28"/>
          <w:szCs w:val="28"/>
          <w:highlight w:val="none"/>
        </w:rPr>
        <w:fldChar w:fldCharType="separate"/>
      </w:r>
      <w:r>
        <w:rPr>
          <w:rFonts w:hint="eastAsia" w:cs="宋体"/>
          <w:sz w:val="28"/>
          <w:szCs w:val="28"/>
          <w:highlight w:val="none"/>
        </w:rPr>
        <w:t>112</w:t>
      </w:r>
      <w:r>
        <w:rPr>
          <w:rFonts w:hint="eastAsia" w:cs="宋体"/>
          <w:sz w:val="28"/>
          <w:szCs w:val="28"/>
          <w:highlight w:val="none"/>
        </w:rPr>
        <w:fldChar w:fldCharType="end"/>
      </w:r>
      <w:r>
        <w:rPr>
          <w:rFonts w:hint="eastAsia" w:cs="宋体"/>
          <w:sz w:val="28"/>
          <w:szCs w:val="28"/>
          <w:highlight w:val="none"/>
        </w:rPr>
        <w:fldChar w:fldCharType="end"/>
      </w:r>
    </w:p>
    <w:p w14:paraId="27868FA3">
      <w:pPr>
        <w:pStyle w:val="25"/>
        <w:tabs>
          <w:tab w:val="right" w:leader="dot" w:pos="9070"/>
          <w:tab w:val="clear" w:pos="9060"/>
        </w:tabs>
        <w:rPr>
          <w:rFonts w:cs="宋体"/>
          <w:sz w:val="28"/>
          <w:szCs w:val="28"/>
          <w:highlight w:val="none"/>
        </w:rPr>
      </w:pPr>
      <w:r>
        <w:rPr>
          <w:highlight w:val="none"/>
        </w:rPr>
        <w:fldChar w:fldCharType="begin"/>
      </w:r>
      <w:r>
        <w:rPr>
          <w:highlight w:val="none"/>
        </w:rPr>
        <w:instrText xml:space="preserve"> HYPERLINK \l "_Toc9697" </w:instrText>
      </w:r>
      <w:r>
        <w:rPr>
          <w:highlight w:val="none"/>
        </w:rPr>
        <w:fldChar w:fldCharType="separate"/>
      </w:r>
      <w:r>
        <w:rPr>
          <w:rFonts w:hint="eastAsia" w:cs="宋体"/>
          <w:sz w:val="28"/>
          <w:szCs w:val="28"/>
          <w:highlight w:val="none"/>
        </w:rPr>
        <w:t>第六章  图纸及勘察资料</w:t>
      </w:r>
      <w:r>
        <w:rPr>
          <w:rFonts w:hint="eastAsia" w:cs="宋体"/>
          <w:sz w:val="28"/>
          <w:szCs w:val="28"/>
          <w:highlight w:val="none"/>
        </w:rPr>
        <w:tab/>
      </w:r>
      <w:r>
        <w:rPr>
          <w:rFonts w:hint="eastAsia" w:cs="宋体"/>
          <w:sz w:val="28"/>
          <w:szCs w:val="28"/>
          <w:highlight w:val="none"/>
        </w:rPr>
        <w:fldChar w:fldCharType="begin"/>
      </w:r>
      <w:r>
        <w:rPr>
          <w:rFonts w:hint="eastAsia" w:cs="宋体"/>
          <w:sz w:val="28"/>
          <w:szCs w:val="28"/>
          <w:highlight w:val="none"/>
        </w:rPr>
        <w:instrText xml:space="preserve"> PAGEREF _Toc9697 \h </w:instrText>
      </w:r>
      <w:r>
        <w:rPr>
          <w:rFonts w:hint="eastAsia" w:cs="宋体"/>
          <w:sz w:val="28"/>
          <w:szCs w:val="28"/>
          <w:highlight w:val="none"/>
        </w:rPr>
        <w:fldChar w:fldCharType="separate"/>
      </w:r>
      <w:r>
        <w:rPr>
          <w:rFonts w:hint="eastAsia" w:cs="宋体"/>
          <w:sz w:val="28"/>
          <w:szCs w:val="28"/>
          <w:highlight w:val="none"/>
        </w:rPr>
        <w:t>117</w:t>
      </w:r>
      <w:r>
        <w:rPr>
          <w:rFonts w:hint="eastAsia" w:cs="宋体"/>
          <w:sz w:val="28"/>
          <w:szCs w:val="28"/>
          <w:highlight w:val="none"/>
        </w:rPr>
        <w:fldChar w:fldCharType="end"/>
      </w:r>
      <w:r>
        <w:rPr>
          <w:rFonts w:hint="eastAsia" w:cs="宋体"/>
          <w:sz w:val="28"/>
          <w:szCs w:val="28"/>
          <w:highlight w:val="none"/>
        </w:rPr>
        <w:fldChar w:fldCharType="end"/>
      </w:r>
    </w:p>
    <w:p w14:paraId="70412393">
      <w:pPr>
        <w:pStyle w:val="25"/>
        <w:tabs>
          <w:tab w:val="right" w:leader="dot" w:pos="9070"/>
          <w:tab w:val="clear" w:pos="9060"/>
        </w:tabs>
        <w:rPr>
          <w:rFonts w:cs="宋体"/>
          <w:sz w:val="28"/>
          <w:szCs w:val="28"/>
          <w:highlight w:val="none"/>
        </w:rPr>
      </w:pPr>
      <w:r>
        <w:rPr>
          <w:highlight w:val="none"/>
        </w:rPr>
        <w:fldChar w:fldCharType="begin"/>
      </w:r>
      <w:r>
        <w:rPr>
          <w:highlight w:val="none"/>
        </w:rPr>
        <w:instrText xml:space="preserve"> HYPERLINK \l "_Toc5094" </w:instrText>
      </w:r>
      <w:r>
        <w:rPr>
          <w:highlight w:val="none"/>
        </w:rPr>
        <w:fldChar w:fldCharType="separate"/>
      </w:r>
      <w:r>
        <w:rPr>
          <w:rFonts w:hint="eastAsia" w:cs="宋体"/>
          <w:sz w:val="28"/>
          <w:szCs w:val="28"/>
          <w:highlight w:val="none"/>
        </w:rPr>
        <w:t>第七章  工程量清单</w:t>
      </w:r>
      <w:r>
        <w:rPr>
          <w:rFonts w:hint="eastAsia" w:cs="宋体"/>
          <w:sz w:val="28"/>
          <w:szCs w:val="28"/>
          <w:highlight w:val="none"/>
        </w:rPr>
        <w:tab/>
      </w:r>
      <w:r>
        <w:rPr>
          <w:rFonts w:hint="eastAsia" w:cs="宋体"/>
          <w:sz w:val="28"/>
          <w:szCs w:val="28"/>
          <w:highlight w:val="none"/>
        </w:rPr>
        <w:fldChar w:fldCharType="begin"/>
      </w:r>
      <w:r>
        <w:rPr>
          <w:rFonts w:hint="eastAsia" w:cs="宋体"/>
          <w:sz w:val="28"/>
          <w:szCs w:val="28"/>
          <w:highlight w:val="none"/>
        </w:rPr>
        <w:instrText xml:space="preserve"> PAGEREF _Toc5094 \h </w:instrText>
      </w:r>
      <w:r>
        <w:rPr>
          <w:rFonts w:hint="eastAsia" w:cs="宋体"/>
          <w:sz w:val="28"/>
          <w:szCs w:val="28"/>
          <w:highlight w:val="none"/>
        </w:rPr>
        <w:fldChar w:fldCharType="separate"/>
      </w:r>
      <w:r>
        <w:rPr>
          <w:rFonts w:hint="eastAsia" w:cs="宋体"/>
          <w:sz w:val="28"/>
          <w:szCs w:val="28"/>
          <w:highlight w:val="none"/>
        </w:rPr>
        <w:t>118</w:t>
      </w:r>
      <w:r>
        <w:rPr>
          <w:rFonts w:hint="eastAsia" w:cs="宋体"/>
          <w:sz w:val="28"/>
          <w:szCs w:val="28"/>
          <w:highlight w:val="none"/>
        </w:rPr>
        <w:fldChar w:fldCharType="end"/>
      </w:r>
      <w:r>
        <w:rPr>
          <w:rFonts w:hint="eastAsia" w:cs="宋体"/>
          <w:sz w:val="28"/>
          <w:szCs w:val="28"/>
          <w:highlight w:val="none"/>
        </w:rPr>
        <w:fldChar w:fldCharType="end"/>
      </w:r>
    </w:p>
    <w:p w14:paraId="0DFEA38F">
      <w:pPr>
        <w:pStyle w:val="25"/>
        <w:tabs>
          <w:tab w:val="right" w:leader="dot" w:pos="9070"/>
          <w:tab w:val="clear" w:pos="9060"/>
        </w:tabs>
        <w:rPr>
          <w:rFonts w:cs="宋体"/>
          <w:sz w:val="28"/>
          <w:szCs w:val="28"/>
          <w:highlight w:val="none"/>
        </w:rPr>
      </w:pPr>
      <w:r>
        <w:rPr>
          <w:highlight w:val="none"/>
        </w:rPr>
        <w:fldChar w:fldCharType="begin"/>
      </w:r>
      <w:r>
        <w:rPr>
          <w:highlight w:val="none"/>
        </w:rPr>
        <w:instrText xml:space="preserve"> HYPERLINK \l "_Toc19958" </w:instrText>
      </w:r>
      <w:r>
        <w:rPr>
          <w:highlight w:val="none"/>
        </w:rPr>
        <w:fldChar w:fldCharType="separate"/>
      </w:r>
      <w:r>
        <w:rPr>
          <w:rFonts w:hint="eastAsia" w:cs="宋体"/>
          <w:sz w:val="28"/>
          <w:szCs w:val="28"/>
          <w:highlight w:val="none"/>
        </w:rPr>
        <w:t>第八章  最高投标限价</w:t>
      </w:r>
      <w:r>
        <w:rPr>
          <w:rFonts w:hint="eastAsia" w:cs="宋体"/>
          <w:sz w:val="28"/>
          <w:szCs w:val="28"/>
          <w:highlight w:val="none"/>
        </w:rPr>
        <w:tab/>
      </w:r>
      <w:r>
        <w:rPr>
          <w:rFonts w:hint="eastAsia" w:cs="宋体"/>
          <w:sz w:val="28"/>
          <w:szCs w:val="28"/>
          <w:highlight w:val="none"/>
        </w:rPr>
        <w:fldChar w:fldCharType="begin"/>
      </w:r>
      <w:r>
        <w:rPr>
          <w:rFonts w:hint="eastAsia" w:cs="宋体"/>
          <w:sz w:val="28"/>
          <w:szCs w:val="28"/>
          <w:highlight w:val="none"/>
        </w:rPr>
        <w:instrText xml:space="preserve"> PAGEREF _Toc19958 \h </w:instrText>
      </w:r>
      <w:r>
        <w:rPr>
          <w:rFonts w:hint="eastAsia" w:cs="宋体"/>
          <w:sz w:val="28"/>
          <w:szCs w:val="28"/>
          <w:highlight w:val="none"/>
        </w:rPr>
        <w:fldChar w:fldCharType="separate"/>
      </w:r>
      <w:r>
        <w:rPr>
          <w:rFonts w:hint="eastAsia" w:cs="宋体"/>
          <w:sz w:val="28"/>
          <w:szCs w:val="28"/>
          <w:highlight w:val="none"/>
        </w:rPr>
        <w:t>119</w:t>
      </w:r>
      <w:r>
        <w:rPr>
          <w:rFonts w:hint="eastAsia" w:cs="宋体"/>
          <w:sz w:val="28"/>
          <w:szCs w:val="28"/>
          <w:highlight w:val="none"/>
        </w:rPr>
        <w:fldChar w:fldCharType="end"/>
      </w:r>
      <w:r>
        <w:rPr>
          <w:rFonts w:hint="eastAsia" w:cs="宋体"/>
          <w:sz w:val="28"/>
          <w:szCs w:val="28"/>
          <w:highlight w:val="none"/>
        </w:rPr>
        <w:fldChar w:fldCharType="end"/>
      </w:r>
    </w:p>
    <w:p w14:paraId="7CD560D0">
      <w:pPr>
        <w:rPr>
          <w:highlight w:val="none"/>
        </w:rPr>
      </w:pPr>
      <w:r>
        <w:rPr>
          <w:rFonts w:hint="eastAsia"/>
          <w:highlight w:val="none"/>
        </w:rPr>
        <w:fldChar w:fldCharType="end"/>
      </w:r>
      <w:bookmarkStart w:id="0" w:name="_Toc24486"/>
      <w:bookmarkStart w:id="1" w:name="_Toc2272545"/>
      <w:r>
        <w:rPr>
          <w:rFonts w:hint="eastAsia"/>
          <w:highlight w:val="none"/>
        </w:rPr>
        <w:br w:type="page"/>
      </w:r>
    </w:p>
    <w:p w14:paraId="20F010CA">
      <w:pPr>
        <w:pStyle w:val="2"/>
        <w:spacing w:after="0"/>
        <w:jc w:val="center"/>
        <w:rPr>
          <w:rFonts w:ascii="宋体" w:hAnsi="宋体" w:cs="宋体"/>
          <w:b/>
          <w:bCs/>
          <w:sz w:val="32"/>
          <w:szCs w:val="32"/>
          <w:highlight w:val="none"/>
        </w:rPr>
      </w:pPr>
      <w:r>
        <w:rPr>
          <w:rFonts w:hint="eastAsia" w:ascii="宋体" w:hAnsi="宋体" w:cs="宋体"/>
          <w:b/>
          <w:bCs/>
          <w:sz w:val="32"/>
          <w:szCs w:val="32"/>
          <w:highlight w:val="none"/>
        </w:rPr>
        <w:t>第一章  投标须知</w:t>
      </w:r>
      <w:bookmarkEnd w:id="0"/>
      <w:bookmarkEnd w:id="1"/>
    </w:p>
    <w:p w14:paraId="34C0C75C">
      <w:pPr>
        <w:pStyle w:val="2"/>
        <w:spacing w:after="0"/>
        <w:jc w:val="center"/>
        <w:rPr>
          <w:rFonts w:ascii="宋体" w:hAnsi="宋体" w:cs="宋体"/>
          <w:b/>
          <w:bCs/>
          <w:sz w:val="32"/>
          <w:szCs w:val="32"/>
          <w:highlight w:val="none"/>
        </w:rPr>
      </w:pPr>
      <w:bookmarkStart w:id="2" w:name="_Toc16820"/>
      <w:bookmarkStart w:id="3" w:name="_Toc2272546"/>
      <w:r>
        <w:rPr>
          <w:rFonts w:hint="eastAsia" w:ascii="宋体" w:hAnsi="宋体" w:cs="宋体"/>
          <w:b/>
          <w:bCs/>
          <w:sz w:val="32"/>
          <w:szCs w:val="32"/>
          <w:highlight w:val="none"/>
        </w:rPr>
        <w:t>一、投标须知前附表</w:t>
      </w:r>
      <w:bookmarkEnd w:id="2"/>
      <w:bookmarkEnd w:id="3"/>
    </w:p>
    <w:p w14:paraId="62ACF42E">
      <w:pPr>
        <w:pStyle w:val="6"/>
        <w:spacing w:line="360" w:lineRule="auto"/>
        <w:ind w:firstLine="0"/>
        <w:rPr>
          <w:rFonts w:ascii="宋体" w:hAnsi="宋体" w:cs="宋体"/>
          <w:bCs/>
          <w:sz w:val="24"/>
          <w:szCs w:val="24"/>
          <w:highlight w:val="none"/>
        </w:rPr>
      </w:pPr>
      <w:r>
        <w:rPr>
          <w:rFonts w:hint="eastAsia" w:ascii="宋体" w:hAnsi="宋体" w:cs="宋体"/>
          <w:bCs/>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6"/>
        <w:tblW w:w="988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6396"/>
      </w:tblGrid>
      <w:tr w14:paraId="028662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202067CC">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163AC3D8">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6777FAED">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内容</w:t>
            </w:r>
          </w:p>
        </w:tc>
        <w:tc>
          <w:tcPr>
            <w:tcW w:w="6396" w:type="dxa"/>
            <w:tcBorders>
              <w:top w:val="double" w:color="auto" w:sz="4" w:space="0"/>
              <w:left w:val="single" w:color="auto" w:sz="4" w:space="0"/>
              <w:bottom w:val="single" w:color="auto" w:sz="4" w:space="0"/>
              <w:right w:val="double" w:color="auto" w:sz="4" w:space="0"/>
            </w:tcBorders>
            <w:vAlign w:val="center"/>
          </w:tcPr>
          <w:p w14:paraId="00E23E8D">
            <w:pPr>
              <w:pStyle w:val="19"/>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说明与要求</w:t>
            </w:r>
          </w:p>
        </w:tc>
      </w:tr>
      <w:tr w14:paraId="3514B0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788308FD">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55FCCE53">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5E8433C5">
            <w:pPr>
              <w:spacing w:line="360" w:lineRule="auto"/>
              <w:jc w:val="center"/>
              <w:rPr>
                <w:rFonts w:ascii="宋体" w:hAnsi="宋体" w:cs="宋体"/>
                <w:sz w:val="24"/>
                <w:szCs w:val="24"/>
                <w:highlight w:val="none"/>
              </w:rPr>
            </w:pPr>
            <w:r>
              <w:rPr>
                <w:rFonts w:hint="eastAsia" w:ascii="宋体" w:hAnsi="宋体" w:cs="宋体"/>
                <w:sz w:val="24"/>
                <w:szCs w:val="24"/>
                <w:highlight w:val="none"/>
              </w:rPr>
              <w:t>定义</w:t>
            </w:r>
          </w:p>
        </w:tc>
        <w:tc>
          <w:tcPr>
            <w:tcW w:w="6396" w:type="dxa"/>
            <w:tcBorders>
              <w:top w:val="single" w:color="auto" w:sz="4" w:space="0"/>
              <w:left w:val="single" w:color="auto" w:sz="4" w:space="0"/>
              <w:bottom w:val="single" w:color="auto" w:sz="4" w:space="0"/>
              <w:right w:val="double" w:color="auto" w:sz="4" w:space="0"/>
            </w:tcBorders>
            <w:vAlign w:val="center"/>
          </w:tcPr>
          <w:p w14:paraId="10C302CE">
            <w:pPr>
              <w:spacing w:line="360" w:lineRule="auto"/>
              <w:rPr>
                <w:rFonts w:ascii="宋体" w:hAnsi="宋体" w:cs="宋体"/>
                <w:sz w:val="24"/>
                <w:szCs w:val="24"/>
                <w:highlight w:val="none"/>
              </w:rPr>
            </w:pPr>
            <w:r>
              <w:rPr>
                <w:rFonts w:hint="eastAsia" w:ascii="宋体" w:hAnsi="宋体" w:cs="宋体"/>
                <w:sz w:val="24"/>
                <w:szCs w:val="24"/>
                <w:highlight w:val="none"/>
              </w:rPr>
              <w:t>招标人（即发包人）：</w:t>
            </w:r>
            <w:r>
              <w:rPr>
                <w:rFonts w:hint="eastAsia" w:ascii="宋体" w:hAnsi="宋体" w:cs="宋体"/>
                <w:sz w:val="24"/>
                <w:szCs w:val="24"/>
                <w:highlight w:val="none"/>
                <w:u w:val="single"/>
              </w:rPr>
              <w:t>广州城投住房租赁发展投资有限公司</w:t>
            </w:r>
          </w:p>
          <w:p w14:paraId="244F6471">
            <w:pPr>
              <w:spacing w:line="360" w:lineRule="auto"/>
              <w:rPr>
                <w:rFonts w:ascii="宋体" w:hAnsi="宋体" w:cs="宋体"/>
                <w:sz w:val="24"/>
                <w:szCs w:val="24"/>
                <w:highlight w:val="none"/>
              </w:rPr>
            </w:pPr>
            <w:r>
              <w:rPr>
                <w:rFonts w:hint="eastAsia" w:ascii="宋体" w:hAnsi="宋体" w:cs="宋体"/>
                <w:sz w:val="24"/>
                <w:szCs w:val="24"/>
                <w:highlight w:val="none"/>
              </w:rPr>
              <w:t>招标代理：</w:t>
            </w:r>
            <w:r>
              <w:rPr>
                <w:rFonts w:hint="eastAsia" w:ascii="宋体" w:hAnsi="宋体" w:cs="宋体"/>
                <w:sz w:val="24"/>
                <w:szCs w:val="24"/>
                <w:highlight w:val="none"/>
                <w:u w:val="single"/>
              </w:rPr>
              <w:t>北京中交建设工程咨询有限公司</w:t>
            </w:r>
          </w:p>
          <w:p w14:paraId="14CD0118">
            <w:pPr>
              <w:spacing w:line="360" w:lineRule="auto"/>
              <w:rPr>
                <w:rFonts w:ascii="宋体" w:hAnsi="宋体" w:cs="宋体"/>
                <w:sz w:val="24"/>
                <w:szCs w:val="24"/>
                <w:highlight w:val="none"/>
              </w:rPr>
            </w:pPr>
            <w:r>
              <w:rPr>
                <w:rFonts w:hint="eastAsia" w:ascii="宋体" w:hAnsi="宋体" w:cs="宋体"/>
                <w:sz w:val="24"/>
                <w:szCs w:val="24"/>
                <w:highlight w:val="none"/>
              </w:rPr>
              <w:t>设计单位：</w:t>
            </w:r>
            <w:r>
              <w:rPr>
                <w:rFonts w:hint="eastAsia" w:ascii="宋体" w:hAnsi="宋体" w:cs="宋体"/>
                <w:sz w:val="24"/>
                <w:szCs w:val="24"/>
                <w:highlight w:val="none"/>
                <w:u w:val="single"/>
              </w:rPr>
              <w:t>广州尚逸装饰设计有限公司</w:t>
            </w:r>
          </w:p>
          <w:p w14:paraId="17AFB87C">
            <w:pPr>
              <w:spacing w:line="360" w:lineRule="auto"/>
              <w:rPr>
                <w:rFonts w:ascii="宋体" w:hAnsi="宋体" w:cs="宋体"/>
                <w:sz w:val="24"/>
                <w:szCs w:val="24"/>
                <w:highlight w:val="none"/>
                <w:u w:val="single"/>
              </w:rPr>
            </w:pPr>
            <w:r>
              <w:rPr>
                <w:rFonts w:hint="eastAsia" w:ascii="宋体" w:hAnsi="宋体" w:cs="宋体"/>
                <w:sz w:val="24"/>
                <w:szCs w:val="24"/>
                <w:highlight w:val="none"/>
              </w:rPr>
              <w:t>监理单位：</w:t>
            </w:r>
            <w:r>
              <w:rPr>
                <w:rFonts w:hint="eastAsia" w:ascii="宋体" w:hAnsi="宋体" w:cs="宋体"/>
                <w:sz w:val="24"/>
                <w:szCs w:val="24"/>
                <w:highlight w:val="none"/>
                <w:u w:val="single"/>
              </w:rPr>
              <w:t xml:space="preserve">      /     </w:t>
            </w:r>
          </w:p>
          <w:p w14:paraId="4B451A74">
            <w:pPr>
              <w:spacing w:line="360" w:lineRule="auto"/>
              <w:rPr>
                <w:rFonts w:ascii="宋体" w:hAnsi="宋体" w:cs="宋体"/>
                <w:sz w:val="24"/>
                <w:szCs w:val="24"/>
                <w:highlight w:val="none"/>
              </w:rPr>
            </w:pPr>
            <w:r>
              <w:rPr>
                <w:rFonts w:hint="eastAsia" w:ascii="宋体" w:hAnsi="宋体" w:cs="宋体"/>
                <w:sz w:val="24"/>
                <w:szCs w:val="24"/>
                <w:highlight w:val="none"/>
              </w:rPr>
              <w:t>检测机构：</w:t>
            </w:r>
            <w:r>
              <w:rPr>
                <w:rFonts w:hint="eastAsia" w:ascii="宋体" w:hAnsi="宋体" w:cs="宋体"/>
                <w:sz w:val="24"/>
                <w:szCs w:val="24"/>
                <w:highlight w:val="none"/>
                <w:u w:val="single"/>
              </w:rPr>
              <w:t xml:space="preserve">     /     </w:t>
            </w:r>
          </w:p>
        </w:tc>
      </w:tr>
      <w:tr w14:paraId="5A53B2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75D082F0">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5B3C2DCB">
            <w:pPr>
              <w:spacing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EB5A149">
            <w:pPr>
              <w:spacing w:line="360" w:lineRule="auto"/>
              <w:jc w:val="center"/>
              <w:rPr>
                <w:rFonts w:ascii="宋体" w:hAnsi="宋体" w:cs="宋体"/>
                <w:sz w:val="24"/>
                <w:szCs w:val="24"/>
                <w:highlight w:val="none"/>
              </w:rPr>
            </w:pPr>
            <w:r>
              <w:rPr>
                <w:rFonts w:hint="eastAsia" w:ascii="宋体" w:hAnsi="宋体" w:cs="宋体"/>
                <w:sz w:val="24"/>
                <w:szCs w:val="24"/>
                <w:highlight w:val="none"/>
              </w:rPr>
              <w:t>工程名称</w:t>
            </w:r>
          </w:p>
        </w:tc>
        <w:tc>
          <w:tcPr>
            <w:tcW w:w="6396" w:type="dxa"/>
            <w:tcBorders>
              <w:top w:val="single" w:color="auto" w:sz="4" w:space="0"/>
              <w:left w:val="single" w:color="auto" w:sz="4" w:space="0"/>
              <w:bottom w:val="single" w:color="auto" w:sz="4" w:space="0"/>
              <w:right w:val="double" w:color="auto" w:sz="4" w:space="0"/>
            </w:tcBorders>
            <w:vAlign w:val="center"/>
          </w:tcPr>
          <w:p w14:paraId="08F92D83">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黄埔区萝岗和苑配售型保障性住房项目销售中心装修工程</w:t>
            </w:r>
          </w:p>
        </w:tc>
      </w:tr>
      <w:tr w14:paraId="1A008A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57FBCBD4">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71C76A71">
            <w:pPr>
              <w:spacing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A4B5682">
            <w:pPr>
              <w:spacing w:line="360" w:lineRule="auto"/>
              <w:jc w:val="center"/>
              <w:rPr>
                <w:rFonts w:ascii="宋体" w:hAnsi="宋体" w:cs="宋体"/>
                <w:sz w:val="24"/>
                <w:szCs w:val="24"/>
                <w:highlight w:val="none"/>
              </w:rPr>
            </w:pPr>
            <w:r>
              <w:rPr>
                <w:rFonts w:hint="eastAsia" w:ascii="宋体" w:hAnsi="宋体" w:cs="宋体"/>
                <w:sz w:val="24"/>
                <w:szCs w:val="24"/>
                <w:highlight w:val="none"/>
              </w:rPr>
              <w:t>建设地点</w:t>
            </w:r>
          </w:p>
        </w:tc>
        <w:tc>
          <w:tcPr>
            <w:tcW w:w="6396" w:type="dxa"/>
            <w:tcBorders>
              <w:top w:val="single" w:color="auto" w:sz="4" w:space="0"/>
              <w:left w:val="single" w:color="auto" w:sz="4" w:space="0"/>
              <w:bottom w:val="single" w:color="auto" w:sz="4" w:space="0"/>
              <w:right w:val="double" w:color="auto" w:sz="4" w:space="0"/>
            </w:tcBorders>
            <w:vAlign w:val="center"/>
          </w:tcPr>
          <w:p w14:paraId="07426A9C">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详见本工程招标公告。</w:t>
            </w:r>
          </w:p>
        </w:tc>
      </w:tr>
      <w:tr w14:paraId="4CE0E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21D53544">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0B693571">
            <w:pPr>
              <w:spacing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E33EB51">
            <w:pPr>
              <w:spacing w:line="360" w:lineRule="auto"/>
              <w:jc w:val="center"/>
              <w:rPr>
                <w:rFonts w:ascii="宋体" w:hAnsi="宋体" w:cs="宋体"/>
                <w:sz w:val="24"/>
                <w:szCs w:val="24"/>
                <w:highlight w:val="none"/>
              </w:rPr>
            </w:pPr>
            <w:r>
              <w:rPr>
                <w:rFonts w:hint="eastAsia" w:ascii="宋体" w:hAnsi="宋体" w:cs="宋体"/>
                <w:sz w:val="24"/>
                <w:szCs w:val="24"/>
                <w:highlight w:val="none"/>
              </w:rPr>
              <w:t>建设规模</w:t>
            </w:r>
          </w:p>
        </w:tc>
        <w:tc>
          <w:tcPr>
            <w:tcW w:w="6396" w:type="dxa"/>
            <w:tcBorders>
              <w:top w:val="single" w:color="auto" w:sz="4" w:space="0"/>
              <w:left w:val="single" w:color="auto" w:sz="4" w:space="0"/>
              <w:bottom w:val="single" w:color="auto" w:sz="4" w:space="0"/>
              <w:right w:val="double" w:color="auto" w:sz="4" w:space="0"/>
            </w:tcBorders>
            <w:vAlign w:val="center"/>
          </w:tcPr>
          <w:p w14:paraId="08D77645">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详见本工程招标公告。</w:t>
            </w:r>
          </w:p>
        </w:tc>
      </w:tr>
      <w:tr w14:paraId="784C80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6A37BA53">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76F3DF49">
            <w:pPr>
              <w:spacing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4C9EB42">
            <w:pPr>
              <w:spacing w:line="360" w:lineRule="auto"/>
              <w:jc w:val="center"/>
              <w:rPr>
                <w:rFonts w:ascii="宋体" w:hAnsi="宋体" w:cs="宋体"/>
                <w:sz w:val="24"/>
                <w:szCs w:val="24"/>
                <w:highlight w:val="none"/>
              </w:rPr>
            </w:pPr>
            <w:r>
              <w:rPr>
                <w:rFonts w:hint="eastAsia" w:ascii="宋体" w:hAnsi="宋体" w:cs="宋体"/>
                <w:sz w:val="24"/>
                <w:szCs w:val="24"/>
                <w:highlight w:val="none"/>
              </w:rPr>
              <w:t>承包方式</w:t>
            </w:r>
          </w:p>
        </w:tc>
        <w:tc>
          <w:tcPr>
            <w:tcW w:w="6396" w:type="dxa"/>
            <w:tcBorders>
              <w:top w:val="single" w:color="auto" w:sz="4" w:space="0"/>
              <w:left w:val="single" w:color="auto" w:sz="4" w:space="0"/>
              <w:bottom w:val="single" w:color="auto" w:sz="4" w:space="0"/>
              <w:right w:val="double" w:color="auto" w:sz="4" w:space="0"/>
            </w:tcBorders>
            <w:vAlign w:val="center"/>
          </w:tcPr>
          <w:p w14:paraId="515300A4">
            <w:pPr>
              <w:spacing w:line="360" w:lineRule="auto"/>
              <w:rPr>
                <w:rFonts w:ascii="宋体" w:hAnsi="宋体" w:cs="宋体"/>
                <w:sz w:val="24"/>
                <w:szCs w:val="24"/>
                <w:highlight w:val="none"/>
              </w:rPr>
            </w:pPr>
            <w:r>
              <w:rPr>
                <w:rFonts w:hint="eastAsia" w:ascii="宋体" w:hAnsi="宋体" w:cs="宋体"/>
                <w:sz w:val="24"/>
                <w:szCs w:val="24"/>
                <w:highlight w:val="none"/>
              </w:rPr>
              <w:t>采用工程量清单综合单价包干，工程量按实结算，措施项目费（含绿色施工安全防护措施费、措施其它项目费）总价包干的承包方式。投标人按照招标文件的要求，以招标人提供的图纸、工程量清单等资料为依据，按工程量清单报价，即按照招标工程量清单及设计图纸等相关要求，包工、包料、包机械、包工期、包质量、包安全生产、包文明施工、包劳保、包竣工验收、包保修等的承包方式，具体详见合同约定。</w:t>
            </w:r>
          </w:p>
        </w:tc>
      </w:tr>
      <w:tr w14:paraId="65C1BE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702" w:type="dxa"/>
            <w:tcBorders>
              <w:top w:val="single" w:color="auto" w:sz="4" w:space="0"/>
              <w:left w:val="double" w:color="auto" w:sz="4" w:space="0"/>
              <w:bottom w:val="single" w:color="auto" w:sz="4" w:space="0"/>
              <w:right w:val="single" w:color="auto" w:sz="4" w:space="0"/>
            </w:tcBorders>
            <w:vAlign w:val="center"/>
          </w:tcPr>
          <w:p w14:paraId="29DFF315">
            <w:pPr>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0F7D4785">
            <w:pPr>
              <w:spacing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42D7974">
            <w:pPr>
              <w:spacing w:line="360" w:lineRule="auto"/>
              <w:jc w:val="center"/>
              <w:rPr>
                <w:rFonts w:ascii="宋体" w:hAnsi="宋体" w:cs="宋体"/>
                <w:sz w:val="24"/>
                <w:szCs w:val="24"/>
                <w:highlight w:val="none"/>
              </w:rPr>
            </w:pPr>
            <w:r>
              <w:rPr>
                <w:rFonts w:hint="eastAsia" w:ascii="宋体" w:hAnsi="宋体" w:cs="宋体"/>
                <w:sz w:val="24"/>
                <w:szCs w:val="24"/>
                <w:highlight w:val="none"/>
              </w:rPr>
              <w:t>质量标准</w:t>
            </w:r>
          </w:p>
        </w:tc>
        <w:tc>
          <w:tcPr>
            <w:tcW w:w="6396" w:type="dxa"/>
            <w:tcBorders>
              <w:top w:val="single" w:color="auto" w:sz="4" w:space="0"/>
              <w:left w:val="single" w:color="auto" w:sz="4" w:space="0"/>
              <w:bottom w:val="single" w:color="auto" w:sz="4" w:space="0"/>
              <w:right w:val="double" w:color="auto" w:sz="4" w:space="0"/>
            </w:tcBorders>
            <w:vAlign w:val="center"/>
          </w:tcPr>
          <w:p w14:paraId="6F99438F">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确保符合国家、省、市或行业现行的《建筑工程施工质量验收统一标准》及相应配套的各专业验收规范（如在合同执行期间有新规范标准则，按新的规范标准执行），单位工程验收合格率100%，并达到合格或（以上标准），确保一次验收合格，满足招标人的工程质量要求。</w:t>
            </w:r>
          </w:p>
        </w:tc>
      </w:tr>
      <w:tr w14:paraId="495795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54C0E5FB">
            <w:pPr>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0743BA89">
            <w:pPr>
              <w:spacing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C57BFE8">
            <w:pPr>
              <w:spacing w:line="360" w:lineRule="auto"/>
              <w:jc w:val="center"/>
              <w:rPr>
                <w:rFonts w:ascii="宋体" w:hAnsi="宋体" w:cs="宋体"/>
                <w:sz w:val="24"/>
                <w:szCs w:val="24"/>
                <w:highlight w:val="none"/>
              </w:rPr>
            </w:pPr>
            <w:r>
              <w:rPr>
                <w:rFonts w:hint="eastAsia" w:ascii="宋体" w:hAnsi="宋体" w:cs="宋体"/>
                <w:sz w:val="24"/>
                <w:szCs w:val="24"/>
                <w:highlight w:val="none"/>
              </w:rPr>
              <w:t>招标范围</w:t>
            </w:r>
          </w:p>
        </w:tc>
        <w:tc>
          <w:tcPr>
            <w:tcW w:w="6396" w:type="dxa"/>
            <w:tcBorders>
              <w:top w:val="single" w:color="auto" w:sz="4" w:space="0"/>
              <w:left w:val="single" w:color="auto" w:sz="4" w:space="0"/>
              <w:bottom w:val="single" w:color="auto" w:sz="4" w:space="0"/>
              <w:right w:val="double" w:color="auto" w:sz="4" w:space="0"/>
            </w:tcBorders>
            <w:vAlign w:val="center"/>
          </w:tcPr>
          <w:p w14:paraId="5D6A1294">
            <w:pPr>
              <w:spacing w:line="360" w:lineRule="auto"/>
              <w:rPr>
                <w:rFonts w:ascii="宋体" w:hAnsi="宋体" w:cs="宋体"/>
                <w:sz w:val="24"/>
                <w:szCs w:val="24"/>
                <w:highlight w:val="none"/>
                <w:u w:val="single"/>
              </w:rPr>
            </w:pPr>
            <w:r>
              <w:rPr>
                <w:rFonts w:hint="eastAsia" w:ascii="宋体" w:hAnsi="宋体" w:cs="宋体"/>
                <w:bCs/>
                <w:snapToGrid w:val="0"/>
                <w:kern w:val="0"/>
                <w:sz w:val="24"/>
                <w:szCs w:val="24"/>
                <w:highlight w:val="none"/>
                <w:u w:val="single"/>
              </w:rPr>
              <w:t>详见本工程招标公告。</w:t>
            </w:r>
          </w:p>
        </w:tc>
      </w:tr>
      <w:tr w14:paraId="11BF39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401AB1BD">
            <w:pPr>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5B217873">
            <w:pPr>
              <w:spacing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E16B6FC">
            <w:pPr>
              <w:spacing w:line="360" w:lineRule="auto"/>
              <w:jc w:val="center"/>
              <w:rPr>
                <w:rFonts w:ascii="宋体" w:hAnsi="宋体" w:cs="宋体"/>
                <w:sz w:val="24"/>
                <w:szCs w:val="24"/>
                <w:highlight w:val="none"/>
              </w:rPr>
            </w:pPr>
            <w:r>
              <w:rPr>
                <w:rFonts w:hint="eastAsia" w:ascii="宋体" w:hAnsi="宋体" w:cs="宋体"/>
                <w:sz w:val="24"/>
                <w:szCs w:val="24"/>
                <w:highlight w:val="none"/>
              </w:rPr>
              <w:t>工期要求</w:t>
            </w:r>
          </w:p>
        </w:tc>
        <w:tc>
          <w:tcPr>
            <w:tcW w:w="6396" w:type="dxa"/>
            <w:tcBorders>
              <w:top w:val="single" w:color="auto" w:sz="4" w:space="0"/>
              <w:left w:val="single" w:color="auto" w:sz="4" w:space="0"/>
              <w:bottom w:val="single" w:color="auto" w:sz="4" w:space="0"/>
              <w:right w:val="double" w:color="auto" w:sz="4" w:space="0"/>
            </w:tcBorders>
            <w:vAlign w:val="center"/>
          </w:tcPr>
          <w:p w14:paraId="3876A7E8">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施工总工期：60日历天</w:t>
            </w:r>
          </w:p>
          <w:p w14:paraId="3B143843">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起算日期从合同签订之日起计或从开工令发出之日起计。中标人应当严格按施工图纸及招标人指令进行施工。招标人有权根据工程实际情况，对本工程中的工序及施工顺序进行适当合理调整，中标人必须采取一切有效措施配合及不得延误总工期，并不得要求另行增加费用。若因非中标人原因引起的暂停施工、开工，工期顺延。详见合同条款约定。</w:t>
            </w:r>
          </w:p>
        </w:tc>
      </w:tr>
      <w:tr w14:paraId="5E5BE3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FFBC7D0">
            <w:pPr>
              <w:spacing w:line="360" w:lineRule="auto"/>
              <w:jc w:val="center"/>
              <w:rPr>
                <w:rFonts w:ascii="宋体" w:hAnsi="宋体" w:cs="宋体"/>
                <w:sz w:val="24"/>
                <w:szCs w:val="24"/>
                <w:highlight w:val="none"/>
              </w:rPr>
            </w:pPr>
            <w:r>
              <w:rPr>
                <w:rFonts w:hint="eastAsia" w:ascii="宋体" w:hAnsi="宋体" w:cs="宋体"/>
                <w:sz w:val="24"/>
                <w:szCs w:val="24"/>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292D6396">
            <w:pPr>
              <w:spacing w:line="360" w:lineRule="auto"/>
              <w:jc w:val="center"/>
              <w:rPr>
                <w:rFonts w:ascii="宋体" w:hAnsi="宋体" w:cs="宋体"/>
                <w:sz w:val="24"/>
                <w:szCs w:val="24"/>
                <w:highlight w:val="none"/>
              </w:rPr>
            </w:pPr>
            <w:r>
              <w:rPr>
                <w:rFonts w:hint="eastAsia" w:ascii="宋体" w:hAnsi="宋体" w:cs="宋体"/>
                <w:sz w:val="24"/>
                <w:szCs w:val="24"/>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14:paraId="4D52300F">
            <w:pPr>
              <w:spacing w:line="360" w:lineRule="auto"/>
              <w:jc w:val="center"/>
              <w:rPr>
                <w:rFonts w:ascii="宋体" w:hAnsi="宋体" w:cs="宋体"/>
                <w:sz w:val="24"/>
                <w:szCs w:val="24"/>
                <w:highlight w:val="none"/>
              </w:rPr>
            </w:pPr>
            <w:r>
              <w:rPr>
                <w:rFonts w:hint="eastAsia" w:ascii="宋体" w:hAnsi="宋体" w:cs="宋体"/>
                <w:sz w:val="24"/>
                <w:szCs w:val="24"/>
                <w:highlight w:val="none"/>
              </w:rPr>
              <w:t>资金来源</w:t>
            </w:r>
          </w:p>
        </w:tc>
        <w:tc>
          <w:tcPr>
            <w:tcW w:w="6396" w:type="dxa"/>
            <w:tcBorders>
              <w:top w:val="single" w:color="auto" w:sz="4" w:space="0"/>
              <w:left w:val="single" w:color="auto" w:sz="4" w:space="0"/>
              <w:bottom w:val="single" w:color="auto" w:sz="4" w:space="0"/>
              <w:right w:val="double" w:color="auto" w:sz="4" w:space="0"/>
            </w:tcBorders>
            <w:vAlign w:val="center"/>
          </w:tcPr>
          <w:p w14:paraId="650A7CA0">
            <w:pPr>
              <w:spacing w:line="360" w:lineRule="auto"/>
              <w:rPr>
                <w:rFonts w:ascii="宋体" w:hAnsi="宋体" w:cs="宋体"/>
                <w:sz w:val="24"/>
                <w:szCs w:val="24"/>
                <w:highlight w:val="none"/>
                <w:u w:val="single"/>
              </w:rPr>
            </w:pPr>
            <w:r>
              <w:rPr>
                <w:rFonts w:hint="eastAsia" w:ascii="宋体" w:hAnsi="宋体" w:cs="宋体"/>
                <w:bCs/>
                <w:snapToGrid w:val="0"/>
                <w:kern w:val="0"/>
                <w:sz w:val="24"/>
                <w:szCs w:val="24"/>
                <w:highlight w:val="none"/>
                <w:u w:val="single"/>
              </w:rPr>
              <w:t>详见本工程招标公告。</w:t>
            </w:r>
          </w:p>
        </w:tc>
      </w:tr>
      <w:tr w14:paraId="242B76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06301275">
            <w:pPr>
              <w:spacing w:line="360" w:lineRule="auto"/>
              <w:jc w:val="center"/>
              <w:rPr>
                <w:rFonts w:ascii="宋体" w:hAnsi="宋体" w:cs="宋体"/>
                <w:sz w:val="24"/>
                <w:szCs w:val="24"/>
                <w:highlight w:val="none"/>
              </w:rPr>
            </w:pPr>
            <w:r>
              <w:rPr>
                <w:rFonts w:hint="eastAsia" w:ascii="宋体" w:hAnsi="宋体" w:cs="宋体"/>
                <w:sz w:val="24"/>
                <w:szCs w:val="24"/>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7D40C7C6">
            <w:pPr>
              <w:spacing w:line="360" w:lineRule="auto"/>
              <w:jc w:val="center"/>
              <w:rPr>
                <w:rFonts w:ascii="宋体" w:hAnsi="宋体" w:cs="宋体"/>
                <w:sz w:val="24"/>
                <w:szCs w:val="24"/>
                <w:highlight w:val="none"/>
              </w:rPr>
            </w:pPr>
            <w:r>
              <w:rPr>
                <w:rFonts w:hint="eastAsia" w:ascii="宋体" w:hAnsi="宋体" w:cs="宋体"/>
                <w:sz w:val="24"/>
                <w:szCs w:val="24"/>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14:paraId="393CFCC1">
            <w:pPr>
              <w:spacing w:line="360" w:lineRule="auto"/>
              <w:jc w:val="center"/>
              <w:rPr>
                <w:rFonts w:ascii="宋体" w:hAnsi="宋体" w:cs="宋体"/>
                <w:sz w:val="24"/>
                <w:szCs w:val="24"/>
                <w:highlight w:val="none"/>
              </w:rPr>
            </w:pPr>
            <w:r>
              <w:rPr>
                <w:rFonts w:hint="eastAsia" w:ascii="宋体" w:hAnsi="宋体" w:cs="宋体"/>
                <w:sz w:val="24"/>
                <w:szCs w:val="24"/>
                <w:highlight w:val="none"/>
              </w:rPr>
              <w:t>投标人资质等级及项目负责人等级要求</w:t>
            </w:r>
          </w:p>
        </w:tc>
        <w:tc>
          <w:tcPr>
            <w:tcW w:w="6396" w:type="dxa"/>
            <w:tcBorders>
              <w:top w:val="single" w:color="auto" w:sz="4" w:space="0"/>
              <w:left w:val="single" w:color="auto" w:sz="4" w:space="0"/>
              <w:bottom w:val="single" w:color="auto" w:sz="4" w:space="0"/>
              <w:right w:val="double" w:color="auto" w:sz="4" w:space="0"/>
            </w:tcBorders>
            <w:vAlign w:val="center"/>
          </w:tcPr>
          <w:p w14:paraId="73B93B79">
            <w:pPr>
              <w:spacing w:line="360" w:lineRule="auto"/>
              <w:rPr>
                <w:rFonts w:ascii="宋体" w:hAnsi="宋体" w:cs="宋体"/>
                <w:sz w:val="24"/>
                <w:szCs w:val="24"/>
                <w:highlight w:val="none"/>
              </w:rPr>
            </w:pPr>
            <w:r>
              <w:rPr>
                <w:rFonts w:hint="eastAsia" w:ascii="宋体" w:hAnsi="宋体" w:cs="宋体"/>
                <w:sz w:val="24"/>
                <w:szCs w:val="24"/>
                <w:highlight w:val="none"/>
              </w:rPr>
              <w:t>详见本工程招标公告。</w:t>
            </w:r>
          </w:p>
        </w:tc>
      </w:tr>
      <w:tr w14:paraId="6039A9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25EF267">
            <w:pPr>
              <w:spacing w:line="360" w:lineRule="auto"/>
              <w:jc w:val="center"/>
              <w:rPr>
                <w:rFonts w:ascii="宋体" w:hAnsi="宋体" w:cs="宋体"/>
                <w:sz w:val="24"/>
                <w:szCs w:val="24"/>
                <w:highlight w:val="none"/>
              </w:rPr>
            </w:pPr>
            <w:r>
              <w:rPr>
                <w:rFonts w:hint="eastAsia" w:ascii="宋体" w:hAnsi="宋体" w:cs="宋体"/>
                <w:sz w:val="24"/>
                <w:szCs w:val="24"/>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7F863846">
            <w:pPr>
              <w:spacing w:line="360" w:lineRule="auto"/>
              <w:jc w:val="center"/>
              <w:rPr>
                <w:rFonts w:ascii="宋体" w:hAnsi="宋体" w:cs="宋体"/>
                <w:sz w:val="24"/>
                <w:szCs w:val="24"/>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B29D3FB">
            <w:pPr>
              <w:spacing w:line="360" w:lineRule="auto"/>
              <w:jc w:val="center"/>
              <w:rPr>
                <w:rFonts w:ascii="宋体" w:hAnsi="宋体" w:cs="宋体"/>
                <w:sz w:val="24"/>
                <w:szCs w:val="24"/>
                <w:highlight w:val="none"/>
              </w:rPr>
            </w:pPr>
            <w:r>
              <w:rPr>
                <w:rFonts w:hint="eastAsia" w:ascii="宋体" w:hAnsi="宋体" w:cs="宋体"/>
                <w:sz w:val="24"/>
                <w:szCs w:val="24"/>
                <w:highlight w:val="none"/>
              </w:rPr>
              <w:t>资格审查方式</w:t>
            </w:r>
          </w:p>
        </w:tc>
        <w:tc>
          <w:tcPr>
            <w:tcW w:w="6396" w:type="dxa"/>
            <w:tcBorders>
              <w:top w:val="single" w:color="auto" w:sz="4" w:space="0"/>
              <w:left w:val="single" w:color="auto" w:sz="4" w:space="0"/>
              <w:bottom w:val="single" w:color="auto" w:sz="4" w:space="0"/>
              <w:right w:val="double" w:color="auto" w:sz="4" w:space="0"/>
            </w:tcBorders>
            <w:vAlign w:val="center"/>
          </w:tcPr>
          <w:p w14:paraId="6EB63C71">
            <w:pPr>
              <w:spacing w:line="360" w:lineRule="auto"/>
              <w:rPr>
                <w:rFonts w:ascii="宋体" w:hAnsi="宋体" w:cs="宋体"/>
                <w:sz w:val="24"/>
                <w:szCs w:val="24"/>
                <w:highlight w:val="none"/>
              </w:rPr>
            </w:pPr>
            <w:r>
              <w:rPr>
                <w:rFonts w:hint="eastAsia" w:ascii="宋体" w:hAnsi="宋体" w:cs="宋体"/>
                <w:sz w:val="24"/>
                <w:szCs w:val="24"/>
                <w:highlight w:val="none"/>
              </w:rPr>
              <w:t>详见本工程招标公告。</w:t>
            </w:r>
          </w:p>
        </w:tc>
      </w:tr>
      <w:tr w14:paraId="080795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F227D32">
            <w:pPr>
              <w:spacing w:line="360" w:lineRule="auto"/>
              <w:jc w:val="center"/>
              <w:rPr>
                <w:rFonts w:ascii="宋体" w:hAnsi="宋体" w:cs="宋体"/>
                <w:sz w:val="24"/>
                <w:szCs w:val="24"/>
                <w:highlight w:val="none"/>
              </w:rPr>
            </w:pPr>
            <w:r>
              <w:rPr>
                <w:rFonts w:hint="eastAsia" w:ascii="宋体" w:hAnsi="宋体" w:cs="宋体"/>
                <w:sz w:val="24"/>
                <w:szCs w:val="24"/>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0929B40B">
            <w:pPr>
              <w:spacing w:line="360" w:lineRule="auto"/>
              <w:jc w:val="center"/>
              <w:rPr>
                <w:rFonts w:ascii="宋体" w:hAnsi="宋体" w:cs="宋体"/>
                <w:sz w:val="24"/>
                <w:szCs w:val="24"/>
                <w:highlight w:val="none"/>
              </w:rPr>
            </w:pPr>
            <w:r>
              <w:rPr>
                <w:rFonts w:hint="eastAsia" w:ascii="宋体" w:hAnsi="宋体" w:cs="宋体"/>
                <w:sz w:val="24"/>
                <w:szCs w:val="24"/>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1FECCB69">
            <w:pPr>
              <w:spacing w:line="360" w:lineRule="auto"/>
              <w:jc w:val="center"/>
              <w:rPr>
                <w:rFonts w:ascii="宋体" w:hAnsi="宋体" w:cs="宋体"/>
                <w:sz w:val="24"/>
                <w:szCs w:val="24"/>
                <w:highlight w:val="none"/>
              </w:rPr>
            </w:pPr>
            <w:r>
              <w:rPr>
                <w:rFonts w:hint="eastAsia" w:ascii="宋体" w:hAnsi="宋体" w:cs="宋体"/>
                <w:sz w:val="24"/>
                <w:szCs w:val="24"/>
                <w:highlight w:val="none"/>
              </w:rPr>
              <w:t>报价以及单价和总价计算方式</w:t>
            </w:r>
          </w:p>
        </w:tc>
        <w:tc>
          <w:tcPr>
            <w:tcW w:w="6396" w:type="dxa"/>
            <w:tcBorders>
              <w:top w:val="single" w:color="auto" w:sz="4" w:space="0"/>
              <w:left w:val="single" w:color="auto" w:sz="4" w:space="0"/>
              <w:bottom w:val="single" w:color="auto" w:sz="4" w:space="0"/>
              <w:right w:val="double" w:color="auto" w:sz="4" w:space="0"/>
            </w:tcBorders>
            <w:vAlign w:val="center"/>
          </w:tcPr>
          <w:p w14:paraId="5A444493">
            <w:pPr>
              <w:pStyle w:val="18"/>
              <w:spacing w:line="360" w:lineRule="auto"/>
              <w:rPr>
                <w:rFonts w:hint="default" w:hAnsi="宋体" w:cs="宋体"/>
                <w:sz w:val="24"/>
                <w:szCs w:val="24"/>
                <w:highlight w:val="none"/>
              </w:rPr>
            </w:pPr>
            <w:r>
              <w:rPr>
                <w:rFonts w:hAnsi="宋体" w:cs="宋体"/>
                <w:sz w:val="24"/>
                <w:szCs w:val="24"/>
                <w:highlight w:val="none"/>
              </w:rPr>
              <w:t>工程量清单计价。</w:t>
            </w:r>
          </w:p>
        </w:tc>
      </w:tr>
      <w:tr w14:paraId="2DB7B3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600BCAE">
            <w:pPr>
              <w:spacing w:line="360" w:lineRule="auto"/>
              <w:jc w:val="center"/>
              <w:rPr>
                <w:rFonts w:ascii="宋体" w:hAnsi="宋体" w:cs="宋体"/>
                <w:sz w:val="24"/>
                <w:szCs w:val="24"/>
                <w:highlight w:val="none"/>
              </w:rPr>
            </w:pPr>
            <w:r>
              <w:rPr>
                <w:rFonts w:hint="eastAsia" w:ascii="宋体" w:hAnsi="宋体" w:cs="宋体"/>
                <w:sz w:val="24"/>
                <w:szCs w:val="24"/>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0553281F">
            <w:pPr>
              <w:spacing w:line="360" w:lineRule="auto"/>
              <w:jc w:val="center"/>
              <w:rPr>
                <w:rFonts w:ascii="宋体" w:hAnsi="宋体" w:cs="宋体"/>
                <w:sz w:val="24"/>
                <w:szCs w:val="24"/>
                <w:highlight w:val="none"/>
              </w:rPr>
            </w:pPr>
            <w:r>
              <w:rPr>
                <w:rFonts w:hint="eastAsia" w:ascii="宋体" w:hAnsi="宋体" w:cs="宋体"/>
                <w:sz w:val="24"/>
                <w:szCs w:val="24"/>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6236D69F">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投标有效期</w:t>
            </w:r>
          </w:p>
        </w:tc>
        <w:tc>
          <w:tcPr>
            <w:tcW w:w="6396" w:type="dxa"/>
            <w:tcBorders>
              <w:top w:val="single" w:color="auto" w:sz="4" w:space="0"/>
              <w:left w:val="single" w:color="auto" w:sz="4" w:space="0"/>
              <w:bottom w:val="single" w:color="auto" w:sz="4" w:space="0"/>
              <w:right w:val="double" w:color="auto" w:sz="4" w:space="0"/>
            </w:tcBorders>
            <w:vAlign w:val="center"/>
          </w:tcPr>
          <w:p w14:paraId="6CD475CA">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120</w:t>
            </w:r>
            <w:r>
              <w:rPr>
                <w:rFonts w:hint="eastAsia" w:ascii="宋体" w:hAnsi="宋体" w:cs="宋体"/>
                <w:sz w:val="24"/>
                <w:szCs w:val="24"/>
                <w:highlight w:val="none"/>
              </w:rPr>
              <w:t>日历天。（从投标截止之日计起）如出现异议或投诉超过120日历天的，则投标有效期自动延长至异议或投诉处理结束。</w:t>
            </w:r>
          </w:p>
        </w:tc>
      </w:tr>
      <w:tr w14:paraId="7EB73A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B5BFC11">
            <w:pPr>
              <w:spacing w:line="360" w:lineRule="auto"/>
              <w:jc w:val="center"/>
              <w:rPr>
                <w:rFonts w:ascii="宋体" w:hAnsi="宋体" w:cs="宋体"/>
                <w:sz w:val="24"/>
                <w:szCs w:val="24"/>
                <w:highlight w:val="none"/>
              </w:rPr>
            </w:pPr>
            <w:r>
              <w:rPr>
                <w:rFonts w:hint="eastAsia" w:ascii="宋体" w:hAnsi="宋体" w:cs="宋体"/>
                <w:sz w:val="24"/>
                <w:szCs w:val="24"/>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14:paraId="12E200EE">
            <w:pPr>
              <w:spacing w:line="360" w:lineRule="auto"/>
              <w:jc w:val="center"/>
              <w:rPr>
                <w:rFonts w:ascii="宋体" w:hAnsi="宋体" w:cs="宋体"/>
                <w:sz w:val="24"/>
                <w:szCs w:val="24"/>
                <w:highlight w:val="none"/>
              </w:rPr>
            </w:pPr>
            <w:r>
              <w:rPr>
                <w:rFonts w:hint="eastAsia" w:ascii="宋体" w:hAnsi="宋体" w:cs="宋体"/>
                <w:sz w:val="24"/>
                <w:szCs w:val="24"/>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034A5B8B">
            <w:pPr>
              <w:spacing w:line="360" w:lineRule="auto"/>
              <w:jc w:val="center"/>
              <w:rPr>
                <w:rFonts w:ascii="宋体" w:hAnsi="宋体" w:cs="宋体"/>
                <w:sz w:val="24"/>
                <w:szCs w:val="24"/>
                <w:highlight w:val="none"/>
              </w:rPr>
            </w:pPr>
            <w:r>
              <w:rPr>
                <w:rFonts w:hint="eastAsia" w:ascii="宋体" w:hAnsi="宋体" w:cs="宋体"/>
                <w:sz w:val="24"/>
                <w:szCs w:val="24"/>
                <w:highlight w:val="none"/>
              </w:rPr>
              <w:t>投标保证金</w:t>
            </w:r>
          </w:p>
        </w:tc>
        <w:tc>
          <w:tcPr>
            <w:tcW w:w="6396" w:type="dxa"/>
            <w:tcBorders>
              <w:top w:val="single" w:color="auto" w:sz="4" w:space="0"/>
              <w:left w:val="single" w:color="auto" w:sz="4" w:space="0"/>
              <w:bottom w:val="single" w:color="auto" w:sz="4" w:space="0"/>
              <w:right w:val="double" w:color="auto" w:sz="4" w:space="0"/>
            </w:tcBorders>
            <w:vAlign w:val="center"/>
          </w:tcPr>
          <w:p w14:paraId="56A695FF">
            <w:pPr>
              <w:spacing w:line="360" w:lineRule="auto"/>
              <w:jc w:val="left"/>
              <w:rPr>
                <w:rFonts w:ascii="宋体" w:hAnsi="宋体" w:cs="宋体"/>
                <w:sz w:val="24"/>
                <w:szCs w:val="24"/>
                <w:highlight w:val="none"/>
              </w:rPr>
            </w:pPr>
            <w:r>
              <w:rPr>
                <w:rFonts w:hint="eastAsia" w:ascii="宋体" w:hAnsi="宋体" w:cs="宋体"/>
                <w:sz w:val="24"/>
                <w:szCs w:val="24"/>
                <w:highlight w:val="none"/>
              </w:rPr>
              <w:t>是否要求投标人递交投标保证金：</w:t>
            </w:r>
          </w:p>
          <w:p w14:paraId="4FD541D0">
            <w:pPr>
              <w:spacing w:line="360" w:lineRule="auto"/>
              <w:rPr>
                <w:rFonts w:ascii="宋体" w:hAnsi="宋体" w:cs="宋体"/>
                <w:sz w:val="24"/>
                <w:szCs w:val="24"/>
                <w:highlight w:val="none"/>
              </w:rPr>
            </w:pPr>
            <w:r>
              <w:rPr>
                <w:rFonts w:hint="eastAsia" w:ascii="宋体" w:hAnsi="宋体" w:cs="宋体"/>
                <w:sz w:val="24"/>
                <w:szCs w:val="24"/>
                <w:highlight w:val="none"/>
              </w:rPr>
              <w:t>□不要求</w:t>
            </w:r>
          </w:p>
          <w:p w14:paraId="434AA1CD">
            <w:pPr>
              <w:adjustRightInd w:val="0"/>
              <w:snapToGrid w:val="0"/>
              <w:spacing w:line="360" w:lineRule="auto"/>
              <w:rPr>
                <w:rFonts w:ascii="宋体" w:hAnsi="宋体" w:cs="宋体"/>
                <w:sz w:val="24"/>
                <w:szCs w:val="24"/>
                <w:highlight w:val="none"/>
                <w:u w:val="single"/>
              </w:rPr>
            </w:pPr>
            <w:r>
              <w:rPr>
                <w:rFonts w:ascii="Segoe UI Symbol" w:hAnsi="Segoe UI Symbol" w:cs="Segoe UI Symbol"/>
                <w:sz w:val="24"/>
                <w:szCs w:val="24"/>
                <w:highlight w:val="none"/>
              </w:rPr>
              <w:t>☑</w:t>
            </w:r>
            <w:r>
              <w:rPr>
                <w:rFonts w:hint="eastAsia" w:ascii="宋体" w:hAnsi="宋体" w:cs="宋体"/>
                <w:sz w:val="24"/>
                <w:szCs w:val="24"/>
                <w:highlight w:val="none"/>
              </w:rPr>
              <w:t>要求，</w:t>
            </w:r>
            <w:r>
              <w:rPr>
                <w:rFonts w:hint="eastAsia" w:ascii="宋体" w:hAnsi="宋体" w:cs="宋体"/>
                <w:sz w:val="24"/>
                <w:szCs w:val="24"/>
                <w:highlight w:val="none"/>
                <w:u w:val="single"/>
              </w:rPr>
              <w:t>投标保证金可采用现金或者支票、银行保函、保证保险、专业工程担保公司担保等形式，须在递交投标文件截止时间前完成缴纳。</w:t>
            </w:r>
          </w:p>
          <w:p w14:paraId="212E1C20">
            <w:pPr>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投标保证金的金额：人民币10万元。</w:t>
            </w:r>
          </w:p>
          <w:p w14:paraId="00F9CBA0">
            <w:pPr>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投标保证金有效期：与投标有效期一致。</w:t>
            </w:r>
          </w:p>
          <w:p w14:paraId="0A055DFE">
            <w:pPr>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1.如采用现金或者支票形式提交的，投标保证金从投标人基本账户递交，由广州交易集团有限公司代收。具体操作要求详见广州交易集团有限公司（广州公共资源交易中心）有关指引，递交事宜请自行咨询交易中心；请各投标人在投标文件递交截止时间前按上述金额递交至广州交易集团有限公司，到账情况以开标时广州交易集团有限公司（广州公共资源交易中心）数据库查询的信息为准。</w:t>
            </w:r>
          </w:p>
          <w:p w14:paraId="0AF39AD7">
            <w:pPr>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收款单位：广州交易集团有限公司，</w:t>
            </w:r>
          </w:p>
          <w:p w14:paraId="3E87E69C">
            <w:pPr>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开户银行：中国建设银行广州天润路支行，</w:t>
            </w:r>
          </w:p>
          <w:p w14:paraId="7EA6CF37">
            <w:pPr>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银行账号：44001583404059333333；</w:t>
            </w:r>
          </w:p>
          <w:p w14:paraId="60685FB9">
            <w:pPr>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（详见：交易中心网/服务指南/办事指引/财务相关/关于投标项目保证金操作指引的说明 ）</w:t>
            </w:r>
          </w:p>
          <w:p w14:paraId="1F2D2808">
            <w:pPr>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2.如采用非电子形式的银行保函、担保或保证保险或专业工程担保公司担保等形式提交投标保证金的形式提交的，银行保函、或保证保险或专业工程担保公司担保需开具给招标人（受益人也必须是招标人）。在开标前不强制要求投标人提交纸质原件，由中标候选人在中标候选人公示前提交并在网上公示，但投标人应在投标文件中提交非电子形式的银行保函、担保或保证保险等形式的原件扫描件并加盖投标单位电子印章。如投标人选择在开标前提交纸质原件的，可在投标截止时间前单独密封递交（封套上注明“【项目名称】银行保函、担保或保证保险或专业工程担保公司担保”，并注明投标单位名称）至开标室（时间及地点同递交备用投标文件电子光盘的时间及地点）。</w:t>
            </w:r>
          </w:p>
          <w:p w14:paraId="22657CFF">
            <w:pPr>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3.如采用电子形式的保函、保证保险或担保提交投标保证金的，（详见：交易中心网/服务指南/办事指引/财务相关/关于进一步完善电子保函服务相关事宜的说明）</w:t>
            </w:r>
          </w:p>
          <w:p w14:paraId="2A78FE0E">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u w:val="single"/>
              </w:rPr>
              <w:t>注：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tc>
      </w:tr>
      <w:tr w14:paraId="786DC2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64C0B0D">
            <w:pPr>
              <w:spacing w:line="360" w:lineRule="auto"/>
              <w:jc w:val="center"/>
              <w:rPr>
                <w:rFonts w:ascii="宋体" w:hAnsi="宋体" w:cs="宋体"/>
                <w:sz w:val="24"/>
                <w:szCs w:val="24"/>
                <w:highlight w:val="none"/>
              </w:rPr>
            </w:pPr>
            <w:r>
              <w:rPr>
                <w:rFonts w:hint="eastAsia" w:ascii="宋体" w:hAnsi="宋体" w:cs="宋体"/>
                <w:sz w:val="24"/>
                <w:szCs w:val="24"/>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14:paraId="3E50E7BC">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14:paraId="40D6F45C">
            <w:pPr>
              <w:spacing w:line="360" w:lineRule="auto"/>
              <w:jc w:val="center"/>
              <w:rPr>
                <w:rFonts w:ascii="宋体" w:hAnsi="宋体" w:cs="宋体"/>
                <w:sz w:val="24"/>
                <w:szCs w:val="24"/>
                <w:highlight w:val="none"/>
              </w:rPr>
            </w:pPr>
            <w:r>
              <w:rPr>
                <w:rFonts w:hint="eastAsia" w:ascii="宋体" w:hAnsi="宋体" w:cs="宋体"/>
                <w:sz w:val="24"/>
                <w:szCs w:val="24"/>
                <w:highlight w:val="none"/>
              </w:rPr>
              <w:t>踏勘现场</w:t>
            </w:r>
          </w:p>
        </w:tc>
        <w:tc>
          <w:tcPr>
            <w:tcW w:w="6396" w:type="dxa"/>
            <w:tcBorders>
              <w:top w:val="single" w:color="auto" w:sz="4" w:space="0"/>
              <w:left w:val="single" w:color="auto" w:sz="4" w:space="0"/>
              <w:bottom w:val="single" w:color="auto" w:sz="4" w:space="0"/>
              <w:right w:val="double" w:color="auto" w:sz="4" w:space="0"/>
            </w:tcBorders>
            <w:vAlign w:val="center"/>
          </w:tcPr>
          <w:p w14:paraId="116937D4">
            <w:pPr>
              <w:spacing w:line="360" w:lineRule="auto"/>
              <w:jc w:val="left"/>
              <w:rPr>
                <w:rFonts w:ascii="宋体" w:hAnsi="宋体" w:cs="宋体"/>
                <w:sz w:val="24"/>
                <w:szCs w:val="24"/>
                <w:highlight w:val="none"/>
              </w:rPr>
            </w:pPr>
            <w:r>
              <w:rPr>
                <w:rFonts w:hint="eastAsia" w:ascii="宋体" w:hAnsi="宋体" w:cs="宋体"/>
                <w:sz w:val="24"/>
                <w:szCs w:val="24"/>
                <w:highlight w:val="none"/>
              </w:rPr>
              <w:t>时间：</w:t>
            </w:r>
            <w:r>
              <w:rPr>
                <w:rFonts w:hint="eastAsia" w:ascii="宋体" w:hAnsi="宋体" w:cs="宋体"/>
                <w:sz w:val="24"/>
                <w:szCs w:val="24"/>
                <w:highlight w:val="none"/>
                <w:u w:val="single"/>
              </w:rPr>
              <w:t>自招标公告发布之日起具备现场踏勘条件；</w:t>
            </w:r>
          </w:p>
          <w:p w14:paraId="0C8F81A8">
            <w:pPr>
              <w:pStyle w:val="19"/>
              <w:spacing w:line="360" w:lineRule="auto"/>
              <w:rPr>
                <w:rFonts w:ascii="宋体" w:hAnsi="宋体" w:cs="宋体"/>
                <w:sz w:val="24"/>
                <w:szCs w:val="24"/>
                <w:highlight w:val="none"/>
              </w:rPr>
            </w:pPr>
            <w:r>
              <w:rPr>
                <w:rFonts w:hint="eastAsia" w:ascii="宋体" w:hAnsi="宋体" w:cs="宋体"/>
                <w:sz w:val="24"/>
                <w:szCs w:val="24"/>
                <w:highlight w:val="none"/>
              </w:rPr>
              <w:t>方式：</w:t>
            </w:r>
            <w:r>
              <w:rPr>
                <w:rFonts w:hint="eastAsia" w:ascii="宋体" w:hAnsi="宋体" w:cs="宋体"/>
                <w:sz w:val="24"/>
                <w:szCs w:val="24"/>
                <w:highlight w:val="none"/>
                <w:u w:val="single"/>
              </w:rPr>
              <w:t>招标人不集中组织，由投标人自行踏勘；</w:t>
            </w:r>
          </w:p>
        </w:tc>
      </w:tr>
      <w:tr w14:paraId="12624F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5B86E24">
            <w:pPr>
              <w:spacing w:line="360" w:lineRule="auto"/>
              <w:jc w:val="center"/>
              <w:rPr>
                <w:rFonts w:ascii="宋体" w:hAnsi="宋体" w:cs="宋体"/>
                <w:sz w:val="24"/>
                <w:szCs w:val="24"/>
                <w:highlight w:val="none"/>
              </w:rPr>
            </w:pPr>
            <w:r>
              <w:rPr>
                <w:rFonts w:hint="eastAsia" w:ascii="宋体" w:hAnsi="宋体" w:cs="宋体"/>
                <w:sz w:val="24"/>
                <w:szCs w:val="24"/>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14:paraId="2F662389">
            <w:pPr>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14:paraId="7C6E0B0B">
            <w:pPr>
              <w:spacing w:line="360" w:lineRule="auto"/>
              <w:jc w:val="center"/>
              <w:rPr>
                <w:rFonts w:ascii="宋体" w:hAnsi="宋体" w:cs="宋体"/>
                <w:sz w:val="24"/>
                <w:szCs w:val="24"/>
                <w:highlight w:val="none"/>
              </w:rPr>
            </w:pPr>
            <w:r>
              <w:rPr>
                <w:rFonts w:hint="eastAsia" w:ascii="宋体" w:hAnsi="宋体" w:cs="宋体"/>
                <w:sz w:val="24"/>
                <w:szCs w:val="24"/>
                <w:highlight w:val="none"/>
              </w:rPr>
              <w:t>投标答疑</w:t>
            </w:r>
          </w:p>
        </w:tc>
        <w:tc>
          <w:tcPr>
            <w:tcW w:w="6396" w:type="dxa"/>
            <w:tcBorders>
              <w:top w:val="single" w:color="auto" w:sz="4" w:space="0"/>
              <w:left w:val="single" w:color="auto" w:sz="4" w:space="0"/>
              <w:bottom w:val="single" w:color="auto" w:sz="4" w:space="0"/>
              <w:right w:val="double" w:color="auto" w:sz="4" w:space="0"/>
            </w:tcBorders>
            <w:vAlign w:val="center"/>
          </w:tcPr>
          <w:p w14:paraId="24AAA1C1">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1.方式：网上答疑；</w:t>
            </w:r>
          </w:p>
          <w:p w14:paraId="410C2D39">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2.疑问提交时间：   年   月   日   时   分前（在递交投标文件截止日期前18日）；</w:t>
            </w:r>
          </w:p>
          <w:p w14:paraId="0B2FC1D2">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3.招标人澄清、修补或答疑期限：在递交投标文件截止日期前15 日；</w:t>
            </w:r>
          </w:p>
          <w:p w14:paraId="422B4E29">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4.具体要求：按照广州交易集团有限公司（广州公共资源交易中心）交易平台关于全流程电子化项目的相关指南进行操作，详见：广州交易集团有限公司（广州公共资源交易中心）网站最新指引。提问一律不得署名。</w:t>
            </w:r>
          </w:p>
        </w:tc>
      </w:tr>
      <w:tr w14:paraId="68D66E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0932AE4">
            <w:pPr>
              <w:spacing w:line="360" w:lineRule="auto"/>
              <w:jc w:val="center"/>
              <w:rPr>
                <w:rFonts w:ascii="宋体" w:hAnsi="宋体" w:cs="宋体"/>
                <w:sz w:val="24"/>
                <w:szCs w:val="24"/>
                <w:highlight w:val="none"/>
              </w:rPr>
            </w:pPr>
            <w:r>
              <w:rPr>
                <w:rFonts w:hint="eastAsia" w:ascii="宋体" w:hAnsi="宋体" w:cs="宋体"/>
                <w:sz w:val="24"/>
                <w:szCs w:val="24"/>
                <w:highlight w:val="none"/>
              </w:rPr>
              <w:t>17</w:t>
            </w:r>
          </w:p>
        </w:tc>
        <w:tc>
          <w:tcPr>
            <w:tcW w:w="981" w:type="dxa"/>
            <w:tcBorders>
              <w:top w:val="single" w:color="auto" w:sz="4" w:space="0"/>
              <w:left w:val="single" w:color="auto" w:sz="4" w:space="0"/>
              <w:bottom w:val="single" w:color="auto" w:sz="4" w:space="0"/>
              <w:right w:val="single" w:color="auto" w:sz="4" w:space="0"/>
            </w:tcBorders>
            <w:vAlign w:val="center"/>
          </w:tcPr>
          <w:p w14:paraId="08E15608">
            <w:pPr>
              <w:spacing w:line="360" w:lineRule="auto"/>
              <w:jc w:val="center"/>
              <w:rPr>
                <w:rFonts w:ascii="宋体" w:hAnsi="宋体" w:cs="宋体"/>
                <w:sz w:val="24"/>
                <w:szCs w:val="24"/>
                <w:highlight w:val="none"/>
              </w:rPr>
            </w:pPr>
            <w:r>
              <w:rPr>
                <w:rFonts w:hint="eastAsia" w:ascii="宋体" w:hAnsi="宋体" w:cs="宋体"/>
                <w:sz w:val="24"/>
                <w:szCs w:val="24"/>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47AE2548">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投标截止时间</w:t>
            </w:r>
          </w:p>
        </w:tc>
        <w:tc>
          <w:tcPr>
            <w:tcW w:w="6396" w:type="dxa"/>
            <w:tcBorders>
              <w:top w:val="single" w:color="auto" w:sz="4" w:space="0"/>
              <w:left w:val="single" w:color="auto" w:sz="4" w:space="0"/>
              <w:bottom w:val="single" w:color="auto" w:sz="4" w:space="0"/>
              <w:right w:val="double" w:color="auto" w:sz="4" w:space="0"/>
            </w:tcBorders>
            <w:vAlign w:val="center"/>
          </w:tcPr>
          <w:p w14:paraId="7ED913B8">
            <w:pPr>
              <w:spacing w:line="360" w:lineRule="auto"/>
              <w:rPr>
                <w:rFonts w:ascii="宋体" w:hAnsi="宋体" w:cs="宋体"/>
                <w:strike/>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时（北京时间）。</w:t>
            </w:r>
          </w:p>
        </w:tc>
      </w:tr>
      <w:tr w14:paraId="624D2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55A4407">
            <w:pPr>
              <w:spacing w:line="360" w:lineRule="auto"/>
              <w:jc w:val="center"/>
              <w:rPr>
                <w:rFonts w:ascii="宋体" w:hAnsi="宋体" w:cs="宋体"/>
                <w:sz w:val="24"/>
                <w:szCs w:val="24"/>
                <w:highlight w:val="none"/>
              </w:rPr>
            </w:pPr>
            <w:r>
              <w:rPr>
                <w:rFonts w:hint="eastAsia" w:ascii="宋体" w:hAnsi="宋体" w:cs="宋体"/>
                <w:sz w:val="24"/>
                <w:szCs w:val="24"/>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72F06900">
            <w:pPr>
              <w:spacing w:line="360" w:lineRule="auto"/>
              <w:jc w:val="center"/>
              <w:rPr>
                <w:rFonts w:ascii="宋体" w:hAnsi="宋体" w:cs="宋体"/>
                <w:sz w:val="24"/>
                <w:szCs w:val="24"/>
                <w:highlight w:val="none"/>
              </w:rPr>
            </w:pPr>
            <w:r>
              <w:rPr>
                <w:rFonts w:hint="eastAsia" w:ascii="宋体" w:hAnsi="宋体" w:cs="宋体"/>
                <w:sz w:val="24"/>
                <w:szCs w:val="24"/>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0BF92881">
            <w:pPr>
              <w:spacing w:line="360" w:lineRule="auto"/>
              <w:jc w:val="center"/>
              <w:rPr>
                <w:rFonts w:ascii="宋体" w:hAnsi="宋体" w:cs="宋体"/>
                <w:sz w:val="24"/>
                <w:szCs w:val="24"/>
                <w:highlight w:val="none"/>
              </w:rPr>
            </w:pPr>
            <w:r>
              <w:rPr>
                <w:rFonts w:hint="eastAsia" w:ascii="宋体" w:hAnsi="宋体" w:cs="宋体"/>
                <w:sz w:val="24"/>
                <w:szCs w:val="24"/>
                <w:highlight w:val="none"/>
              </w:rPr>
              <w:t>开标开始时间和地点</w:t>
            </w:r>
          </w:p>
        </w:tc>
        <w:tc>
          <w:tcPr>
            <w:tcW w:w="6396" w:type="dxa"/>
            <w:tcBorders>
              <w:top w:val="single" w:color="auto" w:sz="4" w:space="0"/>
              <w:left w:val="single" w:color="auto" w:sz="4" w:space="0"/>
              <w:bottom w:val="single" w:color="auto" w:sz="4" w:space="0"/>
              <w:right w:val="double" w:color="auto" w:sz="4" w:space="0"/>
            </w:tcBorders>
            <w:vAlign w:val="center"/>
          </w:tcPr>
          <w:p w14:paraId="709387F2">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（技术标和经济标同时开标）</w:t>
            </w:r>
          </w:p>
          <w:p w14:paraId="66D339C3">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1.开标开始时间：</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年</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月</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日</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时</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分（与投标截止时间为同一时间），地点：</w:t>
            </w:r>
            <w:r>
              <w:rPr>
                <w:rFonts w:hint="eastAsia" w:ascii="宋体" w:hAnsi="宋体" w:cs="宋体"/>
                <w:bCs/>
                <w:kern w:val="0"/>
                <w:sz w:val="24"/>
                <w:szCs w:val="24"/>
                <w:highlight w:val="none"/>
                <w:u w:val="single"/>
              </w:rPr>
              <w:t xml:space="preserve"> </w:t>
            </w:r>
            <w:r>
              <w:rPr>
                <w:rFonts w:hint="eastAsia" w:ascii="宋体" w:hAnsi="宋体" w:cs="宋体"/>
                <w:sz w:val="24"/>
                <w:szCs w:val="24"/>
                <w:highlight w:val="none"/>
                <w:u w:val="single"/>
              </w:rPr>
              <w:t>广州交易集团有限公司（广州公共资源交易中心）   开标室</w:t>
            </w:r>
            <w:r>
              <w:rPr>
                <w:rFonts w:hint="eastAsia" w:ascii="宋体" w:hAnsi="宋体" w:cs="宋体"/>
                <w:bCs/>
                <w:kern w:val="0"/>
                <w:sz w:val="24"/>
                <w:szCs w:val="24"/>
                <w:highlight w:val="none"/>
              </w:rPr>
              <w:t>。</w:t>
            </w:r>
            <w:r>
              <w:rPr>
                <w:rFonts w:hint="eastAsia" w:ascii="宋体" w:hAnsi="宋体" w:cs="宋体"/>
                <w:b/>
                <w:bCs/>
                <w:kern w:val="0"/>
                <w:sz w:val="24"/>
                <w:szCs w:val="24"/>
                <w:highlight w:val="none"/>
              </w:rPr>
              <w:t>投标人也可选择参加在线开标，具体按照交易平台相关指南进行操作。详见：</w:t>
            </w:r>
            <w:r>
              <w:rPr>
                <w:rFonts w:hint="eastAsia" w:ascii="宋体" w:hAnsi="宋体" w:cs="宋体"/>
                <w:sz w:val="24"/>
                <w:szCs w:val="24"/>
                <w:highlight w:val="none"/>
                <w:u w:val="single"/>
                <w:lang w:bidi="ar"/>
              </w:rPr>
              <w:t>广州交易集团有限公司（广州公共资源交易中心）网站最新指引</w:t>
            </w:r>
            <w:r>
              <w:rPr>
                <w:rFonts w:hint="eastAsia" w:ascii="宋体" w:hAnsi="宋体" w:cs="宋体"/>
                <w:b/>
                <w:bCs/>
                <w:kern w:val="0"/>
                <w:sz w:val="24"/>
                <w:szCs w:val="24"/>
                <w:highlight w:val="none"/>
              </w:rPr>
              <w:t>。</w:t>
            </w:r>
          </w:p>
          <w:p w14:paraId="505BC894">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注：投标文件解密问题。投标人只用执行一次解密，招标人执行解密次数根据招标文件开标次数确定。</w:t>
            </w:r>
          </w:p>
          <w:p w14:paraId="6C2AAE54">
            <w:pPr>
              <w:widowControl/>
              <w:spacing w:line="360" w:lineRule="auto"/>
              <w:jc w:val="left"/>
              <w:rPr>
                <w:rFonts w:ascii="宋体" w:hAnsi="宋体" w:cs="宋体"/>
                <w:bCs/>
                <w:kern w:val="0"/>
                <w:sz w:val="24"/>
                <w:szCs w:val="24"/>
                <w:highlight w:val="none"/>
              </w:rPr>
            </w:pPr>
            <w:r>
              <w:rPr>
                <w:rFonts w:ascii="宋体" w:hAnsi="宋体" w:cs="宋体"/>
                <w:bCs/>
                <w:kern w:val="0"/>
                <w:sz w:val="24"/>
                <w:szCs w:val="24"/>
                <w:highlight w:val="none"/>
              </w:rPr>
              <w:t>2</w:t>
            </w:r>
            <w:r>
              <w:rPr>
                <w:rFonts w:hint="eastAsia" w:ascii="宋体" w:hAnsi="宋体" w:cs="宋体"/>
                <w:bCs/>
                <w:kern w:val="0"/>
                <w:sz w:val="24"/>
                <w:szCs w:val="24"/>
                <w:highlight w:val="none"/>
              </w:rPr>
              <w:t>.递交投标文件备用光盘时间：</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年</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月</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日</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时</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分至</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年</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月</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日   时</w:t>
            </w:r>
            <w:r>
              <w:rPr>
                <w:rFonts w:hint="eastAsia" w:ascii="宋体" w:hAnsi="宋体" w:cs="宋体"/>
                <w:bCs/>
                <w:kern w:val="0"/>
                <w:sz w:val="24"/>
                <w:szCs w:val="24"/>
                <w:highlight w:val="none"/>
                <w:u w:val="single"/>
              </w:rPr>
              <w:t xml:space="preserve">   </w:t>
            </w:r>
            <w:r>
              <w:rPr>
                <w:rFonts w:hint="eastAsia" w:ascii="宋体" w:hAnsi="宋体" w:cs="宋体"/>
                <w:bCs/>
                <w:kern w:val="0"/>
                <w:sz w:val="24"/>
                <w:szCs w:val="24"/>
                <w:highlight w:val="none"/>
              </w:rPr>
              <w:t>分；递交地点：</w:t>
            </w:r>
            <w:r>
              <w:rPr>
                <w:rFonts w:hint="eastAsia" w:ascii="宋体" w:hAnsi="宋体" w:cs="宋体"/>
                <w:bCs/>
                <w:kern w:val="0"/>
                <w:sz w:val="24"/>
                <w:szCs w:val="24"/>
                <w:highlight w:val="none"/>
                <w:u w:val="single"/>
              </w:rPr>
              <w:t>广州交易集团有限公司（广州公共资源交易中心）指定开标室</w:t>
            </w:r>
            <w:r>
              <w:rPr>
                <w:rFonts w:hint="eastAsia" w:ascii="宋体" w:hAnsi="宋体" w:cs="宋体"/>
                <w:bCs/>
                <w:kern w:val="0"/>
                <w:sz w:val="24"/>
                <w:szCs w:val="24"/>
                <w:highlight w:val="none"/>
              </w:rPr>
              <w:t>。</w:t>
            </w:r>
          </w:p>
          <w:p w14:paraId="3C6EC12E">
            <w:pPr>
              <w:pStyle w:val="18"/>
              <w:spacing w:line="360" w:lineRule="auto"/>
              <w:rPr>
                <w:rFonts w:hint="default" w:hAnsi="宋体" w:cs="宋体"/>
                <w:sz w:val="24"/>
                <w:szCs w:val="24"/>
                <w:highlight w:val="none"/>
                <w:u w:val="single"/>
              </w:rPr>
            </w:pPr>
            <w:r>
              <w:rPr>
                <w:rFonts w:hint="default" w:hAnsi="宋体" w:cs="宋体"/>
                <w:sz w:val="24"/>
                <w:szCs w:val="24"/>
                <w:highlight w:val="none"/>
              </w:rPr>
              <w:t>3</w:t>
            </w:r>
            <w:r>
              <w:rPr>
                <w:rFonts w:hAnsi="宋体" w:cs="宋体"/>
                <w:sz w:val="24"/>
                <w:szCs w:val="24"/>
                <w:highlight w:val="none"/>
              </w:rPr>
              <w:t>.</w:t>
            </w:r>
            <w:r>
              <w:rPr>
                <w:rFonts w:hAnsi="宋体" w:cs="宋体"/>
                <w:sz w:val="24"/>
                <w:szCs w:val="24"/>
                <w:highlight w:val="none"/>
                <w:u w:val="single"/>
              </w:rPr>
              <w:t>投标人应在投标文件（含评标部分文件和定标部分文件）递交截止时间前通过广州公共资源交易中心电子招标投标交易平台递交电子投标文件（含评标部分文件和定标部分文件）。</w:t>
            </w:r>
          </w:p>
          <w:p w14:paraId="7FF5D481">
            <w:pPr>
              <w:pStyle w:val="18"/>
              <w:numPr>
                <w:ilvl w:val="255"/>
                <w:numId w:val="0"/>
              </w:numPr>
              <w:spacing w:line="360" w:lineRule="auto"/>
              <w:rPr>
                <w:rFonts w:hint="default" w:hAnsi="宋体" w:cs="宋体"/>
                <w:sz w:val="24"/>
                <w:szCs w:val="24"/>
                <w:highlight w:val="none"/>
                <w:u w:val="single"/>
              </w:rPr>
            </w:pPr>
            <w:r>
              <w:rPr>
                <w:rFonts w:hAnsi="宋体" w:cs="宋体"/>
                <w:sz w:val="24"/>
                <w:szCs w:val="24"/>
                <w:highlight w:val="none"/>
                <w:u w:val="single"/>
              </w:rPr>
              <w:t>上述时间及地点是否有改变，请密切留意补充公告和招标答疑纪要的相关信息。</w:t>
            </w:r>
          </w:p>
          <w:p w14:paraId="14E64E0E">
            <w:pPr>
              <w:pStyle w:val="18"/>
              <w:spacing w:line="360" w:lineRule="auto"/>
              <w:rPr>
                <w:rFonts w:hint="default" w:hAnsi="宋体" w:cs="宋体"/>
                <w:sz w:val="24"/>
                <w:szCs w:val="24"/>
                <w:highlight w:val="none"/>
              </w:rPr>
            </w:pPr>
            <w:r>
              <w:rPr>
                <w:rFonts w:hAnsi="宋体" w:cs="宋体"/>
                <w:b/>
                <w:bCs/>
                <w:sz w:val="24"/>
                <w:szCs w:val="24"/>
                <w:highlight w:val="none"/>
                <w:u w:val="single"/>
              </w:rPr>
              <w:t>请各投标人密切留意本项目的日程安排，投标人可登录广州交易集团有限公司（广州公共资源交易中心）网站首页，点击“交易业务－建设工程”专栏中的“项目查询（日程安排、答疑纪要）”，输入项目编号或项目名称查询最新信息。</w:t>
            </w:r>
          </w:p>
        </w:tc>
      </w:tr>
      <w:tr w14:paraId="01BDF8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2" w:type="dxa"/>
            <w:tcBorders>
              <w:top w:val="single" w:color="auto" w:sz="4" w:space="0"/>
              <w:left w:val="double" w:color="auto" w:sz="4" w:space="0"/>
              <w:right w:val="single" w:color="auto" w:sz="4" w:space="0"/>
            </w:tcBorders>
            <w:vAlign w:val="center"/>
          </w:tcPr>
          <w:p w14:paraId="44B23A4B">
            <w:pPr>
              <w:spacing w:line="360" w:lineRule="auto"/>
              <w:jc w:val="center"/>
              <w:rPr>
                <w:rFonts w:ascii="宋体" w:hAnsi="宋体" w:cs="宋体"/>
                <w:sz w:val="24"/>
                <w:szCs w:val="24"/>
                <w:highlight w:val="none"/>
              </w:rPr>
            </w:pPr>
            <w:r>
              <w:rPr>
                <w:rFonts w:hint="eastAsia" w:ascii="宋体" w:hAnsi="宋体" w:cs="宋体"/>
                <w:sz w:val="24"/>
                <w:szCs w:val="24"/>
                <w:highlight w:val="none"/>
              </w:rPr>
              <w:t>19</w:t>
            </w:r>
          </w:p>
        </w:tc>
        <w:tc>
          <w:tcPr>
            <w:tcW w:w="981" w:type="dxa"/>
            <w:tcBorders>
              <w:top w:val="single" w:color="auto" w:sz="4" w:space="0"/>
              <w:left w:val="single" w:color="auto" w:sz="4" w:space="0"/>
              <w:right w:val="single" w:color="auto" w:sz="4" w:space="0"/>
            </w:tcBorders>
            <w:vAlign w:val="center"/>
          </w:tcPr>
          <w:p w14:paraId="04733321">
            <w:pPr>
              <w:spacing w:line="360" w:lineRule="auto"/>
              <w:jc w:val="center"/>
              <w:rPr>
                <w:rFonts w:ascii="宋体" w:hAnsi="宋体" w:cs="宋体"/>
                <w:sz w:val="24"/>
                <w:szCs w:val="24"/>
                <w:highlight w:val="none"/>
                <w:u w:val="single"/>
              </w:rPr>
            </w:pPr>
            <w:r>
              <w:rPr>
                <w:rFonts w:hint="eastAsia" w:ascii="宋体" w:hAnsi="宋体" w:cs="宋体"/>
                <w:sz w:val="24"/>
                <w:szCs w:val="24"/>
                <w:highlight w:val="none"/>
                <w:u w:val="single"/>
              </w:rPr>
              <w:t>35.10</w:t>
            </w:r>
          </w:p>
        </w:tc>
        <w:tc>
          <w:tcPr>
            <w:tcW w:w="1810" w:type="dxa"/>
            <w:tcBorders>
              <w:top w:val="single" w:color="auto" w:sz="4" w:space="0"/>
              <w:left w:val="single" w:color="auto" w:sz="4" w:space="0"/>
              <w:right w:val="single" w:color="auto" w:sz="4" w:space="0"/>
            </w:tcBorders>
            <w:vAlign w:val="center"/>
          </w:tcPr>
          <w:p w14:paraId="527D3155">
            <w:pPr>
              <w:spacing w:line="360" w:lineRule="auto"/>
              <w:jc w:val="center"/>
              <w:rPr>
                <w:rFonts w:ascii="宋体" w:hAnsi="宋体" w:cs="宋体"/>
                <w:sz w:val="24"/>
                <w:szCs w:val="24"/>
                <w:highlight w:val="none"/>
                <w:u w:val="single"/>
              </w:rPr>
            </w:pPr>
            <w:r>
              <w:rPr>
                <w:rFonts w:hint="eastAsia" w:ascii="宋体" w:hAnsi="宋体" w:cs="宋体"/>
                <w:sz w:val="24"/>
                <w:szCs w:val="24"/>
                <w:highlight w:val="none"/>
                <w:u w:val="single"/>
              </w:rPr>
              <w:t>开标评标办法</w:t>
            </w:r>
          </w:p>
        </w:tc>
        <w:tc>
          <w:tcPr>
            <w:tcW w:w="6396" w:type="dxa"/>
            <w:tcBorders>
              <w:top w:val="single" w:color="auto" w:sz="4" w:space="0"/>
              <w:left w:val="single" w:color="auto" w:sz="4" w:space="0"/>
              <w:bottom w:val="single" w:color="auto" w:sz="4" w:space="0"/>
              <w:right w:val="double" w:color="auto" w:sz="4" w:space="0"/>
            </w:tcBorders>
            <w:vAlign w:val="center"/>
          </w:tcPr>
          <w:p w14:paraId="27DA7A7F">
            <w:pPr>
              <w:spacing w:line="360" w:lineRule="auto"/>
              <w:rPr>
                <w:rFonts w:ascii="宋体" w:hAnsi="宋体" w:cs="宋体"/>
                <w:bCs/>
                <w:sz w:val="24"/>
                <w:szCs w:val="24"/>
                <w:highlight w:val="none"/>
                <w:u w:val="single"/>
              </w:rPr>
            </w:pPr>
            <w:r>
              <w:rPr>
                <w:rFonts w:hint="eastAsia" w:ascii="宋体" w:hAnsi="宋体" w:cs="宋体"/>
                <w:bCs/>
                <w:sz w:val="24"/>
                <w:szCs w:val="24"/>
                <w:highlight w:val="none"/>
                <w:u w:val="single"/>
              </w:rPr>
              <w:t>采用评定分离定标办法</w:t>
            </w:r>
          </w:p>
          <w:p w14:paraId="039A3434">
            <w:pPr>
              <w:spacing w:line="360" w:lineRule="auto"/>
              <w:rPr>
                <w:rFonts w:ascii="宋体" w:hAnsi="宋体" w:cs="宋体"/>
                <w:bCs/>
                <w:sz w:val="24"/>
                <w:szCs w:val="24"/>
                <w:highlight w:val="none"/>
                <w:u w:val="single"/>
              </w:rPr>
            </w:pPr>
            <w:r>
              <w:rPr>
                <w:rFonts w:hint="eastAsia" w:ascii="宋体" w:hAnsi="宋体" w:cs="宋体"/>
                <w:bCs/>
                <w:sz w:val="24"/>
                <w:szCs w:val="24"/>
                <w:highlight w:val="none"/>
                <w:u w:val="single"/>
              </w:rPr>
              <w:t>1.评标办法：采用“有限数量制评审法”，推荐</w:t>
            </w:r>
            <w:r>
              <w:rPr>
                <w:rFonts w:hint="eastAsia" w:ascii="宋体" w:hAnsi="宋体" w:cs="宋体"/>
                <w:bCs/>
                <w:sz w:val="24"/>
                <w:szCs w:val="24"/>
                <w:highlight w:val="none"/>
                <w:u w:val="single"/>
                <w:lang w:eastAsia="zh-CN"/>
              </w:rPr>
              <w:t>1</w:t>
            </w:r>
            <w:r>
              <w:rPr>
                <w:rFonts w:hint="eastAsia" w:ascii="宋体" w:hAnsi="宋体" w:cs="宋体"/>
                <w:bCs/>
                <w:sz w:val="24"/>
                <w:szCs w:val="24"/>
                <w:highlight w:val="none"/>
                <w:u w:val="single"/>
                <w:lang w:val="en-US" w:eastAsia="zh-CN"/>
              </w:rPr>
              <w:t>0</w:t>
            </w:r>
            <w:r>
              <w:rPr>
                <w:rFonts w:hint="eastAsia" w:ascii="宋体" w:hAnsi="宋体" w:cs="宋体"/>
                <w:bCs/>
                <w:sz w:val="24"/>
                <w:szCs w:val="24"/>
                <w:highlight w:val="none"/>
                <w:u w:val="single"/>
              </w:rPr>
              <w:t>名（通过经济标有效性审查家数在[3,</w:t>
            </w:r>
            <w:r>
              <w:rPr>
                <w:rFonts w:hint="eastAsia" w:ascii="宋体" w:hAnsi="宋体" w:cs="宋体"/>
                <w:bCs/>
                <w:sz w:val="24"/>
                <w:szCs w:val="24"/>
                <w:highlight w:val="none"/>
                <w:u w:val="single"/>
                <w:lang w:eastAsia="zh-CN"/>
              </w:rPr>
              <w:t>1</w:t>
            </w:r>
            <w:r>
              <w:rPr>
                <w:rFonts w:hint="eastAsia" w:ascii="宋体" w:hAnsi="宋体" w:cs="宋体"/>
                <w:bCs/>
                <w:sz w:val="24"/>
                <w:szCs w:val="24"/>
                <w:highlight w:val="none"/>
                <w:u w:val="single"/>
                <w:lang w:val="en-US" w:eastAsia="zh-CN"/>
              </w:rPr>
              <w:t>0</w:t>
            </w:r>
            <w:r>
              <w:rPr>
                <w:rFonts w:hint="eastAsia" w:ascii="宋体" w:hAnsi="宋体" w:cs="宋体"/>
                <w:bCs/>
                <w:sz w:val="24"/>
                <w:szCs w:val="24"/>
                <w:highlight w:val="none"/>
                <w:u w:val="single"/>
              </w:rPr>
              <w:t>]的，以实际家数为准；超过</w:t>
            </w:r>
            <w:r>
              <w:rPr>
                <w:rFonts w:hint="eastAsia" w:ascii="宋体" w:hAnsi="宋体" w:cs="宋体"/>
                <w:bCs/>
                <w:sz w:val="24"/>
                <w:szCs w:val="24"/>
                <w:highlight w:val="none"/>
                <w:u w:val="single"/>
                <w:lang w:eastAsia="zh-CN"/>
              </w:rPr>
              <w:t>1</w:t>
            </w:r>
            <w:r>
              <w:rPr>
                <w:rFonts w:hint="eastAsia" w:ascii="宋体" w:hAnsi="宋体" w:cs="宋体"/>
                <w:bCs/>
                <w:sz w:val="24"/>
                <w:szCs w:val="24"/>
                <w:highlight w:val="none"/>
                <w:u w:val="single"/>
                <w:lang w:val="en-US" w:eastAsia="zh-CN"/>
              </w:rPr>
              <w:t>0</w:t>
            </w:r>
            <w:r>
              <w:rPr>
                <w:rFonts w:hint="eastAsia" w:ascii="宋体" w:hAnsi="宋体" w:cs="宋体"/>
                <w:bCs/>
                <w:sz w:val="24"/>
                <w:szCs w:val="24"/>
                <w:highlight w:val="none"/>
                <w:u w:val="single"/>
              </w:rPr>
              <w:t>家的，则只推荐</w:t>
            </w:r>
            <w:r>
              <w:rPr>
                <w:rFonts w:hint="eastAsia" w:ascii="宋体" w:hAnsi="宋体" w:cs="宋体"/>
                <w:bCs/>
                <w:sz w:val="24"/>
                <w:szCs w:val="24"/>
                <w:highlight w:val="none"/>
                <w:u w:val="single"/>
                <w:lang w:eastAsia="zh-CN"/>
              </w:rPr>
              <w:t>1</w:t>
            </w:r>
            <w:r>
              <w:rPr>
                <w:rFonts w:hint="eastAsia" w:ascii="宋体" w:hAnsi="宋体" w:cs="宋体"/>
                <w:bCs/>
                <w:sz w:val="24"/>
                <w:szCs w:val="24"/>
                <w:highlight w:val="none"/>
                <w:u w:val="single"/>
                <w:lang w:val="en-US" w:eastAsia="zh-CN"/>
              </w:rPr>
              <w:t>0</w:t>
            </w:r>
            <w:r>
              <w:rPr>
                <w:rFonts w:hint="eastAsia" w:ascii="宋体" w:hAnsi="宋体" w:cs="宋体"/>
                <w:bCs/>
                <w:sz w:val="24"/>
                <w:szCs w:val="24"/>
                <w:highlight w:val="none"/>
                <w:u w:val="single"/>
              </w:rPr>
              <w:t>家）不排序的合格中标候选人进入定标阶段【按统一社会信用代码后4位（除校验码外）大小排位，如统一社会信用代码后4位出现字母情况的，字母以“0”进行代替大小排位；如出现后4位（除校验码外）大小一致的，则随机排位】。</w:t>
            </w:r>
          </w:p>
          <w:p w14:paraId="4DD16F1B">
            <w:pPr>
              <w:spacing w:line="360" w:lineRule="auto"/>
              <w:rPr>
                <w:rFonts w:ascii="宋体" w:hAnsi="宋体" w:cs="宋体"/>
                <w:bCs/>
                <w:sz w:val="24"/>
                <w:szCs w:val="24"/>
                <w:highlight w:val="none"/>
                <w:u w:val="single"/>
              </w:rPr>
            </w:pPr>
            <w:r>
              <w:rPr>
                <w:rFonts w:hint="eastAsia" w:ascii="宋体" w:hAnsi="宋体" w:cs="宋体"/>
                <w:bCs/>
                <w:sz w:val="24"/>
                <w:szCs w:val="24"/>
                <w:highlight w:val="none"/>
                <w:u w:val="single"/>
              </w:rPr>
              <w:t>评分办法选用办法六（适合综合评分法三，技术标与经济标同时开启），采用两阶段综合评标法，具体内容如下：</w:t>
            </w:r>
          </w:p>
          <w:p w14:paraId="76A02BD5">
            <w:pPr>
              <w:spacing w:line="360" w:lineRule="auto"/>
              <w:rPr>
                <w:rFonts w:ascii="宋体" w:hAnsi="宋体" w:cs="宋体"/>
                <w:bCs/>
                <w:sz w:val="24"/>
                <w:szCs w:val="24"/>
                <w:highlight w:val="none"/>
                <w:u w:val="single"/>
              </w:rPr>
            </w:pPr>
            <w:r>
              <w:rPr>
                <w:rFonts w:hint="eastAsia" w:ascii="宋体" w:hAnsi="宋体" w:cs="宋体"/>
                <w:bCs/>
                <w:sz w:val="24"/>
                <w:szCs w:val="24"/>
                <w:highlight w:val="none"/>
                <w:u w:val="single"/>
              </w:rPr>
              <w:t>第一阶段得分=技术标得分×得分权重（100%）</w:t>
            </w:r>
          </w:p>
          <w:p w14:paraId="79BE8017">
            <w:pPr>
              <w:spacing w:line="360" w:lineRule="auto"/>
              <w:rPr>
                <w:rFonts w:ascii="宋体" w:hAnsi="宋体" w:cs="宋体"/>
                <w:bCs/>
                <w:sz w:val="24"/>
                <w:szCs w:val="24"/>
                <w:highlight w:val="none"/>
                <w:u w:val="single"/>
              </w:rPr>
            </w:pPr>
            <w:r>
              <w:rPr>
                <w:rFonts w:hint="eastAsia" w:ascii="宋体" w:hAnsi="宋体" w:cs="宋体"/>
                <w:bCs/>
                <w:sz w:val="24"/>
                <w:szCs w:val="24"/>
                <w:highlight w:val="none"/>
                <w:u w:val="single"/>
              </w:rPr>
              <w:t>第二阶段得分（总得分）=技术得分（100分）×技术得分权重（20%）＋经济得分（100分）×经济得分权重（80%）</w:t>
            </w:r>
          </w:p>
          <w:p w14:paraId="1C44D9FC">
            <w:pPr>
              <w:spacing w:line="360" w:lineRule="auto"/>
              <w:rPr>
                <w:rFonts w:ascii="宋体" w:hAnsi="宋体" w:cs="宋体"/>
                <w:bCs/>
                <w:sz w:val="24"/>
                <w:szCs w:val="24"/>
                <w:highlight w:val="none"/>
                <w:u w:val="single"/>
              </w:rPr>
            </w:pPr>
            <w:r>
              <w:rPr>
                <w:rFonts w:hint="eastAsia" w:ascii="宋体" w:hAnsi="宋体" w:cs="宋体"/>
                <w:bCs/>
                <w:sz w:val="24"/>
                <w:szCs w:val="24"/>
                <w:highlight w:val="none"/>
                <w:u w:val="single"/>
              </w:rPr>
              <w:t>进入第二阶段评审的家数：</w:t>
            </w:r>
          </w:p>
          <w:p w14:paraId="186B541E">
            <w:pPr>
              <w:spacing w:line="360" w:lineRule="auto"/>
              <w:rPr>
                <w:rFonts w:ascii="宋体" w:hAnsi="宋体" w:cs="宋体"/>
                <w:bCs/>
                <w:sz w:val="24"/>
                <w:szCs w:val="24"/>
                <w:highlight w:val="none"/>
                <w:u w:val="single"/>
              </w:rPr>
            </w:pPr>
            <w:r>
              <w:rPr>
                <w:rFonts w:hint="eastAsia" w:ascii="宋体" w:hAnsi="宋体" w:cs="宋体"/>
                <w:bCs/>
                <w:sz w:val="24"/>
                <w:szCs w:val="24"/>
                <w:highlight w:val="none"/>
                <w:u w:val="single"/>
              </w:rPr>
              <w:t>①通过技术有效性审查的投标人均进入第二阶段（适用于通过技术有效性审查家数在[3,20]中的）。</w:t>
            </w:r>
          </w:p>
          <w:p w14:paraId="6886C5E2">
            <w:pPr>
              <w:spacing w:line="360" w:lineRule="auto"/>
              <w:rPr>
                <w:rFonts w:ascii="宋体" w:hAnsi="宋体" w:cs="宋体"/>
                <w:bCs/>
                <w:sz w:val="24"/>
                <w:szCs w:val="24"/>
                <w:highlight w:val="none"/>
                <w:u w:val="single"/>
              </w:rPr>
            </w:pPr>
            <w:r>
              <w:rPr>
                <w:rFonts w:hint="eastAsia" w:ascii="宋体" w:hAnsi="宋体" w:cs="宋体"/>
                <w:bCs/>
                <w:sz w:val="24"/>
                <w:szCs w:val="24"/>
                <w:highlight w:val="none"/>
                <w:u w:val="single"/>
              </w:rPr>
              <w:t>②将第一阶段得分由高至低排序，前20名投标人进入第二阶段评审（适用于通过技术标有效性审查家数大于20家的，若投标人第一阶段得分相同的，则以投标总报价较低的排前；如仍存在相同情况，则对具有相同情况的投标人，由评标委员会采用记名投票方式，确定投标人第一阶段名次的排序，确定前20家进入第二阶段）。记名投票方式确定排序的具体操作步骤为：由评标委员会对出现该情况的投标人采取记名投票的方式确定，按得票数从高到低排列先后次序，以得票数高的排前，根据得票数高低确定排序。</w:t>
            </w:r>
          </w:p>
          <w:p w14:paraId="156257C8">
            <w:pPr>
              <w:spacing w:line="360" w:lineRule="auto"/>
              <w:rPr>
                <w:rFonts w:ascii="宋体" w:hAnsi="宋体" w:cs="宋体"/>
                <w:bCs/>
                <w:sz w:val="24"/>
                <w:szCs w:val="24"/>
                <w:highlight w:val="none"/>
                <w:u w:val="single"/>
              </w:rPr>
            </w:pPr>
            <w:r>
              <w:rPr>
                <w:rFonts w:hint="eastAsia" w:ascii="宋体" w:hAnsi="宋体" w:cs="宋体"/>
                <w:bCs/>
                <w:sz w:val="24"/>
                <w:szCs w:val="24"/>
                <w:highlight w:val="none"/>
                <w:u w:val="single"/>
              </w:rPr>
              <w:t>2.定标采用直接票决定标法（记名投票+撰写评语）。</w:t>
            </w:r>
          </w:p>
          <w:p w14:paraId="78CE3D9D">
            <w:pPr>
              <w:spacing w:line="360" w:lineRule="auto"/>
              <w:rPr>
                <w:rFonts w:ascii="宋体" w:hAnsi="宋体" w:cs="宋体"/>
                <w:bCs/>
                <w:sz w:val="24"/>
                <w:szCs w:val="24"/>
                <w:highlight w:val="none"/>
                <w:u w:val="single"/>
              </w:rPr>
            </w:pPr>
            <w:r>
              <w:rPr>
                <w:rFonts w:hint="eastAsia" w:ascii="宋体" w:hAnsi="宋体" w:cs="宋体"/>
                <w:bCs/>
                <w:sz w:val="24"/>
                <w:szCs w:val="24"/>
                <w:highlight w:val="none"/>
                <w:u w:val="single"/>
              </w:rPr>
              <w:t>3.定标因素：详见《定标因素表》。</w:t>
            </w:r>
          </w:p>
          <w:p w14:paraId="1B1EA573">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定标办法：直接票决定标法（记名投票+撰写评语）。</w:t>
            </w:r>
          </w:p>
        </w:tc>
      </w:tr>
      <w:tr w14:paraId="37DFF7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2" w:type="dxa"/>
            <w:tcBorders>
              <w:top w:val="single" w:color="auto" w:sz="4" w:space="0"/>
              <w:left w:val="double" w:color="auto" w:sz="4" w:space="0"/>
              <w:right w:val="single" w:color="auto" w:sz="4" w:space="0"/>
            </w:tcBorders>
            <w:vAlign w:val="center"/>
          </w:tcPr>
          <w:p w14:paraId="6FF44562">
            <w:pPr>
              <w:spacing w:line="360" w:lineRule="auto"/>
              <w:jc w:val="center"/>
              <w:rPr>
                <w:rFonts w:ascii="宋体" w:hAnsi="宋体" w:cs="宋体"/>
                <w:sz w:val="24"/>
                <w:szCs w:val="24"/>
                <w:highlight w:val="none"/>
                <w:u w:val="single"/>
              </w:rPr>
            </w:pPr>
            <w:r>
              <w:rPr>
                <w:rFonts w:hint="eastAsia" w:ascii="宋体" w:hAnsi="宋体" w:cs="宋体"/>
                <w:sz w:val="24"/>
                <w:szCs w:val="24"/>
                <w:highlight w:val="none"/>
                <w:u w:val="single"/>
              </w:rPr>
              <w:t>20</w:t>
            </w:r>
          </w:p>
        </w:tc>
        <w:tc>
          <w:tcPr>
            <w:tcW w:w="981" w:type="dxa"/>
            <w:tcBorders>
              <w:top w:val="single" w:color="auto" w:sz="4" w:space="0"/>
              <w:left w:val="single" w:color="auto" w:sz="4" w:space="0"/>
              <w:right w:val="single" w:color="auto" w:sz="4" w:space="0"/>
            </w:tcBorders>
            <w:vAlign w:val="center"/>
          </w:tcPr>
          <w:p w14:paraId="0916A17D">
            <w:pPr>
              <w:spacing w:line="360" w:lineRule="auto"/>
              <w:jc w:val="center"/>
              <w:rPr>
                <w:rFonts w:ascii="宋体" w:hAnsi="宋体" w:cs="宋体"/>
                <w:sz w:val="24"/>
                <w:szCs w:val="24"/>
                <w:highlight w:val="none"/>
                <w:u w:val="single"/>
              </w:rPr>
            </w:pPr>
          </w:p>
        </w:tc>
        <w:tc>
          <w:tcPr>
            <w:tcW w:w="1810" w:type="dxa"/>
            <w:tcBorders>
              <w:top w:val="single" w:color="auto" w:sz="4" w:space="0"/>
              <w:left w:val="single" w:color="auto" w:sz="4" w:space="0"/>
              <w:right w:val="single" w:color="auto" w:sz="4" w:space="0"/>
            </w:tcBorders>
            <w:vAlign w:val="center"/>
          </w:tcPr>
          <w:p w14:paraId="443DFD92">
            <w:pPr>
              <w:spacing w:line="360" w:lineRule="auto"/>
              <w:jc w:val="center"/>
              <w:rPr>
                <w:rFonts w:ascii="宋体" w:hAnsi="宋体" w:cs="宋体"/>
                <w:sz w:val="24"/>
                <w:szCs w:val="24"/>
                <w:highlight w:val="none"/>
                <w:u w:val="single"/>
              </w:rPr>
            </w:pPr>
            <w:r>
              <w:rPr>
                <w:rFonts w:hint="eastAsia" w:ascii="宋体" w:hAnsi="宋体" w:cs="宋体"/>
                <w:sz w:val="24"/>
                <w:szCs w:val="24"/>
                <w:highlight w:val="none"/>
                <w:u w:val="single"/>
              </w:rPr>
              <w:t>是否授权评标委员会确定中标人</w:t>
            </w:r>
          </w:p>
        </w:tc>
        <w:tc>
          <w:tcPr>
            <w:tcW w:w="6396" w:type="dxa"/>
            <w:tcBorders>
              <w:top w:val="single" w:color="auto" w:sz="4" w:space="0"/>
              <w:left w:val="single" w:color="auto" w:sz="4" w:space="0"/>
              <w:bottom w:val="single" w:color="auto" w:sz="4" w:space="0"/>
              <w:right w:val="double" w:color="auto" w:sz="4" w:space="0"/>
            </w:tcBorders>
            <w:vAlign w:val="center"/>
          </w:tcPr>
          <w:p w14:paraId="1935969E">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否。</w:t>
            </w:r>
          </w:p>
        </w:tc>
      </w:tr>
      <w:tr w14:paraId="0DC2FD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702" w:type="dxa"/>
            <w:tcBorders>
              <w:top w:val="single" w:color="auto" w:sz="4" w:space="0"/>
              <w:left w:val="double" w:color="auto" w:sz="4" w:space="0"/>
              <w:bottom w:val="single" w:color="auto" w:sz="4" w:space="0"/>
              <w:right w:val="single" w:color="auto" w:sz="4" w:space="0"/>
            </w:tcBorders>
            <w:vAlign w:val="center"/>
          </w:tcPr>
          <w:p w14:paraId="261F1EE3">
            <w:pPr>
              <w:spacing w:line="360" w:lineRule="auto"/>
              <w:jc w:val="center"/>
              <w:rPr>
                <w:rFonts w:ascii="宋体" w:hAnsi="宋体" w:cs="宋体"/>
                <w:sz w:val="24"/>
                <w:szCs w:val="24"/>
                <w:highlight w:val="none"/>
              </w:rPr>
            </w:pPr>
            <w:r>
              <w:rPr>
                <w:rFonts w:hint="eastAsia" w:ascii="宋体" w:hAnsi="宋体" w:cs="宋体"/>
                <w:sz w:val="24"/>
                <w:szCs w:val="24"/>
                <w:highlight w:val="none"/>
              </w:rPr>
              <w:t>21</w:t>
            </w:r>
          </w:p>
        </w:tc>
        <w:tc>
          <w:tcPr>
            <w:tcW w:w="981" w:type="dxa"/>
            <w:tcBorders>
              <w:top w:val="single" w:color="auto" w:sz="4" w:space="0"/>
              <w:left w:val="single" w:color="auto" w:sz="4" w:space="0"/>
              <w:bottom w:val="single" w:color="auto" w:sz="4" w:space="0"/>
              <w:right w:val="single" w:color="auto" w:sz="4" w:space="0"/>
            </w:tcBorders>
            <w:vAlign w:val="center"/>
          </w:tcPr>
          <w:p w14:paraId="12F0C31C">
            <w:pPr>
              <w:spacing w:line="360" w:lineRule="auto"/>
              <w:jc w:val="center"/>
              <w:rPr>
                <w:rFonts w:ascii="宋体" w:hAnsi="宋体" w:cs="宋体"/>
                <w:sz w:val="24"/>
                <w:szCs w:val="24"/>
                <w:highlight w:val="none"/>
              </w:rPr>
            </w:pPr>
            <w:r>
              <w:rPr>
                <w:rFonts w:hint="eastAsia" w:ascii="宋体" w:hAnsi="宋体" w:cs="宋体"/>
                <w:sz w:val="24"/>
                <w:szCs w:val="24"/>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3979B814">
            <w:pPr>
              <w:spacing w:line="360" w:lineRule="auto"/>
              <w:jc w:val="center"/>
              <w:rPr>
                <w:rFonts w:ascii="宋体" w:hAnsi="宋体" w:cs="宋体"/>
                <w:sz w:val="24"/>
                <w:szCs w:val="24"/>
                <w:highlight w:val="none"/>
              </w:rPr>
            </w:pPr>
            <w:r>
              <w:rPr>
                <w:rFonts w:hint="eastAsia" w:ascii="宋体" w:hAnsi="宋体" w:cs="宋体"/>
                <w:sz w:val="24"/>
                <w:szCs w:val="24"/>
                <w:highlight w:val="none"/>
              </w:rPr>
              <w:t>履约担保</w:t>
            </w:r>
          </w:p>
        </w:tc>
        <w:tc>
          <w:tcPr>
            <w:tcW w:w="6396" w:type="dxa"/>
            <w:tcBorders>
              <w:top w:val="single" w:color="auto" w:sz="4" w:space="0"/>
              <w:left w:val="single" w:color="auto" w:sz="4" w:space="0"/>
              <w:bottom w:val="single" w:color="auto" w:sz="4" w:space="0"/>
              <w:right w:val="double" w:color="auto" w:sz="4" w:space="0"/>
            </w:tcBorders>
            <w:vAlign w:val="center"/>
          </w:tcPr>
          <w:p w14:paraId="0D97A5DE">
            <w:pPr>
              <w:spacing w:line="360" w:lineRule="auto"/>
              <w:rPr>
                <w:rFonts w:ascii="宋体" w:hAnsi="宋体" w:cs="宋体"/>
                <w:sz w:val="24"/>
                <w:szCs w:val="24"/>
                <w:highlight w:val="none"/>
              </w:rPr>
            </w:pPr>
            <w:r>
              <w:rPr>
                <w:rFonts w:hint="eastAsia" w:ascii="宋体" w:hAnsi="宋体" w:cs="宋体"/>
                <w:sz w:val="24"/>
                <w:szCs w:val="24"/>
                <w:highlight w:val="none"/>
                <w:u w:val="single"/>
              </w:rPr>
              <w:t>方式一：中标人提供的履约保证金为中标价款的10%。</w:t>
            </w:r>
          </w:p>
        </w:tc>
      </w:tr>
      <w:tr w14:paraId="286A8C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0C927E7A">
            <w:pPr>
              <w:spacing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981" w:type="dxa"/>
            <w:tcBorders>
              <w:top w:val="single" w:color="auto" w:sz="4" w:space="0"/>
              <w:left w:val="single" w:color="auto" w:sz="4" w:space="0"/>
              <w:bottom w:val="single" w:color="auto" w:sz="4" w:space="0"/>
              <w:right w:val="single" w:color="auto" w:sz="4" w:space="0"/>
            </w:tcBorders>
            <w:vAlign w:val="center"/>
          </w:tcPr>
          <w:p w14:paraId="6B0ACAB6">
            <w:pPr>
              <w:spacing w:line="360" w:lineRule="auto"/>
              <w:jc w:val="center"/>
              <w:rPr>
                <w:rFonts w:ascii="宋体" w:hAnsi="宋体" w:cs="宋体"/>
                <w:sz w:val="24"/>
                <w:szCs w:val="24"/>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80F9165">
            <w:pPr>
              <w:spacing w:line="360" w:lineRule="auto"/>
              <w:jc w:val="center"/>
              <w:rPr>
                <w:rFonts w:ascii="宋体" w:hAnsi="宋体" w:cs="宋体"/>
                <w:sz w:val="24"/>
                <w:szCs w:val="24"/>
                <w:highlight w:val="none"/>
              </w:rPr>
            </w:pPr>
            <w:r>
              <w:rPr>
                <w:rFonts w:hint="eastAsia" w:ascii="宋体" w:hAnsi="宋体" w:cs="宋体"/>
                <w:sz w:val="24"/>
                <w:szCs w:val="24"/>
                <w:highlight w:val="none"/>
              </w:rPr>
              <w:t>最高投标限价</w:t>
            </w:r>
          </w:p>
        </w:tc>
        <w:tc>
          <w:tcPr>
            <w:tcW w:w="6396" w:type="dxa"/>
            <w:tcBorders>
              <w:top w:val="single" w:color="auto" w:sz="4" w:space="0"/>
              <w:left w:val="single" w:color="auto" w:sz="4" w:space="0"/>
              <w:bottom w:val="single" w:color="auto" w:sz="4" w:space="0"/>
              <w:right w:val="double" w:color="auto" w:sz="4" w:space="0"/>
            </w:tcBorders>
            <w:vAlign w:val="center"/>
          </w:tcPr>
          <w:p w14:paraId="28498B1C">
            <w:pPr>
              <w:pStyle w:val="18"/>
              <w:spacing w:line="360" w:lineRule="auto"/>
              <w:rPr>
                <w:rFonts w:hint="default" w:hAnsi="宋体" w:cs="宋体"/>
                <w:sz w:val="24"/>
                <w:szCs w:val="24"/>
                <w:highlight w:val="none"/>
              </w:rPr>
            </w:pPr>
            <w:r>
              <w:rPr>
                <w:rFonts w:hAnsi="宋体" w:cs="宋体"/>
                <w:sz w:val="24"/>
                <w:szCs w:val="24"/>
                <w:highlight w:val="none"/>
              </w:rPr>
              <w:t>最高投标限价为</w:t>
            </w:r>
            <w:r>
              <w:rPr>
                <w:rFonts w:hAnsi="宋体" w:cs="宋体"/>
                <w:sz w:val="24"/>
                <w:szCs w:val="24"/>
                <w:highlight w:val="none"/>
                <w:u w:val="single"/>
              </w:rPr>
              <w:t>7,032,363.13</w:t>
            </w:r>
            <w:r>
              <w:rPr>
                <w:rFonts w:hAnsi="宋体" w:cs="宋体"/>
                <w:sz w:val="24"/>
                <w:szCs w:val="24"/>
                <w:highlight w:val="none"/>
              </w:rPr>
              <w:t>元。</w:t>
            </w:r>
            <w:r>
              <w:rPr>
                <w:rFonts w:hAnsi="宋体" w:cs="宋体"/>
                <w:sz w:val="24"/>
                <w:szCs w:val="24"/>
                <w:highlight w:val="none"/>
                <w:u w:val="single"/>
              </w:rPr>
              <w:t>本项目实行双限价，即：投标人的投标总报价及综合单价都不能超过招标人公布的最高投标限价总价或综合单价限价(具体详见最高投标限价公布函、工程量清单)。投标总报价超过最高投标限价总价或综合单价超过综合单价限价的投标文件将不通过否决性条款审查。</w:t>
            </w:r>
          </w:p>
        </w:tc>
      </w:tr>
      <w:tr w14:paraId="358257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1AA0210C">
            <w:pPr>
              <w:spacing w:line="360" w:lineRule="auto"/>
              <w:jc w:val="center"/>
              <w:rPr>
                <w:rFonts w:ascii="宋体" w:hAnsi="宋体" w:cs="宋体"/>
                <w:sz w:val="24"/>
                <w:szCs w:val="24"/>
                <w:highlight w:val="none"/>
              </w:rPr>
            </w:pPr>
            <w:r>
              <w:rPr>
                <w:rFonts w:hint="eastAsia" w:ascii="宋体" w:hAnsi="宋体" w:cs="宋体"/>
                <w:sz w:val="24"/>
                <w:szCs w:val="24"/>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14:paraId="0C2098F0">
            <w:pPr>
              <w:spacing w:line="360" w:lineRule="auto"/>
              <w:jc w:val="center"/>
              <w:rPr>
                <w:rFonts w:ascii="宋体" w:hAnsi="宋体" w:cs="宋体"/>
                <w:sz w:val="24"/>
                <w:szCs w:val="24"/>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997DEEA">
            <w:pPr>
              <w:spacing w:line="360" w:lineRule="auto"/>
              <w:jc w:val="center"/>
              <w:rPr>
                <w:rFonts w:ascii="宋体" w:hAnsi="宋体" w:cs="宋体"/>
                <w:sz w:val="24"/>
                <w:szCs w:val="24"/>
                <w:highlight w:val="none"/>
              </w:rPr>
            </w:pPr>
            <w:r>
              <w:rPr>
                <w:rFonts w:hint="eastAsia" w:ascii="宋体" w:hAnsi="宋体" w:cs="宋体"/>
                <w:sz w:val="24"/>
                <w:szCs w:val="24"/>
                <w:highlight w:val="none"/>
              </w:rPr>
              <w:t>非竞争费用</w:t>
            </w:r>
          </w:p>
        </w:tc>
        <w:tc>
          <w:tcPr>
            <w:tcW w:w="6396" w:type="dxa"/>
            <w:tcBorders>
              <w:top w:val="single" w:color="auto" w:sz="4" w:space="0"/>
              <w:left w:val="single" w:color="auto" w:sz="4" w:space="0"/>
              <w:bottom w:val="single" w:color="auto" w:sz="4" w:space="0"/>
              <w:right w:val="double" w:color="auto" w:sz="4" w:space="0"/>
            </w:tcBorders>
            <w:vAlign w:val="center"/>
          </w:tcPr>
          <w:p w14:paraId="324FABE6">
            <w:pPr>
              <w:spacing w:line="360" w:lineRule="auto"/>
              <w:rPr>
                <w:rFonts w:ascii="宋体" w:hAnsi="宋体" w:cs="宋体"/>
                <w:sz w:val="24"/>
                <w:szCs w:val="24"/>
                <w:highlight w:val="none"/>
              </w:rPr>
            </w:pPr>
            <w:r>
              <w:rPr>
                <w:rFonts w:hint="eastAsia" w:ascii="宋体" w:hAnsi="宋体" w:cs="宋体"/>
                <w:sz w:val="24"/>
                <w:szCs w:val="24"/>
                <w:highlight w:val="none"/>
              </w:rPr>
              <w:t>本项目绿色施工安全防护措施费为</w:t>
            </w:r>
            <w:r>
              <w:rPr>
                <w:rFonts w:hint="eastAsia" w:ascii="宋体" w:hAnsi="宋体" w:cs="宋体"/>
                <w:sz w:val="24"/>
                <w:szCs w:val="24"/>
                <w:highlight w:val="none"/>
                <w:u w:val="single"/>
                <w:lang w:bidi="ar"/>
              </w:rPr>
              <w:t>297</w:t>
            </w:r>
            <w:r>
              <w:rPr>
                <w:rFonts w:hint="eastAsia" w:ascii="宋体" w:hAnsi="宋体" w:cs="宋体"/>
                <w:sz w:val="24"/>
                <w:szCs w:val="24"/>
                <w:highlight w:val="none"/>
                <w:u w:val="single"/>
              </w:rPr>
              <w:t>,</w:t>
            </w:r>
            <w:r>
              <w:rPr>
                <w:rFonts w:hint="eastAsia" w:ascii="宋体" w:hAnsi="宋体" w:cs="宋体"/>
                <w:sz w:val="24"/>
                <w:szCs w:val="24"/>
                <w:highlight w:val="none"/>
                <w:u w:val="single"/>
                <w:lang w:bidi="ar"/>
              </w:rPr>
              <w:t>240.26</w:t>
            </w:r>
            <w:r>
              <w:rPr>
                <w:rFonts w:hint="eastAsia" w:ascii="宋体" w:hAnsi="宋体" w:cs="宋体"/>
                <w:sz w:val="24"/>
                <w:szCs w:val="24"/>
                <w:highlight w:val="none"/>
              </w:rPr>
              <w:t>元，暂列金额为</w:t>
            </w:r>
            <w:r>
              <w:rPr>
                <w:rFonts w:hint="eastAsia" w:ascii="宋体" w:hAnsi="宋体" w:cs="宋体"/>
                <w:sz w:val="24"/>
                <w:szCs w:val="24"/>
                <w:highlight w:val="none"/>
                <w:u w:val="single"/>
                <w:lang w:bidi="ar"/>
              </w:rPr>
              <w:t>527</w:t>
            </w:r>
            <w:r>
              <w:rPr>
                <w:rFonts w:hint="eastAsia" w:ascii="宋体" w:hAnsi="宋体" w:cs="宋体"/>
                <w:sz w:val="24"/>
                <w:szCs w:val="24"/>
                <w:highlight w:val="none"/>
                <w:u w:val="single"/>
              </w:rPr>
              <w:t>,</w:t>
            </w:r>
            <w:r>
              <w:rPr>
                <w:rFonts w:hint="eastAsia" w:ascii="宋体" w:hAnsi="宋体" w:cs="宋体"/>
                <w:sz w:val="24"/>
                <w:szCs w:val="24"/>
                <w:highlight w:val="none"/>
                <w:u w:val="single"/>
                <w:lang w:bidi="ar"/>
              </w:rPr>
              <w:t>228.08</w:t>
            </w:r>
            <w:r>
              <w:rPr>
                <w:rFonts w:hint="eastAsia" w:ascii="宋体" w:hAnsi="宋体" w:cs="宋体"/>
                <w:sz w:val="24"/>
                <w:szCs w:val="24"/>
                <w:highlight w:val="none"/>
              </w:rPr>
              <w:t>元，暂估价为</w:t>
            </w:r>
            <w:r>
              <w:rPr>
                <w:rFonts w:hint="eastAsia" w:ascii="宋体" w:hAnsi="宋体" w:cs="宋体"/>
                <w:sz w:val="24"/>
                <w:szCs w:val="24"/>
                <w:highlight w:val="none"/>
                <w:u w:val="single"/>
                <w:lang w:bidi="ar"/>
              </w:rPr>
              <w:t xml:space="preserve"> / </w:t>
            </w:r>
            <w:r>
              <w:rPr>
                <w:rFonts w:hint="eastAsia" w:ascii="宋体" w:hAnsi="宋体" w:cs="宋体"/>
                <w:sz w:val="24"/>
                <w:szCs w:val="24"/>
                <w:highlight w:val="none"/>
              </w:rPr>
              <w:t>元。（未按招标文件规定的金额填写的，由评标委员会按照招标文件规定的金额进行修正）</w:t>
            </w:r>
          </w:p>
        </w:tc>
      </w:tr>
      <w:tr w14:paraId="784875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646FCEC8">
            <w:pPr>
              <w:spacing w:line="360" w:lineRule="auto"/>
              <w:jc w:val="center"/>
              <w:rPr>
                <w:rFonts w:ascii="宋体" w:hAnsi="宋体" w:cs="宋体"/>
                <w:sz w:val="24"/>
                <w:szCs w:val="24"/>
                <w:highlight w:val="none"/>
              </w:rPr>
            </w:pPr>
            <w:r>
              <w:rPr>
                <w:rFonts w:hint="eastAsia" w:ascii="宋体" w:hAnsi="宋体" w:cs="宋体"/>
                <w:sz w:val="24"/>
                <w:szCs w:val="24"/>
                <w:highlight w:val="none"/>
              </w:rPr>
              <w:t>24</w:t>
            </w:r>
          </w:p>
        </w:tc>
        <w:tc>
          <w:tcPr>
            <w:tcW w:w="981" w:type="dxa"/>
            <w:tcBorders>
              <w:top w:val="single" w:color="auto" w:sz="4" w:space="0"/>
              <w:left w:val="single" w:color="auto" w:sz="4" w:space="0"/>
              <w:bottom w:val="single" w:color="auto" w:sz="4" w:space="0"/>
              <w:right w:val="single" w:color="auto" w:sz="4" w:space="0"/>
            </w:tcBorders>
            <w:vAlign w:val="center"/>
          </w:tcPr>
          <w:p w14:paraId="305CB10A">
            <w:pPr>
              <w:spacing w:line="360" w:lineRule="auto"/>
              <w:jc w:val="center"/>
              <w:rPr>
                <w:rFonts w:ascii="宋体" w:hAnsi="宋体" w:cs="宋体"/>
                <w:sz w:val="24"/>
                <w:szCs w:val="24"/>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F009310">
            <w:pPr>
              <w:pStyle w:val="34"/>
              <w:spacing w:after="0" w:line="360" w:lineRule="auto"/>
              <w:ind w:firstLine="0"/>
              <w:jc w:val="center"/>
              <w:rPr>
                <w:rFonts w:ascii="宋体" w:hAnsi="宋体" w:cs="宋体"/>
                <w:sz w:val="24"/>
                <w:szCs w:val="24"/>
                <w:highlight w:val="none"/>
              </w:rPr>
            </w:pPr>
            <w:r>
              <w:rPr>
                <w:rFonts w:hint="eastAsia" w:ascii="宋体" w:hAnsi="宋体" w:cs="宋体"/>
                <w:sz w:val="24"/>
                <w:szCs w:val="24"/>
                <w:highlight w:val="none"/>
              </w:rPr>
              <w:t>保修期</w:t>
            </w:r>
          </w:p>
        </w:tc>
        <w:tc>
          <w:tcPr>
            <w:tcW w:w="6396" w:type="dxa"/>
            <w:tcBorders>
              <w:top w:val="single" w:color="auto" w:sz="4" w:space="0"/>
              <w:left w:val="single" w:color="auto" w:sz="4" w:space="0"/>
              <w:bottom w:val="single" w:color="auto" w:sz="4" w:space="0"/>
              <w:right w:val="double" w:color="auto" w:sz="4" w:space="0"/>
            </w:tcBorders>
            <w:vAlign w:val="center"/>
          </w:tcPr>
          <w:p w14:paraId="0416C321">
            <w:pPr>
              <w:spacing w:line="360" w:lineRule="auto"/>
              <w:rPr>
                <w:rFonts w:ascii="宋体" w:hAnsi="宋体" w:cs="宋体"/>
                <w:sz w:val="24"/>
                <w:szCs w:val="24"/>
                <w:highlight w:val="none"/>
              </w:rPr>
            </w:pPr>
            <w:r>
              <w:rPr>
                <w:rFonts w:hint="eastAsia" w:ascii="宋体" w:hAnsi="宋体" w:cs="宋体"/>
                <w:sz w:val="24"/>
                <w:szCs w:val="24"/>
                <w:highlight w:val="none"/>
              </w:rPr>
              <w:t>按照《建设工程质量管理条例》规定。</w:t>
            </w:r>
          </w:p>
        </w:tc>
      </w:tr>
      <w:tr w14:paraId="24001C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EC7BF52">
            <w:pPr>
              <w:spacing w:line="360" w:lineRule="auto"/>
              <w:jc w:val="center"/>
              <w:rPr>
                <w:rFonts w:ascii="宋体" w:hAnsi="宋体" w:cs="宋体"/>
                <w:sz w:val="24"/>
                <w:szCs w:val="24"/>
                <w:highlight w:val="none"/>
              </w:rPr>
            </w:pPr>
            <w:r>
              <w:rPr>
                <w:rFonts w:hint="eastAsia" w:ascii="宋体" w:hAnsi="宋体" w:cs="宋体"/>
                <w:sz w:val="24"/>
                <w:szCs w:val="24"/>
                <w:highlight w:val="none"/>
                <w:lang w:bidi="ar"/>
              </w:rPr>
              <w:t>25</w:t>
            </w:r>
          </w:p>
        </w:tc>
        <w:tc>
          <w:tcPr>
            <w:tcW w:w="981" w:type="dxa"/>
            <w:tcBorders>
              <w:top w:val="single" w:color="auto" w:sz="4" w:space="0"/>
              <w:left w:val="single" w:color="auto" w:sz="4" w:space="0"/>
              <w:bottom w:val="single" w:color="auto" w:sz="4" w:space="0"/>
              <w:right w:val="single" w:color="auto" w:sz="4" w:space="0"/>
            </w:tcBorders>
            <w:vAlign w:val="center"/>
          </w:tcPr>
          <w:p w14:paraId="20036BF5">
            <w:pPr>
              <w:spacing w:line="360" w:lineRule="auto"/>
              <w:jc w:val="center"/>
              <w:rPr>
                <w:rFonts w:ascii="宋体" w:hAnsi="宋体" w:cs="宋体"/>
                <w:sz w:val="24"/>
                <w:szCs w:val="24"/>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E514E33">
            <w:pPr>
              <w:spacing w:line="360" w:lineRule="auto"/>
              <w:jc w:val="center"/>
              <w:rPr>
                <w:rFonts w:ascii="宋体" w:hAnsi="宋体" w:cs="宋体"/>
                <w:sz w:val="24"/>
                <w:szCs w:val="24"/>
                <w:highlight w:val="none"/>
              </w:rPr>
            </w:pPr>
            <w:r>
              <w:rPr>
                <w:rFonts w:hint="eastAsia" w:ascii="宋体" w:hAnsi="宋体" w:cs="宋体"/>
                <w:sz w:val="24"/>
                <w:szCs w:val="24"/>
                <w:highlight w:val="none"/>
                <w:lang w:bidi="ar"/>
              </w:rPr>
              <w:t>计算评标参考价的等分点值</w:t>
            </w:r>
          </w:p>
        </w:tc>
        <w:tc>
          <w:tcPr>
            <w:tcW w:w="6396" w:type="dxa"/>
            <w:tcBorders>
              <w:top w:val="single" w:color="auto" w:sz="4" w:space="0"/>
              <w:left w:val="single" w:color="auto" w:sz="4" w:space="0"/>
              <w:bottom w:val="single" w:color="auto" w:sz="4" w:space="0"/>
              <w:right w:val="double" w:color="auto" w:sz="4" w:space="0"/>
            </w:tcBorders>
            <w:vAlign w:val="center"/>
          </w:tcPr>
          <w:p w14:paraId="5031DD35">
            <w:pPr>
              <w:spacing w:line="360" w:lineRule="auto"/>
              <w:rPr>
                <w:rFonts w:ascii="宋体" w:hAnsi="宋体" w:cs="宋体"/>
                <w:strike/>
                <w:sz w:val="24"/>
                <w:szCs w:val="24"/>
                <w:highlight w:val="none"/>
              </w:rPr>
            </w:pPr>
            <w:r>
              <w:rPr>
                <w:rFonts w:hint="eastAsia" w:ascii="宋体" w:hAnsi="宋体" w:cs="宋体"/>
                <w:sz w:val="24"/>
                <w:szCs w:val="24"/>
                <w:highlight w:val="none"/>
              </w:rPr>
              <w:t>本款不适用。</w:t>
            </w:r>
          </w:p>
        </w:tc>
      </w:tr>
      <w:tr w14:paraId="24C950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3547FC7">
            <w:pPr>
              <w:spacing w:line="360" w:lineRule="auto"/>
              <w:jc w:val="center"/>
              <w:rPr>
                <w:rFonts w:ascii="宋体" w:hAnsi="宋体" w:cs="宋体"/>
                <w:sz w:val="24"/>
                <w:szCs w:val="24"/>
                <w:highlight w:val="none"/>
              </w:rPr>
            </w:pPr>
            <w:r>
              <w:rPr>
                <w:rFonts w:hint="eastAsia" w:ascii="宋体" w:hAnsi="宋体" w:cs="宋体"/>
                <w:sz w:val="24"/>
                <w:szCs w:val="24"/>
                <w:highlight w:val="none"/>
                <w:lang w:bidi="ar"/>
              </w:rPr>
              <w:t>26</w:t>
            </w:r>
          </w:p>
        </w:tc>
        <w:tc>
          <w:tcPr>
            <w:tcW w:w="981" w:type="dxa"/>
            <w:tcBorders>
              <w:top w:val="single" w:color="auto" w:sz="4" w:space="0"/>
              <w:left w:val="single" w:color="auto" w:sz="4" w:space="0"/>
              <w:bottom w:val="single" w:color="auto" w:sz="4" w:space="0"/>
              <w:right w:val="single" w:color="auto" w:sz="4" w:space="0"/>
            </w:tcBorders>
            <w:vAlign w:val="center"/>
          </w:tcPr>
          <w:p w14:paraId="4BB6C95D">
            <w:pPr>
              <w:spacing w:line="360" w:lineRule="auto"/>
              <w:jc w:val="center"/>
              <w:rPr>
                <w:rFonts w:ascii="宋体" w:hAnsi="宋体" w:cs="宋体"/>
                <w:sz w:val="24"/>
                <w:szCs w:val="24"/>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E57C6FB">
            <w:pPr>
              <w:spacing w:line="360" w:lineRule="auto"/>
              <w:jc w:val="center"/>
              <w:rPr>
                <w:rFonts w:ascii="宋体" w:hAnsi="宋体" w:cs="宋体"/>
                <w:sz w:val="24"/>
                <w:szCs w:val="24"/>
                <w:highlight w:val="none"/>
              </w:rPr>
            </w:pPr>
            <w:r>
              <w:rPr>
                <w:rFonts w:hint="eastAsia" w:ascii="宋体" w:hAnsi="宋体" w:cs="宋体"/>
                <w:sz w:val="24"/>
                <w:szCs w:val="24"/>
                <w:highlight w:val="none"/>
                <w:lang w:bidi="ar"/>
              </w:rPr>
              <w:t>进入第二阶段评审的家数</w:t>
            </w:r>
          </w:p>
        </w:tc>
        <w:tc>
          <w:tcPr>
            <w:tcW w:w="6396" w:type="dxa"/>
            <w:tcBorders>
              <w:top w:val="single" w:color="auto" w:sz="4" w:space="0"/>
              <w:left w:val="single" w:color="auto" w:sz="4" w:space="0"/>
              <w:bottom w:val="single" w:color="auto" w:sz="4" w:space="0"/>
              <w:right w:val="double" w:color="auto" w:sz="4" w:space="0"/>
            </w:tcBorders>
            <w:vAlign w:val="center"/>
          </w:tcPr>
          <w:p w14:paraId="48796EFD">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①通过技术有效性审查的投标人均进入第二阶段（适用于通过技术有效性审查家数在[3，20]中的）。</w:t>
            </w:r>
          </w:p>
          <w:p w14:paraId="75A3B7A6">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②将第一阶段得分由高至低排序，前20名投标人进入第二阶段评审（适用于通过技术有效性审查家数大于20家的）。</w:t>
            </w:r>
          </w:p>
        </w:tc>
      </w:tr>
      <w:tr w14:paraId="2E7CF4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A108FD5">
            <w:pPr>
              <w:spacing w:line="360" w:lineRule="auto"/>
              <w:jc w:val="center"/>
              <w:rPr>
                <w:rFonts w:ascii="宋体" w:hAnsi="宋体" w:cs="宋体"/>
                <w:sz w:val="24"/>
                <w:szCs w:val="24"/>
                <w:highlight w:val="none"/>
              </w:rPr>
            </w:pPr>
            <w:r>
              <w:rPr>
                <w:rFonts w:hint="eastAsia" w:ascii="宋体" w:hAnsi="宋体" w:cs="宋体"/>
                <w:sz w:val="24"/>
                <w:szCs w:val="24"/>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14:paraId="486AD66A">
            <w:pPr>
              <w:spacing w:line="360" w:lineRule="auto"/>
              <w:jc w:val="center"/>
              <w:rPr>
                <w:rFonts w:ascii="宋体" w:hAnsi="宋体" w:cs="宋体"/>
                <w:sz w:val="24"/>
                <w:szCs w:val="24"/>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5B079E6">
            <w:pPr>
              <w:spacing w:line="360" w:lineRule="auto"/>
              <w:jc w:val="center"/>
              <w:rPr>
                <w:rFonts w:ascii="宋体" w:hAnsi="宋体" w:cs="宋体"/>
                <w:sz w:val="24"/>
                <w:szCs w:val="24"/>
                <w:highlight w:val="none"/>
              </w:rPr>
            </w:pPr>
            <w:r>
              <w:rPr>
                <w:rFonts w:hint="eastAsia" w:ascii="宋体" w:hAnsi="宋体" w:cs="宋体"/>
                <w:sz w:val="24"/>
                <w:szCs w:val="24"/>
                <w:highlight w:val="none"/>
              </w:rPr>
              <w:t>工程成本警戒价</w:t>
            </w:r>
          </w:p>
        </w:tc>
        <w:tc>
          <w:tcPr>
            <w:tcW w:w="6396" w:type="dxa"/>
            <w:tcBorders>
              <w:top w:val="single" w:color="auto" w:sz="4" w:space="0"/>
              <w:left w:val="single" w:color="auto" w:sz="4" w:space="0"/>
              <w:bottom w:val="single" w:color="auto" w:sz="4" w:space="0"/>
              <w:right w:val="double" w:color="auto" w:sz="4" w:space="0"/>
            </w:tcBorders>
            <w:vAlign w:val="center"/>
          </w:tcPr>
          <w:p w14:paraId="1E413AC8">
            <w:pPr>
              <w:spacing w:line="360" w:lineRule="auto"/>
              <w:rPr>
                <w:rFonts w:ascii="宋体" w:hAnsi="宋体" w:cs="宋体"/>
                <w:sz w:val="24"/>
                <w:szCs w:val="24"/>
                <w:highlight w:val="none"/>
              </w:rPr>
            </w:pPr>
            <w:r>
              <w:rPr>
                <w:rFonts w:hint="eastAsia" w:ascii="宋体" w:hAnsi="宋体" w:cs="宋体"/>
                <w:sz w:val="24"/>
                <w:szCs w:val="24"/>
                <w:highlight w:val="none"/>
              </w:rPr>
              <w:t>工程成本警戒价为</w:t>
            </w:r>
            <w:r>
              <w:rPr>
                <w:rFonts w:hint="eastAsia" w:ascii="宋体" w:hAnsi="宋体" w:cs="宋体"/>
                <w:sz w:val="24"/>
                <w:szCs w:val="24"/>
                <w:highlight w:val="none"/>
                <w:u w:val="single"/>
                <w:lang w:bidi="ar"/>
              </w:rPr>
              <w:t>6</w:t>
            </w:r>
            <w:r>
              <w:rPr>
                <w:rFonts w:hint="eastAsia" w:ascii="宋体" w:hAnsi="宋体" w:cs="宋体"/>
                <w:sz w:val="24"/>
                <w:szCs w:val="24"/>
                <w:highlight w:val="none"/>
                <w:u w:val="single"/>
              </w:rPr>
              <w:t>,</w:t>
            </w:r>
            <w:r>
              <w:rPr>
                <w:rFonts w:hint="eastAsia" w:ascii="宋体" w:hAnsi="宋体" w:cs="宋体"/>
                <w:sz w:val="24"/>
                <w:szCs w:val="24"/>
                <w:highlight w:val="none"/>
                <w:u w:val="single"/>
                <w:lang w:bidi="ar"/>
              </w:rPr>
              <w:t>329</w:t>
            </w:r>
            <w:r>
              <w:rPr>
                <w:rFonts w:hint="eastAsia" w:ascii="宋体" w:hAnsi="宋体" w:cs="宋体"/>
                <w:sz w:val="24"/>
                <w:szCs w:val="24"/>
                <w:highlight w:val="none"/>
                <w:u w:val="single"/>
              </w:rPr>
              <w:t>,</w:t>
            </w:r>
            <w:r>
              <w:rPr>
                <w:rFonts w:hint="eastAsia" w:ascii="宋体" w:hAnsi="宋体" w:cs="宋体"/>
                <w:sz w:val="24"/>
                <w:szCs w:val="24"/>
                <w:highlight w:val="none"/>
                <w:u w:val="single"/>
                <w:lang w:bidi="ar"/>
              </w:rPr>
              <w:t>126.82</w:t>
            </w:r>
            <w:r>
              <w:rPr>
                <w:rFonts w:hint="eastAsia" w:ascii="宋体" w:hAnsi="宋体" w:cs="宋体"/>
                <w:sz w:val="24"/>
                <w:szCs w:val="24"/>
                <w:highlight w:val="none"/>
              </w:rPr>
              <w:t>元。</w:t>
            </w:r>
          </w:p>
          <w:p w14:paraId="01C64620">
            <w:pPr>
              <w:spacing w:line="360" w:lineRule="auto"/>
              <w:rPr>
                <w:rFonts w:ascii="宋体" w:hAnsi="宋体" w:cs="宋体"/>
                <w:sz w:val="24"/>
                <w:szCs w:val="24"/>
                <w:highlight w:val="none"/>
              </w:rPr>
            </w:pPr>
            <w:r>
              <w:rPr>
                <w:rFonts w:hint="eastAsia" w:ascii="宋体" w:hAnsi="宋体" w:cs="宋体"/>
                <w:sz w:val="24"/>
                <w:szCs w:val="24"/>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70E22D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2" w:type="dxa"/>
            <w:tcBorders>
              <w:top w:val="single" w:color="auto" w:sz="4" w:space="0"/>
              <w:left w:val="double" w:color="auto" w:sz="4" w:space="0"/>
              <w:bottom w:val="single" w:color="auto" w:sz="4" w:space="0"/>
              <w:right w:val="single" w:color="auto" w:sz="4" w:space="0"/>
            </w:tcBorders>
            <w:vAlign w:val="center"/>
          </w:tcPr>
          <w:p w14:paraId="0AAF03F7">
            <w:pPr>
              <w:spacing w:line="360" w:lineRule="auto"/>
              <w:jc w:val="center"/>
              <w:rPr>
                <w:rFonts w:ascii="宋体" w:hAnsi="宋体" w:cs="宋体"/>
                <w:sz w:val="24"/>
                <w:szCs w:val="24"/>
                <w:highlight w:val="none"/>
              </w:rPr>
            </w:pPr>
            <w:r>
              <w:rPr>
                <w:rFonts w:hint="eastAsia" w:ascii="宋体" w:hAnsi="宋体" w:cs="宋体"/>
                <w:sz w:val="24"/>
                <w:szCs w:val="24"/>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14:paraId="7737E103">
            <w:pPr>
              <w:spacing w:line="360" w:lineRule="auto"/>
              <w:jc w:val="center"/>
              <w:rPr>
                <w:rFonts w:ascii="宋体" w:hAnsi="宋体" w:cs="宋体"/>
                <w:sz w:val="24"/>
                <w:szCs w:val="24"/>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5C01877">
            <w:pPr>
              <w:spacing w:line="360" w:lineRule="auto"/>
              <w:jc w:val="center"/>
              <w:rPr>
                <w:rFonts w:ascii="宋体" w:hAnsi="宋体" w:cs="宋体"/>
                <w:sz w:val="24"/>
                <w:szCs w:val="24"/>
                <w:highlight w:val="none"/>
              </w:rPr>
            </w:pPr>
            <w:r>
              <w:rPr>
                <w:rFonts w:hint="eastAsia" w:ascii="宋体" w:hAnsi="宋体" w:cs="宋体"/>
                <w:sz w:val="24"/>
                <w:szCs w:val="24"/>
                <w:highlight w:val="none"/>
              </w:rPr>
              <w:t>第一阶段各分值的权重</w:t>
            </w:r>
          </w:p>
        </w:tc>
        <w:tc>
          <w:tcPr>
            <w:tcW w:w="6396" w:type="dxa"/>
            <w:tcBorders>
              <w:top w:val="single" w:color="auto" w:sz="4" w:space="0"/>
              <w:left w:val="single" w:color="auto" w:sz="4" w:space="0"/>
              <w:bottom w:val="single" w:color="auto" w:sz="4" w:space="0"/>
              <w:right w:val="double" w:color="auto" w:sz="4" w:space="0"/>
            </w:tcBorders>
            <w:vAlign w:val="center"/>
          </w:tcPr>
          <w:p w14:paraId="2577681F">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技术标得分权重为100%。</w:t>
            </w:r>
          </w:p>
        </w:tc>
      </w:tr>
      <w:tr w14:paraId="7B038B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02" w:type="dxa"/>
            <w:tcBorders>
              <w:top w:val="single" w:color="auto" w:sz="4" w:space="0"/>
              <w:left w:val="double" w:color="auto" w:sz="4" w:space="0"/>
              <w:right w:val="single" w:color="auto" w:sz="4" w:space="0"/>
            </w:tcBorders>
            <w:vAlign w:val="center"/>
          </w:tcPr>
          <w:p w14:paraId="2FF48E7A">
            <w:pPr>
              <w:spacing w:line="360" w:lineRule="auto"/>
              <w:jc w:val="center"/>
              <w:rPr>
                <w:rFonts w:ascii="宋体" w:hAnsi="宋体" w:cs="宋体"/>
                <w:sz w:val="24"/>
                <w:szCs w:val="24"/>
                <w:highlight w:val="none"/>
              </w:rPr>
            </w:pPr>
            <w:r>
              <w:rPr>
                <w:rFonts w:hint="eastAsia" w:ascii="宋体" w:hAnsi="宋体" w:cs="宋体"/>
                <w:sz w:val="24"/>
                <w:szCs w:val="24"/>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14:paraId="540AB1DD">
            <w:pPr>
              <w:spacing w:line="360" w:lineRule="auto"/>
              <w:jc w:val="center"/>
              <w:rPr>
                <w:rFonts w:ascii="宋体" w:hAnsi="宋体" w:cs="宋体"/>
                <w:sz w:val="24"/>
                <w:szCs w:val="24"/>
                <w:highlight w:val="none"/>
              </w:rPr>
            </w:pPr>
            <w:r>
              <w:rPr>
                <w:rFonts w:hint="eastAsia" w:ascii="宋体" w:hAnsi="宋体" w:cs="宋体"/>
                <w:sz w:val="24"/>
                <w:szCs w:val="24"/>
                <w:highlight w:val="none"/>
              </w:rPr>
              <w:t>37.1</w:t>
            </w:r>
          </w:p>
        </w:tc>
        <w:tc>
          <w:tcPr>
            <w:tcW w:w="1810" w:type="dxa"/>
            <w:tcBorders>
              <w:top w:val="single" w:color="auto" w:sz="4" w:space="0"/>
              <w:left w:val="single" w:color="auto" w:sz="4" w:space="0"/>
              <w:bottom w:val="single" w:color="auto" w:sz="4" w:space="0"/>
              <w:right w:val="single" w:color="auto" w:sz="4" w:space="0"/>
            </w:tcBorders>
            <w:vAlign w:val="center"/>
          </w:tcPr>
          <w:p w14:paraId="3956596E">
            <w:pPr>
              <w:spacing w:line="360" w:lineRule="auto"/>
              <w:jc w:val="center"/>
              <w:rPr>
                <w:rFonts w:ascii="宋体" w:hAnsi="宋体" w:cs="宋体"/>
                <w:sz w:val="24"/>
                <w:szCs w:val="24"/>
                <w:highlight w:val="none"/>
              </w:rPr>
            </w:pPr>
            <w:r>
              <w:rPr>
                <w:rFonts w:hint="eastAsia" w:ascii="宋体" w:hAnsi="宋体" w:cs="宋体"/>
                <w:sz w:val="24"/>
                <w:szCs w:val="24"/>
                <w:highlight w:val="none"/>
              </w:rPr>
              <w:t>评标委员会人数</w:t>
            </w:r>
          </w:p>
        </w:tc>
        <w:tc>
          <w:tcPr>
            <w:tcW w:w="6396" w:type="dxa"/>
            <w:tcBorders>
              <w:top w:val="single" w:color="auto" w:sz="4" w:space="0"/>
              <w:left w:val="single" w:color="auto" w:sz="4" w:space="0"/>
              <w:bottom w:val="single" w:color="auto" w:sz="4" w:space="0"/>
              <w:right w:val="double" w:color="auto" w:sz="4" w:space="0"/>
            </w:tcBorders>
            <w:vAlign w:val="center"/>
          </w:tcPr>
          <w:p w14:paraId="40B1AB40">
            <w:pPr>
              <w:spacing w:line="360" w:lineRule="auto"/>
              <w:rPr>
                <w:rFonts w:ascii="宋体" w:hAnsi="宋体" w:cs="宋体"/>
                <w:sz w:val="24"/>
                <w:szCs w:val="24"/>
                <w:highlight w:val="none"/>
              </w:rPr>
            </w:pPr>
            <w:r>
              <w:rPr>
                <w:rFonts w:hint="eastAsia" w:ascii="宋体" w:hAnsi="宋体" w:cs="宋体"/>
                <w:sz w:val="24"/>
                <w:szCs w:val="24"/>
                <w:highlight w:val="none"/>
              </w:rPr>
              <w:t>评标委员会由招标人依法组建。</w:t>
            </w:r>
          </w:p>
        </w:tc>
      </w:tr>
      <w:tr w14:paraId="563D1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2067C2D">
            <w:pPr>
              <w:spacing w:line="360" w:lineRule="auto"/>
              <w:jc w:val="center"/>
              <w:rPr>
                <w:rFonts w:ascii="宋体" w:hAnsi="宋体" w:cs="宋体"/>
                <w:sz w:val="24"/>
                <w:szCs w:val="24"/>
                <w:highlight w:val="none"/>
              </w:rPr>
            </w:pPr>
            <w:r>
              <w:rPr>
                <w:rFonts w:hint="eastAsia" w:ascii="宋体" w:hAnsi="宋体" w:cs="宋体"/>
                <w:sz w:val="24"/>
                <w:szCs w:val="24"/>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14:paraId="5DD69AE5">
            <w:pPr>
              <w:spacing w:line="360" w:lineRule="auto"/>
              <w:jc w:val="center"/>
              <w:rPr>
                <w:rFonts w:ascii="宋体" w:hAnsi="宋体" w:cs="宋体"/>
                <w:sz w:val="24"/>
                <w:szCs w:val="24"/>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D012726">
            <w:pPr>
              <w:spacing w:line="360" w:lineRule="auto"/>
              <w:jc w:val="center"/>
              <w:rPr>
                <w:rFonts w:ascii="宋体" w:hAnsi="宋体" w:cs="宋体"/>
                <w:sz w:val="24"/>
                <w:szCs w:val="24"/>
                <w:highlight w:val="none"/>
              </w:rPr>
            </w:pPr>
            <w:r>
              <w:rPr>
                <w:rFonts w:hint="eastAsia" w:ascii="宋体" w:hAnsi="宋体" w:cs="宋体"/>
                <w:sz w:val="24"/>
                <w:szCs w:val="24"/>
                <w:highlight w:val="none"/>
              </w:rPr>
              <w:t>企业综合诚信评价分数</w:t>
            </w:r>
          </w:p>
        </w:tc>
        <w:tc>
          <w:tcPr>
            <w:tcW w:w="6396" w:type="dxa"/>
            <w:tcBorders>
              <w:top w:val="single" w:color="auto" w:sz="4" w:space="0"/>
              <w:left w:val="single" w:color="auto" w:sz="4" w:space="0"/>
              <w:bottom w:val="single" w:color="auto" w:sz="4" w:space="0"/>
              <w:right w:val="double" w:color="auto" w:sz="4" w:space="0"/>
            </w:tcBorders>
            <w:vAlign w:val="center"/>
          </w:tcPr>
          <w:p w14:paraId="00479C20">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本款不适用。</w:t>
            </w:r>
          </w:p>
        </w:tc>
      </w:tr>
      <w:tr w14:paraId="1F369A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0B75823">
            <w:pPr>
              <w:spacing w:line="360" w:lineRule="auto"/>
              <w:jc w:val="center"/>
              <w:rPr>
                <w:rFonts w:ascii="宋体" w:hAnsi="宋体" w:cs="宋体"/>
                <w:sz w:val="24"/>
                <w:szCs w:val="24"/>
                <w:highlight w:val="none"/>
              </w:rPr>
            </w:pPr>
            <w:r>
              <w:rPr>
                <w:rFonts w:hint="eastAsia" w:ascii="宋体" w:hAnsi="宋体" w:cs="宋体"/>
                <w:sz w:val="24"/>
                <w:szCs w:val="24"/>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14:paraId="14BCDB6F">
            <w:pPr>
              <w:spacing w:line="360" w:lineRule="auto"/>
              <w:jc w:val="center"/>
              <w:rPr>
                <w:rFonts w:ascii="宋体" w:hAnsi="宋体" w:cs="宋体"/>
                <w:sz w:val="24"/>
                <w:szCs w:val="24"/>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C3AE4F4">
            <w:pPr>
              <w:spacing w:line="360" w:lineRule="auto"/>
              <w:jc w:val="center"/>
              <w:rPr>
                <w:rFonts w:ascii="宋体" w:hAnsi="宋体" w:cs="宋体"/>
                <w:sz w:val="24"/>
                <w:szCs w:val="24"/>
                <w:highlight w:val="none"/>
              </w:rPr>
            </w:pPr>
            <w:r>
              <w:rPr>
                <w:rFonts w:hint="eastAsia" w:ascii="宋体" w:hAnsi="宋体" w:cs="宋体"/>
                <w:sz w:val="24"/>
                <w:szCs w:val="24"/>
                <w:highlight w:val="none"/>
              </w:rPr>
              <w:t>第二阶段投标人名次的排序方法（适用于办法一、办法二）</w:t>
            </w:r>
          </w:p>
        </w:tc>
        <w:tc>
          <w:tcPr>
            <w:tcW w:w="6396" w:type="dxa"/>
            <w:tcBorders>
              <w:top w:val="single" w:color="auto" w:sz="4" w:space="0"/>
              <w:left w:val="single" w:color="auto" w:sz="4" w:space="0"/>
              <w:bottom w:val="single" w:color="auto" w:sz="4" w:space="0"/>
              <w:right w:val="double" w:color="auto" w:sz="4" w:space="0"/>
            </w:tcBorders>
            <w:vAlign w:val="center"/>
          </w:tcPr>
          <w:p w14:paraId="6A6E2963">
            <w:pPr>
              <w:spacing w:line="360" w:lineRule="auto"/>
              <w:rPr>
                <w:rFonts w:ascii="宋体" w:hAnsi="宋体" w:cs="宋体"/>
                <w:sz w:val="24"/>
                <w:szCs w:val="24"/>
                <w:highlight w:val="none"/>
              </w:rPr>
            </w:pPr>
            <w:r>
              <w:rPr>
                <w:rFonts w:hint="eastAsia" w:ascii="宋体" w:hAnsi="宋体" w:cs="宋体"/>
                <w:sz w:val="24"/>
                <w:szCs w:val="24"/>
                <w:highlight w:val="none"/>
              </w:rPr>
              <w:t>本款不适用。</w:t>
            </w:r>
          </w:p>
        </w:tc>
      </w:tr>
      <w:tr w14:paraId="4946F2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CDBFA44">
            <w:pPr>
              <w:spacing w:line="360" w:lineRule="auto"/>
              <w:jc w:val="center"/>
              <w:rPr>
                <w:rFonts w:ascii="宋体" w:hAnsi="宋体" w:cs="宋体"/>
                <w:sz w:val="24"/>
                <w:szCs w:val="24"/>
                <w:highlight w:val="none"/>
              </w:rPr>
            </w:pPr>
            <w:r>
              <w:rPr>
                <w:rFonts w:hint="eastAsia" w:ascii="宋体" w:hAnsi="宋体" w:cs="宋体"/>
                <w:sz w:val="24"/>
                <w:szCs w:val="24"/>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14:paraId="6E1CCADB">
            <w:pPr>
              <w:spacing w:line="360" w:lineRule="auto"/>
              <w:jc w:val="center"/>
              <w:rPr>
                <w:rFonts w:ascii="宋体" w:hAnsi="宋体" w:cs="宋体"/>
                <w:sz w:val="24"/>
                <w:szCs w:val="24"/>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19F30B0">
            <w:pPr>
              <w:spacing w:line="360" w:lineRule="auto"/>
              <w:jc w:val="center"/>
              <w:rPr>
                <w:rFonts w:ascii="宋体" w:hAnsi="宋体" w:cs="宋体"/>
                <w:sz w:val="24"/>
                <w:szCs w:val="24"/>
                <w:highlight w:val="none"/>
              </w:rPr>
            </w:pPr>
            <w:r>
              <w:rPr>
                <w:rFonts w:hint="eastAsia" w:ascii="宋体" w:hAnsi="宋体" w:cs="宋体"/>
                <w:sz w:val="24"/>
                <w:szCs w:val="24"/>
                <w:highlight w:val="none"/>
              </w:rPr>
              <w:t>经济分相同情况下的排序方法（适用于办法三、办法四）</w:t>
            </w:r>
          </w:p>
        </w:tc>
        <w:tc>
          <w:tcPr>
            <w:tcW w:w="6396" w:type="dxa"/>
            <w:tcBorders>
              <w:top w:val="single" w:color="auto" w:sz="4" w:space="0"/>
              <w:left w:val="single" w:color="auto" w:sz="4" w:space="0"/>
              <w:bottom w:val="single" w:color="auto" w:sz="4" w:space="0"/>
              <w:right w:val="double" w:color="auto" w:sz="4" w:space="0"/>
            </w:tcBorders>
            <w:vAlign w:val="center"/>
          </w:tcPr>
          <w:p w14:paraId="331BB6F7">
            <w:pPr>
              <w:spacing w:line="360" w:lineRule="auto"/>
              <w:rPr>
                <w:rFonts w:ascii="宋体" w:hAnsi="宋体" w:cs="宋体"/>
                <w:sz w:val="24"/>
                <w:szCs w:val="24"/>
                <w:highlight w:val="none"/>
              </w:rPr>
            </w:pPr>
            <w:r>
              <w:rPr>
                <w:rFonts w:hint="eastAsia" w:ascii="宋体" w:hAnsi="宋体" w:cs="宋体"/>
                <w:sz w:val="24"/>
                <w:szCs w:val="24"/>
                <w:highlight w:val="none"/>
              </w:rPr>
              <w:t>本款不适用。</w:t>
            </w:r>
          </w:p>
        </w:tc>
      </w:tr>
      <w:tr w14:paraId="4C09BF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1C691E0">
            <w:pPr>
              <w:spacing w:line="360" w:lineRule="auto"/>
              <w:jc w:val="center"/>
              <w:rPr>
                <w:rFonts w:ascii="宋体" w:hAnsi="宋体" w:cs="宋体"/>
                <w:sz w:val="24"/>
                <w:szCs w:val="24"/>
                <w:highlight w:val="none"/>
              </w:rPr>
            </w:pPr>
            <w:r>
              <w:rPr>
                <w:rFonts w:hint="eastAsia" w:ascii="宋体" w:hAnsi="宋体" w:cs="宋体"/>
                <w:sz w:val="24"/>
                <w:szCs w:val="24"/>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14:paraId="79D7282C">
            <w:pPr>
              <w:spacing w:line="360" w:lineRule="auto"/>
              <w:jc w:val="center"/>
              <w:rPr>
                <w:rFonts w:ascii="宋体" w:hAnsi="宋体" w:cs="宋体"/>
                <w:sz w:val="24"/>
                <w:szCs w:val="24"/>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E2D0C1B">
            <w:pPr>
              <w:spacing w:line="360" w:lineRule="auto"/>
              <w:jc w:val="center"/>
              <w:rPr>
                <w:rFonts w:ascii="宋体" w:hAnsi="宋体" w:cs="宋体"/>
                <w:sz w:val="24"/>
                <w:szCs w:val="24"/>
                <w:highlight w:val="none"/>
              </w:rPr>
            </w:pPr>
            <w:r>
              <w:rPr>
                <w:rFonts w:hint="eastAsia" w:ascii="宋体" w:hAnsi="宋体" w:cs="宋体"/>
                <w:sz w:val="24"/>
                <w:szCs w:val="24"/>
                <w:highlight w:val="none"/>
              </w:rPr>
              <w:t>第二阶段投标人名次的排序方法（适用于办法五、办法六）</w:t>
            </w:r>
          </w:p>
        </w:tc>
        <w:tc>
          <w:tcPr>
            <w:tcW w:w="6396" w:type="dxa"/>
            <w:tcBorders>
              <w:top w:val="single" w:color="auto" w:sz="4" w:space="0"/>
              <w:left w:val="single" w:color="auto" w:sz="4" w:space="0"/>
              <w:bottom w:val="single" w:color="auto" w:sz="4" w:space="0"/>
              <w:right w:val="double" w:color="auto" w:sz="4" w:space="0"/>
            </w:tcBorders>
            <w:vAlign w:val="center"/>
          </w:tcPr>
          <w:p w14:paraId="313645D8">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 xml:space="preserve">选取方法 二 </w:t>
            </w:r>
          </w:p>
          <w:p w14:paraId="0A2247BD">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方法二：按照“总分=</w:t>
            </w:r>
            <w:r>
              <w:rPr>
                <w:rFonts w:hint="eastAsia" w:ascii="宋体" w:hAnsi="宋体" w:cs="宋体"/>
                <w:b w:val="0"/>
                <w:bCs w:val="0"/>
                <w:sz w:val="24"/>
                <w:szCs w:val="24"/>
                <w:highlight w:val="none"/>
                <w:u w:val="single"/>
              </w:rPr>
              <w:t>技术得分（100分）×技术得分权重（20%）＋经济得分</w:t>
            </w:r>
            <w:r>
              <w:rPr>
                <w:rFonts w:hint="eastAsia" w:ascii="宋体" w:hAnsi="宋体" w:cs="宋体"/>
                <w:bCs/>
                <w:sz w:val="24"/>
                <w:szCs w:val="24"/>
                <w:highlight w:val="none"/>
                <w:u w:val="single"/>
              </w:rPr>
              <w:t>（100分）</w:t>
            </w:r>
            <w:r>
              <w:rPr>
                <w:rFonts w:hint="eastAsia" w:ascii="宋体" w:hAnsi="宋体" w:cs="宋体"/>
                <w:b w:val="0"/>
                <w:bCs w:val="0"/>
                <w:sz w:val="24"/>
                <w:szCs w:val="24"/>
                <w:highlight w:val="none"/>
                <w:u w:val="single"/>
              </w:rPr>
              <w:t>×经济得分权重（80%）</w:t>
            </w:r>
            <w:r>
              <w:rPr>
                <w:rFonts w:hint="eastAsia" w:ascii="宋体" w:hAnsi="宋体" w:cs="宋体"/>
                <w:sz w:val="24"/>
                <w:szCs w:val="24"/>
                <w:highlight w:val="none"/>
                <w:u w:val="single"/>
              </w:rPr>
              <w:t>”的公式，计算各有效投标文件的</w:t>
            </w:r>
            <w:r>
              <w:rPr>
                <w:rFonts w:hint="eastAsia" w:ascii="宋体" w:hAnsi="宋体" w:cs="宋体"/>
                <w:sz w:val="24"/>
                <w:szCs w:val="24"/>
                <w:highlight w:val="none"/>
                <w:u w:val="single"/>
                <w:lang w:val="en-US" w:eastAsia="zh-CN"/>
              </w:rPr>
              <w:t>总得分</w:t>
            </w:r>
            <w:r>
              <w:rPr>
                <w:rFonts w:hint="eastAsia" w:ascii="宋体" w:hAnsi="宋体" w:cs="宋体"/>
                <w:sz w:val="24"/>
                <w:szCs w:val="24"/>
                <w:highlight w:val="none"/>
                <w:u w:val="single"/>
              </w:rPr>
              <w:t>，并按照</w:t>
            </w:r>
            <w:r>
              <w:rPr>
                <w:rFonts w:hint="eastAsia" w:ascii="宋体" w:hAnsi="宋体" w:cs="宋体"/>
                <w:sz w:val="24"/>
                <w:szCs w:val="24"/>
                <w:highlight w:val="none"/>
                <w:u w:val="single"/>
                <w:lang w:val="en-US" w:eastAsia="zh-CN"/>
              </w:rPr>
              <w:t>总得分</w:t>
            </w:r>
            <w:r>
              <w:rPr>
                <w:rFonts w:hint="eastAsia" w:ascii="宋体" w:hAnsi="宋体" w:cs="宋体"/>
                <w:sz w:val="24"/>
                <w:szCs w:val="24"/>
                <w:highlight w:val="none"/>
                <w:u w:val="single"/>
              </w:rPr>
              <w:t>从高到低排序。</w:t>
            </w:r>
            <w:r>
              <w:rPr>
                <w:rFonts w:hint="eastAsia" w:ascii="宋体" w:hAnsi="宋体" w:cs="宋体"/>
                <w:sz w:val="24"/>
                <w:szCs w:val="24"/>
                <w:highlight w:val="none"/>
                <w:u w:val="single"/>
                <w:lang w:val="en-US" w:eastAsia="zh-CN"/>
              </w:rPr>
              <w:t>总得分</w:t>
            </w:r>
            <w:r>
              <w:rPr>
                <w:rFonts w:hint="eastAsia" w:ascii="宋体" w:hAnsi="宋体" w:cs="宋体"/>
                <w:sz w:val="24"/>
                <w:szCs w:val="24"/>
                <w:highlight w:val="none"/>
                <w:u w:val="single"/>
              </w:rPr>
              <w:t>相同的投标文件，以技术分较高的排前；如仍存在相同情况，则对具有相同情况的投标人，由评标委员会采用记名投票方式，确定中标候选人的排序。</w:t>
            </w:r>
          </w:p>
          <w:p w14:paraId="6026D016">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注：记名投票方式确定排序的具体操作步骤为由评标委员会对出现该情况的投标人采取记名投票的方式确定，按得票数从高到低排列先后次序，以得票数高的排前，根据得票数高低确定</w:t>
            </w:r>
            <w:r>
              <w:rPr>
                <w:rFonts w:hint="eastAsia" w:ascii="宋体" w:hAnsi="宋体" w:cs="宋体"/>
                <w:sz w:val="24"/>
                <w:szCs w:val="24"/>
                <w:highlight w:val="none"/>
                <w:u w:val="single"/>
                <w:lang w:val="en-US" w:eastAsia="zh-CN"/>
              </w:rPr>
              <w:t>第二阶段</w:t>
            </w:r>
            <w:r>
              <w:rPr>
                <w:rFonts w:hint="eastAsia" w:ascii="宋体" w:hAnsi="宋体" w:cs="宋体"/>
                <w:sz w:val="24"/>
                <w:szCs w:val="24"/>
                <w:highlight w:val="none"/>
                <w:u w:val="single"/>
              </w:rPr>
              <w:t>排序。</w:t>
            </w:r>
          </w:p>
        </w:tc>
      </w:tr>
      <w:tr w14:paraId="699662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CF8CDE3">
            <w:pPr>
              <w:spacing w:line="360" w:lineRule="auto"/>
              <w:jc w:val="center"/>
              <w:rPr>
                <w:rFonts w:ascii="宋体" w:hAnsi="宋体" w:cs="宋体"/>
                <w:sz w:val="24"/>
                <w:szCs w:val="24"/>
                <w:highlight w:val="none"/>
              </w:rPr>
            </w:pPr>
            <w:r>
              <w:rPr>
                <w:rFonts w:hint="eastAsia" w:ascii="宋体" w:hAnsi="宋体" w:cs="宋体"/>
                <w:sz w:val="24"/>
                <w:szCs w:val="24"/>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14:paraId="5FFF4672">
            <w:pPr>
              <w:spacing w:line="360" w:lineRule="auto"/>
              <w:jc w:val="center"/>
              <w:rPr>
                <w:rFonts w:ascii="宋体" w:hAnsi="宋体" w:cs="宋体"/>
                <w:sz w:val="24"/>
                <w:szCs w:val="24"/>
                <w:highlight w:val="none"/>
              </w:rPr>
            </w:pPr>
            <w:r>
              <w:rPr>
                <w:rFonts w:hint="eastAsia" w:ascii="宋体" w:hAnsi="宋体" w:cs="宋体"/>
                <w:sz w:val="24"/>
                <w:szCs w:val="24"/>
                <w:highlight w:val="none"/>
              </w:rPr>
              <w:t>13.4、13.5.2</w:t>
            </w:r>
          </w:p>
        </w:tc>
        <w:tc>
          <w:tcPr>
            <w:tcW w:w="1810" w:type="dxa"/>
            <w:tcBorders>
              <w:top w:val="single" w:color="auto" w:sz="4" w:space="0"/>
              <w:left w:val="single" w:color="auto" w:sz="4" w:space="0"/>
              <w:bottom w:val="single" w:color="auto" w:sz="4" w:space="0"/>
              <w:right w:val="single" w:color="auto" w:sz="4" w:space="0"/>
            </w:tcBorders>
            <w:vAlign w:val="center"/>
          </w:tcPr>
          <w:p w14:paraId="5F3E5A1B">
            <w:pPr>
              <w:spacing w:line="360" w:lineRule="auto"/>
              <w:jc w:val="center"/>
              <w:rPr>
                <w:rFonts w:ascii="宋体" w:hAnsi="宋体" w:cs="宋体"/>
                <w:sz w:val="24"/>
                <w:szCs w:val="24"/>
                <w:highlight w:val="none"/>
              </w:rPr>
            </w:pPr>
            <w:r>
              <w:rPr>
                <w:rFonts w:hint="eastAsia" w:ascii="宋体" w:hAnsi="宋体" w:cs="宋体"/>
                <w:sz w:val="24"/>
                <w:szCs w:val="24"/>
                <w:highlight w:val="none"/>
              </w:rPr>
              <w:t>合同价款的调整办法</w:t>
            </w:r>
          </w:p>
        </w:tc>
        <w:tc>
          <w:tcPr>
            <w:tcW w:w="6396" w:type="dxa"/>
            <w:tcBorders>
              <w:top w:val="single" w:color="auto" w:sz="4" w:space="0"/>
              <w:left w:val="single" w:color="auto" w:sz="4" w:space="0"/>
              <w:bottom w:val="single" w:color="auto" w:sz="4" w:space="0"/>
              <w:right w:val="double" w:color="auto" w:sz="4" w:space="0"/>
            </w:tcBorders>
            <w:vAlign w:val="center"/>
          </w:tcPr>
          <w:p w14:paraId="76139DB7">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按招标文件及合同条款相关约定调整。</w:t>
            </w:r>
          </w:p>
        </w:tc>
      </w:tr>
      <w:tr w14:paraId="28635B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94DAD6E">
            <w:pPr>
              <w:spacing w:line="360" w:lineRule="auto"/>
              <w:jc w:val="center"/>
              <w:rPr>
                <w:rFonts w:ascii="宋体" w:hAnsi="宋体" w:cs="宋体"/>
                <w:sz w:val="24"/>
                <w:szCs w:val="24"/>
                <w:highlight w:val="none"/>
              </w:rPr>
            </w:pPr>
            <w:r>
              <w:rPr>
                <w:rFonts w:hint="eastAsia" w:ascii="宋体" w:hAnsi="宋体" w:cs="宋体"/>
                <w:sz w:val="24"/>
                <w:szCs w:val="24"/>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14:paraId="44032223">
            <w:pPr>
              <w:spacing w:line="360" w:lineRule="auto"/>
              <w:jc w:val="center"/>
              <w:rPr>
                <w:rFonts w:ascii="宋体" w:hAnsi="宋体" w:cs="宋体"/>
                <w:sz w:val="24"/>
                <w:szCs w:val="24"/>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7417600">
            <w:pPr>
              <w:spacing w:line="360" w:lineRule="auto"/>
              <w:jc w:val="center"/>
              <w:rPr>
                <w:rFonts w:ascii="宋体" w:hAnsi="宋体" w:cs="宋体"/>
                <w:sz w:val="24"/>
                <w:szCs w:val="24"/>
                <w:highlight w:val="none"/>
              </w:rPr>
            </w:pPr>
            <w:r>
              <w:rPr>
                <w:rFonts w:hint="eastAsia" w:ascii="宋体" w:hAnsi="宋体" w:cs="宋体"/>
                <w:kern w:val="0"/>
                <w:sz w:val="24"/>
                <w:szCs w:val="24"/>
                <w:highlight w:val="none"/>
                <w:lang w:val="zh-CN"/>
              </w:rPr>
              <w:t>建设工程质量检测单位</w:t>
            </w:r>
          </w:p>
        </w:tc>
        <w:tc>
          <w:tcPr>
            <w:tcW w:w="6396" w:type="dxa"/>
            <w:tcBorders>
              <w:top w:val="single" w:color="auto" w:sz="4" w:space="0"/>
              <w:left w:val="single" w:color="auto" w:sz="4" w:space="0"/>
              <w:bottom w:val="single" w:color="auto" w:sz="4" w:space="0"/>
              <w:right w:val="double" w:color="auto" w:sz="4" w:space="0"/>
            </w:tcBorders>
            <w:vAlign w:val="center"/>
          </w:tcPr>
          <w:p w14:paraId="3558BD4F">
            <w:pPr>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AD428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06B3D1B4">
            <w:pPr>
              <w:spacing w:line="360" w:lineRule="auto"/>
              <w:jc w:val="center"/>
              <w:rPr>
                <w:rFonts w:ascii="宋体" w:hAnsi="宋体" w:cs="宋体"/>
                <w:sz w:val="24"/>
                <w:szCs w:val="24"/>
                <w:highlight w:val="none"/>
              </w:rPr>
            </w:pPr>
            <w:r>
              <w:rPr>
                <w:rFonts w:hint="eastAsia" w:ascii="宋体" w:hAnsi="宋体" w:cs="宋体"/>
                <w:sz w:val="24"/>
                <w:szCs w:val="24"/>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14:paraId="3B80A99A">
            <w:pPr>
              <w:spacing w:line="360" w:lineRule="auto"/>
              <w:jc w:val="center"/>
              <w:rPr>
                <w:rFonts w:ascii="宋体" w:hAnsi="宋体" w:cs="宋体"/>
                <w:sz w:val="24"/>
                <w:szCs w:val="24"/>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1F75029">
            <w:pPr>
              <w:spacing w:line="360" w:lineRule="auto"/>
              <w:jc w:val="center"/>
              <w:rPr>
                <w:rFonts w:ascii="宋体" w:hAnsi="宋体" w:cs="宋体"/>
                <w:kern w:val="0"/>
                <w:sz w:val="24"/>
                <w:szCs w:val="24"/>
                <w:highlight w:val="none"/>
                <w:lang w:val="zh-CN"/>
              </w:rPr>
            </w:pPr>
            <w:r>
              <w:rPr>
                <w:rFonts w:hint="eastAsia" w:ascii="宋体" w:hAnsi="宋体" w:cs="宋体"/>
                <w:kern w:val="0"/>
                <w:sz w:val="24"/>
                <w:szCs w:val="24"/>
                <w:highlight w:val="none"/>
                <w:lang w:val="zh-CN"/>
              </w:rPr>
              <w:t>分包</w:t>
            </w:r>
          </w:p>
        </w:tc>
        <w:tc>
          <w:tcPr>
            <w:tcW w:w="6396" w:type="dxa"/>
            <w:tcBorders>
              <w:top w:val="single" w:color="auto" w:sz="4" w:space="0"/>
              <w:left w:val="single" w:color="auto" w:sz="4" w:space="0"/>
              <w:bottom w:val="single" w:color="auto" w:sz="4" w:space="0"/>
              <w:right w:val="double" w:color="auto" w:sz="4" w:space="0"/>
            </w:tcBorders>
            <w:vAlign w:val="center"/>
          </w:tcPr>
          <w:p w14:paraId="17CB1F38">
            <w:pPr>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zh-CN"/>
              </w:rPr>
              <w:t>□不允许，</w:t>
            </w:r>
            <w:r>
              <w:rPr>
                <w:rFonts w:hint="eastAsia" w:ascii="宋体" w:hAnsi="宋体" w:cs="宋体"/>
                <w:kern w:val="0"/>
                <w:sz w:val="24"/>
                <w:szCs w:val="24"/>
                <w:highlight w:val="none"/>
              </w:rPr>
              <w:t>其余见施工合同约定</w:t>
            </w:r>
            <w:r>
              <w:rPr>
                <w:rFonts w:hint="eastAsia" w:ascii="宋体" w:hAnsi="宋体" w:cs="宋体"/>
                <w:kern w:val="0"/>
                <w:sz w:val="24"/>
                <w:szCs w:val="24"/>
                <w:highlight w:val="none"/>
                <w:lang w:val="zh-CN"/>
              </w:rPr>
              <w:t>；</w:t>
            </w:r>
          </w:p>
          <w:p w14:paraId="66797784">
            <w:pPr>
              <w:spacing w:line="360" w:lineRule="auto"/>
              <w:rPr>
                <w:rFonts w:ascii="宋体" w:hAnsi="宋体" w:cs="宋体"/>
                <w:kern w:val="0"/>
                <w:sz w:val="24"/>
                <w:szCs w:val="24"/>
                <w:highlight w:val="none"/>
                <w:u w:val="single"/>
                <w:lang w:val="zh-CN"/>
              </w:rPr>
            </w:pPr>
            <w:r>
              <w:rPr>
                <w:rFonts w:hint="eastAsia" w:ascii="宋体" w:hAnsi="宋体" w:cs="宋体"/>
                <w:kern w:val="0"/>
                <w:sz w:val="24"/>
                <w:szCs w:val="24"/>
                <w:highlight w:val="none"/>
                <w:lang w:val="zh-CN"/>
              </w:rPr>
              <w:t>■允许：分包内容要求：</w:t>
            </w:r>
            <w:r>
              <w:rPr>
                <w:rFonts w:hint="eastAsia" w:ascii="宋体" w:hAnsi="宋体" w:cs="宋体"/>
                <w:kern w:val="0"/>
                <w:sz w:val="24"/>
                <w:szCs w:val="24"/>
                <w:highlight w:val="none"/>
                <w:u w:val="single"/>
                <w:lang w:val="zh-CN"/>
              </w:rPr>
              <w:t>非主体关键工程。</w:t>
            </w:r>
          </w:p>
          <w:p w14:paraId="5CEAEA6D">
            <w:pPr>
              <w:spacing w:line="360" w:lineRule="auto"/>
              <w:rPr>
                <w:rFonts w:ascii="宋体" w:hAnsi="宋体" w:cs="宋体"/>
                <w:kern w:val="0"/>
                <w:sz w:val="24"/>
                <w:szCs w:val="24"/>
                <w:highlight w:val="none"/>
                <w:u w:val="single"/>
                <w:lang w:val="zh-CN"/>
              </w:rPr>
            </w:pPr>
            <w:r>
              <w:rPr>
                <w:rFonts w:hint="eastAsia" w:ascii="宋体" w:hAnsi="宋体" w:cs="宋体"/>
                <w:kern w:val="0"/>
                <w:sz w:val="24"/>
                <w:szCs w:val="24"/>
                <w:highlight w:val="none"/>
                <w:lang w:val="zh-CN"/>
              </w:rPr>
              <w:t xml:space="preserve">        分包金额要求：</w:t>
            </w:r>
            <w:r>
              <w:rPr>
                <w:rFonts w:hint="eastAsia" w:ascii="宋体" w:hAnsi="宋体" w:cs="宋体"/>
                <w:kern w:val="0"/>
                <w:sz w:val="24"/>
                <w:szCs w:val="24"/>
                <w:highlight w:val="none"/>
                <w:u w:val="single"/>
                <w:lang w:val="zh-CN"/>
              </w:rPr>
              <w:t>无。</w:t>
            </w:r>
          </w:p>
          <w:p w14:paraId="3B3051E2">
            <w:pPr>
              <w:spacing w:line="360" w:lineRule="auto"/>
              <w:rPr>
                <w:rFonts w:ascii="宋体" w:hAnsi="宋体" w:cs="宋体"/>
                <w:kern w:val="0"/>
                <w:sz w:val="24"/>
                <w:szCs w:val="24"/>
                <w:highlight w:val="none"/>
                <w:u w:val="single"/>
                <w:lang w:val="zh-CN"/>
              </w:rPr>
            </w:pPr>
            <w:r>
              <w:rPr>
                <w:rFonts w:hint="eastAsia" w:ascii="宋体" w:hAnsi="宋体" w:cs="宋体"/>
                <w:kern w:val="0"/>
                <w:sz w:val="24"/>
                <w:szCs w:val="24"/>
                <w:highlight w:val="none"/>
                <w:lang w:val="zh-CN"/>
              </w:rPr>
              <w:t xml:space="preserve">        对分包人的资质要求：</w:t>
            </w:r>
            <w:r>
              <w:rPr>
                <w:rFonts w:hint="eastAsia" w:ascii="宋体" w:hAnsi="宋体" w:cs="宋体"/>
                <w:kern w:val="0"/>
                <w:sz w:val="24"/>
                <w:szCs w:val="24"/>
                <w:highlight w:val="none"/>
                <w:u w:val="single"/>
                <w:lang w:val="zh-CN"/>
              </w:rPr>
              <w:t>符合有关法律法规和文件规定，并不得再次分包。</w:t>
            </w:r>
          </w:p>
          <w:p w14:paraId="47C20F5C">
            <w:pPr>
              <w:spacing w:line="360" w:lineRule="auto"/>
              <w:rPr>
                <w:rFonts w:ascii="宋体" w:hAnsi="宋体" w:cs="宋体"/>
                <w:kern w:val="0"/>
                <w:sz w:val="24"/>
                <w:szCs w:val="24"/>
                <w:highlight w:val="none"/>
                <w:lang w:val="zh-CN"/>
              </w:rPr>
            </w:pPr>
            <w:r>
              <w:rPr>
                <w:rFonts w:hint="eastAsia" w:ascii="宋体" w:hAnsi="宋体" w:cs="宋体"/>
                <w:kern w:val="0"/>
                <w:sz w:val="24"/>
                <w:szCs w:val="24"/>
                <w:highlight w:val="none"/>
                <w:lang w:val="zh-CN"/>
              </w:rPr>
              <w:t xml:space="preserve">        对分包人的其他要求：</w:t>
            </w:r>
            <w:r>
              <w:rPr>
                <w:rFonts w:hint="eastAsia" w:ascii="宋体" w:hAnsi="宋体" w:cs="宋体"/>
                <w:kern w:val="0"/>
                <w:sz w:val="24"/>
                <w:szCs w:val="24"/>
                <w:highlight w:val="none"/>
                <w:u w:val="single"/>
                <w:lang w:val="zh-CN"/>
              </w:rPr>
              <w:t>无。</w:t>
            </w:r>
          </w:p>
        </w:tc>
      </w:tr>
      <w:tr w14:paraId="10701A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2" w:type="dxa"/>
            <w:tcBorders>
              <w:top w:val="single" w:color="auto" w:sz="4" w:space="0"/>
              <w:left w:val="double" w:color="auto" w:sz="4" w:space="0"/>
              <w:bottom w:val="single" w:color="auto" w:sz="4" w:space="0"/>
              <w:right w:val="single" w:color="auto" w:sz="4" w:space="0"/>
            </w:tcBorders>
            <w:vAlign w:val="center"/>
          </w:tcPr>
          <w:p w14:paraId="38215A96">
            <w:pPr>
              <w:spacing w:line="360" w:lineRule="auto"/>
              <w:jc w:val="center"/>
              <w:rPr>
                <w:rFonts w:ascii="宋体" w:hAnsi="宋体" w:cs="宋体"/>
                <w:sz w:val="24"/>
                <w:szCs w:val="24"/>
                <w:highlight w:val="none"/>
              </w:rPr>
            </w:pPr>
            <w:r>
              <w:rPr>
                <w:rFonts w:hint="eastAsia" w:ascii="宋体" w:hAnsi="宋体" w:cs="宋体"/>
                <w:sz w:val="24"/>
                <w:szCs w:val="24"/>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14:paraId="729D01FC">
            <w:pPr>
              <w:spacing w:line="360" w:lineRule="auto"/>
              <w:jc w:val="center"/>
              <w:rPr>
                <w:rFonts w:ascii="宋体" w:hAnsi="宋体" w:cs="宋体"/>
                <w:sz w:val="24"/>
                <w:szCs w:val="24"/>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C62040E">
            <w:pPr>
              <w:spacing w:line="360" w:lineRule="auto"/>
              <w:jc w:val="center"/>
              <w:rPr>
                <w:rFonts w:ascii="宋体" w:hAnsi="宋体" w:cs="宋体"/>
                <w:sz w:val="24"/>
                <w:szCs w:val="24"/>
                <w:highlight w:val="none"/>
              </w:rPr>
            </w:pPr>
            <w:r>
              <w:rPr>
                <w:rFonts w:hint="eastAsia" w:ascii="宋体" w:hAnsi="宋体" w:cs="宋体"/>
                <w:sz w:val="24"/>
                <w:szCs w:val="24"/>
                <w:highlight w:val="none"/>
              </w:rPr>
              <w:t>电子招标投标解密失败及突发情况的补救</w:t>
            </w:r>
          </w:p>
        </w:tc>
        <w:tc>
          <w:tcPr>
            <w:tcW w:w="6396" w:type="dxa"/>
            <w:tcBorders>
              <w:top w:val="single" w:color="auto" w:sz="4" w:space="0"/>
              <w:left w:val="single" w:color="auto" w:sz="4" w:space="0"/>
              <w:bottom w:val="single" w:color="auto" w:sz="4" w:space="0"/>
              <w:right w:val="double" w:color="auto" w:sz="4" w:space="0"/>
            </w:tcBorders>
            <w:vAlign w:val="center"/>
          </w:tcPr>
          <w:p w14:paraId="274248F5">
            <w:pPr>
              <w:spacing w:line="360" w:lineRule="auto"/>
              <w:rPr>
                <w:rFonts w:ascii="宋体" w:hAnsi="宋体" w:cs="宋体"/>
                <w:sz w:val="24"/>
                <w:szCs w:val="24"/>
                <w:highlight w:val="none"/>
              </w:rPr>
            </w:pPr>
            <w:r>
              <w:rPr>
                <w:rFonts w:hint="eastAsia" w:ascii="宋体" w:hAnsi="宋体" w:cs="宋体"/>
                <w:sz w:val="24"/>
                <w:szCs w:val="24"/>
                <w:highlight w:val="none"/>
              </w:rPr>
              <w:t>1.按照广州交易集团有限公司（广州公共资源交易中心）交易平台关于全流程电子化项目的相关指南进行操作。详见：广州交易集团有限公司（广州公共资源交易中心）网站最新指引。</w:t>
            </w:r>
          </w:p>
          <w:p w14:paraId="34F59780">
            <w:pPr>
              <w:spacing w:line="360" w:lineRule="auto"/>
              <w:rPr>
                <w:rFonts w:ascii="宋体" w:hAnsi="宋体" w:cs="宋体"/>
                <w:sz w:val="24"/>
                <w:szCs w:val="24"/>
                <w:highlight w:val="none"/>
              </w:rPr>
            </w:pPr>
            <w:r>
              <w:rPr>
                <w:rFonts w:hint="eastAsia" w:ascii="宋体" w:hAnsi="宋体" w:cs="宋体"/>
                <w:sz w:val="24"/>
                <w:szCs w:val="24"/>
                <w:highlight w:val="none"/>
              </w:rPr>
              <w:t>2.提交投标文件光盘备用</w:t>
            </w:r>
          </w:p>
          <w:p w14:paraId="4CC1E1B1">
            <w:pPr>
              <w:spacing w:line="360" w:lineRule="auto"/>
              <w:rPr>
                <w:rFonts w:ascii="宋体" w:hAnsi="宋体" w:cs="宋体"/>
                <w:sz w:val="24"/>
                <w:szCs w:val="24"/>
                <w:highlight w:val="none"/>
              </w:rPr>
            </w:pPr>
            <w:r>
              <w:rPr>
                <w:rFonts w:hint="eastAsia" w:ascii="宋体" w:hAnsi="宋体" w:cs="宋体"/>
                <w:sz w:val="24"/>
                <w:szCs w:val="24"/>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4FC151F">
            <w:pPr>
              <w:spacing w:line="360" w:lineRule="auto"/>
              <w:rPr>
                <w:rFonts w:ascii="宋体" w:hAnsi="宋体" w:cs="宋体"/>
                <w:sz w:val="24"/>
                <w:szCs w:val="24"/>
                <w:highlight w:val="none"/>
              </w:rPr>
            </w:pPr>
            <w:r>
              <w:rPr>
                <w:rFonts w:hint="eastAsia" w:ascii="宋体" w:hAnsi="宋体" w:cs="宋体"/>
                <w:sz w:val="24"/>
                <w:szCs w:val="24"/>
                <w:highlight w:val="none"/>
              </w:rPr>
              <w:t>3.补救方案</w:t>
            </w:r>
          </w:p>
          <w:p w14:paraId="15C32D97">
            <w:pPr>
              <w:spacing w:line="360" w:lineRule="auto"/>
              <w:rPr>
                <w:rFonts w:ascii="宋体" w:hAnsi="宋体" w:cs="宋体"/>
                <w:sz w:val="24"/>
                <w:szCs w:val="24"/>
                <w:highlight w:val="none"/>
              </w:rPr>
            </w:pPr>
            <w:r>
              <w:rPr>
                <w:rFonts w:hint="eastAsia" w:ascii="宋体" w:hAnsi="宋体" w:cs="宋体"/>
                <w:sz w:val="24"/>
                <w:szCs w:val="24"/>
                <w:highlight w:val="none"/>
              </w:rPr>
              <w:t>（1）投标文件解密失败的补救方案：</w:t>
            </w:r>
          </w:p>
          <w:p w14:paraId="7BB8BFD6">
            <w:pPr>
              <w:spacing w:line="360" w:lineRule="auto"/>
              <w:rPr>
                <w:rFonts w:ascii="宋体" w:hAnsi="宋体" w:cs="宋体"/>
                <w:sz w:val="24"/>
                <w:szCs w:val="24"/>
                <w:highlight w:val="none"/>
              </w:rPr>
            </w:pPr>
            <w:r>
              <w:rPr>
                <w:rFonts w:hint="eastAsia" w:ascii="宋体" w:hAnsi="宋体" w:cs="宋体"/>
                <w:sz w:val="24"/>
                <w:szCs w:val="24"/>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9A4679B">
            <w:pPr>
              <w:spacing w:line="360" w:lineRule="auto"/>
              <w:rPr>
                <w:rFonts w:ascii="宋体" w:hAnsi="宋体" w:cs="宋体"/>
                <w:sz w:val="24"/>
                <w:szCs w:val="24"/>
                <w:highlight w:val="none"/>
              </w:rPr>
            </w:pPr>
            <w:r>
              <w:rPr>
                <w:rFonts w:hint="eastAsia" w:ascii="宋体" w:hAnsi="宋体" w:cs="宋体"/>
                <w:sz w:val="24"/>
                <w:szCs w:val="24"/>
                <w:highlight w:val="none"/>
              </w:rPr>
              <w:t>（2）评标时突发情况的补救方案</w:t>
            </w:r>
          </w:p>
          <w:p w14:paraId="332790AF">
            <w:pPr>
              <w:spacing w:line="360" w:lineRule="auto"/>
              <w:rPr>
                <w:rFonts w:ascii="宋体" w:hAnsi="宋体" w:cs="宋体"/>
                <w:sz w:val="24"/>
                <w:szCs w:val="24"/>
                <w:highlight w:val="none"/>
              </w:rPr>
            </w:pPr>
            <w:r>
              <w:rPr>
                <w:rFonts w:hint="eastAsia" w:ascii="宋体" w:hAnsi="宋体" w:cs="宋体"/>
                <w:sz w:val="24"/>
                <w:szCs w:val="24"/>
                <w:highlight w:val="none"/>
              </w:rPr>
              <w:t>若遇不可抗力发生（指网络瘫痪、服务器损坏、交易系统故障短期无法恢复等因素），由评标委员会开启投标人递交的全部投标文件光盘，并按光盘内容进行评审。</w:t>
            </w:r>
          </w:p>
          <w:p w14:paraId="0FE6484B">
            <w:pPr>
              <w:spacing w:line="360" w:lineRule="auto"/>
              <w:rPr>
                <w:rFonts w:ascii="宋体" w:hAnsi="宋体" w:cs="宋体"/>
                <w:sz w:val="24"/>
                <w:szCs w:val="24"/>
                <w:highlight w:val="none"/>
              </w:rPr>
            </w:pPr>
            <w:r>
              <w:rPr>
                <w:rFonts w:hint="eastAsia" w:ascii="宋体" w:hAnsi="宋体" w:cs="宋体"/>
                <w:sz w:val="24"/>
                <w:szCs w:val="24"/>
                <w:highlight w:val="none"/>
              </w:rPr>
              <w:t>（3）除发生上述情况外，开标评标均以投标人通过广州交易集团有限公司（广州公共资源交易中心）交易平台网上递交的电子投标文件为准。</w:t>
            </w:r>
          </w:p>
        </w:tc>
      </w:tr>
      <w:tr w14:paraId="4675AE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2" w:type="dxa"/>
            <w:tcBorders>
              <w:top w:val="single" w:color="auto" w:sz="4" w:space="0"/>
              <w:left w:val="double" w:color="auto" w:sz="4" w:space="0"/>
              <w:bottom w:val="single" w:color="auto" w:sz="4" w:space="0"/>
              <w:right w:val="single" w:color="auto" w:sz="4" w:space="0"/>
            </w:tcBorders>
            <w:vAlign w:val="center"/>
          </w:tcPr>
          <w:p w14:paraId="37A220AE">
            <w:pPr>
              <w:spacing w:line="360" w:lineRule="auto"/>
              <w:jc w:val="center"/>
              <w:rPr>
                <w:rFonts w:ascii="宋体" w:hAnsi="宋体" w:cs="宋体"/>
                <w:sz w:val="24"/>
                <w:szCs w:val="24"/>
                <w:highlight w:val="none"/>
                <w:u w:val="single"/>
              </w:rPr>
            </w:pPr>
            <w:r>
              <w:rPr>
                <w:rFonts w:hint="eastAsia" w:ascii="宋体" w:hAnsi="宋体" w:cs="宋体"/>
                <w:sz w:val="24"/>
                <w:szCs w:val="24"/>
                <w:highlight w:val="none"/>
                <w:u w:val="single"/>
              </w:rPr>
              <w:t>38</w:t>
            </w:r>
          </w:p>
        </w:tc>
        <w:tc>
          <w:tcPr>
            <w:tcW w:w="981" w:type="dxa"/>
            <w:tcBorders>
              <w:top w:val="single" w:color="auto" w:sz="4" w:space="0"/>
              <w:left w:val="single" w:color="auto" w:sz="4" w:space="0"/>
              <w:bottom w:val="single" w:color="auto" w:sz="4" w:space="0"/>
              <w:right w:val="single" w:color="auto" w:sz="4" w:space="0"/>
            </w:tcBorders>
            <w:vAlign w:val="center"/>
          </w:tcPr>
          <w:p w14:paraId="61CC9344">
            <w:pPr>
              <w:spacing w:line="360" w:lineRule="auto"/>
              <w:jc w:val="center"/>
              <w:rPr>
                <w:rFonts w:ascii="宋体" w:hAnsi="宋体" w:cs="宋体"/>
                <w:sz w:val="24"/>
                <w:szCs w:val="24"/>
                <w:highlight w:val="none"/>
                <w:u w:val="single"/>
              </w:rPr>
            </w:pPr>
          </w:p>
        </w:tc>
        <w:tc>
          <w:tcPr>
            <w:tcW w:w="1810" w:type="dxa"/>
            <w:tcBorders>
              <w:top w:val="single" w:color="auto" w:sz="4" w:space="0"/>
              <w:left w:val="single" w:color="auto" w:sz="4" w:space="0"/>
              <w:bottom w:val="single" w:color="auto" w:sz="4" w:space="0"/>
              <w:right w:val="single" w:color="auto" w:sz="4" w:space="0"/>
            </w:tcBorders>
            <w:vAlign w:val="center"/>
          </w:tcPr>
          <w:p w14:paraId="003A92AA">
            <w:pPr>
              <w:spacing w:line="360" w:lineRule="auto"/>
              <w:jc w:val="center"/>
              <w:rPr>
                <w:rFonts w:ascii="宋体" w:hAnsi="宋体" w:cs="宋体"/>
                <w:kern w:val="0"/>
                <w:sz w:val="24"/>
                <w:szCs w:val="24"/>
                <w:highlight w:val="none"/>
                <w:u w:val="single"/>
                <w:lang w:val="zh-CN"/>
              </w:rPr>
            </w:pPr>
            <w:r>
              <w:rPr>
                <w:rFonts w:hint="eastAsia" w:ascii="宋体" w:hAnsi="宋体" w:cs="宋体"/>
                <w:kern w:val="0"/>
                <w:sz w:val="24"/>
                <w:szCs w:val="24"/>
                <w:highlight w:val="none"/>
                <w:u w:val="single"/>
                <w:lang w:val="zh-CN"/>
              </w:rPr>
              <w:t>招标人拒绝接收投标文件备用光盘的情况</w:t>
            </w:r>
          </w:p>
        </w:tc>
        <w:tc>
          <w:tcPr>
            <w:tcW w:w="6396" w:type="dxa"/>
            <w:tcBorders>
              <w:top w:val="single" w:color="auto" w:sz="4" w:space="0"/>
              <w:left w:val="single" w:color="auto" w:sz="4" w:space="0"/>
              <w:bottom w:val="single" w:color="auto" w:sz="4" w:space="0"/>
              <w:right w:val="double" w:color="auto" w:sz="4" w:space="0"/>
            </w:tcBorders>
            <w:vAlign w:val="center"/>
          </w:tcPr>
          <w:p w14:paraId="62193A01">
            <w:pPr>
              <w:spacing w:line="360" w:lineRule="auto"/>
              <w:rPr>
                <w:rFonts w:ascii="宋体" w:hAnsi="宋体" w:cs="宋体"/>
                <w:kern w:val="0"/>
                <w:sz w:val="24"/>
                <w:szCs w:val="24"/>
                <w:highlight w:val="none"/>
                <w:u w:val="single"/>
                <w:lang w:val="zh-CN"/>
              </w:rPr>
            </w:pPr>
            <w:r>
              <w:rPr>
                <w:rFonts w:hint="eastAsia" w:ascii="宋体" w:hAnsi="宋体" w:cs="宋体"/>
                <w:kern w:val="0"/>
                <w:sz w:val="24"/>
                <w:szCs w:val="24"/>
                <w:highlight w:val="none"/>
                <w:u w:val="single"/>
                <w:lang w:val="zh-CN"/>
              </w:rPr>
              <w:t>1</w:t>
            </w:r>
            <w:r>
              <w:rPr>
                <w:rFonts w:hint="eastAsia" w:ascii="宋体" w:hAnsi="宋体" w:cs="宋体"/>
                <w:kern w:val="0"/>
                <w:sz w:val="24"/>
                <w:szCs w:val="24"/>
                <w:highlight w:val="none"/>
                <w:u w:val="single"/>
              </w:rPr>
              <w:t>.</w:t>
            </w:r>
            <w:r>
              <w:rPr>
                <w:rFonts w:hint="eastAsia" w:ascii="宋体" w:hAnsi="宋体" w:cs="宋体"/>
                <w:kern w:val="0"/>
                <w:sz w:val="24"/>
                <w:szCs w:val="24"/>
                <w:highlight w:val="none"/>
                <w:u w:val="single"/>
                <w:lang w:val="zh-CN"/>
              </w:rPr>
              <w:t>在投标截止期后逾期或未在指定地点递交投标文件备用光盘的；</w:t>
            </w:r>
          </w:p>
          <w:p w14:paraId="7CD325AF">
            <w:pPr>
              <w:spacing w:line="360" w:lineRule="auto"/>
              <w:rPr>
                <w:rFonts w:ascii="宋体" w:hAnsi="宋体" w:cs="宋体"/>
                <w:kern w:val="0"/>
                <w:sz w:val="24"/>
                <w:szCs w:val="24"/>
                <w:highlight w:val="none"/>
                <w:u w:val="single"/>
                <w:lang w:val="zh-CN"/>
              </w:rPr>
            </w:pPr>
            <w:r>
              <w:rPr>
                <w:rFonts w:hint="eastAsia" w:ascii="宋体" w:hAnsi="宋体" w:cs="宋体"/>
                <w:kern w:val="0"/>
                <w:sz w:val="24"/>
                <w:szCs w:val="24"/>
                <w:highlight w:val="none"/>
                <w:u w:val="single"/>
                <w:lang w:val="zh-CN"/>
              </w:rPr>
              <w:t>2</w:t>
            </w:r>
            <w:r>
              <w:rPr>
                <w:rFonts w:hint="eastAsia" w:ascii="宋体" w:hAnsi="宋体" w:cs="宋体"/>
                <w:kern w:val="0"/>
                <w:sz w:val="24"/>
                <w:szCs w:val="24"/>
                <w:highlight w:val="none"/>
                <w:u w:val="single"/>
              </w:rPr>
              <w:t>.</w:t>
            </w:r>
            <w:r>
              <w:rPr>
                <w:rFonts w:hint="eastAsia" w:ascii="宋体" w:hAnsi="宋体" w:cs="宋体"/>
                <w:kern w:val="0"/>
                <w:sz w:val="24"/>
                <w:szCs w:val="24"/>
                <w:highlight w:val="none"/>
                <w:u w:val="single"/>
                <w:lang w:val="zh-CN"/>
              </w:rPr>
              <w:t>投标文件备用光盘未按招标文件要求密封或未在密封处盖章的；</w:t>
            </w:r>
          </w:p>
          <w:p w14:paraId="4B599353">
            <w:pPr>
              <w:spacing w:line="360" w:lineRule="auto"/>
              <w:rPr>
                <w:rFonts w:ascii="宋体" w:hAnsi="宋体" w:cs="宋体"/>
                <w:kern w:val="0"/>
                <w:sz w:val="24"/>
                <w:szCs w:val="24"/>
                <w:highlight w:val="none"/>
                <w:u w:val="single"/>
                <w:lang w:val="zh-CN"/>
              </w:rPr>
            </w:pPr>
            <w:r>
              <w:rPr>
                <w:rFonts w:hint="eastAsia" w:ascii="宋体" w:hAnsi="宋体" w:cs="宋体"/>
                <w:kern w:val="0"/>
                <w:sz w:val="24"/>
                <w:szCs w:val="24"/>
                <w:highlight w:val="none"/>
                <w:u w:val="single"/>
                <w:lang w:val="zh-CN"/>
              </w:rPr>
              <w:t>3</w:t>
            </w:r>
            <w:r>
              <w:rPr>
                <w:rFonts w:hint="eastAsia" w:ascii="宋体" w:hAnsi="宋体" w:cs="宋体"/>
                <w:kern w:val="0"/>
                <w:sz w:val="24"/>
                <w:szCs w:val="24"/>
                <w:highlight w:val="none"/>
                <w:u w:val="single"/>
              </w:rPr>
              <w:t>.</w:t>
            </w:r>
            <w:r>
              <w:rPr>
                <w:rFonts w:hint="eastAsia" w:ascii="宋体" w:hAnsi="宋体" w:cs="宋体"/>
                <w:kern w:val="0"/>
                <w:sz w:val="24"/>
                <w:szCs w:val="24"/>
                <w:highlight w:val="none"/>
                <w:u w:val="single"/>
                <w:lang w:val="zh-CN"/>
              </w:rPr>
              <w:t>投标人代表未凭法定代表人证明书（原件）、授权委托书原件（仅限于非法定代表人）、本人身份证原件递交投标文件备用光盘的。</w:t>
            </w:r>
          </w:p>
        </w:tc>
      </w:tr>
      <w:tr w14:paraId="4426FB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2" w:type="dxa"/>
            <w:tcBorders>
              <w:top w:val="single" w:color="auto" w:sz="4" w:space="0"/>
              <w:left w:val="double" w:color="auto" w:sz="4" w:space="0"/>
              <w:bottom w:val="single" w:color="auto" w:sz="4" w:space="0"/>
              <w:right w:val="single" w:color="auto" w:sz="4" w:space="0"/>
            </w:tcBorders>
            <w:vAlign w:val="center"/>
          </w:tcPr>
          <w:p w14:paraId="2BB7D616">
            <w:pPr>
              <w:spacing w:line="360" w:lineRule="auto"/>
              <w:jc w:val="center"/>
              <w:rPr>
                <w:rFonts w:ascii="宋体" w:hAnsi="宋体" w:cs="宋体"/>
                <w:sz w:val="24"/>
                <w:szCs w:val="24"/>
                <w:highlight w:val="none"/>
                <w:u w:val="single"/>
              </w:rPr>
            </w:pPr>
            <w:r>
              <w:rPr>
                <w:rFonts w:hint="eastAsia" w:ascii="宋体" w:hAnsi="宋体" w:cs="宋体"/>
                <w:sz w:val="24"/>
                <w:szCs w:val="24"/>
                <w:highlight w:val="none"/>
                <w:u w:val="single"/>
              </w:rPr>
              <w:t>39</w:t>
            </w:r>
          </w:p>
        </w:tc>
        <w:tc>
          <w:tcPr>
            <w:tcW w:w="981" w:type="dxa"/>
            <w:tcBorders>
              <w:top w:val="single" w:color="auto" w:sz="4" w:space="0"/>
              <w:left w:val="single" w:color="auto" w:sz="4" w:space="0"/>
              <w:bottom w:val="single" w:color="auto" w:sz="4" w:space="0"/>
              <w:right w:val="single" w:color="auto" w:sz="4" w:space="0"/>
            </w:tcBorders>
            <w:vAlign w:val="center"/>
          </w:tcPr>
          <w:p w14:paraId="469CCDCD">
            <w:pPr>
              <w:spacing w:line="360" w:lineRule="auto"/>
              <w:jc w:val="center"/>
              <w:rPr>
                <w:rFonts w:ascii="宋体" w:hAnsi="宋体" w:cs="宋体"/>
                <w:sz w:val="24"/>
                <w:szCs w:val="24"/>
                <w:highlight w:val="none"/>
                <w:u w:val="single"/>
              </w:rPr>
            </w:pPr>
            <w:r>
              <w:rPr>
                <w:rFonts w:hint="eastAsia" w:ascii="宋体" w:hAnsi="宋体" w:cs="宋体"/>
                <w:sz w:val="24"/>
                <w:szCs w:val="24"/>
                <w:highlight w:val="none"/>
                <w:u w:val="single"/>
              </w:rPr>
              <w:t>27.5</w:t>
            </w:r>
          </w:p>
        </w:tc>
        <w:tc>
          <w:tcPr>
            <w:tcW w:w="1810" w:type="dxa"/>
            <w:tcBorders>
              <w:top w:val="single" w:color="auto" w:sz="4" w:space="0"/>
              <w:left w:val="single" w:color="auto" w:sz="4" w:space="0"/>
              <w:bottom w:val="single" w:color="auto" w:sz="4" w:space="0"/>
              <w:right w:val="single" w:color="auto" w:sz="4" w:space="0"/>
            </w:tcBorders>
            <w:vAlign w:val="center"/>
          </w:tcPr>
          <w:p w14:paraId="08901A14">
            <w:pPr>
              <w:spacing w:line="360" w:lineRule="auto"/>
              <w:jc w:val="center"/>
              <w:rPr>
                <w:rFonts w:ascii="宋体" w:hAnsi="宋体" w:cs="宋体"/>
                <w:kern w:val="0"/>
                <w:sz w:val="24"/>
                <w:szCs w:val="24"/>
                <w:highlight w:val="none"/>
                <w:u w:val="single"/>
                <w:lang w:val="zh-CN"/>
              </w:rPr>
            </w:pPr>
            <w:r>
              <w:rPr>
                <w:rFonts w:hint="eastAsia" w:ascii="宋体" w:hAnsi="宋体" w:cs="宋体"/>
                <w:kern w:val="0"/>
                <w:sz w:val="24"/>
                <w:szCs w:val="24"/>
                <w:highlight w:val="none"/>
                <w:u w:val="single"/>
                <w:lang w:val="zh-CN"/>
              </w:rPr>
              <w:t>中标公示后中标单位提交投标文件要求</w:t>
            </w:r>
          </w:p>
        </w:tc>
        <w:tc>
          <w:tcPr>
            <w:tcW w:w="6396" w:type="dxa"/>
            <w:tcBorders>
              <w:top w:val="single" w:color="auto" w:sz="4" w:space="0"/>
              <w:left w:val="single" w:color="auto" w:sz="4" w:space="0"/>
              <w:bottom w:val="single" w:color="auto" w:sz="4" w:space="0"/>
              <w:right w:val="double" w:color="auto" w:sz="4" w:space="0"/>
            </w:tcBorders>
            <w:vAlign w:val="center"/>
          </w:tcPr>
          <w:p w14:paraId="1B451442">
            <w:pPr>
              <w:spacing w:line="360" w:lineRule="auto"/>
              <w:rPr>
                <w:rFonts w:ascii="宋体" w:hAnsi="宋体" w:cs="宋体"/>
                <w:kern w:val="0"/>
                <w:sz w:val="24"/>
                <w:szCs w:val="24"/>
                <w:highlight w:val="none"/>
                <w:u w:val="single"/>
                <w:lang w:val="zh-CN"/>
              </w:rPr>
            </w:pPr>
            <w:r>
              <w:rPr>
                <w:rFonts w:hint="eastAsia" w:ascii="宋体" w:hAnsi="宋体" w:cs="宋体"/>
                <w:kern w:val="0"/>
                <w:sz w:val="24"/>
                <w:szCs w:val="24"/>
                <w:highlight w:val="none"/>
                <w:u w:val="single"/>
                <w:lang w:val="zh-CN"/>
              </w:rPr>
              <w:t>中标单位在获取中标通知书后的5个工作日内，须向招标人提供与递交投标电子标书内容一致的纸质文件两套（一套正本一套副本）及电子文件一套（所有电子文件不能采用压缩处理）。</w:t>
            </w:r>
          </w:p>
        </w:tc>
      </w:tr>
    </w:tbl>
    <w:p w14:paraId="267DAC1C">
      <w:pPr>
        <w:pStyle w:val="3"/>
        <w:spacing w:before="0" w:after="0" w:line="360" w:lineRule="auto"/>
        <w:ind w:left="0"/>
        <w:rPr>
          <w:rFonts w:ascii="宋体" w:hAnsi="宋体" w:cs="宋体"/>
          <w:bCs/>
          <w:color w:val="auto"/>
          <w:kern w:val="44"/>
          <w:sz w:val="32"/>
          <w:szCs w:val="32"/>
          <w:highlight w:val="none"/>
        </w:rPr>
      </w:pPr>
      <w:r>
        <w:rPr>
          <w:rFonts w:hint="eastAsia" w:ascii="宋体" w:hAnsi="宋体" w:cs="宋体"/>
          <w:color w:val="auto"/>
          <w:highlight w:val="none"/>
        </w:rPr>
        <w:br w:type="page"/>
      </w:r>
      <w:bookmarkStart w:id="4" w:name="_Toc27078"/>
      <w:bookmarkStart w:id="5" w:name="_Toc2272547"/>
      <w:r>
        <w:rPr>
          <w:rFonts w:hint="eastAsia" w:ascii="宋体" w:hAnsi="宋体" w:cs="宋体"/>
          <w:bCs/>
          <w:color w:val="auto"/>
          <w:kern w:val="44"/>
          <w:sz w:val="32"/>
          <w:szCs w:val="32"/>
          <w:highlight w:val="none"/>
        </w:rPr>
        <w:t>二、投标须知修改表</w:t>
      </w:r>
      <w:bookmarkEnd w:id="4"/>
      <w:bookmarkEnd w:id="5"/>
    </w:p>
    <w:p w14:paraId="3E4076B4">
      <w:pPr>
        <w:pStyle w:val="34"/>
        <w:spacing w:after="0"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4A16AAA3">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条款号：2.5              修改类型：增加</w:t>
      </w:r>
    </w:p>
    <w:p w14:paraId="629D017C">
      <w:pPr>
        <w:pBdr>
          <w:bottom w:val="single" w:color="auto" w:sz="6" w:space="1"/>
        </w:pBdr>
        <w:spacing w:line="360" w:lineRule="auto"/>
        <w:ind w:firstLine="482" w:firstLineChars="200"/>
        <w:rPr>
          <w:rFonts w:ascii="宋体" w:hAnsi="宋体" w:cs="宋体"/>
          <w:bCs/>
          <w:sz w:val="24"/>
          <w:szCs w:val="24"/>
          <w:highlight w:val="none"/>
          <w:u w:val="single"/>
        </w:rPr>
      </w:pPr>
      <w:r>
        <w:rPr>
          <w:rFonts w:hint="eastAsia" w:ascii="宋体" w:hAnsi="宋体" w:cs="宋体"/>
          <w:b/>
          <w:sz w:val="24"/>
          <w:szCs w:val="24"/>
          <w:highlight w:val="none"/>
        </w:rPr>
        <w:t>现文：</w:t>
      </w:r>
      <w:r>
        <w:rPr>
          <w:rFonts w:hint="eastAsia" w:ascii="宋体" w:hAnsi="宋体" w:cs="宋体"/>
          <w:bCs/>
          <w:sz w:val="24"/>
          <w:szCs w:val="24"/>
          <w:highlight w:val="none"/>
          <w:u w:val="single"/>
        </w:rPr>
        <w:t>2.5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3C4EDCD2">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条款号：5.1              修改类型：修改</w:t>
      </w:r>
    </w:p>
    <w:p w14:paraId="387A37E9">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5.1</w:t>
      </w:r>
      <w:r>
        <w:rPr>
          <w:rFonts w:hint="eastAsia" w:ascii="宋体" w:hAnsi="宋体" w:cs="宋体"/>
          <w:bCs/>
          <w:sz w:val="24"/>
          <w:szCs w:val="24"/>
          <w:highlight w:val="none"/>
        </w:rPr>
        <w:t>投标人应按本投标须知前附表第15项所述时间和要求对工程现场及周围环境进行踏勘，</w:t>
      </w:r>
      <w:r>
        <w:rPr>
          <w:rFonts w:hint="eastAsia" w:ascii="宋体" w:hAnsi="宋体" w:cs="宋体"/>
          <w:sz w:val="24"/>
          <w:szCs w:val="24"/>
          <w:highlight w:val="none"/>
        </w:rPr>
        <w:t>投标人应充分重视和仔细地进行这种考察，</w:t>
      </w:r>
      <w:r>
        <w:rPr>
          <w:rFonts w:hint="eastAsia" w:ascii="宋体" w:hAnsi="宋体" w:cs="宋体"/>
          <w:bCs/>
          <w:sz w:val="24"/>
          <w:szCs w:val="24"/>
          <w:highlight w:val="none"/>
        </w:rPr>
        <w:t>以便投标人获取</w:t>
      </w:r>
      <w:r>
        <w:rPr>
          <w:rFonts w:hint="eastAsia" w:ascii="宋体" w:hAnsi="宋体" w:cs="宋体"/>
          <w:sz w:val="24"/>
          <w:szCs w:val="24"/>
          <w:highlight w:val="none"/>
        </w:rPr>
        <w:t>那些须投标人自己负责的</w:t>
      </w:r>
      <w:r>
        <w:rPr>
          <w:rFonts w:hint="eastAsia" w:ascii="宋体" w:hAnsi="宋体" w:cs="宋体"/>
          <w:bCs/>
          <w:sz w:val="24"/>
          <w:szCs w:val="24"/>
          <w:highlight w:val="none"/>
        </w:rPr>
        <w:t>有关编制投标文件和签署合同所涉及现场所有的资料。</w:t>
      </w:r>
      <w:r>
        <w:rPr>
          <w:rFonts w:hint="eastAsia" w:ascii="宋体" w:hAnsi="宋体" w:cs="宋体"/>
          <w:sz w:val="24"/>
          <w:szCs w:val="24"/>
          <w:highlight w:val="none"/>
        </w:rPr>
        <w:t>一旦中标，这种考察即被认为其结果已在中标文件中得到充分反映。考察现场的费用由投标人自己承担。</w:t>
      </w:r>
    </w:p>
    <w:p w14:paraId="43BFB465">
      <w:pPr>
        <w:pBdr>
          <w:bottom w:val="single" w:color="auto" w:sz="6" w:space="1"/>
        </w:pBd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5.1</w:t>
      </w:r>
      <w:r>
        <w:rPr>
          <w:rFonts w:hint="eastAsia" w:ascii="宋体" w:hAnsi="宋体" w:cs="宋体"/>
          <w:bCs/>
          <w:sz w:val="24"/>
          <w:szCs w:val="24"/>
          <w:highlight w:val="none"/>
        </w:rPr>
        <w:t>投标人应按本投标须知前附表第15项所述时间和要求对工程现场及周围环境进行踏勘，</w:t>
      </w:r>
      <w:r>
        <w:rPr>
          <w:rFonts w:hint="eastAsia" w:ascii="宋体" w:hAnsi="宋体" w:cs="宋体"/>
          <w:sz w:val="24"/>
          <w:szCs w:val="24"/>
          <w:highlight w:val="none"/>
        </w:rPr>
        <w:t>投标人应充分重视和仔细地进行这种考察，</w:t>
      </w:r>
      <w:r>
        <w:rPr>
          <w:rFonts w:hint="eastAsia" w:ascii="宋体" w:hAnsi="宋体" w:cs="宋体"/>
          <w:bCs/>
          <w:sz w:val="24"/>
          <w:szCs w:val="24"/>
          <w:highlight w:val="none"/>
        </w:rPr>
        <w:t>以便投标人获取</w:t>
      </w:r>
      <w:r>
        <w:rPr>
          <w:rFonts w:hint="eastAsia" w:ascii="宋体" w:hAnsi="宋体" w:cs="宋体"/>
          <w:sz w:val="24"/>
          <w:szCs w:val="24"/>
          <w:highlight w:val="none"/>
        </w:rPr>
        <w:t>那些须投标人自己负责的</w:t>
      </w:r>
      <w:r>
        <w:rPr>
          <w:rFonts w:hint="eastAsia" w:ascii="宋体" w:hAnsi="宋体" w:cs="宋体"/>
          <w:bCs/>
          <w:sz w:val="24"/>
          <w:szCs w:val="24"/>
          <w:highlight w:val="none"/>
        </w:rPr>
        <w:t>有关编制投标文件和签署合同所涉及现场所有的资料。</w:t>
      </w:r>
      <w:r>
        <w:rPr>
          <w:rFonts w:hint="eastAsia" w:ascii="宋体" w:hAnsi="宋体" w:cs="宋体"/>
          <w:bCs/>
          <w:sz w:val="24"/>
          <w:szCs w:val="24"/>
          <w:highlight w:val="none"/>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sz w:val="24"/>
          <w:szCs w:val="24"/>
          <w:highlight w:val="none"/>
        </w:rPr>
        <w:t>一旦中标，这种考察即被认为其结果已在中标文件中得到充分反映，</w:t>
      </w:r>
      <w:r>
        <w:rPr>
          <w:rFonts w:hint="eastAsia" w:ascii="宋体" w:hAnsi="宋体" w:cs="宋体"/>
          <w:sz w:val="24"/>
          <w:szCs w:val="24"/>
          <w:highlight w:val="none"/>
          <w:u w:val="single"/>
        </w:rPr>
        <w:t>且充分考虑了现场各种因素。招标人不受理因投标人缺乏对现场条件的了解或掌握而提出的任何索赔。</w:t>
      </w:r>
      <w:r>
        <w:rPr>
          <w:rFonts w:hint="eastAsia" w:ascii="宋体" w:hAnsi="宋体" w:cs="宋体"/>
          <w:sz w:val="24"/>
          <w:szCs w:val="24"/>
          <w:highlight w:val="none"/>
        </w:rPr>
        <w:t>考察现场的费用由投标人自己承担。</w:t>
      </w:r>
    </w:p>
    <w:p w14:paraId="2C785CDC">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条款号：7.1              修改类型：修改</w:t>
      </w:r>
    </w:p>
    <w:p w14:paraId="208F396B">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7.1本招标文件包括下列文件，以及所有按本须知第8条发出的招标答疑会会议纪要和按本须知第9条发出的澄清或修改：</w:t>
      </w:r>
    </w:p>
    <w:p w14:paraId="319A7B0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第一章  投标须知</w:t>
      </w:r>
    </w:p>
    <w:p w14:paraId="0E6E045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第二章  开标、评标及定标办法</w:t>
      </w:r>
    </w:p>
    <w:p w14:paraId="2DA89CA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第三章  合同条款</w:t>
      </w:r>
    </w:p>
    <w:p w14:paraId="388E647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第四章  投标文件格式</w:t>
      </w:r>
    </w:p>
    <w:p w14:paraId="49B22DF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第五章  技术条件（工程建设标准）（另册）</w:t>
      </w:r>
    </w:p>
    <w:p w14:paraId="5399F75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第六章  图纸及勘察资料（另册）</w:t>
      </w:r>
    </w:p>
    <w:p w14:paraId="54B23DD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第七章  招标工程量清单（另册）</w:t>
      </w:r>
    </w:p>
    <w:p w14:paraId="54FC13C9">
      <w:pPr>
        <w:spacing w:line="360" w:lineRule="auto"/>
        <w:ind w:firstLine="480" w:firstLineChars="200"/>
        <w:rPr>
          <w:rFonts w:ascii="宋体" w:hAnsi="宋体" w:cs="宋体"/>
          <w:b/>
          <w:sz w:val="24"/>
          <w:szCs w:val="24"/>
          <w:highlight w:val="none"/>
        </w:rPr>
      </w:pPr>
      <w:r>
        <w:rPr>
          <w:rFonts w:hint="eastAsia" w:ascii="宋体" w:hAnsi="宋体" w:cs="宋体"/>
          <w:sz w:val="24"/>
          <w:szCs w:val="24"/>
          <w:highlight w:val="none"/>
        </w:rPr>
        <w:t>第八章  最高投标限价</w:t>
      </w:r>
    </w:p>
    <w:p w14:paraId="658FF151">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7.1本招标文件包括下列文件，以及所有按本须知第8条发出的招标答疑会会议纪要和按本须知第9条发出的澄清或修改：</w:t>
      </w:r>
    </w:p>
    <w:p w14:paraId="5E298E76">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第一章  投标须知</w:t>
      </w:r>
    </w:p>
    <w:p w14:paraId="7B4B1D21">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第二章  开标、评标及定标办法</w:t>
      </w:r>
    </w:p>
    <w:p w14:paraId="0BA97A25">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第三章  合同条款</w:t>
      </w:r>
    </w:p>
    <w:p w14:paraId="7FBF9A5B">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第四章  投标文件格式</w:t>
      </w:r>
    </w:p>
    <w:p w14:paraId="749188BF">
      <w:pPr>
        <w:pBdr>
          <w:bottom w:val="single" w:color="auto" w:sz="6" w:space="1"/>
        </w:pBd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第五章  技术条件（工程建设标准）</w:t>
      </w:r>
    </w:p>
    <w:p w14:paraId="0E37F29D">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第六章  图纸及勘察资料（另册）</w:t>
      </w:r>
    </w:p>
    <w:p w14:paraId="136321D1">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第七章  招标工程量清单（另册）</w:t>
      </w:r>
    </w:p>
    <w:p w14:paraId="5D150BEA">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第八章  最高投标限价</w:t>
      </w:r>
      <w:r>
        <w:rPr>
          <w:rFonts w:hint="eastAsia" w:ascii="宋体" w:hAnsi="宋体" w:cs="宋体"/>
          <w:sz w:val="24"/>
          <w:szCs w:val="24"/>
          <w:highlight w:val="none"/>
          <w:u w:val="single"/>
        </w:rPr>
        <w:t>（另册）</w:t>
      </w:r>
    </w:p>
    <w:p w14:paraId="0B770AAB">
      <w:pPr>
        <w:pBdr>
          <w:bottom w:val="single" w:color="auto" w:sz="6" w:space="1"/>
        </w:pBdr>
        <w:spacing w:line="360" w:lineRule="auto"/>
        <w:ind w:firstLine="482" w:firstLineChars="200"/>
        <w:rPr>
          <w:rFonts w:ascii="宋体" w:hAnsi="宋体" w:cs="宋体"/>
          <w:b/>
          <w:bCs/>
          <w:sz w:val="24"/>
          <w:szCs w:val="24"/>
          <w:highlight w:val="none"/>
          <w:u w:val="single"/>
        </w:rPr>
      </w:pPr>
      <w:r>
        <w:rPr>
          <w:rFonts w:hint="eastAsia" w:ascii="宋体" w:hAnsi="宋体" w:cs="宋体"/>
          <w:b/>
          <w:bCs/>
          <w:sz w:val="24"/>
          <w:szCs w:val="24"/>
          <w:highlight w:val="none"/>
          <w:u w:val="single"/>
        </w:rPr>
        <w:t>注：招标人应在技术条件（工程建设标准）中明确施工现场建筑垃圾源头减量的具体要求和建筑垃圾综合利用产品的使用要求。</w:t>
      </w:r>
    </w:p>
    <w:p w14:paraId="70E102DB">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条款号：8.1              修改类型：修改</w:t>
      </w:r>
    </w:p>
    <w:p w14:paraId="0337895E">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8.1投标人若对招标文件（包括招标图纸）中有疑问，可以书面形式通过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交易平台提交给招标人或招标代理人，提交形式见本须知前附表第16项。</w:t>
      </w:r>
    </w:p>
    <w:p w14:paraId="049D8DBB">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8.1</w:t>
      </w:r>
      <w:r>
        <w:rPr>
          <w:rFonts w:hint="eastAsia" w:ascii="宋体" w:hAnsi="宋体" w:cs="宋体"/>
          <w:sz w:val="24"/>
          <w:szCs w:val="24"/>
          <w:highlight w:val="none"/>
          <w:u w:val="single"/>
        </w:rPr>
        <w:t>招标答疑采用网上答疑方式进行。</w:t>
      </w:r>
      <w:r>
        <w:rPr>
          <w:rFonts w:hint="eastAsia" w:ascii="宋体" w:hAnsi="宋体" w:cs="宋体"/>
          <w:sz w:val="24"/>
          <w:szCs w:val="24"/>
          <w:highlight w:val="none"/>
        </w:rPr>
        <w:t>投标人若对招标文件（包括招标图纸、</w:t>
      </w:r>
      <w:r>
        <w:rPr>
          <w:rFonts w:hint="eastAsia" w:ascii="宋体" w:hAnsi="宋体" w:cs="宋体"/>
          <w:sz w:val="24"/>
          <w:szCs w:val="24"/>
          <w:highlight w:val="none"/>
          <w:u w:val="single"/>
        </w:rPr>
        <w:t>工程量清单、最高投标限价、合同条款</w:t>
      </w:r>
      <w:r>
        <w:rPr>
          <w:rFonts w:hint="eastAsia" w:ascii="宋体" w:hAnsi="宋体" w:cs="宋体"/>
          <w:sz w:val="24"/>
          <w:szCs w:val="24"/>
          <w:highlight w:val="none"/>
        </w:rPr>
        <w:t>）有疑问的，</w:t>
      </w:r>
      <w:r>
        <w:rPr>
          <w:rFonts w:hint="eastAsia" w:ascii="宋体" w:hAnsi="宋体" w:cs="宋体"/>
          <w:sz w:val="24"/>
          <w:szCs w:val="24"/>
          <w:highlight w:val="none"/>
          <w:u w:val="single"/>
        </w:rPr>
        <w:t>可在规定的时间内通过广州交易集团有限公司（广州公共资源交易中心）网站提问区域将问题提交给招标人或招标代理人，提交问题时一律不得署名。网上答疑的操作指南为：登陆广州交易集团有限公司（广州公共资源交易中心）网站（http://www.gzggzy.cn）→进入“我是投标人”→进入“新建设工程交易平台”→进入“我的投标”→通过项目编号或项目名称找到所需的项目→在上述的答疑时间内点击“答疑提问”→“新建问题”→无记名或匿名提出问题。</w:t>
      </w:r>
    </w:p>
    <w:p w14:paraId="2B52E35A">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条款号：8.2              修改类型：修改</w:t>
      </w:r>
    </w:p>
    <w:p w14:paraId="25E8C8CE">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8.2招标答疑会会议纪要将在提交投标文件截止时间15日前在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 “项目答疑纪要”专区公开发布。答疑纪要一经在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交易平台发布，视作已发放给所有投标人。</w:t>
      </w:r>
    </w:p>
    <w:p w14:paraId="6E6C5E9D">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8.2</w:t>
      </w:r>
      <w:r>
        <w:rPr>
          <w:rFonts w:hint="eastAsia" w:ascii="宋体" w:hAnsi="宋体" w:cs="宋体"/>
          <w:sz w:val="24"/>
          <w:szCs w:val="24"/>
          <w:highlight w:val="none"/>
          <w:u w:val="single"/>
        </w:rPr>
        <w:t>招标答疑会议纪要</w:t>
      </w:r>
      <w:r>
        <w:rPr>
          <w:rFonts w:hint="eastAsia" w:ascii="宋体" w:hAnsi="宋体" w:cs="宋体"/>
          <w:sz w:val="24"/>
          <w:szCs w:val="24"/>
          <w:highlight w:val="none"/>
        </w:rPr>
        <w:t>将在提交投标文件截止时间15日前在</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 “项目答疑纪要”专区公开发布。答疑纪要一经在</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交易平台发布，视作已发放给所有投标人。</w:t>
      </w:r>
    </w:p>
    <w:p w14:paraId="4E769213">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条款号：8.4              修改类型：修改</w:t>
      </w:r>
    </w:p>
    <w:p w14:paraId="35CECDD3">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8.4若招标答疑会会议纪要与招标文件有矛盾，以答疑会议纪要最后发出的书面形式的文件为准。</w:t>
      </w:r>
    </w:p>
    <w:p w14:paraId="59BAF935">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8.4若</w:t>
      </w:r>
      <w:r>
        <w:rPr>
          <w:rFonts w:hint="eastAsia" w:ascii="宋体" w:hAnsi="宋体" w:cs="宋体"/>
          <w:sz w:val="24"/>
          <w:szCs w:val="24"/>
          <w:highlight w:val="none"/>
          <w:u w:val="single"/>
        </w:rPr>
        <w:t>招标答疑纪要</w:t>
      </w:r>
      <w:r>
        <w:rPr>
          <w:rFonts w:hint="eastAsia" w:ascii="宋体" w:hAnsi="宋体" w:cs="宋体"/>
          <w:sz w:val="24"/>
          <w:szCs w:val="24"/>
          <w:highlight w:val="none"/>
        </w:rPr>
        <w:t>与招标文件有矛盾时，以</w:t>
      </w:r>
      <w:r>
        <w:rPr>
          <w:rFonts w:hint="eastAsia" w:ascii="宋体" w:hAnsi="宋体" w:cs="宋体"/>
          <w:sz w:val="24"/>
          <w:szCs w:val="24"/>
          <w:highlight w:val="none"/>
          <w:u w:val="single"/>
        </w:rPr>
        <w:t>广州交易集团有限公司（广州公共资源交易中心）交易平台</w:t>
      </w:r>
      <w:r>
        <w:rPr>
          <w:rFonts w:hint="eastAsia" w:ascii="宋体" w:hAnsi="宋体" w:cs="宋体"/>
          <w:sz w:val="24"/>
          <w:szCs w:val="24"/>
          <w:highlight w:val="none"/>
        </w:rPr>
        <w:t>最后发布的答疑纪要为准。</w:t>
      </w:r>
    </w:p>
    <w:p w14:paraId="74F7531F">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条款号：9.2              修改类型：修改</w:t>
      </w:r>
    </w:p>
    <w:p w14:paraId="4F3CC98B">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9.2招标文件的澄清或修改将在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交易平台“项目答疑纪要”专区公开发布。答疑纪要一经在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交易平台发布，视作已发放给所有投标人，以</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交易平台上网发布时间作为送达时间。</w:t>
      </w:r>
    </w:p>
    <w:p w14:paraId="6A0CA7F2">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9.2招标文件的澄清或修改将在</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交易平台“项目答疑纪要”专区公开发布。答疑纪要一经在</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交易平台发布，视作已发放给所有投标人，以</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交易平台上网发布时间作为送达时间。</w:t>
      </w:r>
    </w:p>
    <w:p w14:paraId="0293CF93">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条款号：9.4              修改类型：修改</w:t>
      </w:r>
    </w:p>
    <w:p w14:paraId="7B8EFA03">
      <w:pPr>
        <w:pStyle w:val="34"/>
        <w:spacing w:after="0"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9.4招标文件的澄清或修改均以书面形式明确的内容为准。当招标文件的澄清、修改、补充等在同一内容的表述不一致时，以最后发出的书面形式的文件为准。</w:t>
      </w:r>
    </w:p>
    <w:p w14:paraId="371A4D76">
      <w:pPr>
        <w:pBdr>
          <w:bottom w:val="single" w:color="auto" w:sz="6" w:space="1"/>
        </w:pBd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9.4招标文件的澄清或修改在</w:t>
      </w:r>
      <w:r>
        <w:rPr>
          <w:rFonts w:hint="eastAsia" w:ascii="宋体" w:hAnsi="宋体" w:cs="宋体"/>
          <w:sz w:val="24"/>
          <w:szCs w:val="24"/>
          <w:highlight w:val="none"/>
          <w:u w:val="single"/>
        </w:rPr>
        <w:t>广州交易集团有限公司（广州公共资源交易中心）交易平台“项目答疑纪要”专区公开发布。</w:t>
      </w:r>
      <w:r>
        <w:rPr>
          <w:rFonts w:hint="eastAsia" w:ascii="宋体" w:hAnsi="宋体" w:cs="宋体"/>
          <w:sz w:val="24"/>
          <w:szCs w:val="24"/>
          <w:highlight w:val="none"/>
        </w:rPr>
        <w:t>当招标文件的澄清、修改、补充等在同一内容的表述不一致时，</w:t>
      </w:r>
      <w:r>
        <w:rPr>
          <w:rFonts w:hint="eastAsia" w:ascii="宋体" w:hAnsi="宋体" w:cs="宋体"/>
          <w:sz w:val="24"/>
          <w:szCs w:val="24"/>
          <w:highlight w:val="none"/>
          <w:u w:val="single"/>
        </w:rPr>
        <w:t>以最后发出的文件为准</w:t>
      </w:r>
      <w:r>
        <w:rPr>
          <w:rFonts w:hint="eastAsia" w:ascii="宋体" w:hAnsi="宋体" w:cs="宋体"/>
          <w:sz w:val="24"/>
          <w:szCs w:val="24"/>
          <w:highlight w:val="none"/>
        </w:rPr>
        <w:t>。</w:t>
      </w:r>
    </w:p>
    <w:p w14:paraId="071A88E7">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条款号：11               修改类型：修改</w:t>
      </w:r>
    </w:p>
    <w:p w14:paraId="2002C203">
      <w:pPr>
        <w:spacing w:line="360" w:lineRule="auto"/>
        <w:ind w:firstLine="482" w:firstLineChars="200"/>
        <w:rPr>
          <w:rFonts w:ascii="宋体" w:hAnsi="宋体" w:cs="宋体"/>
          <w:bCs/>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11．投标文件的组成</w:t>
      </w:r>
    </w:p>
    <w:p w14:paraId="24D9BA7E">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11.1 投标文件由技术部分（含资格审查文件）和经济部分二部分投标文件组成。</w:t>
      </w:r>
    </w:p>
    <w:p w14:paraId="4FD43F9A">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11.2投标文件技术标部分主要包括下列内容：</w:t>
      </w:r>
    </w:p>
    <w:p w14:paraId="1C98C9E5">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11.2.1 技术投标文件（按招标文件的要求填写）；</w:t>
      </w:r>
    </w:p>
    <w:p w14:paraId="2C860C97">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11.2.2 资格审查文件：</w:t>
      </w:r>
    </w:p>
    <w:p w14:paraId="2D9DD1C0">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 xml:space="preserve">（1）投标人声明； </w:t>
      </w:r>
    </w:p>
    <w:p w14:paraId="1A8484E0">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（2）法定代表人证明书、法定代表人签字或盖章的本投标文件授权委托证明书；</w:t>
      </w:r>
    </w:p>
    <w:p w14:paraId="68EA3BD8">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（3）企业营业执照（取自平台内上传件）；</w:t>
      </w:r>
    </w:p>
    <w:p w14:paraId="7D06CFB1">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（4）企业资质证书（取自平台内上传件）；</w:t>
      </w:r>
    </w:p>
    <w:p w14:paraId="095AADAB">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（5）建筑施工企业安全生产许可证（取自平台内上传件）；</w:t>
      </w:r>
    </w:p>
    <w:p w14:paraId="76C5300A">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（6）项目负责人（按网上投标登记时选择拟投标的项目负责人）</w:t>
      </w:r>
    </w:p>
    <w:p w14:paraId="05D0F54F">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（7）专职安全员（按网上投标登记时选择拟投标的专职安全员）</w:t>
      </w:r>
    </w:p>
    <w:p w14:paraId="3C5F8CF9">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（8）拟委托技术负责人的相关证书、资料（具体要求由招标人明确）</w:t>
      </w:r>
    </w:p>
    <w:p w14:paraId="38B00BEB">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 xml:space="preserve">（9）拟委派项目负责人的建造师注册证书（取自平台内上传件）；  </w:t>
      </w:r>
    </w:p>
    <w:p w14:paraId="54C5F995">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（10）项目负责人安全生产考核合格证明或在有效期内的安全考核合格证书（B类）或建筑施工企业项目负责人安全生产考核合格证书（取自平台内上传件）；</w:t>
      </w:r>
    </w:p>
    <w:p w14:paraId="4A04A058">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（11）专职安全员须具有在有效期内的安全考核合格证书（C类）或建筑施工企业专职安全生产管理人员安全生产考核合格证书（取自平台内上传件）；</w:t>
      </w:r>
    </w:p>
    <w:p w14:paraId="2E883A4B">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（12）用于资格审查的业绩（设置业绩要求时选择此项，投标人须提供类似工程业绩的项目名称及项目编号，具体格式由招标人自定）；</w:t>
      </w:r>
    </w:p>
    <w:p w14:paraId="3B311F6C">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（13）资格审查前，投标人须在广州市住房和城乡建设局建立企业信用档案，拟担任本工程项目负责人、专职安全员须是本企业信用档案中的在册人员。</w:t>
      </w:r>
    </w:p>
    <w:p w14:paraId="668F3358">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1EB1B141">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21E9CEE0">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11.2.3项目管理机构配备。</w:t>
      </w:r>
    </w:p>
    <w:p w14:paraId="21B22D0F">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（1）投标人应列出该项目工程的施工组织机构构成和画出机构框架图及其负责人；</w:t>
      </w:r>
    </w:p>
    <w:p w14:paraId="4B776F71">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（2）投标人应详细列出该施工组织机构中主要成员的名单、简历资料、职务职称和在本项目中拟担任的职务等资料，并附上有关证明材料扫描件；</w:t>
      </w:r>
    </w:p>
    <w:p w14:paraId="3FFB1778">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（3）其他辅助说明资料。</w:t>
      </w:r>
    </w:p>
    <w:p w14:paraId="1EC03322">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11.2.4投标人在广州市可使用适合本工程的机械设备（附：机械设备为自有或租赁的说明；及承诺机械设备如属于租赁的，其租赁是不属于重复租赁）。</w:t>
      </w:r>
    </w:p>
    <w:p w14:paraId="4E765F57">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11.2.5施工组织设计或施工方案。（投标人在编制施工组织设计或施工方案时应按照招标人提出的施工现场建筑垃圾源头减量的具体要求以及建筑垃圾综合利用产品的使用要求提供相应措施。）</w:t>
      </w:r>
    </w:p>
    <w:p w14:paraId="2E346B17">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11.2.6按照招标文件要求填写的《参与编制技术标投标文件人员名单》。</w:t>
      </w:r>
    </w:p>
    <w:p w14:paraId="2BFD2D12">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11.3 经济部分投标文件主要包括下列内容：</w:t>
      </w:r>
    </w:p>
    <w:p w14:paraId="2AB6CB9B">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11.3.1 经济投标文件（按招标文件的要求填写）。</w:t>
      </w:r>
    </w:p>
    <w:p w14:paraId="41ADB866">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4087F8A5">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（1）投标总价封面、扉页；</w:t>
      </w:r>
    </w:p>
    <w:p w14:paraId="3B5AB8BE">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（2）总说明</w:t>
      </w:r>
    </w:p>
    <w:p w14:paraId="226E32F5">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（3）工程项目投标报价汇总表；</w:t>
      </w:r>
    </w:p>
    <w:p w14:paraId="78A5A3FD">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（4）单项工程投标报价汇总表；</w:t>
      </w:r>
    </w:p>
    <w:p w14:paraId="05910997">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（5）单位工程投标报价汇总表；</w:t>
      </w:r>
    </w:p>
    <w:p w14:paraId="28298FE4">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（6）分部分项工程清单与计价表；</w:t>
      </w:r>
    </w:p>
    <w:p w14:paraId="5D81F3D8">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（7）单价措施项目清单与计价表；</w:t>
      </w:r>
    </w:p>
    <w:p w14:paraId="5D749363">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（8）总价措施项目清单与计价表；</w:t>
      </w:r>
    </w:p>
    <w:p w14:paraId="5C4728B6">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（9）综合单价分析表；</w:t>
      </w:r>
    </w:p>
    <w:p w14:paraId="30F1AF9A">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（10）其他项目清单与计价汇总表；</w:t>
      </w:r>
    </w:p>
    <w:p w14:paraId="42EA667C">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（11）暂列金额明细表；</w:t>
      </w:r>
    </w:p>
    <w:p w14:paraId="356A7E16">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（12）材料（工程设备）暂估价明细表；</w:t>
      </w:r>
    </w:p>
    <w:p w14:paraId="5173E011">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（13）专业工程暂估价明细表；</w:t>
      </w:r>
    </w:p>
    <w:p w14:paraId="6567D05A">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（14）计日工表；</w:t>
      </w:r>
    </w:p>
    <w:p w14:paraId="5AB10747">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（15）总承包服务计价表；</w:t>
      </w:r>
    </w:p>
    <w:p w14:paraId="54710EED">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（16）规费和税金项目计价表；</w:t>
      </w:r>
    </w:p>
    <w:p w14:paraId="105675AA">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（17）人工、主要材料和设备一览表</w:t>
      </w:r>
    </w:p>
    <w:p w14:paraId="5FECACE2">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11.3.3按照招标文件要求填写的《参与编制经济标投标文件人员名单》。</w:t>
      </w:r>
    </w:p>
    <w:p w14:paraId="15B147CD">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11.3.4若投标人的投标报价低于工程成本警戒价的，投标人还须提供详细的施工组织设计、单价、措施性费用、单价分析表、主要材料价格表、投标人成本分析供评标委员会评审。</w:t>
      </w:r>
    </w:p>
    <w:p w14:paraId="4D1C33F3">
      <w:pPr>
        <w:spacing w:line="360" w:lineRule="auto"/>
        <w:ind w:firstLine="482" w:firstLineChars="200"/>
        <w:rPr>
          <w:rFonts w:ascii="宋体" w:hAnsi="宋体" w:cs="宋体"/>
          <w:bCs/>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11．投标文件的组成</w:t>
      </w:r>
    </w:p>
    <w:p w14:paraId="4E01DF1F">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11.1 投标文件由评标部分和定标部分组成。其中评标部分由技术部分（含资格审查）和经济部分二部分投标文件组成。</w:t>
      </w:r>
    </w:p>
    <w:p w14:paraId="38D98D0B">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11.2投标文件技术标（含资格审查）部分主要包括下列内容：</w:t>
      </w:r>
    </w:p>
    <w:p w14:paraId="0D049E3D">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11.2.1广州建设工程施工招标投标书（按招标文件的要求填写）；</w:t>
      </w:r>
    </w:p>
    <w:p w14:paraId="05374954">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11.2.2资格审查文件：</w:t>
      </w:r>
    </w:p>
    <w:p w14:paraId="3504D3B6">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 xml:space="preserve">（1）投标人声明（见招标公告附件一）； </w:t>
      </w:r>
    </w:p>
    <w:p w14:paraId="153ACFCD">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（2）法定代表人证明书、法定代表人签字或盖章的本投标文件授权委托证明书（见本招标文件第四章“技术标投标文件格式”）；</w:t>
      </w:r>
    </w:p>
    <w:p w14:paraId="0C42A76B">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（3）企业营业执照（取自广州市住建行业信用管理平台内上传件）；</w:t>
      </w:r>
    </w:p>
    <w:p w14:paraId="741D7355">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（4）企业资质证书（取自广州市住建行业信用管理平台内上传件）；</w:t>
      </w:r>
    </w:p>
    <w:p w14:paraId="28DE7E50">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（5）建筑施工企业安全生产许可证（取自广州市住建行业信用管理平台内上传件）；</w:t>
      </w:r>
    </w:p>
    <w:p w14:paraId="7AA09568">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（6）项目负责人及建造师证书（按网上投标登记时选择拟投标的项目负责人）；</w:t>
      </w:r>
    </w:p>
    <w:p w14:paraId="7D90A885">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（7）专职安全员（按网上投标登记时选择拟投标的专职安全员）；</w:t>
      </w:r>
    </w:p>
    <w:p w14:paraId="319DEC54">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（8）拟委托技术负责人的职称证书（按招标公告要求，提交扫描件）；</w:t>
      </w:r>
    </w:p>
    <w:p w14:paraId="12802FA8">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（9）拟委派项目负责人的建造师注册证书（取自平台内上传件）；</w:t>
      </w:r>
    </w:p>
    <w:p w14:paraId="5AB0EB0A">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（10）项目负责人安全生产考核合格证明或在有效期内的安全培训合格证书（B类）或建筑施工企业项目负责人安全生产考核合格证书（取自平台内上传件）；</w:t>
      </w:r>
    </w:p>
    <w:p w14:paraId="5035C283">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（11）专职安全员须具有安全生产考核合格证（C类）或建筑施工企业专职安全生产管理人员安全生产考核合格证书（C3）（取自平台内上传件）；</w:t>
      </w:r>
    </w:p>
    <w:p w14:paraId="3973FA4D">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12）资格审查前，投标人须在广州市住房和城乡建设局建立企业信用档案及拟担任本工程项目负责人、专职安全员须是本企业信用档案中的在册人员。企业信用档案取自投标截止时间投标人在平台内的信息，投标人无需提交相关资料，若招标人延长递交投标文件截止时间，信用档案信息的评审时点也相应延长；</w:t>
      </w:r>
    </w:p>
    <w:p w14:paraId="3156263A">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（13）投标人认为应提交的其他资料。</w:t>
      </w:r>
    </w:p>
    <w:p w14:paraId="51055922">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11.2.3《投标函》（按招标文件的要求填写）。</w:t>
      </w:r>
    </w:p>
    <w:p w14:paraId="553953ED">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11.2.4《投入主要人员汇总表》、《主要人员简历表》（按招标文件的要求填写）。</w:t>
      </w:r>
    </w:p>
    <w:p w14:paraId="13559E7E">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11.2.5按照招标文件《技术标详细审查评分表》提供的证明材料（招标文件有规定格式的，需按招标文件格式提供，无格式要求的，格式自拟）。</w:t>
      </w:r>
    </w:p>
    <w:p w14:paraId="56ADF0C2">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11.2.6《承诺书》（按招标文件的要求填写）。</w:t>
      </w:r>
    </w:p>
    <w:p w14:paraId="69FA2A06">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11.2.7《危险性较大的分部分项工程清单及超过一定规模的危险性较大的分部分项工程清单》（按招标文件的要求填写）。</w:t>
      </w:r>
    </w:p>
    <w:p w14:paraId="3D2B296E">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11.2.8施工组织设计（格式自拟）。</w:t>
      </w:r>
    </w:p>
    <w:p w14:paraId="3BE14777">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11.2.9《参与编制技术标投标文件人员名单》（按招标文件的要求填写）。</w:t>
      </w:r>
    </w:p>
    <w:p w14:paraId="4C7F664A">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11.3投标文件经济标部分主要包括下列内容：</w:t>
      </w:r>
    </w:p>
    <w:p w14:paraId="4E83F85A">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11.3.1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p>
    <w:p w14:paraId="37DB7BDF">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（1）投标报价说明；</w:t>
      </w:r>
    </w:p>
    <w:p w14:paraId="7A2BF86B">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 xml:space="preserve">（2）工程量清单报价表； </w:t>
      </w:r>
    </w:p>
    <w:p w14:paraId="03E61BFB">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（3）综合单价分析表。</w:t>
      </w:r>
    </w:p>
    <w:p w14:paraId="2DCC3072">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11.3.2按照招标文件要求填写的《参与编制经济标投标文件人员名单》。</w:t>
      </w:r>
    </w:p>
    <w:p w14:paraId="0D6B4B1A">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11.3.3对投标文件编制的承诺。</w:t>
      </w:r>
    </w:p>
    <w:p w14:paraId="682CD512">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11.3.4若投标人的投标报价低于工程成本警戒价的，投标人还须提供详细的施工组织设计、单价、措施性费用、单价分析表、主要材料价格表、投标人成本分析供评标委员会评审。</w:t>
      </w:r>
    </w:p>
    <w:p w14:paraId="1AF70F53">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11.3.5投标人认为应提供的其他资料。</w:t>
      </w:r>
    </w:p>
    <w:p w14:paraId="13139954">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11.4投标文件定标部分（定标文件）以投标文件的技术部分（含资格审查）和经济部分为准，投标人不须重复提供。</w:t>
      </w:r>
    </w:p>
    <w:p w14:paraId="71EDEB80">
      <w:pPr>
        <w:pBdr>
          <w:bottom w:val="single" w:color="auto" w:sz="6" w:space="1"/>
        </w:pBd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u w:val="single"/>
        </w:rPr>
        <w:t>注：定标文件的递交时间和形式由投标人按照投标须知前附表第18项所规定的时间及本须知第18条的相关要求执行。</w:t>
      </w:r>
    </w:p>
    <w:p w14:paraId="4F709259">
      <w:pPr>
        <w:tabs>
          <w:tab w:val="left" w:pos="1125"/>
        </w:tabs>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条款号：12.1             修改类型：修改</w:t>
      </w:r>
    </w:p>
    <w:p w14:paraId="2CAB3C1F">
      <w:pPr>
        <w:pBdr>
          <w:bottom w:val="single" w:color="auto" w:sz="6" w:space="1"/>
        </w:pBdr>
        <w:tabs>
          <w:tab w:val="left" w:pos="1125"/>
        </w:tabs>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12.1</w:t>
      </w:r>
      <w:r>
        <w:rPr>
          <w:rFonts w:hint="eastAsia" w:ascii="宋体" w:hAnsi="宋体" w:cs="宋体"/>
          <w:sz w:val="24"/>
          <w:szCs w:val="24"/>
          <w:highlight w:val="none"/>
        </w:rPr>
        <w:t>投标文件包括本须知第11条中规定的内容，投标人提交的投标文件应当使用招标文件所提供的投标文件全部格式（表格可以按同样格式扩展）。</w:t>
      </w:r>
    </w:p>
    <w:p w14:paraId="402E384B">
      <w:pPr>
        <w:pBdr>
          <w:bottom w:val="single" w:color="auto" w:sz="6" w:space="1"/>
        </w:pBdr>
        <w:tabs>
          <w:tab w:val="left" w:pos="1125"/>
        </w:tabs>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12.1</w:t>
      </w:r>
      <w:r>
        <w:rPr>
          <w:rFonts w:hint="eastAsia" w:ascii="宋体" w:hAnsi="宋体" w:cs="宋体"/>
          <w:sz w:val="24"/>
          <w:szCs w:val="24"/>
          <w:highlight w:val="none"/>
        </w:rPr>
        <w:t>投标文件包括本须知第11条中规定的内容</w:t>
      </w:r>
      <w:r>
        <w:rPr>
          <w:rFonts w:hint="eastAsia" w:ascii="宋体" w:hAnsi="宋体" w:cs="宋体"/>
          <w:sz w:val="24"/>
          <w:szCs w:val="24"/>
          <w:highlight w:val="none"/>
          <w:u w:val="single"/>
        </w:rPr>
        <w:t>，投标文件格式按招标文件第四章《投标文件格式》。其中：技术标格式二、格式三、格式七、格式八和经济标格式二、格式四、格式五必须按招标文件规定的格式进行编制外，其余格式仅供参考。</w:t>
      </w:r>
    </w:p>
    <w:p w14:paraId="48327694">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12.2</w:t>
      </w:r>
      <w:r>
        <w:rPr>
          <w:rFonts w:hint="eastAsia" w:ascii="宋体" w:hAnsi="宋体" w:cs="宋体"/>
          <w:b/>
          <w:sz w:val="24"/>
          <w:szCs w:val="24"/>
          <w:highlight w:val="none"/>
        </w:rPr>
        <w:t xml:space="preserve">             修改类型：修改</w:t>
      </w:r>
    </w:p>
    <w:p w14:paraId="52FBE3BB">
      <w:pPr>
        <w:spacing w:line="360" w:lineRule="auto"/>
        <w:ind w:firstLine="482" w:firstLineChars="200"/>
        <w:rPr>
          <w:rFonts w:ascii="宋体" w:hAnsi="宋体" w:cs="宋体"/>
          <w:kern w:val="0"/>
          <w:sz w:val="24"/>
          <w:szCs w:val="24"/>
          <w:highlight w:val="none"/>
        </w:rPr>
      </w:pPr>
      <w:r>
        <w:rPr>
          <w:rFonts w:hint="eastAsia" w:ascii="宋体" w:hAnsi="宋体" w:cs="宋体"/>
          <w:b/>
          <w:kern w:val="0"/>
          <w:sz w:val="24"/>
          <w:szCs w:val="24"/>
          <w:highlight w:val="none"/>
        </w:rPr>
        <w:t>原文：</w:t>
      </w:r>
      <w:r>
        <w:rPr>
          <w:rFonts w:hint="eastAsia" w:ascii="宋体" w:hAnsi="宋体" w:cs="宋体"/>
          <w:bCs/>
          <w:kern w:val="0"/>
          <w:sz w:val="24"/>
          <w:szCs w:val="24"/>
          <w:highlight w:val="none"/>
        </w:rPr>
        <w:t>12.2</w:t>
      </w:r>
      <w:r>
        <w:rPr>
          <w:rFonts w:hint="eastAsia" w:ascii="宋体" w:hAnsi="宋体" w:cs="宋体"/>
          <w:bCs/>
          <w:sz w:val="24"/>
          <w:szCs w:val="24"/>
          <w:highlight w:val="none"/>
        </w:rPr>
        <w:t>投</w:t>
      </w:r>
      <w:r>
        <w:rPr>
          <w:rFonts w:hint="eastAsia" w:ascii="宋体" w:hAnsi="宋体" w:cs="宋体"/>
          <w:sz w:val="24"/>
          <w:szCs w:val="24"/>
          <w:highlight w:val="none"/>
        </w:rPr>
        <w:t>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szCs w:val="24"/>
          <w:highlight w:val="none"/>
          <w:u w:val="single"/>
        </w:rPr>
        <w:t xml:space="preserve">            </w:t>
      </w:r>
      <w:r>
        <w:rPr>
          <w:rFonts w:hint="eastAsia" w:ascii="宋体" w:hAnsi="宋体" w:cs="宋体"/>
          <w:kern w:val="0"/>
          <w:sz w:val="24"/>
          <w:szCs w:val="24"/>
          <w:highlight w:val="none"/>
        </w:rPr>
        <w:t>。</w:t>
      </w:r>
    </w:p>
    <w:p w14:paraId="245C6037">
      <w:pPr>
        <w:pBdr>
          <w:bottom w:val="single" w:color="auto" w:sz="6" w:space="1"/>
        </w:pBd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12.2投</w:t>
      </w:r>
      <w:r>
        <w:rPr>
          <w:rFonts w:hint="eastAsia" w:ascii="宋体" w:hAnsi="宋体" w:cs="宋体"/>
          <w:sz w:val="24"/>
          <w:szCs w:val="24"/>
          <w:highlight w:val="none"/>
        </w:rPr>
        <w:t>标文件全部采用电子文档，投标文件所附证书证件均为</w:t>
      </w:r>
      <w:r>
        <w:rPr>
          <w:rFonts w:hint="eastAsia" w:ascii="宋体" w:hAnsi="宋体" w:cs="宋体"/>
          <w:sz w:val="24"/>
          <w:szCs w:val="24"/>
          <w:highlight w:val="none"/>
          <w:u w:val="single"/>
        </w:rPr>
        <w:t>清晰</w:t>
      </w:r>
      <w:r>
        <w:rPr>
          <w:rFonts w:hint="eastAsia" w:ascii="宋体" w:hAnsi="宋体" w:cs="宋体"/>
          <w:sz w:val="24"/>
          <w:szCs w:val="24"/>
          <w:highlight w:val="none"/>
        </w:rPr>
        <w:t>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szCs w:val="24"/>
          <w:highlight w:val="none"/>
          <w:u w:val="single"/>
          <w:lang w:bidi="ar"/>
        </w:rPr>
        <w:t>广州交易集团有限公司（广州公共资源交易中心）网站</w:t>
      </w:r>
      <w:r>
        <w:rPr>
          <w:rFonts w:hint="eastAsia" w:ascii="宋体" w:hAnsi="宋体" w:cs="宋体"/>
          <w:sz w:val="24"/>
          <w:szCs w:val="24"/>
          <w:highlight w:val="none"/>
          <w:u w:val="single"/>
        </w:rPr>
        <w:t>。</w:t>
      </w:r>
    </w:p>
    <w:p w14:paraId="06E3EB4F">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条款号：12.3             修改类型：修改</w:t>
      </w:r>
    </w:p>
    <w:p w14:paraId="70C6FA8E">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12.3 投标文件应按照交易平台关于全流程电子化项目的相关指南进行编制，详见：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1C871705">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12.3 投标文件应按照交易平台关于全流程电子化项目的相关指南进行编制，详见：</w:t>
      </w:r>
      <w:r>
        <w:rPr>
          <w:rFonts w:hint="eastAsia" w:ascii="宋体" w:hAnsi="宋体" w:cs="宋体"/>
          <w:sz w:val="24"/>
          <w:szCs w:val="24"/>
          <w:highlight w:val="none"/>
          <w:u w:val="single"/>
          <w:lang w:bidi="ar"/>
        </w:rPr>
        <w:t>广州交易集团有限公司（广州公共资源交易中心）网站</w:t>
      </w:r>
      <w:r>
        <w:rPr>
          <w:rFonts w:hint="eastAsia" w:ascii="宋体" w:hAnsi="宋体" w:cs="宋体"/>
          <w:sz w:val="24"/>
          <w:szCs w:val="24"/>
          <w:highlight w:val="none"/>
        </w:rPr>
        <w:t>。</w:t>
      </w:r>
    </w:p>
    <w:p w14:paraId="058AD0FE">
      <w:pPr>
        <w:pBdr>
          <w:top w:val="single" w:color="auto" w:sz="4" w:space="1"/>
        </w:pBd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条款号：13.1             修改类型：修改</w:t>
      </w:r>
    </w:p>
    <w:p w14:paraId="39806043">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13.1 本工程的投标报价采用投标须知前附表第12项所规定的方式。投标报价（含单价及总价）精确到“分”。</w:t>
      </w:r>
    </w:p>
    <w:p w14:paraId="0CF9C8D4">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13.1 本工程的投标报价采用投标须知前附表第12项所规定的方式。</w:t>
      </w:r>
      <w:r>
        <w:rPr>
          <w:rFonts w:hint="eastAsia" w:ascii="宋体" w:hAnsi="宋体" w:cs="宋体"/>
          <w:sz w:val="24"/>
          <w:szCs w:val="24"/>
          <w:highlight w:val="none"/>
          <w:u w:val="single"/>
        </w:rPr>
        <w:t>投标文件中的大写金额和小写金额不一致的，以大写金额为准。</w:t>
      </w:r>
      <w:r>
        <w:rPr>
          <w:rFonts w:hint="eastAsia" w:ascii="宋体" w:hAnsi="宋体" w:cs="宋体"/>
          <w:sz w:val="24"/>
          <w:szCs w:val="24"/>
          <w:highlight w:val="none"/>
        </w:rPr>
        <w:t>投标报价（含单价及总价）精确到“分”。</w:t>
      </w:r>
    </w:p>
    <w:p w14:paraId="659A225D">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条款号：13.3             修改类型：修改</w:t>
      </w:r>
    </w:p>
    <w:p w14:paraId="65253036">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13.3投</w:t>
      </w:r>
      <w:r>
        <w:rPr>
          <w:rFonts w:hint="eastAsia" w:ascii="宋体" w:hAnsi="宋体" w:cs="宋体"/>
          <w:sz w:val="24"/>
          <w:szCs w:val="24"/>
          <w:highlight w:val="none"/>
        </w:rPr>
        <w:t>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EB76D12">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13.3投</w:t>
      </w:r>
      <w:r>
        <w:rPr>
          <w:rFonts w:hint="eastAsia" w:ascii="宋体" w:hAnsi="宋体" w:cs="宋体"/>
          <w:sz w:val="24"/>
          <w:szCs w:val="24"/>
          <w:highlight w:val="none"/>
        </w:rPr>
        <w:t>标人的投标报价，应是按照投标须知前附表第8项的工期要求，在投标须知前附表第3项的建设地点，完成投标须知前附表第7项的招标范围内已由招标人</w:t>
      </w:r>
      <w:r>
        <w:rPr>
          <w:rFonts w:hint="eastAsia" w:ascii="宋体" w:hAnsi="宋体" w:cs="宋体"/>
          <w:sz w:val="24"/>
          <w:szCs w:val="24"/>
          <w:highlight w:val="none"/>
          <w:u w:val="single"/>
        </w:rPr>
        <w:t>提供的招标图纸（包括有关于本项目招标的相关资料）及</w:t>
      </w:r>
      <w:r>
        <w:rPr>
          <w:rFonts w:hint="eastAsia" w:ascii="宋体" w:hAnsi="宋体" w:cs="宋体"/>
          <w:sz w:val="24"/>
          <w:szCs w:val="24"/>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DE02321">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13.4</w:t>
      </w:r>
      <w:r>
        <w:rPr>
          <w:rFonts w:hint="eastAsia" w:ascii="宋体" w:hAnsi="宋体" w:cs="宋体"/>
          <w:b/>
          <w:sz w:val="24"/>
          <w:szCs w:val="24"/>
          <w:highlight w:val="none"/>
        </w:rPr>
        <w:t xml:space="preserve">             修改类型：修改</w:t>
      </w:r>
    </w:p>
    <w:p w14:paraId="5AB08FCA">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2891A50">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s="宋体"/>
          <w:sz w:val="24"/>
          <w:szCs w:val="24"/>
          <w:highlight w:val="none"/>
          <w:u w:val="single"/>
        </w:rPr>
        <w:t>按合同条款相关约定调整。</w:t>
      </w:r>
    </w:p>
    <w:p w14:paraId="20C3586A">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13.5</w:t>
      </w:r>
      <w:r>
        <w:rPr>
          <w:rFonts w:hint="eastAsia" w:ascii="宋体" w:hAnsi="宋体" w:cs="宋体"/>
          <w:b/>
          <w:sz w:val="24"/>
          <w:szCs w:val="24"/>
          <w:highlight w:val="none"/>
        </w:rPr>
        <w:t xml:space="preserve">             修改类型：修改</w:t>
      </w:r>
    </w:p>
    <w:p w14:paraId="01239CD3">
      <w:pPr>
        <w:pBdr>
          <w:bottom w:val="single" w:color="auto" w:sz="6" w:space="1"/>
        </w:pBdr>
        <w:spacing w:line="360" w:lineRule="auto"/>
        <w:ind w:firstLine="482" w:firstLineChars="200"/>
        <w:rPr>
          <w:rFonts w:ascii="宋体" w:hAnsi="宋体" w:cs="宋体"/>
          <w:kern w:val="0"/>
          <w:sz w:val="24"/>
          <w:szCs w:val="24"/>
          <w:highlight w:val="none"/>
        </w:rPr>
      </w:pPr>
      <w:r>
        <w:rPr>
          <w:rFonts w:hint="eastAsia" w:ascii="宋体" w:hAnsi="宋体" w:cs="宋体"/>
          <w:b/>
          <w:kern w:val="0"/>
          <w:sz w:val="24"/>
          <w:szCs w:val="24"/>
          <w:highlight w:val="none"/>
        </w:rPr>
        <w:t>原文：</w:t>
      </w:r>
      <w:r>
        <w:rPr>
          <w:rFonts w:hint="eastAsia" w:ascii="宋体" w:hAnsi="宋体" w:cs="宋体"/>
          <w:kern w:val="0"/>
          <w:sz w:val="24"/>
          <w:szCs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4E43F49D">
      <w:pPr>
        <w:pBdr>
          <w:bottom w:val="single" w:color="auto" w:sz="6" w:space="1"/>
        </w:pBd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13.5.1中标的投标文件工程量清单中已有相同项目的适用综合单价，则沿用；</w:t>
      </w:r>
    </w:p>
    <w:p w14:paraId="200BFA17">
      <w:pPr>
        <w:pBdr>
          <w:bottom w:val="single" w:color="auto" w:sz="6" w:space="1"/>
        </w:pBd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0685F523">
      <w:pPr>
        <w:pBdr>
          <w:bottom w:val="single" w:color="auto" w:sz="6" w:space="1"/>
        </w:pBd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5C19FCB5">
      <w:pPr>
        <w:pBdr>
          <w:bottom w:val="single" w:color="auto" w:sz="6" w:space="1"/>
        </w:pBd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13.5.4 如相关定额没有相应子目的，其计价方式由招标人在本招标文件第三章中另行规定。未规定的，中标后双方协商约定。</w:t>
      </w:r>
    </w:p>
    <w:p w14:paraId="6C00800C">
      <w:pPr>
        <w:pBdr>
          <w:bottom w:val="single" w:color="auto" w:sz="6" w:space="1"/>
        </w:pBdr>
        <w:spacing w:line="360" w:lineRule="auto"/>
        <w:ind w:firstLine="482" w:firstLineChars="200"/>
        <w:rPr>
          <w:rFonts w:ascii="宋体" w:hAnsi="宋体" w:cs="宋体"/>
          <w:kern w:val="0"/>
          <w:sz w:val="24"/>
          <w:szCs w:val="24"/>
          <w:highlight w:val="none"/>
          <w:u w:val="single"/>
        </w:rPr>
      </w:pPr>
      <w:r>
        <w:rPr>
          <w:rFonts w:hint="eastAsia" w:ascii="宋体" w:hAnsi="宋体" w:cs="宋体"/>
          <w:b/>
          <w:kern w:val="0"/>
          <w:sz w:val="24"/>
          <w:szCs w:val="24"/>
          <w:highlight w:val="none"/>
        </w:rPr>
        <w:t>现文：</w:t>
      </w:r>
      <w:r>
        <w:rPr>
          <w:rFonts w:hint="eastAsia" w:ascii="宋体" w:hAnsi="宋体" w:cs="宋体"/>
          <w:bCs/>
          <w:kern w:val="0"/>
          <w:sz w:val="24"/>
          <w:szCs w:val="24"/>
          <w:highlight w:val="none"/>
          <w:u w:val="single"/>
        </w:rPr>
        <w:t>13.5变更结算方式按施工合同相关规定执行。</w:t>
      </w:r>
    </w:p>
    <w:p w14:paraId="6A3D3375">
      <w:pPr>
        <w:pBdr>
          <w:top w:val="single" w:color="auto" w:sz="4" w:space="1"/>
        </w:pBd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lang w:bidi="ar"/>
        </w:rPr>
        <w:t>条款号：13.6.2-13.6.6</w:t>
      </w:r>
      <w:r>
        <w:rPr>
          <w:rFonts w:hint="eastAsia" w:ascii="宋体" w:hAnsi="宋体" w:cs="宋体"/>
          <w:b/>
          <w:sz w:val="24"/>
          <w:szCs w:val="24"/>
          <w:highlight w:val="none"/>
        </w:rPr>
        <w:t xml:space="preserve">             </w:t>
      </w:r>
      <w:r>
        <w:rPr>
          <w:rFonts w:hint="eastAsia" w:ascii="宋体" w:hAnsi="宋体" w:cs="宋体"/>
          <w:b/>
          <w:sz w:val="24"/>
          <w:szCs w:val="24"/>
          <w:highlight w:val="none"/>
          <w:lang w:bidi="ar"/>
        </w:rPr>
        <w:t>修改类型：修改</w:t>
      </w:r>
    </w:p>
    <w:p w14:paraId="48EC0D4F">
      <w:pPr>
        <w:pBdr>
          <w:bottom w:val="single" w:color="auto" w:sz="6" w:space="1"/>
        </w:pBdr>
        <w:spacing w:line="360" w:lineRule="auto"/>
        <w:ind w:firstLine="482" w:firstLineChars="200"/>
        <w:rPr>
          <w:rFonts w:ascii="宋体" w:hAnsi="宋体" w:cs="宋体"/>
          <w:sz w:val="24"/>
          <w:szCs w:val="24"/>
          <w:highlight w:val="none"/>
          <w:lang w:bidi="ar"/>
        </w:rPr>
      </w:pPr>
      <w:r>
        <w:rPr>
          <w:rFonts w:hint="eastAsia" w:ascii="宋体" w:hAnsi="宋体" w:cs="宋体"/>
          <w:b/>
          <w:sz w:val="24"/>
          <w:szCs w:val="24"/>
          <w:highlight w:val="none"/>
          <w:lang w:bidi="ar"/>
        </w:rPr>
        <w:t>原文：</w:t>
      </w:r>
      <w:r>
        <w:rPr>
          <w:rFonts w:hint="eastAsia" w:ascii="宋体" w:hAnsi="宋体" w:cs="宋体"/>
          <w:sz w:val="24"/>
          <w:szCs w:val="24"/>
          <w:highlight w:val="none"/>
          <w:lang w:bidi="ar"/>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22C76891">
      <w:pPr>
        <w:pBdr>
          <w:bottom w:val="single" w:color="auto" w:sz="6" w:space="1"/>
        </w:pBd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5703467C">
      <w:pPr>
        <w:pBdr>
          <w:bottom w:val="single" w:color="auto" w:sz="6" w:space="1"/>
        </w:pBd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33B3EBA6">
      <w:pPr>
        <w:pBdr>
          <w:bottom w:val="single" w:color="auto" w:sz="6" w:space="1"/>
        </w:pBd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186408AA">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13.6.6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50AD0E90">
      <w:pPr>
        <w:pBdr>
          <w:bottom w:val="single" w:color="auto" w:sz="6" w:space="1"/>
        </w:pBdr>
        <w:spacing w:line="360" w:lineRule="auto"/>
        <w:ind w:firstLine="482" w:firstLineChars="200"/>
        <w:rPr>
          <w:rFonts w:ascii="宋体" w:hAnsi="宋体" w:cs="宋体"/>
          <w:sz w:val="24"/>
          <w:szCs w:val="24"/>
          <w:highlight w:val="none"/>
          <w:lang w:bidi="ar"/>
        </w:rPr>
      </w:pPr>
      <w:r>
        <w:rPr>
          <w:rFonts w:hint="eastAsia" w:ascii="宋体" w:hAnsi="宋体" w:cs="宋体"/>
          <w:b/>
          <w:sz w:val="24"/>
          <w:szCs w:val="24"/>
          <w:highlight w:val="none"/>
          <w:lang w:bidi="ar"/>
        </w:rPr>
        <w:t>现文：</w:t>
      </w:r>
      <w:r>
        <w:rPr>
          <w:rFonts w:hint="eastAsia" w:ascii="宋体" w:hAnsi="宋体" w:cs="宋体"/>
          <w:sz w:val="24"/>
          <w:szCs w:val="24"/>
          <w:highlight w:val="none"/>
          <w:lang w:bidi="ar"/>
        </w:rPr>
        <w:t>13.6.2在工程实施中，暂估价所包含的工作范围和图纸、标准深化固定后，按照工程专业、设备、材料类别等分类汇总的金额，达到法定招标范围标准的，应由招标人同中标人联合招标，确定承包人和承包价格。</w:t>
      </w:r>
    </w:p>
    <w:p w14:paraId="1A149BFB">
      <w:pPr>
        <w:pBdr>
          <w:bottom w:val="single" w:color="auto" w:sz="6" w:space="1"/>
        </w:pBd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13.6.3在工程实施中，暂估价所包含的工作范围和图纸、标准深化固定后，按照工程专业、设备、材料类别等分类汇总的金额，未达到法定招标范围标准但适用政府采购规定的，应按照政府采购规定确定承包人和承包价格。</w:t>
      </w:r>
    </w:p>
    <w:p w14:paraId="23B0B4B7">
      <w:pPr>
        <w:pBdr>
          <w:bottom w:val="single" w:color="auto" w:sz="6" w:space="1"/>
        </w:pBd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13.6.4在工程实施中，暂估价所包含的工作范围和图纸、标准深化固定后，按照工程专业、设备、材料类别等分类汇总的金额，未达到法定招标范围标准也不适用政府采购规定，</w:t>
      </w:r>
      <w:r>
        <w:rPr>
          <w:rFonts w:hint="eastAsia" w:ascii="宋体" w:hAnsi="宋体" w:cs="宋体"/>
          <w:sz w:val="24"/>
          <w:szCs w:val="24"/>
          <w:highlight w:val="none"/>
          <w:u w:val="single"/>
          <w:lang w:bidi="ar"/>
        </w:rPr>
        <w:t>经发包人同意，</w:t>
      </w:r>
      <w:r>
        <w:rPr>
          <w:rFonts w:hint="eastAsia" w:ascii="宋体" w:hAnsi="宋体" w:cs="宋体"/>
          <w:sz w:val="24"/>
          <w:szCs w:val="24"/>
          <w:highlight w:val="none"/>
          <w:lang w:bidi="ar"/>
        </w:rPr>
        <w:t>承包人有法定的承包资格的，由承包人承包，承包人无法定的承包资格但有法定的分包权的，由承包人分包，招标人同承包人结算的价格按本投标须知13.5款规定确定。</w:t>
      </w:r>
    </w:p>
    <w:p w14:paraId="4D11A3BA">
      <w:pPr>
        <w:pBdr>
          <w:bottom w:val="single" w:color="auto" w:sz="6" w:space="1"/>
        </w:pBd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13.6.5在工程实施中，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38C2E8D8">
      <w:pPr>
        <w:pBdr>
          <w:bottom w:val="single" w:color="auto" w:sz="6" w:space="1"/>
        </w:pBd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lang w:bidi="ar"/>
        </w:rPr>
        <w:t>13.6.6在工程实施中，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286B6AE1">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条款号：13.8             修改类型：修改</w:t>
      </w:r>
    </w:p>
    <w:p w14:paraId="3BF00D5C">
      <w:pPr>
        <w:pBdr>
          <w:bottom w:val="single" w:color="auto" w:sz="6" w:space="1"/>
        </w:pBd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033D512D">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w:t>
      </w:r>
    </w:p>
    <w:p w14:paraId="625FDB26">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条款号：16.              修改类型：修改</w:t>
      </w:r>
    </w:p>
    <w:p w14:paraId="12673CAB">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16.1投标人应按投标须知前附表第14项所述金额和时间递交投标保证金。招标人应当允许投标人自主选择现金、银行保函、保证保险、专业工程担保公司担保等方式缴纳投标保证金。</w:t>
      </w:r>
    </w:p>
    <w:p w14:paraId="1D8F19E8">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16.1.1 采用现金或者支票形式提交的，投标保证金须从投标人的银行基本账户转出。</w:t>
      </w:r>
    </w:p>
    <w:p w14:paraId="15E18C16">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8C7E151">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16.1.3 采用电子形式的保函、担保或保证保险提交投标保证金的，应在招标文件中明确电子递交途径。</w:t>
      </w:r>
    </w:p>
    <w:p w14:paraId="771B922D">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77C3B990">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16.3投标保证金应依据法律法规的相关规定退还。</w:t>
      </w:r>
    </w:p>
    <w:p w14:paraId="2AB2B4D6">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16.4如有下列情况之一的，招标人可以不予退还投标保证金（是否退还投标保证金由招标人在招标文件中规定）：</w:t>
      </w:r>
    </w:p>
    <w:p w14:paraId="24D04265">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16.4.1因投标人原因造成投标文件未解密的；</w:t>
      </w:r>
    </w:p>
    <w:p w14:paraId="648FEF8F">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16.4.2投标人在投标有效期内撤销投标文件；</w:t>
      </w:r>
    </w:p>
    <w:p w14:paraId="00E63D1C">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16.4.3中标人未能在规定期限内按要求提交履约担保；</w:t>
      </w:r>
    </w:p>
    <w:p w14:paraId="1BC30DD3">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16.4.4中标人未能在规定期限内签署合同协议。</w:t>
      </w:r>
    </w:p>
    <w:p w14:paraId="24F62967">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16.5投标人如存在下列情况之一的，将被拒绝在一定时期内参与招标人后续工程投标（拒绝时限需在招标文件中明确）：</w:t>
      </w:r>
    </w:p>
    <w:p w14:paraId="129F19EB">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16.5.1投标人存在16.4条款所列情形且投标人提交的保函、担保或保证保险无法兑付的；</w:t>
      </w:r>
    </w:p>
    <w:p w14:paraId="7CB1FEC2">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16.5.2采用非电子形式提交投标保证金的投标人存在16.4条款所列情形，且未按招标人要求补交银行保函、专业工程担保公司担保或保证保险原件的；</w:t>
      </w:r>
    </w:p>
    <w:p w14:paraId="53874B61">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16.5.3按招标文件要求免于提供投标保证金的投标人存在16.4条款所列情形，且未按招标人要求补交投标保证金的；</w:t>
      </w:r>
    </w:p>
    <w:p w14:paraId="0863A3E1">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16.5.3按招标文件要求免于提供投标保证金的投标人存在16.4条款所列情形的。</w:t>
      </w:r>
    </w:p>
    <w:p w14:paraId="7192A7D5">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注：16.5.3款由招标人二选一，需在招标文件中明确。</w:t>
      </w:r>
    </w:p>
    <w:p w14:paraId="223D7FF4">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16.1投标人应按投标须知前附表第14项所述金额和时间递交投标保证金。招标人应当允许投标人自主选择现金、银行保函、保证保险、专业工程担保公司担保等方式缴纳投标保证金。</w:t>
      </w:r>
    </w:p>
    <w:p w14:paraId="2C628AEF">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16.1.1 采用现金或者支票形式提交的，投标保证金须从投标人的银行基本账户转出。</w:t>
      </w:r>
    </w:p>
    <w:p w14:paraId="5B78BDC0">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214612A">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16.1.3 采用电子形式的保函、担保或保证保险提交投标保证金的，应在招标文件中明确电子递交途径。</w:t>
      </w:r>
    </w:p>
    <w:p w14:paraId="22E0701C">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1739B293">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16.3投标保证金应依据法律法规的相关规定退还。</w:t>
      </w:r>
    </w:p>
    <w:p w14:paraId="1B84610F">
      <w:pPr>
        <w:pBdr>
          <w:bottom w:val="single" w:color="auto" w:sz="6" w:space="1"/>
        </w:pBd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16.4如有下列情况之一的，招标人可以不予退还投标保证金：</w:t>
      </w:r>
    </w:p>
    <w:p w14:paraId="408C4402">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16.4.1因投标人原因造成投标文件未解密的；</w:t>
      </w:r>
    </w:p>
    <w:p w14:paraId="6019C61C">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16.4.2投标人在投标有效期内撤销投标文件；</w:t>
      </w:r>
    </w:p>
    <w:p w14:paraId="57D201A7">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16.4.3中标人未能在规定期限内按要求提交履约担保；</w:t>
      </w:r>
    </w:p>
    <w:p w14:paraId="2E964992">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16.4.4中标人未能在规定期限内签署合同协议。</w:t>
      </w:r>
    </w:p>
    <w:p w14:paraId="56914113">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16.5投标人如存在下列情况之一的，将被拒绝在</w:t>
      </w:r>
      <w:r>
        <w:rPr>
          <w:rFonts w:hint="eastAsia" w:ascii="宋体" w:hAnsi="宋体" w:cs="宋体"/>
          <w:sz w:val="24"/>
          <w:szCs w:val="24"/>
          <w:highlight w:val="none"/>
          <w:u w:val="single"/>
        </w:rPr>
        <w:t>一年内</w:t>
      </w:r>
      <w:r>
        <w:rPr>
          <w:rFonts w:hint="eastAsia" w:ascii="宋体" w:hAnsi="宋体" w:cs="宋体"/>
          <w:sz w:val="24"/>
          <w:szCs w:val="24"/>
          <w:highlight w:val="none"/>
        </w:rPr>
        <w:t>参与招标人后续工程投标（拒绝时限自招标人发出通知起计）：</w:t>
      </w:r>
    </w:p>
    <w:p w14:paraId="1D7A6A58">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16.5.1投标人存在16.4条款所列情形且投标人提交的保函、担保或保证保险无法兑付的；</w:t>
      </w:r>
    </w:p>
    <w:p w14:paraId="7C4E6FC8">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16.5.2采用非电子形式提交投标保证金的投标人存在16.4条款所列情形，且未按招标人要求补交银行保函、专业工程担保公司担保或保证保险原件的；</w:t>
      </w:r>
    </w:p>
    <w:p w14:paraId="6823463D">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条款号：17.1             修改类型：修改</w:t>
      </w:r>
    </w:p>
    <w:p w14:paraId="2C4A724B">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3F0F82CF">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szCs w:val="24"/>
          <w:highlight w:val="none"/>
          <w:u w:val="single"/>
          <w:lang w:bidi="ar"/>
        </w:rPr>
        <w:t>广州交易集团有限公司（广州公共资源交易中心）网站</w:t>
      </w:r>
      <w:r>
        <w:rPr>
          <w:rFonts w:hint="eastAsia" w:ascii="宋体" w:hAnsi="宋体" w:cs="宋体"/>
          <w:sz w:val="24"/>
          <w:szCs w:val="24"/>
          <w:highlight w:val="none"/>
        </w:rPr>
        <w:t>。</w:t>
      </w:r>
    </w:p>
    <w:p w14:paraId="511A17B0">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条款号：18.1             修改类型：修改</w:t>
      </w:r>
    </w:p>
    <w:p w14:paraId="710BA8A1">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18.1递交的电子投标文件（不含备用光盘）必须进行加密。按照交易平台关于</w:t>
      </w:r>
      <w:r>
        <w:rPr>
          <w:rFonts w:hint="eastAsia" w:ascii="宋体" w:hAnsi="宋体" w:cs="宋体"/>
          <w:sz w:val="24"/>
          <w:szCs w:val="24"/>
          <w:highlight w:val="none"/>
        </w:rPr>
        <w:t>全流程电子化项目的相关指南进行操作。详见：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675125B1">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18.1递交的电子投标文件（不含备用光盘）必须进行加密。按照交易平台关于</w:t>
      </w:r>
      <w:r>
        <w:rPr>
          <w:rFonts w:hint="eastAsia" w:ascii="宋体" w:hAnsi="宋体" w:cs="宋体"/>
          <w:sz w:val="24"/>
          <w:szCs w:val="24"/>
          <w:highlight w:val="none"/>
        </w:rPr>
        <w:t>全流程电子化项目的相关指南进行操作。详见：</w:t>
      </w:r>
      <w:r>
        <w:rPr>
          <w:rFonts w:hint="eastAsia" w:ascii="宋体" w:hAnsi="宋体" w:cs="宋体"/>
          <w:sz w:val="24"/>
          <w:szCs w:val="24"/>
          <w:highlight w:val="none"/>
          <w:u w:val="single"/>
          <w:lang w:bidi="ar"/>
        </w:rPr>
        <w:t>广州交易集团有限公司（广州公共资源交易中心）网站</w:t>
      </w:r>
      <w:r>
        <w:rPr>
          <w:rFonts w:hint="eastAsia" w:ascii="宋体" w:hAnsi="宋体" w:cs="宋体"/>
          <w:sz w:val="24"/>
          <w:szCs w:val="24"/>
          <w:highlight w:val="none"/>
        </w:rPr>
        <w:t xml:space="preserve"> 。</w:t>
      </w:r>
    </w:p>
    <w:p w14:paraId="2F1FE539">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条款号：18.2             修改类型：修改</w:t>
      </w:r>
    </w:p>
    <w:p w14:paraId="75A98116">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18.2 未按要求加密的投标文件，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bCs/>
          <w:sz w:val="24"/>
          <w:szCs w:val="24"/>
          <w:highlight w:val="none"/>
        </w:rPr>
        <w:t>将予以拒收。</w:t>
      </w:r>
    </w:p>
    <w:p w14:paraId="02CA30D7">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18.2 未按要求加密的投标文件，</w:t>
      </w:r>
      <w:r>
        <w:rPr>
          <w:rFonts w:hint="eastAsia" w:ascii="宋体" w:hAnsi="宋体" w:cs="宋体"/>
          <w:sz w:val="24"/>
          <w:szCs w:val="24"/>
          <w:highlight w:val="none"/>
          <w:u w:val="single"/>
        </w:rPr>
        <w:t xml:space="preserve"> 广州交易集团有限公司（广州公共资源交易中心） </w:t>
      </w:r>
      <w:r>
        <w:rPr>
          <w:rFonts w:hint="eastAsia" w:ascii="宋体" w:hAnsi="宋体" w:cs="宋体"/>
          <w:sz w:val="24"/>
          <w:szCs w:val="24"/>
          <w:highlight w:val="none"/>
        </w:rPr>
        <w:t>交易平台</w:t>
      </w:r>
      <w:r>
        <w:rPr>
          <w:rFonts w:hint="eastAsia" w:ascii="宋体" w:hAnsi="宋体" w:cs="宋体"/>
          <w:bCs/>
          <w:sz w:val="24"/>
          <w:szCs w:val="24"/>
          <w:highlight w:val="none"/>
        </w:rPr>
        <w:t>将予以拒收。</w:t>
      </w:r>
    </w:p>
    <w:p w14:paraId="21C067B9">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条款号：19.1             修改类型：修改</w:t>
      </w:r>
    </w:p>
    <w:p w14:paraId="6D57DFDA">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19.1投标人通过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交易平台递交电子投标文件。</w:t>
      </w:r>
    </w:p>
    <w:p w14:paraId="5F338F27">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19.1投标人通过</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交易平台递交电子投标文件。</w:t>
      </w:r>
    </w:p>
    <w:p w14:paraId="5807A6CE">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条款号：19.2             修改类型：修改</w:t>
      </w:r>
    </w:p>
    <w:p w14:paraId="38970C4C">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19.2投标人完成电子</w:t>
      </w:r>
      <w:r>
        <w:rPr>
          <w:rFonts w:hint="eastAsia" w:ascii="宋体" w:hAnsi="宋体" w:cs="宋体"/>
          <w:sz w:val="24"/>
          <w:szCs w:val="24"/>
          <w:highlight w:val="none"/>
        </w:rPr>
        <w:t>投标文件</w:t>
      </w:r>
      <w:r>
        <w:rPr>
          <w:rFonts w:hint="eastAsia" w:ascii="宋体" w:hAnsi="宋体" w:cs="宋体"/>
          <w:bCs/>
          <w:sz w:val="24"/>
          <w:szCs w:val="24"/>
          <w:highlight w:val="none"/>
        </w:rPr>
        <w:t>上传后，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交易平台即时向投标人发出递交回执通知。递交时间以递交回执通知载明的传输完成时间为准。</w:t>
      </w:r>
    </w:p>
    <w:p w14:paraId="15BF82D3">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19.2投标人完成电子</w:t>
      </w:r>
      <w:r>
        <w:rPr>
          <w:rFonts w:hint="eastAsia" w:ascii="宋体" w:hAnsi="宋体" w:cs="宋体"/>
          <w:sz w:val="24"/>
          <w:szCs w:val="24"/>
          <w:highlight w:val="none"/>
        </w:rPr>
        <w:t>投标文件</w:t>
      </w:r>
      <w:r>
        <w:rPr>
          <w:rFonts w:hint="eastAsia" w:ascii="宋体" w:hAnsi="宋体" w:cs="宋体"/>
          <w:bCs/>
          <w:sz w:val="24"/>
          <w:szCs w:val="24"/>
          <w:highlight w:val="none"/>
        </w:rPr>
        <w:t>上传后，</w:t>
      </w:r>
      <w:r>
        <w:rPr>
          <w:rFonts w:hint="eastAsia" w:ascii="宋体" w:hAnsi="宋体" w:cs="宋体"/>
          <w:sz w:val="24"/>
          <w:szCs w:val="24"/>
          <w:highlight w:val="none"/>
          <w:u w:val="single"/>
        </w:rPr>
        <w:t xml:space="preserve"> 广州交易集团有限公司（广州公共资源交易中心） </w:t>
      </w:r>
      <w:r>
        <w:rPr>
          <w:rFonts w:hint="eastAsia" w:ascii="宋体" w:hAnsi="宋体" w:cs="宋体"/>
          <w:sz w:val="24"/>
          <w:szCs w:val="24"/>
          <w:highlight w:val="none"/>
        </w:rPr>
        <w:t>交易平台即时向投标人发出递交回执通知。递交时间以递交回执通知载明的传输完成时间为准。</w:t>
      </w:r>
    </w:p>
    <w:p w14:paraId="6F0A8981">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条款号：19.3             修改类型：修改</w:t>
      </w:r>
    </w:p>
    <w:p w14:paraId="024A0431">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19.3逾期送达的电子投标文件，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交易平台将予以拒收。</w:t>
      </w:r>
    </w:p>
    <w:p w14:paraId="6C8F75AF">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19.3逾期送达的电子投标文件，</w:t>
      </w:r>
      <w:r>
        <w:rPr>
          <w:rFonts w:hint="eastAsia" w:ascii="宋体" w:hAnsi="宋体" w:cs="宋体"/>
          <w:sz w:val="24"/>
          <w:szCs w:val="24"/>
          <w:highlight w:val="none"/>
          <w:u w:val="single"/>
        </w:rPr>
        <w:t xml:space="preserve">  广州交易集团有限公司（广州公共资源交易中心） </w:t>
      </w:r>
      <w:r>
        <w:rPr>
          <w:rFonts w:hint="eastAsia" w:ascii="宋体" w:hAnsi="宋体" w:cs="宋体"/>
          <w:sz w:val="24"/>
          <w:szCs w:val="24"/>
          <w:highlight w:val="none"/>
        </w:rPr>
        <w:t>交易平台将予以拒收。</w:t>
      </w:r>
    </w:p>
    <w:p w14:paraId="56A2A905">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条款号：19.5             修改类型：修改</w:t>
      </w:r>
    </w:p>
    <w:p w14:paraId="393B0BB2">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19.5如技术标和经济标先后分别开启，</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交易平台将按招标文件规定的时间分别开启技术标和经济标。</w:t>
      </w:r>
    </w:p>
    <w:p w14:paraId="293C6E34">
      <w:pPr>
        <w:pBdr>
          <w:bottom w:val="single" w:color="auto" w:sz="6" w:space="1"/>
        </w:pBdr>
        <w:spacing w:line="360" w:lineRule="auto"/>
        <w:ind w:firstLine="482" w:firstLineChars="200"/>
        <w:rPr>
          <w:rFonts w:ascii="宋体" w:hAnsi="宋体" w:cs="宋体"/>
          <w:sz w:val="24"/>
          <w:szCs w:val="24"/>
          <w:highlight w:val="none"/>
          <w:u w:val="single"/>
        </w:rPr>
      </w:pPr>
      <w:r>
        <w:rPr>
          <w:rFonts w:hint="eastAsia" w:ascii="宋体" w:hAnsi="宋体" w:cs="宋体"/>
          <w:b/>
          <w:sz w:val="24"/>
          <w:szCs w:val="24"/>
          <w:highlight w:val="none"/>
        </w:rPr>
        <w:t>现文：</w:t>
      </w:r>
      <w:r>
        <w:rPr>
          <w:rFonts w:hint="eastAsia" w:ascii="宋体" w:hAnsi="宋体" w:cs="宋体"/>
          <w:bCs/>
          <w:sz w:val="24"/>
          <w:szCs w:val="24"/>
          <w:highlight w:val="none"/>
        </w:rPr>
        <w:t>19.5</w:t>
      </w:r>
      <w:r>
        <w:rPr>
          <w:rFonts w:hint="eastAsia" w:ascii="宋体" w:hAnsi="宋体" w:cs="宋体"/>
          <w:bCs/>
          <w:sz w:val="24"/>
          <w:szCs w:val="24"/>
          <w:highlight w:val="none"/>
          <w:u w:val="single"/>
        </w:rPr>
        <w:t>技术标、经济标和定标文件同时开启，广州公共资源交易中心交易平台将按招标文件规定的时间同时开启技术标、经济标和定标文件。投标人如不提交定标文件，不被认定为不通过资格审查或有效性审查，但如该投标人成为定标阶段合格的中标候选人，将影响其定标阶段的最终排名。</w:t>
      </w:r>
    </w:p>
    <w:p w14:paraId="0E5C7FC2">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条款号：20.3             修改类型：修改</w:t>
      </w:r>
    </w:p>
    <w:p w14:paraId="0D9DF82B">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20.3 到投标截止时间止，招标人收到的投标文件少于3家的，招标人将重新组织招标（当N个标段同时招标且不允许兼中时，若有效投标人不足N+2家，则重新组织招标）。</w:t>
      </w:r>
    </w:p>
    <w:p w14:paraId="00463010">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20.3 到投标截止时间止，招标人收到的投标文件少于3家的，招标人将重新组织招标。</w:t>
      </w:r>
    </w:p>
    <w:p w14:paraId="1FAE9042">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条款号：21.1             修改类型：修改</w:t>
      </w:r>
    </w:p>
    <w:p w14:paraId="06E10188">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21.1 本须知前附表第17项规定的投标截止时间</w:t>
      </w:r>
      <w:r>
        <w:rPr>
          <w:rFonts w:hint="eastAsia" w:ascii="宋体" w:hAnsi="宋体" w:cs="宋体"/>
          <w:bCs/>
          <w:sz w:val="24"/>
          <w:szCs w:val="24"/>
          <w:highlight w:val="none"/>
        </w:rPr>
        <w:t>后送达的电子投标文件，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交易平台将予以拒收。</w:t>
      </w:r>
    </w:p>
    <w:p w14:paraId="01048033">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21.1 本须知前附表第17项规定的投标截止时间</w:t>
      </w:r>
      <w:r>
        <w:rPr>
          <w:rFonts w:hint="eastAsia" w:ascii="宋体" w:hAnsi="宋体" w:cs="宋体"/>
          <w:bCs/>
          <w:sz w:val="24"/>
          <w:szCs w:val="24"/>
          <w:highlight w:val="none"/>
        </w:rPr>
        <w:t>后送达的电子投标文件，</w:t>
      </w:r>
      <w:r>
        <w:rPr>
          <w:rFonts w:hint="eastAsia" w:ascii="宋体" w:hAnsi="宋体" w:cs="宋体"/>
          <w:sz w:val="24"/>
          <w:szCs w:val="24"/>
          <w:highlight w:val="none"/>
          <w:u w:val="single"/>
        </w:rPr>
        <w:t xml:space="preserve">广州交易集团有限公司（广州公共资源交易中心） </w:t>
      </w:r>
      <w:r>
        <w:rPr>
          <w:rFonts w:hint="eastAsia" w:ascii="宋体" w:hAnsi="宋体" w:cs="宋体"/>
          <w:sz w:val="24"/>
          <w:szCs w:val="24"/>
          <w:highlight w:val="none"/>
        </w:rPr>
        <w:t>交易平台将予以拒收。</w:t>
      </w:r>
    </w:p>
    <w:p w14:paraId="24B6C413">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条款号：24.             修改类型：修改</w:t>
      </w:r>
    </w:p>
    <w:p w14:paraId="128CD27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原文：24.1 开标后，直至中标公示为止，凡属于对投标文件的审查、澄清、评价和比较有关的资料以及中标候选人的推荐情况，与评标有关的其他任何情况均严格保密。</w:t>
      </w:r>
    </w:p>
    <w:p w14:paraId="3F71E73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24.2 在投标文件的评审和比较、中标候选人推荐以及授予合同的过程中，投标人向招标人和评标委员会施加不公正影响的任何行为，都将会导致其投标被拒绝</w:t>
      </w:r>
    </w:p>
    <w:p w14:paraId="0FC121D6">
      <w:pPr>
        <w:spacing w:line="360" w:lineRule="auto"/>
        <w:ind w:firstLine="482" w:firstLineChars="200"/>
        <w:rPr>
          <w:rFonts w:ascii="宋体" w:hAnsi="宋体" w:cs="宋体"/>
          <w:sz w:val="24"/>
          <w:szCs w:val="24"/>
          <w:highlight w:val="none"/>
          <w:u w:val="single"/>
        </w:rPr>
      </w:pPr>
      <w:r>
        <w:rPr>
          <w:rFonts w:hint="eastAsia" w:ascii="宋体" w:hAnsi="宋体" w:cs="宋体"/>
          <w:b/>
          <w:sz w:val="24"/>
          <w:szCs w:val="24"/>
          <w:highlight w:val="none"/>
        </w:rPr>
        <w:t>现文：</w:t>
      </w:r>
      <w:r>
        <w:rPr>
          <w:rFonts w:hint="eastAsia" w:ascii="宋体" w:hAnsi="宋体" w:cs="宋体"/>
          <w:sz w:val="24"/>
          <w:szCs w:val="24"/>
          <w:highlight w:val="none"/>
          <w:u w:val="single"/>
        </w:rPr>
        <w:t>24.1 开标后，直至合格的中标候选人公示为止，凡属于对投标文件的审查、澄清、评价和比较有关的资料以及合格的中标候选人的推荐情况【不排序，按统一社会信用代码后4位（除校验码外）大小排位】，与评标及定标有关的其他任何情况均严格保密。</w:t>
      </w:r>
    </w:p>
    <w:p w14:paraId="7F3BC48A">
      <w:pPr>
        <w:pBdr>
          <w:bottom w:val="single" w:color="auto" w:sz="4" w:space="0"/>
        </w:pBd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24.2 在投标文件的评审和比较、合格的中标候选人推荐、定标以及授予合同的过程中，投标人向招标人、评标委员会和定标委员会施加不公正影响的任何行为，都将会导致其投标被拒绝。</w:t>
      </w:r>
    </w:p>
    <w:p w14:paraId="32EFCC02">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条款号：27、27.1        修改类型：修改</w:t>
      </w:r>
    </w:p>
    <w:p w14:paraId="34723587">
      <w:pPr>
        <w:spacing w:line="360" w:lineRule="auto"/>
        <w:ind w:firstLine="482" w:firstLineChars="200"/>
        <w:rPr>
          <w:rFonts w:ascii="宋体" w:hAnsi="宋体" w:cs="宋体"/>
          <w:bCs/>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27中标通知书</w:t>
      </w:r>
    </w:p>
    <w:p w14:paraId="1C7C5CDA">
      <w:pPr>
        <w:spacing w:line="360" w:lineRule="auto"/>
        <w:ind w:firstLine="480" w:firstLineChars="200"/>
        <w:rPr>
          <w:rFonts w:ascii="宋体" w:hAnsi="宋体" w:cs="宋体"/>
          <w:b/>
          <w:sz w:val="24"/>
          <w:szCs w:val="24"/>
          <w:highlight w:val="none"/>
        </w:rPr>
      </w:pPr>
      <w:r>
        <w:rPr>
          <w:rFonts w:hint="eastAsia" w:ascii="宋体" w:hAnsi="宋体" w:cs="宋体"/>
          <w:sz w:val="24"/>
          <w:szCs w:val="24"/>
          <w:highlight w:val="none"/>
        </w:rPr>
        <w:t>27.1招标人将在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A02E4BE">
      <w:pPr>
        <w:pBdr>
          <w:bottom w:val="single" w:color="auto" w:sz="6" w:space="1"/>
        </w:pBdr>
        <w:spacing w:line="360" w:lineRule="auto"/>
        <w:ind w:firstLine="482" w:firstLineChars="200"/>
        <w:rPr>
          <w:rFonts w:ascii="宋体" w:hAnsi="宋体" w:cs="宋体"/>
          <w:bCs/>
          <w:sz w:val="24"/>
          <w:szCs w:val="24"/>
          <w:highlight w:val="none"/>
          <w:u w:val="single"/>
        </w:rPr>
      </w:pPr>
      <w:r>
        <w:rPr>
          <w:rFonts w:hint="eastAsia" w:ascii="宋体" w:hAnsi="宋体" w:cs="宋体"/>
          <w:b/>
          <w:sz w:val="24"/>
          <w:szCs w:val="24"/>
          <w:highlight w:val="none"/>
        </w:rPr>
        <w:t>现文：</w:t>
      </w:r>
      <w:r>
        <w:rPr>
          <w:rFonts w:hint="eastAsia" w:ascii="宋体" w:hAnsi="宋体" w:cs="宋体"/>
          <w:bCs/>
          <w:sz w:val="24"/>
          <w:szCs w:val="24"/>
          <w:highlight w:val="none"/>
          <w:u w:val="single"/>
        </w:rPr>
        <w:t>27定标及中标通知书</w:t>
      </w:r>
    </w:p>
    <w:p w14:paraId="0C0E4D28">
      <w:pPr>
        <w:pBdr>
          <w:bottom w:val="single" w:color="auto" w:sz="6" w:space="1"/>
        </w:pBdr>
        <w:spacing w:line="360" w:lineRule="auto"/>
        <w:ind w:firstLine="482" w:firstLineChars="200"/>
        <w:rPr>
          <w:rFonts w:ascii="宋体" w:hAnsi="宋体" w:cs="宋体"/>
          <w:sz w:val="24"/>
          <w:szCs w:val="24"/>
          <w:highlight w:val="none"/>
          <w:u w:val="single"/>
        </w:rPr>
      </w:pPr>
      <w:r>
        <w:rPr>
          <w:rFonts w:hint="eastAsia" w:ascii="宋体" w:hAnsi="宋体" w:cs="宋体"/>
          <w:b/>
          <w:sz w:val="24"/>
          <w:szCs w:val="24"/>
          <w:highlight w:val="none"/>
        </w:rPr>
        <w:t>27.1</w:t>
      </w:r>
      <w:r>
        <w:rPr>
          <w:rFonts w:hint="eastAsia" w:ascii="宋体" w:hAnsi="宋体" w:cs="宋体"/>
          <w:sz w:val="24"/>
          <w:szCs w:val="24"/>
          <w:highlight w:val="none"/>
          <w:u w:val="single"/>
        </w:rPr>
        <w:t>评标委员会在广州交易集团有限公司（广州公共资源交易中心）完成评标工作后，招标人将在广州交易集团有限公司（广州公共资源交易中心）交易平台、广东省招标投标监管网和中国招标投标公共服务平台、广州国企阳光采购信息发布平台公示合格的中标候选人，公示期为三天。合格的中标候选人公示结束后10个工作日内在广州交易集团有限公司（广州公共资源交易中心）开展定标工作，在定标委员会完成定标工作后，招标人将在广州交易集团有限公司（广州公共资源交易中心）交易平台、广东省招标投标监管网和中国招标投标公共服务平台、广州国企阳光采购信息发布平台公示中标结果公示。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BB29BE0">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条款号：27.4             修改类型：修改</w:t>
      </w:r>
    </w:p>
    <w:p w14:paraId="2E129786">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27.4在产生中标候选人后，招标人将中标候选人的投标文件商务部分文件的所有内容（包括人员、业绩、奖项等资料）在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交易平台和广东省招标投标监管网公开。</w:t>
      </w:r>
    </w:p>
    <w:p w14:paraId="1A4BBD88">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27.4在产生中标候选人后，招标人将中标候选人的投标文件商务部分文件的所有内容（包括人员、业绩、奖项等资料）在</w:t>
      </w:r>
      <w:r>
        <w:rPr>
          <w:rFonts w:hint="eastAsia" w:ascii="宋体" w:hAnsi="宋体" w:cs="宋体"/>
          <w:sz w:val="24"/>
          <w:szCs w:val="24"/>
          <w:highlight w:val="none"/>
          <w:u w:val="single"/>
        </w:rPr>
        <w:t xml:space="preserve"> 广州交易集团有限公司（广州公共资源交易中心） </w:t>
      </w:r>
      <w:r>
        <w:rPr>
          <w:rFonts w:hint="eastAsia" w:ascii="宋体" w:hAnsi="宋体" w:cs="宋体"/>
          <w:sz w:val="24"/>
          <w:szCs w:val="24"/>
          <w:highlight w:val="none"/>
        </w:rPr>
        <w:t>交易平台和广东省招标投标监管网公开。</w:t>
      </w:r>
    </w:p>
    <w:p w14:paraId="66B2D9AE">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条款号：29.1             修改类型：修改</w:t>
      </w:r>
    </w:p>
    <w:p w14:paraId="7655C8CA">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29.1 在收到中标通知书后的</w:t>
      </w:r>
      <w:r>
        <w:rPr>
          <w:rFonts w:hint="eastAsia" w:ascii="宋体" w:hAnsi="宋体" w:cs="宋体"/>
          <w:b/>
          <w:sz w:val="24"/>
          <w:szCs w:val="24"/>
          <w:highlight w:val="none"/>
        </w:rPr>
        <w:t>15日</w:t>
      </w:r>
      <w:r>
        <w:rPr>
          <w:rFonts w:hint="eastAsia" w:ascii="宋体" w:hAnsi="宋体" w:cs="宋体"/>
          <w:sz w:val="24"/>
          <w:szCs w:val="24"/>
          <w:highlight w:val="none"/>
        </w:rPr>
        <w:t>内，中标人应按本须知前附表第20项的规定向招标人提交履约担保。</w:t>
      </w:r>
    </w:p>
    <w:p w14:paraId="5404F2C1">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29.1 在</w:t>
      </w:r>
      <w:r>
        <w:rPr>
          <w:rFonts w:hint="eastAsia" w:ascii="宋体" w:hAnsi="宋体" w:cs="宋体"/>
          <w:sz w:val="24"/>
          <w:szCs w:val="24"/>
          <w:highlight w:val="none"/>
          <w:u w:val="single"/>
        </w:rPr>
        <w:t>签订合同后按合同约定时间</w:t>
      </w:r>
      <w:r>
        <w:rPr>
          <w:rFonts w:hint="eastAsia" w:ascii="宋体" w:hAnsi="宋体" w:cs="宋体"/>
          <w:sz w:val="24"/>
          <w:szCs w:val="24"/>
          <w:highlight w:val="none"/>
        </w:rPr>
        <w:t>，中标人应按本须知前附表第20项的规定向招标人提交履约担保</w:t>
      </w:r>
      <w:r>
        <w:rPr>
          <w:rFonts w:hint="eastAsia" w:ascii="宋体" w:hAnsi="宋体" w:cs="宋体"/>
          <w:sz w:val="24"/>
          <w:szCs w:val="24"/>
          <w:highlight w:val="none"/>
          <w:u w:val="single"/>
        </w:rPr>
        <w:t>（具体形式详见合同）</w:t>
      </w:r>
      <w:r>
        <w:rPr>
          <w:rFonts w:hint="eastAsia" w:ascii="宋体" w:hAnsi="宋体" w:cs="宋体"/>
          <w:sz w:val="24"/>
          <w:szCs w:val="24"/>
          <w:highlight w:val="none"/>
        </w:rPr>
        <w:t>。</w:t>
      </w:r>
    </w:p>
    <w:p w14:paraId="5CE1BC3D">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29.2</w:t>
      </w:r>
      <w:r>
        <w:rPr>
          <w:rFonts w:hint="eastAsia" w:ascii="宋体" w:hAnsi="宋体" w:cs="宋体"/>
          <w:b/>
          <w:sz w:val="24"/>
          <w:szCs w:val="24"/>
          <w:highlight w:val="none"/>
        </w:rPr>
        <w:t xml:space="preserve">             修改类型：修改</w:t>
      </w:r>
    </w:p>
    <w:p w14:paraId="5AFF601A">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216AD86">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u w:val="single"/>
        </w:rPr>
        <w:t>在签订合同后按合同约定时间</w:t>
      </w:r>
      <w:r>
        <w:rPr>
          <w:rFonts w:hint="eastAsia" w:ascii="宋体" w:hAnsi="宋体" w:cs="宋体"/>
          <w:sz w:val="24"/>
          <w:szCs w:val="24"/>
          <w:highlight w:val="none"/>
        </w:rPr>
        <w:t>，中标人未按上款的规定提交履约担保，招标人将解除中标通知书，原中标人的投标保证金不予退还，且依法承担相应法律责任</w:t>
      </w:r>
      <w:r>
        <w:rPr>
          <w:rFonts w:hint="eastAsia" w:ascii="宋体" w:hAnsi="宋体" w:cs="宋体"/>
          <w:bCs/>
          <w:sz w:val="24"/>
          <w:szCs w:val="24"/>
          <w:highlight w:val="none"/>
          <w:lang w:bidi="ar"/>
        </w:rPr>
        <w:t>。</w:t>
      </w:r>
      <w:r>
        <w:rPr>
          <w:rFonts w:hint="eastAsia" w:ascii="宋体" w:hAnsi="宋体" w:cs="宋体"/>
          <w:bCs/>
          <w:sz w:val="24"/>
          <w:szCs w:val="24"/>
          <w:highlight w:val="none"/>
          <w:u w:val="single"/>
          <w:lang w:bidi="ar"/>
        </w:rPr>
        <w:t>原中标人给招标人造成损失的，招标人有权要求原中标人承担赔偿责任。</w:t>
      </w:r>
      <w:r>
        <w:rPr>
          <w:rFonts w:hint="eastAsia" w:ascii="宋体" w:hAnsi="宋体" w:cs="宋体"/>
          <w:bCs/>
          <w:sz w:val="24"/>
          <w:szCs w:val="24"/>
          <w:highlight w:val="none"/>
          <w:lang w:bidi="ar"/>
        </w:rPr>
        <w:t>原</w:t>
      </w:r>
      <w:r>
        <w:rPr>
          <w:rFonts w:hint="eastAsia" w:ascii="宋体" w:hAnsi="宋体" w:cs="宋体"/>
          <w:sz w:val="24"/>
          <w:szCs w:val="24"/>
          <w:highlight w:val="none"/>
          <w:lang w:bidi="ar"/>
        </w:rPr>
        <w:t>中标人有异议的，可以向人民法院起诉。</w:t>
      </w:r>
      <w:r>
        <w:rPr>
          <w:rFonts w:hint="eastAsia" w:ascii="宋体" w:hAnsi="宋体" w:cs="宋体"/>
          <w:sz w:val="24"/>
          <w:szCs w:val="24"/>
          <w:highlight w:val="none"/>
          <w:u w:val="single"/>
        </w:rPr>
        <w:t>（具体形式详见合同）</w:t>
      </w:r>
      <w:r>
        <w:rPr>
          <w:rFonts w:hint="eastAsia" w:ascii="宋体" w:hAnsi="宋体" w:cs="宋体"/>
          <w:sz w:val="24"/>
          <w:szCs w:val="24"/>
          <w:highlight w:val="none"/>
        </w:rPr>
        <w:t>。</w:t>
      </w:r>
    </w:p>
    <w:p w14:paraId="0B0BAC9F">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30.1</w:t>
      </w:r>
      <w:r>
        <w:rPr>
          <w:rFonts w:hint="eastAsia" w:ascii="宋体" w:hAnsi="宋体" w:cs="宋体"/>
          <w:b/>
          <w:sz w:val="24"/>
          <w:szCs w:val="24"/>
          <w:highlight w:val="none"/>
        </w:rPr>
        <w:t xml:space="preserve">             修改类型：修改</w:t>
      </w:r>
    </w:p>
    <w:p w14:paraId="59EA196A">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在合同双方全权代表在合同协议书上签字，并分别加盖双方单位的公章后，合同正式生效。</w:t>
      </w:r>
    </w:p>
    <w:p w14:paraId="04DDE68E">
      <w:pPr>
        <w:pBdr>
          <w:bottom w:val="single" w:color="auto" w:sz="6" w:space="1"/>
        </w:pBdr>
        <w:spacing w:line="360" w:lineRule="auto"/>
        <w:ind w:firstLine="482" w:firstLineChars="200"/>
        <w:rPr>
          <w:rFonts w:ascii="宋体" w:hAnsi="宋体" w:cs="宋体"/>
          <w:sz w:val="24"/>
          <w:szCs w:val="24"/>
          <w:highlight w:val="none"/>
          <w:u w:val="single"/>
        </w:rPr>
      </w:pPr>
      <w:r>
        <w:rPr>
          <w:rFonts w:hint="eastAsia" w:ascii="宋体" w:hAnsi="宋体" w:cs="宋体"/>
          <w:b/>
          <w:sz w:val="24"/>
          <w:szCs w:val="24"/>
          <w:highlight w:val="none"/>
        </w:rPr>
        <w:t>现文：</w:t>
      </w:r>
      <w:r>
        <w:rPr>
          <w:rFonts w:hint="eastAsia" w:ascii="宋体" w:hAnsi="宋体" w:cs="宋体"/>
          <w:sz w:val="24"/>
          <w:szCs w:val="24"/>
          <w:highlight w:val="none"/>
          <w:u w:val="single"/>
        </w:rPr>
        <w:t>合同自发包人、承包人双方法定代表人或委托代理人签字并加盖公章之日起生效。</w:t>
      </w:r>
    </w:p>
    <w:p w14:paraId="4FE29067">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31</w:t>
      </w:r>
      <w:r>
        <w:rPr>
          <w:rFonts w:hint="eastAsia" w:ascii="宋体" w:hAnsi="宋体" w:cs="宋体"/>
          <w:b/>
          <w:sz w:val="24"/>
          <w:szCs w:val="24"/>
          <w:highlight w:val="none"/>
        </w:rPr>
        <w:t xml:space="preserve">               修改类型：修改</w:t>
      </w:r>
    </w:p>
    <w:p w14:paraId="41CAAFD0">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31.其他费用</w:t>
      </w:r>
    </w:p>
    <w:p w14:paraId="17C783B9">
      <w:pPr>
        <w:pBdr>
          <w:bottom w:val="single" w:color="auto" w:sz="6" w:space="1"/>
        </w:pBdr>
        <w:spacing w:line="360" w:lineRule="auto"/>
        <w:ind w:firstLine="482" w:firstLineChars="200"/>
        <w:rPr>
          <w:rFonts w:ascii="宋体" w:hAnsi="宋体" w:cs="宋体"/>
          <w:sz w:val="24"/>
          <w:szCs w:val="24"/>
          <w:highlight w:val="none"/>
          <w:u w:val="single"/>
        </w:rPr>
      </w:pPr>
      <w:r>
        <w:rPr>
          <w:rFonts w:hint="eastAsia" w:ascii="宋体" w:hAnsi="宋体" w:cs="宋体"/>
          <w:b/>
          <w:sz w:val="24"/>
          <w:szCs w:val="24"/>
          <w:highlight w:val="none"/>
        </w:rPr>
        <w:t>现文：</w:t>
      </w:r>
      <w:r>
        <w:rPr>
          <w:rFonts w:hint="eastAsia" w:ascii="宋体" w:hAnsi="宋体" w:cs="宋体"/>
          <w:sz w:val="24"/>
          <w:szCs w:val="24"/>
          <w:highlight w:val="none"/>
          <w:u w:val="single"/>
        </w:rPr>
        <w:t>31.其他费用</w:t>
      </w:r>
    </w:p>
    <w:p w14:paraId="5C151CC8">
      <w:pPr>
        <w:pBdr>
          <w:bottom w:val="single" w:color="auto" w:sz="6" w:space="1"/>
        </w:pBd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按广州市政府相关文件的规定，由中标单位向广州交易集团有限公司（广州公共资源交易中心）交纳交易服务费。</w:t>
      </w:r>
    </w:p>
    <w:p w14:paraId="30FE16EC">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32.3</w:t>
      </w:r>
      <w:r>
        <w:rPr>
          <w:rFonts w:hint="eastAsia" w:ascii="宋体" w:hAnsi="宋体" w:cs="宋体"/>
          <w:b/>
          <w:sz w:val="24"/>
          <w:szCs w:val="24"/>
          <w:highlight w:val="none"/>
        </w:rPr>
        <w:t xml:space="preserve">             修改类型：修改</w:t>
      </w:r>
    </w:p>
    <w:p w14:paraId="1EC235A7">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14:paraId="1B90F9F3">
      <w:pPr>
        <w:pBdr>
          <w:bottom w:val="single" w:color="auto" w:sz="6" w:space="1"/>
        </w:pBdr>
        <w:spacing w:line="360" w:lineRule="auto"/>
        <w:ind w:firstLine="482" w:firstLineChars="200"/>
        <w:rPr>
          <w:rFonts w:ascii="宋体" w:hAnsi="宋体" w:cs="宋体"/>
          <w:sz w:val="24"/>
          <w:szCs w:val="24"/>
          <w:highlight w:val="none"/>
          <w:u w:val="single"/>
        </w:rPr>
      </w:pPr>
      <w:r>
        <w:rPr>
          <w:rFonts w:hint="eastAsia" w:ascii="宋体" w:hAnsi="宋体" w:cs="宋体"/>
          <w:b/>
          <w:sz w:val="24"/>
          <w:szCs w:val="24"/>
          <w:highlight w:val="none"/>
        </w:rPr>
        <w:t>现文：</w:t>
      </w:r>
      <w:r>
        <w:rPr>
          <w:rFonts w:hint="eastAsia" w:ascii="宋体" w:hAnsi="宋体" w:cs="宋体"/>
          <w:sz w:val="24"/>
          <w:szCs w:val="24"/>
          <w:highlight w:val="none"/>
          <w:u w:val="single"/>
        </w:rPr>
        <w:t>32.3投标人如在本项目中存在串通投标、弄虚作假骗取中标、行贿情形的，中标无效，行政监督部门将对其违法行为进行行政处罚。该投标人将被招标人列入黑名单并限制其参与招标人后续项目的投标。</w:t>
      </w:r>
    </w:p>
    <w:p w14:paraId="23D18E2F">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注：以上修改，仅限于本范本中有可供选择条款的情形。</w:t>
      </w:r>
    </w:p>
    <w:p w14:paraId="39486FAD">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（以下无正文）</w:t>
      </w:r>
    </w:p>
    <w:p w14:paraId="2AF10815">
      <w:pPr>
        <w:pStyle w:val="3"/>
        <w:spacing w:before="0" w:after="0" w:line="360" w:lineRule="auto"/>
        <w:ind w:left="0"/>
        <w:rPr>
          <w:rFonts w:ascii="宋体" w:hAnsi="宋体" w:cs="宋体"/>
          <w:bCs/>
          <w:color w:val="auto"/>
          <w:kern w:val="44"/>
          <w:sz w:val="32"/>
          <w:szCs w:val="32"/>
          <w:highlight w:val="none"/>
        </w:rPr>
      </w:pPr>
      <w:r>
        <w:rPr>
          <w:rFonts w:hint="eastAsia" w:ascii="宋体" w:hAnsi="宋体" w:cs="宋体"/>
          <w:color w:val="auto"/>
          <w:highlight w:val="none"/>
        </w:rPr>
        <w:br w:type="page"/>
      </w:r>
      <w:bookmarkStart w:id="6" w:name="_Toc2272548"/>
      <w:bookmarkStart w:id="7" w:name="_Toc27084"/>
      <w:r>
        <w:rPr>
          <w:rFonts w:hint="eastAsia" w:ascii="宋体" w:hAnsi="宋体" w:cs="宋体"/>
          <w:bCs/>
          <w:color w:val="auto"/>
          <w:kern w:val="44"/>
          <w:sz w:val="32"/>
          <w:szCs w:val="32"/>
          <w:highlight w:val="none"/>
        </w:rPr>
        <w:t>三、投标须知通用条款</w:t>
      </w:r>
      <w:bookmarkEnd w:id="6"/>
      <w:bookmarkEnd w:id="7"/>
    </w:p>
    <w:p w14:paraId="7BCFC4FF">
      <w:pPr>
        <w:pStyle w:val="4"/>
        <w:spacing w:before="0" w:beforeAutospacing="0" w:after="0" w:afterAutospacing="0" w:line="360" w:lineRule="auto"/>
        <w:ind w:firstLine="482" w:firstLineChars="200"/>
        <w:rPr>
          <w:b/>
          <w:bCs/>
          <w:sz w:val="24"/>
          <w:szCs w:val="24"/>
          <w:highlight w:val="none"/>
        </w:rPr>
      </w:pPr>
      <w:bookmarkStart w:id="8" w:name="_Toc2272549"/>
      <w:bookmarkStart w:id="9" w:name="_Toc21525493"/>
      <w:bookmarkStart w:id="10" w:name="_Toc6197"/>
      <w:r>
        <w:rPr>
          <w:rFonts w:hint="eastAsia"/>
          <w:b/>
          <w:bCs/>
          <w:sz w:val="24"/>
          <w:szCs w:val="24"/>
          <w:highlight w:val="none"/>
        </w:rPr>
        <w:t>（一）总则</w:t>
      </w:r>
      <w:bookmarkEnd w:id="8"/>
      <w:bookmarkEnd w:id="9"/>
      <w:bookmarkEnd w:id="10"/>
    </w:p>
    <w:p w14:paraId="6CC573C1">
      <w:pPr>
        <w:pStyle w:val="34"/>
        <w:spacing w:after="0" w:line="360" w:lineRule="auto"/>
        <w:ind w:firstLine="482" w:firstLineChars="200"/>
        <w:rPr>
          <w:rFonts w:ascii="宋体" w:hAnsi="宋体" w:cs="宋体"/>
          <w:b/>
          <w:bCs/>
          <w:sz w:val="24"/>
          <w:szCs w:val="24"/>
          <w:highlight w:val="none"/>
        </w:rPr>
      </w:pPr>
    </w:p>
    <w:p w14:paraId="6DF69C89">
      <w:pPr>
        <w:pStyle w:val="34"/>
        <w:spacing w:after="0"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定义</w:t>
      </w:r>
    </w:p>
    <w:p w14:paraId="28E0237D">
      <w:pPr>
        <w:pStyle w:val="34"/>
        <w:spacing w:after="0" w:line="360"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本招标文件使用的下列词语具有如下规定的意义：</w:t>
      </w:r>
    </w:p>
    <w:p w14:paraId="39BE45A8">
      <w:pPr>
        <w:pStyle w:val="34"/>
        <w:spacing w:after="0" w:line="360" w:lineRule="auto"/>
        <w:ind w:firstLine="480" w:firstLineChars="200"/>
        <w:rPr>
          <w:rFonts w:ascii="宋体" w:hAnsi="宋体" w:cs="宋体"/>
          <w:b/>
          <w:bCs/>
          <w:sz w:val="24"/>
          <w:szCs w:val="24"/>
          <w:highlight w:val="none"/>
          <w:u w:val="single"/>
        </w:rPr>
      </w:pPr>
      <w:r>
        <w:rPr>
          <w:rFonts w:hint="eastAsia" w:ascii="宋体" w:hAnsi="宋体" w:cs="宋体"/>
          <w:sz w:val="24"/>
          <w:szCs w:val="24"/>
          <w:highlight w:val="none"/>
        </w:rPr>
        <w:t>（1）“招标人”（即发包人）、“项目建设管理单位”（或称“项目代建单位”）、“招标代理”、“设计单位”、“监理单位”均已在投标须知前附表中列明。</w:t>
      </w:r>
    </w:p>
    <w:p w14:paraId="5383104D">
      <w:pPr>
        <w:pStyle w:val="34"/>
        <w:spacing w:after="0"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（2）“投标人”指向招标人提交投标文件的当事人。</w:t>
      </w:r>
    </w:p>
    <w:p w14:paraId="661544BE">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（3）“承包人”指其投标被招标人接受并与其签订承包合同的当事人。</w:t>
      </w:r>
    </w:p>
    <w:p w14:paraId="58FB2701">
      <w:pPr>
        <w:pStyle w:val="34"/>
        <w:spacing w:after="0"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（4）“招标文件”指由招标代理发出的本文件（包括全部章节、附件）及招标答疑会会议纪要和</w:t>
      </w:r>
      <w:r>
        <w:rPr>
          <w:rFonts w:hint="eastAsia" w:ascii="宋体" w:hAnsi="宋体" w:cs="宋体"/>
          <w:bCs/>
          <w:sz w:val="24"/>
          <w:szCs w:val="24"/>
          <w:highlight w:val="none"/>
        </w:rPr>
        <w:t>招标文件的澄清与修改</w:t>
      </w:r>
      <w:r>
        <w:rPr>
          <w:rFonts w:hint="eastAsia" w:ascii="宋体" w:hAnsi="宋体" w:cs="宋体"/>
          <w:sz w:val="24"/>
          <w:szCs w:val="24"/>
          <w:highlight w:val="none"/>
        </w:rPr>
        <w:t>文件。</w:t>
      </w:r>
    </w:p>
    <w:p w14:paraId="3614467A">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（5）“投标文件”指投标人根据本项目招标文件向招标人提交的全部文件。</w:t>
      </w:r>
    </w:p>
    <w:p w14:paraId="42E08C7D">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（6）“书面形式”指打字或印刷的文件和数据电文（包括电报、电传、传真、电子数据交换和电子邮件）。</w:t>
      </w:r>
    </w:p>
    <w:p w14:paraId="3B7A6CE7">
      <w:pPr>
        <w:spacing w:line="360" w:lineRule="auto"/>
        <w:ind w:firstLine="482" w:firstLineChars="200"/>
        <w:rPr>
          <w:rFonts w:ascii="宋体" w:hAnsi="宋体" w:cs="宋体"/>
          <w:b/>
          <w:sz w:val="24"/>
          <w:szCs w:val="24"/>
          <w:highlight w:val="none"/>
        </w:rPr>
      </w:pPr>
    </w:p>
    <w:p w14:paraId="62B0BD6C">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2</w:t>
      </w:r>
      <w:r>
        <w:rPr>
          <w:rFonts w:hint="eastAsia" w:ascii="宋体" w:hAnsi="宋体" w:cs="宋体"/>
          <w:b/>
          <w:sz w:val="24"/>
          <w:szCs w:val="24"/>
          <w:highlight w:val="none"/>
          <w:lang w:val="en-US" w:eastAsia="zh-CN"/>
        </w:rPr>
        <w:t>.</w:t>
      </w:r>
      <w:r>
        <w:rPr>
          <w:rFonts w:hint="eastAsia" w:ascii="宋体" w:hAnsi="宋体" w:cs="宋体"/>
          <w:b/>
          <w:sz w:val="24"/>
          <w:szCs w:val="24"/>
          <w:highlight w:val="none"/>
        </w:rPr>
        <w:t>招标说明</w:t>
      </w:r>
    </w:p>
    <w:p w14:paraId="315FBA77">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2.1本招标工程项目按照《中华人民共和国招标投标法》等有关法律、行政法规、规章和规范性文件，通过招标方式选定承包人。</w:t>
      </w:r>
    </w:p>
    <w:p w14:paraId="40814617">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2.2工程名称、建设地点、建设规模、承包方式、质量标准、招标范围、工期要求等均在投标须知前附表中列明。</w:t>
      </w:r>
    </w:p>
    <w:p w14:paraId="3A6AB88C">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2.3设计说明：详见招标图纸。</w:t>
      </w:r>
    </w:p>
    <w:p w14:paraId="2B36A4AF">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2.4工程施工特点：详见招标图纸。</w:t>
      </w:r>
    </w:p>
    <w:p w14:paraId="6A588E89">
      <w:pPr>
        <w:tabs>
          <w:tab w:val="left" w:pos="105"/>
        </w:tabs>
        <w:spacing w:line="360" w:lineRule="auto"/>
        <w:ind w:firstLine="482" w:firstLineChars="200"/>
        <w:rPr>
          <w:rFonts w:ascii="宋体" w:hAnsi="宋体" w:cs="宋体"/>
          <w:b/>
          <w:sz w:val="24"/>
          <w:szCs w:val="24"/>
          <w:highlight w:val="none"/>
        </w:rPr>
      </w:pPr>
    </w:p>
    <w:p w14:paraId="62610A1D">
      <w:pPr>
        <w:tabs>
          <w:tab w:val="left" w:pos="105"/>
        </w:tabs>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3．资金来源</w:t>
      </w:r>
    </w:p>
    <w:p w14:paraId="3FCDED67">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3.1本招标工程项目资金来源见投标须知前附表第9项</w:t>
      </w:r>
    </w:p>
    <w:p w14:paraId="5A194D5A">
      <w:pPr>
        <w:tabs>
          <w:tab w:val="left" w:pos="105"/>
        </w:tabs>
        <w:spacing w:line="360" w:lineRule="auto"/>
        <w:ind w:firstLine="482" w:firstLineChars="200"/>
        <w:rPr>
          <w:rFonts w:ascii="宋体" w:hAnsi="宋体" w:cs="宋体"/>
          <w:b/>
          <w:sz w:val="24"/>
          <w:szCs w:val="24"/>
          <w:highlight w:val="none"/>
        </w:rPr>
      </w:pPr>
    </w:p>
    <w:p w14:paraId="17B953BC">
      <w:pPr>
        <w:tabs>
          <w:tab w:val="left" w:pos="105"/>
        </w:tabs>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4．合格投标人的条件</w:t>
      </w:r>
    </w:p>
    <w:p w14:paraId="3BCE0533">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4.1详见本项目招标公告</w:t>
      </w:r>
    </w:p>
    <w:p w14:paraId="69AA4E51">
      <w:pPr>
        <w:tabs>
          <w:tab w:val="left" w:pos="105"/>
        </w:tabs>
        <w:spacing w:line="360" w:lineRule="auto"/>
        <w:ind w:firstLine="482" w:firstLineChars="200"/>
        <w:rPr>
          <w:rFonts w:ascii="宋体" w:hAnsi="宋体" w:cs="宋体"/>
          <w:b/>
          <w:sz w:val="24"/>
          <w:szCs w:val="24"/>
          <w:highlight w:val="none"/>
        </w:rPr>
      </w:pPr>
    </w:p>
    <w:p w14:paraId="458B5CA1">
      <w:pPr>
        <w:tabs>
          <w:tab w:val="left" w:pos="105"/>
        </w:tabs>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5．踏勘现场</w:t>
      </w:r>
    </w:p>
    <w:p w14:paraId="0E6D7936">
      <w:pP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rPr>
        <w:t>5.1 投标人应按本投标须知前附表第15项所述时间和要求对工程现场及周围环境进行踏勘，</w:t>
      </w:r>
      <w:r>
        <w:rPr>
          <w:rFonts w:hint="eastAsia" w:ascii="宋体" w:hAnsi="宋体" w:cs="宋体"/>
          <w:sz w:val="24"/>
          <w:szCs w:val="24"/>
          <w:highlight w:val="none"/>
        </w:rPr>
        <w:t>投标人应充分重视和仔细地进行这种考察，</w:t>
      </w:r>
      <w:r>
        <w:rPr>
          <w:rFonts w:hint="eastAsia" w:ascii="宋体" w:hAnsi="宋体" w:cs="宋体"/>
          <w:bCs/>
          <w:sz w:val="24"/>
          <w:szCs w:val="24"/>
          <w:highlight w:val="none"/>
        </w:rPr>
        <w:t>以便投标人获取</w:t>
      </w:r>
      <w:r>
        <w:rPr>
          <w:rFonts w:hint="eastAsia" w:ascii="宋体" w:hAnsi="宋体" w:cs="宋体"/>
          <w:sz w:val="24"/>
          <w:szCs w:val="24"/>
          <w:highlight w:val="none"/>
        </w:rPr>
        <w:t>那些须投标人自己负责的</w:t>
      </w:r>
      <w:r>
        <w:rPr>
          <w:rFonts w:hint="eastAsia" w:ascii="宋体" w:hAnsi="宋体" w:cs="宋体"/>
          <w:bCs/>
          <w:sz w:val="24"/>
          <w:szCs w:val="24"/>
          <w:highlight w:val="none"/>
        </w:rPr>
        <w:t>有关编制投标文件和签署合同所涉及现场所有的资料。</w:t>
      </w:r>
      <w:r>
        <w:rPr>
          <w:rFonts w:hint="eastAsia" w:ascii="宋体" w:hAnsi="宋体" w:cs="宋体"/>
          <w:sz w:val="24"/>
          <w:szCs w:val="24"/>
          <w:highlight w:val="none"/>
        </w:rPr>
        <w:t>一旦中标，这种考察即被认为其结果已在中标文件中得到充分反映。考察现场的费用由投标人自己承担。</w:t>
      </w:r>
    </w:p>
    <w:p w14:paraId="18CFD59A">
      <w:pPr>
        <w:tabs>
          <w:tab w:val="left" w:pos="105"/>
        </w:tabs>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5.2 招标人向投标人提供的有关现场的数据和资料，是招标人现有的能被投标人利用的资料，招标人对投标人做出的任何推论、理解和结论均不负责任。</w:t>
      </w:r>
    </w:p>
    <w:p w14:paraId="78422545">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5.3 经招标人允许，投标人可为踏勘目的进入招标人的项目现场。</w:t>
      </w:r>
      <w:r>
        <w:rPr>
          <w:rFonts w:hint="eastAsia" w:ascii="宋体" w:hAnsi="宋体" w:cs="宋体"/>
          <w:sz w:val="24"/>
          <w:szCs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sz w:val="24"/>
          <w:szCs w:val="24"/>
          <w:highlight w:val="none"/>
        </w:rPr>
        <w:t>投标人不得因此使招标人承担有关的责任和蒙受损失。</w:t>
      </w:r>
    </w:p>
    <w:p w14:paraId="1C9CCE57">
      <w:pPr>
        <w:tabs>
          <w:tab w:val="left" w:pos="105"/>
        </w:tabs>
        <w:spacing w:line="360" w:lineRule="auto"/>
        <w:ind w:firstLine="482" w:firstLineChars="200"/>
        <w:rPr>
          <w:rFonts w:ascii="宋体" w:hAnsi="宋体" w:cs="宋体"/>
          <w:b/>
          <w:sz w:val="24"/>
          <w:szCs w:val="24"/>
          <w:highlight w:val="none"/>
        </w:rPr>
      </w:pPr>
    </w:p>
    <w:p w14:paraId="46A4A643">
      <w:pPr>
        <w:tabs>
          <w:tab w:val="left" w:pos="105"/>
        </w:tabs>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6．投标费用</w:t>
      </w:r>
    </w:p>
    <w:p w14:paraId="358B3D32">
      <w:pPr>
        <w:tabs>
          <w:tab w:val="left" w:pos="105"/>
        </w:tabs>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6.1</w:t>
      </w:r>
      <w:r>
        <w:rPr>
          <w:rFonts w:hint="eastAsia" w:ascii="宋体" w:hAnsi="宋体" w:cs="宋体"/>
          <w:sz w:val="24"/>
          <w:szCs w:val="24"/>
          <w:highlight w:val="none"/>
        </w:rPr>
        <w:t>不论投标结果如何，投标人应承担</w:t>
      </w:r>
      <w:r>
        <w:rPr>
          <w:rFonts w:hint="eastAsia" w:ascii="宋体" w:hAnsi="宋体" w:cs="宋体"/>
          <w:bCs/>
          <w:sz w:val="24"/>
          <w:szCs w:val="24"/>
          <w:highlight w:val="none"/>
        </w:rPr>
        <w:t>自身</w:t>
      </w:r>
      <w:r>
        <w:rPr>
          <w:rFonts w:hint="eastAsia" w:ascii="宋体" w:hAnsi="宋体" w:cs="宋体"/>
          <w:sz w:val="24"/>
          <w:szCs w:val="24"/>
          <w:highlight w:val="none"/>
        </w:rPr>
        <w:t>因投标文件编制、递交及其他</w:t>
      </w:r>
      <w:r>
        <w:rPr>
          <w:rFonts w:hint="eastAsia" w:ascii="宋体" w:hAnsi="宋体" w:cs="宋体"/>
          <w:bCs/>
          <w:sz w:val="24"/>
          <w:szCs w:val="24"/>
          <w:highlight w:val="none"/>
        </w:rPr>
        <w:t>参加本招标活动</w:t>
      </w:r>
      <w:r>
        <w:rPr>
          <w:rFonts w:hint="eastAsia" w:ascii="宋体" w:hAnsi="宋体" w:cs="宋体"/>
          <w:sz w:val="24"/>
          <w:szCs w:val="24"/>
          <w:highlight w:val="none"/>
        </w:rPr>
        <w:t>所涉及的一切费用，招标人对上述费用不负任何责任。</w:t>
      </w:r>
    </w:p>
    <w:p w14:paraId="39B76D5F">
      <w:pPr>
        <w:pStyle w:val="4"/>
        <w:spacing w:before="0" w:beforeAutospacing="0" w:after="0" w:afterAutospacing="0" w:line="360" w:lineRule="auto"/>
        <w:ind w:firstLine="482" w:firstLineChars="200"/>
        <w:rPr>
          <w:b/>
          <w:bCs/>
          <w:sz w:val="24"/>
          <w:szCs w:val="24"/>
          <w:highlight w:val="none"/>
        </w:rPr>
      </w:pPr>
      <w:bookmarkStart w:id="11" w:name="_Toc21525494"/>
      <w:bookmarkStart w:id="12" w:name="_Toc2272550"/>
      <w:bookmarkStart w:id="13" w:name="_Toc31735"/>
    </w:p>
    <w:p w14:paraId="4CEBB6EB">
      <w:pPr>
        <w:pStyle w:val="4"/>
        <w:spacing w:before="0" w:beforeAutospacing="0" w:after="0" w:afterAutospacing="0" w:line="360" w:lineRule="auto"/>
        <w:ind w:firstLine="482" w:firstLineChars="200"/>
        <w:rPr>
          <w:b/>
          <w:bCs/>
          <w:sz w:val="24"/>
          <w:szCs w:val="24"/>
          <w:highlight w:val="none"/>
        </w:rPr>
      </w:pPr>
      <w:r>
        <w:rPr>
          <w:rFonts w:hint="eastAsia"/>
          <w:b/>
          <w:bCs/>
          <w:sz w:val="24"/>
          <w:szCs w:val="24"/>
          <w:highlight w:val="none"/>
        </w:rPr>
        <w:t>（二）招标文件</w:t>
      </w:r>
      <w:bookmarkEnd w:id="11"/>
      <w:bookmarkEnd w:id="12"/>
      <w:bookmarkEnd w:id="13"/>
    </w:p>
    <w:p w14:paraId="09D5344F">
      <w:pPr>
        <w:tabs>
          <w:tab w:val="left" w:pos="105"/>
        </w:tabs>
        <w:spacing w:line="360" w:lineRule="auto"/>
        <w:ind w:firstLine="482" w:firstLineChars="200"/>
        <w:rPr>
          <w:rFonts w:ascii="宋体" w:hAnsi="宋体" w:cs="宋体"/>
          <w:b/>
          <w:sz w:val="24"/>
          <w:szCs w:val="24"/>
          <w:highlight w:val="none"/>
        </w:rPr>
      </w:pPr>
    </w:p>
    <w:p w14:paraId="5344737E">
      <w:pPr>
        <w:tabs>
          <w:tab w:val="left" w:pos="105"/>
        </w:tabs>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7.招标文件的组成</w:t>
      </w:r>
    </w:p>
    <w:p w14:paraId="040F9CD7">
      <w:pPr>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7.1</w:t>
      </w:r>
      <w:r>
        <w:rPr>
          <w:rFonts w:hint="eastAsia" w:ascii="宋体" w:hAnsi="宋体" w:cs="宋体"/>
          <w:sz w:val="24"/>
          <w:szCs w:val="24"/>
          <w:highlight w:val="none"/>
        </w:rPr>
        <w:t>本招标文件包括下列文件，以及所有按本须知第8条发出的招标答疑会会议纪要和按本须知第9条发出的澄清或修改：</w:t>
      </w:r>
    </w:p>
    <w:p w14:paraId="6600A571">
      <w:pPr>
        <w:pStyle w:val="34"/>
        <w:spacing w:after="0"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 xml:space="preserve">第一章  </w:t>
      </w:r>
      <w:r>
        <w:rPr>
          <w:rFonts w:hint="eastAsia" w:ascii="宋体" w:hAnsi="宋体" w:cs="宋体"/>
          <w:sz w:val="24"/>
          <w:szCs w:val="24"/>
          <w:highlight w:val="none"/>
        </w:rPr>
        <w:t>投标须知</w:t>
      </w:r>
    </w:p>
    <w:p w14:paraId="41D7C8E0">
      <w:pPr>
        <w:pStyle w:val="34"/>
        <w:spacing w:after="0"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 xml:space="preserve">第二章  </w:t>
      </w:r>
      <w:r>
        <w:rPr>
          <w:rFonts w:hint="eastAsia" w:ascii="宋体" w:hAnsi="宋体" w:cs="宋体"/>
          <w:sz w:val="24"/>
          <w:szCs w:val="24"/>
          <w:highlight w:val="none"/>
        </w:rPr>
        <w:t>开标、评标及定标办法</w:t>
      </w:r>
    </w:p>
    <w:p w14:paraId="0E4217A3">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第三章  合同条款</w:t>
      </w:r>
    </w:p>
    <w:p w14:paraId="18918F06">
      <w:pPr>
        <w:pStyle w:val="34"/>
        <w:spacing w:after="0"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 xml:space="preserve">第四章  </w:t>
      </w:r>
      <w:r>
        <w:rPr>
          <w:rFonts w:hint="eastAsia" w:ascii="宋体" w:hAnsi="宋体" w:cs="宋体"/>
          <w:sz w:val="24"/>
          <w:szCs w:val="24"/>
          <w:highlight w:val="none"/>
        </w:rPr>
        <w:t>投标文件格式</w:t>
      </w:r>
    </w:p>
    <w:p w14:paraId="2328A59C">
      <w:pPr>
        <w:pStyle w:val="34"/>
        <w:spacing w:after="0"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 xml:space="preserve">第五章  </w:t>
      </w:r>
      <w:r>
        <w:rPr>
          <w:rFonts w:hint="eastAsia" w:ascii="宋体" w:hAnsi="宋体" w:cs="宋体"/>
          <w:sz w:val="24"/>
          <w:szCs w:val="24"/>
          <w:highlight w:val="none"/>
        </w:rPr>
        <w:t>技术条件（工程建设标准）（另册）</w:t>
      </w:r>
    </w:p>
    <w:p w14:paraId="69660FA3">
      <w:pPr>
        <w:pStyle w:val="34"/>
        <w:spacing w:after="0"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 xml:space="preserve">第六章  </w:t>
      </w:r>
      <w:r>
        <w:rPr>
          <w:rFonts w:hint="eastAsia" w:ascii="宋体" w:hAnsi="宋体" w:cs="宋体"/>
          <w:sz w:val="24"/>
          <w:szCs w:val="24"/>
          <w:highlight w:val="none"/>
        </w:rPr>
        <w:t>图纸及勘察资料（另册）</w:t>
      </w:r>
    </w:p>
    <w:p w14:paraId="0B72C260">
      <w:pPr>
        <w:pStyle w:val="34"/>
        <w:spacing w:after="0"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第七章  招标</w:t>
      </w:r>
      <w:r>
        <w:rPr>
          <w:rFonts w:hint="eastAsia" w:ascii="宋体" w:hAnsi="宋体" w:cs="宋体"/>
          <w:sz w:val="24"/>
          <w:szCs w:val="24"/>
          <w:highlight w:val="none"/>
        </w:rPr>
        <w:t>工程量清单（另册）</w:t>
      </w:r>
    </w:p>
    <w:p w14:paraId="4C978E67">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第八章  最高投标限价</w:t>
      </w:r>
    </w:p>
    <w:p w14:paraId="6D3EE1BA">
      <w:pPr>
        <w:pStyle w:val="34"/>
        <w:spacing w:after="0"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注：招标人应在技术条件（工程建设标准）中明确施工现场建筑垃圾源头减量的具体要求和建筑垃圾综合利用产品的使用要求。</w:t>
      </w:r>
    </w:p>
    <w:p w14:paraId="20669462">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7.2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A57382A">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7.3投标人一旦中标，招标文件的内容对招标人和中标人双方均有约束力。</w:t>
      </w:r>
    </w:p>
    <w:p w14:paraId="1F125E74">
      <w:pPr>
        <w:pStyle w:val="34"/>
        <w:spacing w:after="0" w:line="360" w:lineRule="auto"/>
        <w:ind w:firstLine="482" w:firstLineChars="200"/>
        <w:rPr>
          <w:rFonts w:ascii="宋体" w:hAnsi="宋体" w:cs="宋体"/>
          <w:b/>
          <w:bCs/>
          <w:sz w:val="24"/>
          <w:szCs w:val="24"/>
          <w:highlight w:val="none"/>
        </w:rPr>
      </w:pPr>
    </w:p>
    <w:p w14:paraId="1EBE4EA7">
      <w:pPr>
        <w:pStyle w:val="34"/>
        <w:spacing w:after="0"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8．招标答疑</w:t>
      </w:r>
    </w:p>
    <w:p w14:paraId="05DC0D3A">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8.1投标人若对招标文件（包括招标图纸）中有疑问，可以书面形式通过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交易平台提交给招标人或招标代理人，提交形式见本须知前附表第16项。</w:t>
      </w:r>
    </w:p>
    <w:p w14:paraId="65F41228">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8.2招标答疑会会议纪要将在提交投标文件截止时间15日前在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 “项目答疑纪要”专区公开发布。答疑纪要一经在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交易平台发布，视作已发放给所有投标人。</w:t>
      </w:r>
    </w:p>
    <w:p w14:paraId="5F696930">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8.3答疑会会议纪要为招标文件的一部分。</w:t>
      </w:r>
    </w:p>
    <w:p w14:paraId="69F53C6A">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8.4若招标答疑会会议纪要与招标文件有矛盾，以答疑会议纪要最后发出的书面形式的文件为准。</w:t>
      </w:r>
    </w:p>
    <w:p w14:paraId="001B9085">
      <w:pPr>
        <w:pStyle w:val="34"/>
        <w:spacing w:after="0" w:line="360" w:lineRule="auto"/>
        <w:ind w:firstLine="482" w:firstLineChars="200"/>
        <w:rPr>
          <w:rFonts w:ascii="宋体" w:hAnsi="宋体" w:cs="宋体"/>
          <w:b/>
          <w:bCs/>
          <w:sz w:val="24"/>
          <w:szCs w:val="24"/>
          <w:highlight w:val="none"/>
        </w:rPr>
      </w:pPr>
    </w:p>
    <w:p w14:paraId="3C83E1E8">
      <w:pPr>
        <w:pStyle w:val="34"/>
        <w:spacing w:after="0"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9.招标文件的澄清与修改</w:t>
      </w:r>
    </w:p>
    <w:p w14:paraId="2A7E65D7">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9.1招标文件发出后，在提交投标文件截止时间15日前，招标人可对招标文件进行必要的澄清或修改。</w:t>
      </w:r>
    </w:p>
    <w:p w14:paraId="4E15A1D3">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9.2招标文件的澄清或修改将在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交易平台“项目答疑纪要”专区公开发布。答疑纪要一经在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交易平台发布，视作已发放给所有投标人，以</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交易平台上网发布时间作为送达时间。</w:t>
      </w:r>
    </w:p>
    <w:p w14:paraId="2EEE08C0">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9.3招标文件的修改内容为招标文件的组成部分。</w:t>
      </w:r>
    </w:p>
    <w:p w14:paraId="7CD27335">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9.4招标文件的澄清或修改均以书面形式明确的内容为准。当招标文件的澄清、修改、补充等在同一内容的表述不一致时，以最后发出的书面形式的文件为准。</w:t>
      </w:r>
    </w:p>
    <w:p w14:paraId="309AA0B5">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713FB53">
      <w:pPr>
        <w:pStyle w:val="4"/>
        <w:spacing w:before="0" w:beforeAutospacing="0" w:after="0" w:afterAutospacing="0" w:line="360" w:lineRule="auto"/>
        <w:ind w:firstLine="482" w:firstLineChars="200"/>
        <w:rPr>
          <w:b/>
          <w:bCs/>
          <w:sz w:val="24"/>
          <w:szCs w:val="24"/>
          <w:highlight w:val="none"/>
        </w:rPr>
      </w:pPr>
      <w:bookmarkStart w:id="14" w:name="_Toc21612"/>
      <w:bookmarkStart w:id="15" w:name="_Toc2272551"/>
      <w:bookmarkStart w:id="16" w:name="_Toc21525495"/>
    </w:p>
    <w:p w14:paraId="149D6224">
      <w:pPr>
        <w:pStyle w:val="4"/>
        <w:spacing w:before="0" w:beforeAutospacing="0" w:after="0" w:afterAutospacing="0" w:line="360" w:lineRule="auto"/>
        <w:ind w:firstLine="482" w:firstLineChars="200"/>
        <w:rPr>
          <w:b/>
          <w:bCs/>
          <w:sz w:val="24"/>
          <w:szCs w:val="24"/>
          <w:highlight w:val="none"/>
        </w:rPr>
      </w:pPr>
      <w:r>
        <w:rPr>
          <w:rFonts w:hint="eastAsia"/>
          <w:b/>
          <w:bCs/>
          <w:sz w:val="24"/>
          <w:szCs w:val="24"/>
          <w:highlight w:val="none"/>
        </w:rPr>
        <w:t>（三）投标文件的编制</w:t>
      </w:r>
      <w:bookmarkEnd w:id="14"/>
      <w:bookmarkEnd w:id="15"/>
      <w:bookmarkEnd w:id="16"/>
    </w:p>
    <w:p w14:paraId="74CAC163">
      <w:pPr>
        <w:pStyle w:val="34"/>
        <w:spacing w:after="0" w:line="360" w:lineRule="auto"/>
        <w:ind w:firstLine="482" w:firstLineChars="200"/>
        <w:rPr>
          <w:rFonts w:ascii="宋体" w:hAnsi="宋体" w:cs="宋体"/>
          <w:b/>
          <w:bCs/>
          <w:sz w:val="24"/>
          <w:szCs w:val="24"/>
          <w:highlight w:val="none"/>
        </w:rPr>
      </w:pPr>
    </w:p>
    <w:p w14:paraId="2169E9A7">
      <w:pPr>
        <w:pStyle w:val="34"/>
        <w:spacing w:after="0"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10．投标文件的语言及度量衡单位</w:t>
      </w:r>
    </w:p>
    <w:p w14:paraId="77357AB7">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10.1投标文件和与投标有关的所有文件均应使用中文。</w:t>
      </w:r>
    </w:p>
    <w:p w14:paraId="59B1B085">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10.2除工程规范另有规定外，投标文件使用的度量衡单位，均采用中华人民共和国法定计量单位。</w:t>
      </w:r>
    </w:p>
    <w:p w14:paraId="10CDC9D7">
      <w:pPr>
        <w:pStyle w:val="34"/>
        <w:spacing w:after="0" w:line="360" w:lineRule="auto"/>
        <w:ind w:firstLine="482" w:firstLineChars="200"/>
        <w:rPr>
          <w:rFonts w:ascii="宋体" w:hAnsi="宋体" w:cs="宋体"/>
          <w:b/>
          <w:bCs/>
          <w:sz w:val="24"/>
          <w:szCs w:val="24"/>
          <w:highlight w:val="none"/>
        </w:rPr>
      </w:pPr>
    </w:p>
    <w:p w14:paraId="41C509AF">
      <w:pPr>
        <w:pStyle w:val="34"/>
        <w:spacing w:after="0"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11．投标文件的组成</w:t>
      </w:r>
    </w:p>
    <w:p w14:paraId="3F114A7A">
      <w:pPr>
        <w:pStyle w:val="34"/>
        <w:spacing w:after="0" w:line="360" w:lineRule="auto"/>
        <w:ind w:firstLine="480" w:firstLineChars="200"/>
        <w:rPr>
          <w:rFonts w:ascii="宋体" w:hAnsi="宋体" w:cs="宋体"/>
          <w:b/>
          <w:sz w:val="24"/>
          <w:szCs w:val="24"/>
          <w:highlight w:val="none"/>
        </w:rPr>
      </w:pPr>
      <w:r>
        <w:rPr>
          <w:rFonts w:hint="eastAsia" w:ascii="宋体" w:hAnsi="宋体" w:cs="宋体"/>
          <w:sz w:val="24"/>
          <w:szCs w:val="24"/>
          <w:highlight w:val="none"/>
        </w:rPr>
        <w:t>11.1投标文件由技术部分（含资格审查文件）和经济部分二部分投标文件组成</w:t>
      </w:r>
      <w:r>
        <w:rPr>
          <w:rFonts w:hint="eastAsia" w:ascii="宋体" w:hAnsi="宋体" w:cs="宋体"/>
          <w:b/>
          <w:sz w:val="24"/>
          <w:szCs w:val="24"/>
          <w:highlight w:val="none"/>
        </w:rPr>
        <w:t>。</w:t>
      </w:r>
    </w:p>
    <w:p w14:paraId="1563043D">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11.2投标文件技术标部分主要包括下列内容：</w:t>
      </w:r>
    </w:p>
    <w:p w14:paraId="12A64A71">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11.2.1技术投标文件（</w:t>
      </w:r>
      <w:r>
        <w:rPr>
          <w:rFonts w:hint="eastAsia" w:ascii="宋体" w:hAnsi="宋体" w:cs="宋体"/>
          <w:sz w:val="24"/>
          <w:szCs w:val="24"/>
          <w:highlight w:val="none"/>
        </w:rPr>
        <w:t>按招标文件的要求填写）</w:t>
      </w:r>
      <w:r>
        <w:rPr>
          <w:rFonts w:hint="eastAsia" w:ascii="宋体" w:hAnsi="宋体" w:cs="宋体"/>
          <w:bCs/>
          <w:sz w:val="24"/>
          <w:szCs w:val="24"/>
          <w:highlight w:val="none"/>
        </w:rPr>
        <w:t>；</w:t>
      </w:r>
    </w:p>
    <w:p w14:paraId="10827FF6">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11.2.2资格审查文件：</w:t>
      </w:r>
    </w:p>
    <w:p w14:paraId="7973A89A">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 xml:space="preserve">（1）投标人声明； </w:t>
      </w:r>
    </w:p>
    <w:p w14:paraId="65180A8A">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（2）法定代表人证明书、法定代表人签字或盖章的本投标文件授权委托证明书；</w:t>
      </w:r>
    </w:p>
    <w:p w14:paraId="66592DDE">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（3）企业营业执照（取自平台内上传件）；</w:t>
      </w:r>
    </w:p>
    <w:p w14:paraId="06418068">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（4）企业资质证书（取自平台内上传件）；</w:t>
      </w:r>
    </w:p>
    <w:p w14:paraId="19E7D8B2">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（5）建筑施工企业安全生产许可证（取自平台内上传件）；</w:t>
      </w:r>
    </w:p>
    <w:p w14:paraId="6E70E001">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（6）项目负责人（按网上投标登记时选择拟投标的项目负责人）</w:t>
      </w:r>
    </w:p>
    <w:p w14:paraId="7B4E812B">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（7）专职安全员（按网上投标登记时选择拟投标的专职安全员）</w:t>
      </w:r>
    </w:p>
    <w:p w14:paraId="0DBE43BD">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（8）拟委托技术负责人的相关证书、资料（具体要求由招标人明确）</w:t>
      </w:r>
    </w:p>
    <w:p w14:paraId="5739598A">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（9）拟委派项目负责人的建造师注册证书（取自平台内上传件）；</w:t>
      </w:r>
    </w:p>
    <w:p w14:paraId="4E2CDF98">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（10）项目负责人安全生产考核合格证明或在有效期内的安全考核合格证书（B类）或建筑施工企业项目负责人安全生产考核合格证书（取自平台内上传件）；</w:t>
      </w:r>
    </w:p>
    <w:p w14:paraId="2A8AA99B">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（11）专职安全员须具有在有效期内的安全考核合格证书（C类）或建筑施工企业专职安全生产管理人员安全生产考核合格证书（取自平台内上传件）；</w:t>
      </w:r>
    </w:p>
    <w:p w14:paraId="24995B8E">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（12）用于资格审查的业绩（设置业绩要求时选择此项，投标人</w:t>
      </w:r>
      <w:r>
        <w:rPr>
          <w:rFonts w:hint="eastAsia" w:ascii="宋体" w:hAnsi="宋体" w:cs="宋体"/>
          <w:sz w:val="24"/>
          <w:szCs w:val="24"/>
          <w:highlight w:val="none"/>
        </w:rPr>
        <w:t>须提供类似工程业绩的项目名称及项目编号，具体格式由招标人自定</w:t>
      </w:r>
      <w:r>
        <w:rPr>
          <w:rFonts w:hint="eastAsia" w:ascii="宋体" w:hAnsi="宋体" w:cs="宋体"/>
          <w:bCs/>
          <w:sz w:val="24"/>
          <w:szCs w:val="24"/>
          <w:highlight w:val="none"/>
        </w:rPr>
        <w:t>）；</w:t>
      </w:r>
    </w:p>
    <w:p w14:paraId="2A5A0B90">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（13）资格审查前，投标人须在广州市住房和城乡建设局建立企业信用档案，拟担任本工程项目负责人、专职安全员须是本企业信用档案中的在册人员。</w:t>
      </w:r>
    </w:p>
    <w:p w14:paraId="5B7A56E5">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s="宋体"/>
          <w:sz w:val="24"/>
          <w:szCs w:val="24"/>
          <w:highlight w:val="none"/>
        </w:rPr>
        <w:t>联合体工作协议应明确约定各方拟承担的工作和责任</w:t>
      </w:r>
      <w:r>
        <w:rPr>
          <w:rFonts w:hint="eastAsia" w:ascii="宋体" w:hAnsi="宋体" w:cs="宋体"/>
          <w:bCs/>
          <w:sz w:val="24"/>
          <w:szCs w:val="24"/>
          <w:highlight w:val="none"/>
        </w:rPr>
        <w:t>）；</w:t>
      </w:r>
    </w:p>
    <w:p w14:paraId="7F64893F">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（15）</w:t>
      </w:r>
      <w:r>
        <w:rPr>
          <w:rFonts w:hint="eastAsia" w:ascii="宋体" w:hAnsi="宋体" w:cs="宋体"/>
          <w:sz w:val="24"/>
          <w:szCs w:val="24"/>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4EF231F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11.2.3项目管理机构配备。</w:t>
      </w:r>
    </w:p>
    <w:p w14:paraId="3C73C92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（1）投标人应列出该项目工程的施工组织机构构成和画出机构框架图及其负责人；</w:t>
      </w:r>
    </w:p>
    <w:p w14:paraId="40F83FF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（2）投标人应详细列出该施工组织机构中主要成员的名单、简历资料、职务职称和在本项目中拟担任的职务等资料，并附上有关证明材料扫描件；</w:t>
      </w:r>
    </w:p>
    <w:p w14:paraId="0EBA06E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（3）其他辅助说明资料。</w:t>
      </w:r>
    </w:p>
    <w:p w14:paraId="11A7732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11.2.4投标人在广州市可使用适合本工程的机械设备（附：机械设备为自有或租赁的说明；及承诺机械设备如属于租赁的，其租赁是不属于重复租赁）。</w:t>
      </w:r>
    </w:p>
    <w:p w14:paraId="5FFA8C71">
      <w:pPr>
        <w:tabs>
          <w:tab w:val="left" w:pos="1125"/>
        </w:tabs>
        <w:spacing w:line="360"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11.2.5施工组织设计或施工方案。</w:t>
      </w:r>
      <w:r>
        <w:rPr>
          <w:rFonts w:hint="eastAsia" w:ascii="宋体" w:hAnsi="宋体" w:cs="宋体"/>
          <w:b/>
          <w:bCs/>
          <w:sz w:val="24"/>
          <w:szCs w:val="24"/>
          <w:highlight w:val="none"/>
        </w:rPr>
        <w:t>（投标人在编制施工组织设计或施工方案时应按照招标人提出的施工现场建筑垃圾源头减量的具体要求以及建筑垃圾综合利用产品的使用要求提供相应措施。）</w:t>
      </w:r>
    </w:p>
    <w:p w14:paraId="29EAB800">
      <w:pPr>
        <w:tabs>
          <w:tab w:val="left" w:pos="1125"/>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11.2.6按照</w:t>
      </w:r>
      <w:r>
        <w:rPr>
          <w:rFonts w:hint="eastAsia" w:ascii="宋体" w:hAnsi="宋体" w:cs="宋体"/>
          <w:bCs/>
          <w:sz w:val="24"/>
          <w:szCs w:val="24"/>
          <w:highlight w:val="none"/>
        </w:rPr>
        <w:t>招标文件要求</w:t>
      </w:r>
      <w:r>
        <w:rPr>
          <w:rFonts w:hint="eastAsia" w:ascii="宋体" w:hAnsi="宋体" w:cs="宋体"/>
          <w:sz w:val="24"/>
          <w:szCs w:val="24"/>
          <w:highlight w:val="none"/>
        </w:rPr>
        <w:t>填写的《参与编制技术标投标文件人员名单》。</w:t>
      </w:r>
    </w:p>
    <w:p w14:paraId="2CA18F86">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11.3经济部分投标文件主要包括下列内容：</w:t>
      </w:r>
    </w:p>
    <w:p w14:paraId="4D0BD20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11.3.1经济投标文件（按招标文件的要求填写）。</w:t>
      </w:r>
    </w:p>
    <w:p w14:paraId="598477C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49F32FE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（1）投标总价封面、扉页；</w:t>
      </w:r>
    </w:p>
    <w:p w14:paraId="1182B13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（2）总说明</w:t>
      </w:r>
    </w:p>
    <w:p w14:paraId="5DD5C9E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（3）工程项目投标报价汇总表；</w:t>
      </w:r>
    </w:p>
    <w:p w14:paraId="6DAF4F7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（4）单项工程投标报价汇总表；</w:t>
      </w:r>
    </w:p>
    <w:p w14:paraId="7989BE4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（5）单位工程投标报价汇总表；</w:t>
      </w:r>
    </w:p>
    <w:p w14:paraId="3454E56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（6）分部分项工程清单与计价表；</w:t>
      </w:r>
    </w:p>
    <w:p w14:paraId="37F0C0B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（7）单价措施项目清单与计价表；</w:t>
      </w:r>
    </w:p>
    <w:p w14:paraId="2A1EC7D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（8）总价措施项目清单与计价表；</w:t>
      </w:r>
    </w:p>
    <w:p w14:paraId="79E61B6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（9）综合单价分析表；</w:t>
      </w:r>
    </w:p>
    <w:p w14:paraId="0BB678D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（10）其他项目清单与计价汇总表；</w:t>
      </w:r>
    </w:p>
    <w:p w14:paraId="7246A6F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（11）暂列金额明细表；</w:t>
      </w:r>
    </w:p>
    <w:p w14:paraId="1B7F7FC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（12）材料（工程设备）暂估价明细表；</w:t>
      </w:r>
    </w:p>
    <w:p w14:paraId="05551A6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（13）专业工程暂估价明细表；</w:t>
      </w:r>
    </w:p>
    <w:p w14:paraId="2CE2D4F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（14）计日工表；</w:t>
      </w:r>
    </w:p>
    <w:p w14:paraId="1510984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（15）总承包服务计价表；</w:t>
      </w:r>
    </w:p>
    <w:p w14:paraId="38AF2E3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（16）规费和税金项目计价表；</w:t>
      </w:r>
    </w:p>
    <w:p w14:paraId="338BE97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（17）人工、主要材料和设备一览表</w:t>
      </w:r>
    </w:p>
    <w:p w14:paraId="19874D26">
      <w:pPr>
        <w:tabs>
          <w:tab w:val="left" w:pos="1125"/>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11.3.3按照</w:t>
      </w:r>
      <w:r>
        <w:rPr>
          <w:rFonts w:hint="eastAsia" w:ascii="宋体" w:hAnsi="宋体" w:cs="宋体"/>
          <w:bCs/>
          <w:sz w:val="24"/>
          <w:szCs w:val="24"/>
          <w:highlight w:val="none"/>
        </w:rPr>
        <w:t>招标文件要求</w:t>
      </w:r>
      <w:r>
        <w:rPr>
          <w:rFonts w:hint="eastAsia" w:ascii="宋体" w:hAnsi="宋体" w:cs="宋体"/>
          <w:sz w:val="24"/>
          <w:szCs w:val="24"/>
          <w:highlight w:val="none"/>
        </w:rPr>
        <w:t>填写的《参与编制经济标投标文件人员名单》。</w:t>
      </w:r>
    </w:p>
    <w:p w14:paraId="76A76E03">
      <w:pPr>
        <w:tabs>
          <w:tab w:val="left" w:pos="1125"/>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11.3.4若投标人的投标报价低于工程成本警戒价的，投标人还须提供详细的施工组织设计、单价、措施性费用、单价分析表、主要材料价格表、投标人成本分析供评标委员会评审。</w:t>
      </w:r>
    </w:p>
    <w:p w14:paraId="103466AC">
      <w:pPr>
        <w:pStyle w:val="34"/>
        <w:spacing w:after="0" w:line="360" w:lineRule="auto"/>
        <w:ind w:firstLine="482" w:firstLineChars="200"/>
        <w:rPr>
          <w:rFonts w:ascii="宋体" w:hAnsi="宋体" w:cs="宋体"/>
          <w:b/>
          <w:bCs/>
          <w:sz w:val="24"/>
          <w:szCs w:val="24"/>
          <w:highlight w:val="none"/>
        </w:rPr>
      </w:pPr>
    </w:p>
    <w:p w14:paraId="45539872">
      <w:pPr>
        <w:pStyle w:val="34"/>
        <w:spacing w:after="0"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12．投标文件格式</w:t>
      </w:r>
    </w:p>
    <w:p w14:paraId="330C1D97">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12.1投标文件包括本须知第11条中规定的内容，投标人提交的投标文件应当使用招标文件所提供的投标文件全部格式（表格可以按同样格式扩展）。</w:t>
      </w:r>
    </w:p>
    <w:p w14:paraId="72D7EAF7">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605E0003">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12.3</w:t>
      </w:r>
      <w:r>
        <w:rPr>
          <w:rFonts w:hint="eastAsia" w:ascii="宋体" w:hAnsi="宋体" w:cs="宋体"/>
          <w:bCs/>
          <w:sz w:val="24"/>
          <w:szCs w:val="24"/>
          <w:highlight w:val="none"/>
        </w:rPr>
        <w:t>投标文件应按</w:t>
      </w:r>
      <w:r>
        <w:rPr>
          <w:rFonts w:hint="eastAsia" w:ascii="宋体" w:hAnsi="宋体" w:cs="宋体"/>
          <w:sz w:val="24"/>
          <w:szCs w:val="24"/>
          <w:highlight w:val="none"/>
        </w:rPr>
        <w:t>照交易平台关于全流程电子化项目的相关指南进行编制，详见：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11335DB7">
      <w:pPr>
        <w:pStyle w:val="34"/>
        <w:spacing w:after="0"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如不按上述要求编制引起系统无法检索、读取相关信息的，其后果由投标人承担。</w:t>
      </w:r>
    </w:p>
    <w:p w14:paraId="7A9EFB29">
      <w:pPr>
        <w:pStyle w:val="34"/>
        <w:spacing w:after="0" w:line="360" w:lineRule="auto"/>
        <w:ind w:firstLine="482" w:firstLineChars="200"/>
        <w:rPr>
          <w:rFonts w:ascii="宋体" w:hAnsi="宋体" w:cs="宋体"/>
          <w:b/>
          <w:bCs/>
          <w:sz w:val="24"/>
          <w:szCs w:val="24"/>
          <w:highlight w:val="none"/>
        </w:rPr>
      </w:pPr>
    </w:p>
    <w:p w14:paraId="40165140">
      <w:pPr>
        <w:pStyle w:val="34"/>
        <w:spacing w:after="0"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13．投标报价及造价承包和变更结算方式</w:t>
      </w:r>
    </w:p>
    <w:p w14:paraId="3337D9BF">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13.1本工程的投标报价采用投标须知前附表第12项所规定的方式。投标报价（含单价及总价）精确到“分”。</w:t>
      </w:r>
    </w:p>
    <w:p w14:paraId="00A93188">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75DDEA45">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D715E4A">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13B209C">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345EF7CF">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13.5.1中标的投标文件工程量清单中已有相同项目的适用综合单价，则沿用；</w:t>
      </w:r>
    </w:p>
    <w:p w14:paraId="3A5592B2">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7FE98FFA">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13.5.3中标的投标文件工程量清单中没有相同项目或类似项目的，如可套取相关定额，则以相关定额为基数下浮计算单价，下浮率为中标价相对于最高投标限价的下浮率（下浮率=(最高投标限价-中标价)/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3E455771">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13.5.4如相关定额没有相应子目的，其计价方式由招标人在本招标文件第三章中另行规定。未规定的，中标后双方协商约定。</w:t>
      </w:r>
    </w:p>
    <w:p w14:paraId="05385A01">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13.6暂列金额、暂估价</w:t>
      </w:r>
    </w:p>
    <w:p w14:paraId="5DE18492">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2FA7B553">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暂估价是指招标人在工程量清单中提供的用于支付必然发生但暂时不能确定价格的材料的单价以及专业工程的金额。</w:t>
      </w:r>
    </w:p>
    <w:p w14:paraId="4FE3F44A">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771F8B21">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10295F70">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1E3EF546">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05450FF">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13.6.6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6DB44D48">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3905ACBB">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29C0593A">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532BD0FF">
      <w:pPr>
        <w:pStyle w:val="34"/>
        <w:spacing w:after="0" w:line="360" w:lineRule="auto"/>
        <w:ind w:firstLine="482" w:firstLineChars="200"/>
        <w:rPr>
          <w:rFonts w:ascii="宋体" w:hAnsi="宋体" w:cs="宋体"/>
          <w:b/>
          <w:bCs/>
          <w:sz w:val="24"/>
          <w:szCs w:val="24"/>
          <w:highlight w:val="none"/>
        </w:rPr>
      </w:pPr>
    </w:p>
    <w:p w14:paraId="52FDB90D">
      <w:pPr>
        <w:pStyle w:val="34"/>
        <w:spacing w:after="0"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14．投标货币</w:t>
      </w:r>
    </w:p>
    <w:p w14:paraId="6AB10F92">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14.1本工程投标报价采用的币种为人民币。</w:t>
      </w:r>
    </w:p>
    <w:p w14:paraId="25AF4ACD">
      <w:pPr>
        <w:pStyle w:val="34"/>
        <w:spacing w:after="0" w:line="360" w:lineRule="auto"/>
        <w:ind w:firstLine="482" w:firstLineChars="200"/>
        <w:rPr>
          <w:rFonts w:ascii="宋体" w:hAnsi="宋体" w:cs="宋体"/>
          <w:b/>
          <w:bCs/>
          <w:sz w:val="24"/>
          <w:szCs w:val="24"/>
          <w:highlight w:val="none"/>
        </w:rPr>
      </w:pPr>
    </w:p>
    <w:p w14:paraId="50D5707D">
      <w:pPr>
        <w:pStyle w:val="34"/>
        <w:spacing w:after="0" w:line="360" w:lineRule="auto"/>
        <w:ind w:firstLine="482" w:firstLineChars="200"/>
        <w:rPr>
          <w:rFonts w:ascii="宋体" w:hAnsi="宋体" w:cs="宋体"/>
          <w:sz w:val="24"/>
          <w:szCs w:val="24"/>
          <w:highlight w:val="none"/>
        </w:rPr>
      </w:pPr>
      <w:r>
        <w:rPr>
          <w:rFonts w:hint="eastAsia" w:ascii="宋体" w:hAnsi="宋体" w:cs="宋体"/>
          <w:b/>
          <w:bCs/>
          <w:sz w:val="24"/>
          <w:szCs w:val="24"/>
          <w:highlight w:val="none"/>
        </w:rPr>
        <w:t>15．投标有效期</w:t>
      </w:r>
    </w:p>
    <w:p w14:paraId="27495955">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15.1投标有效期见投标须知前附表第13项所规定的期限，在此期限内，凡符合本招标文件要求的投标文件均保持有效。</w:t>
      </w:r>
    </w:p>
    <w:p w14:paraId="43F4D743">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22F306D3">
      <w:pPr>
        <w:pStyle w:val="34"/>
        <w:spacing w:after="0" w:line="360" w:lineRule="auto"/>
        <w:ind w:firstLine="482" w:firstLineChars="200"/>
        <w:rPr>
          <w:rFonts w:ascii="宋体" w:hAnsi="宋体" w:cs="宋体"/>
          <w:b/>
          <w:bCs/>
          <w:sz w:val="24"/>
          <w:szCs w:val="24"/>
          <w:highlight w:val="none"/>
        </w:rPr>
      </w:pPr>
    </w:p>
    <w:p w14:paraId="60598C31">
      <w:pPr>
        <w:pStyle w:val="34"/>
        <w:spacing w:after="0"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16．投标保证金</w:t>
      </w:r>
    </w:p>
    <w:p w14:paraId="66640ED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16.1投标人应按投标须知前附表第14项所述金额和时间递交</w:t>
      </w:r>
      <w:r>
        <w:rPr>
          <w:rFonts w:hint="eastAsia" w:ascii="宋体" w:hAnsi="宋体" w:cs="宋体"/>
          <w:bCs/>
          <w:sz w:val="24"/>
          <w:szCs w:val="24"/>
          <w:highlight w:val="none"/>
        </w:rPr>
        <w:t>投标保证金</w:t>
      </w:r>
      <w:r>
        <w:rPr>
          <w:rFonts w:hint="eastAsia" w:ascii="宋体" w:hAnsi="宋体" w:cs="宋体"/>
          <w:sz w:val="24"/>
          <w:szCs w:val="24"/>
          <w:highlight w:val="none"/>
        </w:rPr>
        <w:t>。招标人应当允许投标人自主选择现金、银行保函、保证保险、专业工程担保公司担保等方式缴纳投标保证金。</w:t>
      </w:r>
    </w:p>
    <w:p w14:paraId="279A1C2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16.1.1采用现金或者支票形式提交的，投标保证金须从投标人的银行基本账户转出。</w:t>
      </w:r>
    </w:p>
    <w:p w14:paraId="5E37F4E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3BAA30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16.1.3采用电子形式的保函、担保或保证保险提交投标保证金的，应在招标文件中明确电子递交途径。</w:t>
      </w:r>
    </w:p>
    <w:p w14:paraId="4A0DE37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11DD345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16.3投标保证金应依据法律法规的相关规定退还。</w:t>
      </w:r>
    </w:p>
    <w:p w14:paraId="6E2D9FB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16.4如有下列情况之一的，招标人可以不予退还投标保证金（是否退还投标保证金由招标人在招标文件中规定）：</w:t>
      </w:r>
    </w:p>
    <w:p w14:paraId="6755B6A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16.4.1因投标人原因造成投标文件未解密的；</w:t>
      </w:r>
    </w:p>
    <w:p w14:paraId="5E4C155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16.4.2投标人在投标有效期内撤销投标文件；</w:t>
      </w:r>
    </w:p>
    <w:p w14:paraId="27DB255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16.4.3中标人未能在规定期限内按要求提交履约担保；</w:t>
      </w:r>
    </w:p>
    <w:p w14:paraId="1D351F3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16.4.4中标人未能在规定期限内签署合同协议。</w:t>
      </w:r>
    </w:p>
    <w:p w14:paraId="19FACD2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16.5投标人如存在下列情况之一的，将被拒绝在一定时期内参与招标人后续工程投标（拒绝时限需在招标文件中明确）：</w:t>
      </w:r>
    </w:p>
    <w:p w14:paraId="459C508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16.5.1投标人存在16.4条款所列情形且投标人提交的保函、担保或保证保险无法兑付的；</w:t>
      </w:r>
    </w:p>
    <w:p w14:paraId="18C9B68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16.5.2采用非电子形式提交投标保证金的投标人存在16.4条款所列情形，且未按招标人要求补交银行保函、专业工程担保公司担保或保证保险原件的；</w:t>
      </w:r>
    </w:p>
    <w:p w14:paraId="0D6BA24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16.5.3按招标文件要求免于提供投标保证金的投标人存在16.4条款所列情形，且未按招标人要求补交投标保证金的；</w:t>
      </w:r>
    </w:p>
    <w:p w14:paraId="753D135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16.5.3按招标文件要求免于提供投标保证金的投标人存在16.4条款所列情形的。</w:t>
      </w:r>
    </w:p>
    <w:p w14:paraId="431D095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注：16.5.3款由招标人二选一，需在招标文件中明确。</w:t>
      </w:r>
    </w:p>
    <w:p w14:paraId="4BFC22C0">
      <w:pPr>
        <w:pStyle w:val="34"/>
        <w:spacing w:after="0" w:line="360" w:lineRule="auto"/>
        <w:ind w:firstLine="482" w:firstLineChars="200"/>
        <w:rPr>
          <w:rFonts w:ascii="宋体" w:hAnsi="宋体" w:cs="宋体"/>
          <w:b/>
          <w:bCs/>
          <w:sz w:val="24"/>
          <w:szCs w:val="24"/>
          <w:highlight w:val="none"/>
        </w:rPr>
      </w:pPr>
    </w:p>
    <w:p w14:paraId="22CDF8EB">
      <w:pPr>
        <w:pStyle w:val="34"/>
        <w:spacing w:after="0"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17．投标文件的签署</w:t>
      </w:r>
    </w:p>
    <w:p w14:paraId="52D308B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0501466C">
      <w:pPr>
        <w:pStyle w:val="4"/>
        <w:spacing w:before="0" w:beforeAutospacing="0" w:after="0" w:afterAutospacing="0" w:line="360" w:lineRule="auto"/>
        <w:ind w:firstLine="482" w:firstLineChars="200"/>
        <w:rPr>
          <w:b/>
          <w:bCs/>
          <w:sz w:val="24"/>
          <w:szCs w:val="24"/>
          <w:highlight w:val="none"/>
        </w:rPr>
      </w:pPr>
      <w:bookmarkStart w:id="17" w:name="_Toc2272552"/>
      <w:bookmarkStart w:id="18" w:name="_Toc3533"/>
      <w:bookmarkStart w:id="19" w:name="_Toc21525496"/>
    </w:p>
    <w:p w14:paraId="1CF741BA">
      <w:pPr>
        <w:pStyle w:val="4"/>
        <w:spacing w:before="0" w:beforeAutospacing="0" w:after="0" w:afterAutospacing="0" w:line="360" w:lineRule="auto"/>
        <w:ind w:firstLine="482" w:firstLineChars="200"/>
        <w:rPr>
          <w:b/>
          <w:bCs/>
          <w:sz w:val="24"/>
          <w:szCs w:val="24"/>
          <w:highlight w:val="none"/>
        </w:rPr>
      </w:pPr>
      <w:r>
        <w:rPr>
          <w:rFonts w:hint="eastAsia"/>
          <w:b/>
          <w:bCs/>
          <w:sz w:val="24"/>
          <w:szCs w:val="24"/>
          <w:highlight w:val="none"/>
        </w:rPr>
        <w:t>（四）投标文件的提交</w:t>
      </w:r>
      <w:bookmarkEnd w:id="17"/>
      <w:bookmarkEnd w:id="18"/>
      <w:bookmarkEnd w:id="19"/>
    </w:p>
    <w:p w14:paraId="54A141A7">
      <w:pPr>
        <w:pStyle w:val="34"/>
        <w:spacing w:after="0" w:line="360" w:lineRule="auto"/>
        <w:ind w:firstLine="482" w:firstLineChars="200"/>
        <w:rPr>
          <w:rFonts w:ascii="宋体" w:hAnsi="宋体" w:cs="宋体"/>
          <w:b/>
          <w:bCs/>
          <w:sz w:val="24"/>
          <w:szCs w:val="24"/>
          <w:highlight w:val="none"/>
        </w:rPr>
      </w:pPr>
    </w:p>
    <w:p w14:paraId="49608FA4">
      <w:pPr>
        <w:pStyle w:val="34"/>
        <w:spacing w:after="0"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18．</w:t>
      </w:r>
      <w:r>
        <w:rPr>
          <w:rFonts w:hint="eastAsia" w:ascii="宋体" w:hAnsi="宋体" w:cs="宋体"/>
          <w:b/>
          <w:sz w:val="24"/>
          <w:szCs w:val="24"/>
          <w:highlight w:val="none"/>
        </w:rPr>
        <w:t>投标文件的密封和标记</w:t>
      </w:r>
    </w:p>
    <w:p w14:paraId="1873569B">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18.1递交的电子投标文件（不含备用光盘）必须进行加密。按照交易平台关于</w:t>
      </w:r>
      <w:r>
        <w:rPr>
          <w:rFonts w:hint="eastAsia" w:ascii="宋体" w:hAnsi="宋体" w:cs="宋体"/>
          <w:sz w:val="24"/>
          <w:szCs w:val="24"/>
          <w:highlight w:val="none"/>
        </w:rPr>
        <w:t>全流程电子化项目的相关指南进行操作。详见：</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1BCE2B7D">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18.2未按要求加密的投标文件，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w:t>
      </w:r>
      <w:r>
        <w:rPr>
          <w:rFonts w:hint="eastAsia" w:ascii="宋体" w:hAnsi="宋体" w:cs="宋体"/>
          <w:bCs/>
          <w:sz w:val="24"/>
          <w:szCs w:val="24"/>
          <w:highlight w:val="none"/>
        </w:rPr>
        <w:t>将予以拒收。</w:t>
      </w:r>
    </w:p>
    <w:p w14:paraId="4F671035">
      <w:pPr>
        <w:spacing w:line="360" w:lineRule="auto"/>
        <w:ind w:firstLine="482" w:firstLineChars="200"/>
        <w:rPr>
          <w:rFonts w:ascii="宋体" w:hAnsi="宋体" w:cs="宋体"/>
          <w:b/>
          <w:bCs/>
          <w:sz w:val="24"/>
          <w:szCs w:val="24"/>
          <w:highlight w:val="none"/>
        </w:rPr>
      </w:pPr>
    </w:p>
    <w:p w14:paraId="3FE5AB21">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19．投标文件的递交和接收</w:t>
      </w:r>
    </w:p>
    <w:p w14:paraId="68E2DDB6">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19.1投标人通过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交易平台递交电子投标文件。</w:t>
      </w:r>
    </w:p>
    <w:p w14:paraId="62608F51">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19.2投标人完成电子</w:t>
      </w:r>
      <w:r>
        <w:rPr>
          <w:rFonts w:hint="eastAsia" w:ascii="宋体" w:hAnsi="宋体" w:cs="宋体"/>
          <w:sz w:val="24"/>
          <w:szCs w:val="24"/>
          <w:highlight w:val="none"/>
        </w:rPr>
        <w:t>投标文件</w:t>
      </w:r>
      <w:r>
        <w:rPr>
          <w:rFonts w:hint="eastAsia" w:ascii="宋体" w:hAnsi="宋体" w:cs="宋体"/>
          <w:bCs/>
          <w:sz w:val="24"/>
          <w:szCs w:val="24"/>
          <w:highlight w:val="none"/>
        </w:rPr>
        <w:t>上传后，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交易平台即时向投标人发出递交回执通知。递交时间以递交回执通知载明的传输完成时间为准。</w:t>
      </w:r>
    </w:p>
    <w:p w14:paraId="2D670E76">
      <w:pPr>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19.3逾期送达的电子投标文件，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交易平台将予以拒收。</w:t>
      </w:r>
    </w:p>
    <w:p w14:paraId="65A29E4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19.4投标截止前，招标人拒绝接收符合条件的投标文件，投标人可向招标投标监督机构投诉。</w:t>
      </w:r>
    </w:p>
    <w:p w14:paraId="2A9E183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19.5如技术标和经济标先后分别开启，</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交易平台将按招标文件规定的时间分别开启技术标和经济标。</w:t>
      </w:r>
    </w:p>
    <w:p w14:paraId="0E134EA6">
      <w:pPr>
        <w:spacing w:line="360" w:lineRule="auto"/>
        <w:ind w:firstLine="482" w:firstLineChars="200"/>
        <w:rPr>
          <w:rFonts w:ascii="宋体" w:hAnsi="宋体" w:cs="宋体"/>
          <w:b/>
          <w:bCs/>
          <w:sz w:val="24"/>
          <w:szCs w:val="24"/>
          <w:highlight w:val="none"/>
        </w:rPr>
      </w:pPr>
    </w:p>
    <w:p w14:paraId="15BCDBEC">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20．投标文件提交的截止时间</w:t>
      </w:r>
    </w:p>
    <w:p w14:paraId="094DA742">
      <w:pPr>
        <w:spacing w:line="360"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20.1投标人应在投标须知前附表第17项所述的时间前提交投标文件。</w:t>
      </w:r>
    </w:p>
    <w:p w14:paraId="03163D2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14:paraId="0734170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20.3到投标截止时间止，招标人收到的投标文件少于3家的，招标人将重新组织招标（当N个标段同时招标且不允许兼中时，若有效投标人不足N+2家，则重新组织招标）。</w:t>
      </w:r>
    </w:p>
    <w:p w14:paraId="7462FFB7">
      <w:pPr>
        <w:spacing w:line="360" w:lineRule="auto"/>
        <w:ind w:firstLine="482" w:firstLineChars="200"/>
        <w:rPr>
          <w:rFonts w:ascii="宋体" w:hAnsi="宋体" w:cs="宋体"/>
          <w:b/>
          <w:bCs/>
          <w:sz w:val="24"/>
          <w:szCs w:val="24"/>
          <w:highlight w:val="none"/>
        </w:rPr>
      </w:pPr>
    </w:p>
    <w:p w14:paraId="14F90077">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21．迟交的投标文件</w:t>
      </w:r>
    </w:p>
    <w:p w14:paraId="2F939CA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21.1 本须知前附表第17项规定的投标截止时间</w:t>
      </w:r>
      <w:r>
        <w:rPr>
          <w:rFonts w:hint="eastAsia" w:ascii="宋体" w:hAnsi="宋体" w:cs="宋体"/>
          <w:bCs/>
          <w:sz w:val="24"/>
          <w:szCs w:val="24"/>
          <w:highlight w:val="none"/>
        </w:rPr>
        <w:t>后送达的电子投标文件，</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交易平台将予以拒收。</w:t>
      </w:r>
    </w:p>
    <w:p w14:paraId="4CECF706">
      <w:pPr>
        <w:spacing w:line="360" w:lineRule="auto"/>
        <w:ind w:firstLine="482" w:firstLineChars="200"/>
        <w:rPr>
          <w:rFonts w:ascii="宋体" w:hAnsi="宋体" w:cs="宋体"/>
          <w:b/>
          <w:bCs/>
          <w:sz w:val="24"/>
          <w:szCs w:val="24"/>
          <w:highlight w:val="none"/>
        </w:rPr>
      </w:pPr>
    </w:p>
    <w:p w14:paraId="39CD8AE7">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22．投标文件的修改与撤回</w:t>
      </w:r>
    </w:p>
    <w:p w14:paraId="1D56A51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22.1在规定的投标截止时间前，投标人可以修改或撤回已递交的投标文件，但应以书面形式通知招标人。</w:t>
      </w:r>
    </w:p>
    <w:p w14:paraId="2007859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22.2投标人修改或撤回已递交的投标文件，需在交易平台发出修改或撤回通知，并按要求加盖电子印章。</w:t>
      </w:r>
      <w:r>
        <w:rPr>
          <w:rFonts w:hint="eastAsia" w:ascii="宋体" w:hAnsi="宋体" w:cs="宋体"/>
          <w:bCs/>
          <w:iCs/>
          <w:sz w:val="24"/>
          <w:szCs w:val="24"/>
          <w:highlight w:val="none"/>
        </w:rPr>
        <w:t>电子招标投标交易平台收到通知后，</w:t>
      </w:r>
      <w:r>
        <w:rPr>
          <w:rFonts w:hint="eastAsia" w:ascii="宋体" w:hAnsi="宋体" w:cs="宋体"/>
          <w:sz w:val="24"/>
          <w:szCs w:val="24"/>
          <w:highlight w:val="none"/>
        </w:rPr>
        <w:t>即时向投标人发出确认回执通知。</w:t>
      </w:r>
    </w:p>
    <w:p w14:paraId="5B9DF5A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22.3修改后再次递交的，按19点的规定执行。</w:t>
      </w:r>
    </w:p>
    <w:p w14:paraId="55E71B0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22.4在投标截止时间之后，投标人不得补充、修改和更换投标文件。</w:t>
      </w:r>
    </w:p>
    <w:p w14:paraId="1E03ECCD">
      <w:pPr>
        <w:pStyle w:val="4"/>
        <w:spacing w:before="0" w:beforeAutospacing="0" w:after="0" w:afterAutospacing="0" w:line="360" w:lineRule="auto"/>
        <w:ind w:firstLine="482" w:firstLineChars="200"/>
        <w:rPr>
          <w:b/>
          <w:bCs/>
          <w:sz w:val="24"/>
          <w:szCs w:val="24"/>
          <w:highlight w:val="none"/>
        </w:rPr>
      </w:pPr>
      <w:bookmarkStart w:id="20" w:name="_Toc21525497"/>
      <w:bookmarkStart w:id="21" w:name="_Toc28573"/>
      <w:bookmarkStart w:id="22" w:name="_Toc2272553"/>
    </w:p>
    <w:p w14:paraId="17A03C7B">
      <w:pPr>
        <w:pStyle w:val="4"/>
        <w:spacing w:before="0" w:beforeAutospacing="0" w:after="0" w:afterAutospacing="0" w:line="360" w:lineRule="auto"/>
        <w:ind w:firstLine="482" w:firstLineChars="200"/>
        <w:rPr>
          <w:b/>
          <w:bCs/>
          <w:sz w:val="24"/>
          <w:szCs w:val="24"/>
          <w:highlight w:val="none"/>
        </w:rPr>
      </w:pPr>
      <w:r>
        <w:rPr>
          <w:rFonts w:hint="eastAsia"/>
          <w:b/>
          <w:bCs/>
          <w:sz w:val="24"/>
          <w:szCs w:val="24"/>
          <w:highlight w:val="none"/>
        </w:rPr>
        <w:t>（五）开标、评标、定标及合同签定</w:t>
      </w:r>
      <w:bookmarkEnd w:id="20"/>
      <w:bookmarkEnd w:id="21"/>
      <w:bookmarkEnd w:id="22"/>
    </w:p>
    <w:p w14:paraId="793D0383">
      <w:pPr>
        <w:spacing w:line="360" w:lineRule="auto"/>
        <w:ind w:firstLine="482" w:firstLineChars="200"/>
        <w:rPr>
          <w:rFonts w:ascii="宋体" w:hAnsi="宋体" w:cs="宋体"/>
          <w:b/>
          <w:bCs/>
          <w:sz w:val="24"/>
          <w:szCs w:val="24"/>
          <w:highlight w:val="none"/>
        </w:rPr>
      </w:pPr>
    </w:p>
    <w:p w14:paraId="34BCA7B6">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23</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开标。</w:t>
      </w:r>
    </w:p>
    <w:p w14:paraId="447AB2F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详见第二章开标、评标及定标办法</w:t>
      </w:r>
    </w:p>
    <w:p w14:paraId="32311410">
      <w:pPr>
        <w:spacing w:line="360" w:lineRule="auto"/>
        <w:ind w:firstLine="482" w:firstLineChars="200"/>
        <w:rPr>
          <w:rFonts w:ascii="宋体" w:hAnsi="宋体" w:cs="宋体"/>
          <w:b/>
          <w:bCs/>
          <w:sz w:val="24"/>
          <w:szCs w:val="24"/>
          <w:highlight w:val="none"/>
        </w:rPr>
      </w:pPr>
    </w:p>
    <w:p w14:paraId="1FDB6B3A">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24．评标过程的保密</w:t>
      </w:r>
    </w:p>
    <w:p w14:paraId="3FAD598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24.1开标后，直至中标公示为止，凡属于对投标文件的审查、澄清、评价和比较有关的资料以及中标候选人的推荐情况，与评标有关的其他任何情况均严格保密。</w:t>
      </w:r>
    </w:p>
    <w:p w14:paraId="784F5DA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24.2在投标文件的评审和比较、中标候选人推荐以及授予合同的过程中，投标人向招标人和评标委员会施加不公正影响的任何行为，都将会导致其投标被拒绝。</w:t>
      </w:r>
    </w:p>
    <w:p w14:paraId="17C823C3">
      <w:pPr>
        <w:spacing w:line="360" w:lineRule="auto"/>
        <w:ind w:firstLine="482" w:firstLineChars="200"/>
        <w:rPr>
          <w:rFonts w:ascii="宋体" w:hAnsi="宋体" w:cs="宋体"/>
          <w:b/>
          <w:bCs/>
          <w:sz w:val="24"/>
          <w:szCs w:val="24"/>
          <w:highlight w:val="none"/>
        </w:rPr>
      </w:pPr>
    </w:p>
    <w:p w14:paraId="7410B8E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25．投标文件的澄清，计算错误的修正</w:t>
      </w:r>
    </w:p>
    <w:p w14:paraId="409206D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详见招标文件第二章开标、评标及定标办法</w:t>
      </w:r>
    </w:p>
    <w:p w14:paraId="3D1DB522">
      <w:pPr>
        <w:spacing w:line="360" w:lineRule="auto"/>
        <w:ind w:firstLine="482" w:firstLineChars="200"/>
        <w:rPr>
          <w:rFonts w:ascii="宋体" w:hAnsi="宋体" w:cs="宋体"/>
          <w:b/>
          <w:bCs/>
          <w:sz w:val="24"/>
          <w:szCs w:val="24"/>
          <w:highlight w:val="none"/>
        </w:rPr>
      </w:pPr>
    </w:p>
    <w:p w14:paraId="37BAAE52">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26．投标文件的评审、比较和否决</w:t>
      </w:r>
    </w:p>
    <w:p w14:paraId="0FBE58E2">
      <w:pPr>
        <w:spacing w:line="360" w:lineRule="auto"/>
        <w:ind w:firstLine="480" w:firstLineChars="200"/>
        <w:rPr>
          <w:rFonts w:ascii="宋体" w:hAnsi="宋体" w:cs="宋体"/>
          <w:bCs/>
          <w:sz w:val="24"/>
          <w:szCs w:val="24"/>
          <w:highlight w:val="none"/>
        </w:rPr>
      </w:pPr>
      <w:r>
        <w:rPr>
          <w:rFonts w:hint="eastAsia" w:ascii="宋体" w:hAnsi="宋体" w:cs="宋体"/>
          <w:sz w:val="24"/>
          <w:szCs w:val="24"/>
          <w:highlight w:val="none"/>
        </w:rPr>
        <w:t>详见招标文件第二章开标、评标及定标办法。</w:t>
      </w:r>
    </w:p>
    <w:p w14:paraId="14648875">
      <w:pPr>
        <w:spacing w:line="360" w:lineRule="auto"/>
        <w:ind w:firstLine="482" w:firstLineChars="200"/>
        <w:rPr>
          <w:rFonts w:ascii="宋体" w:hAnsi="宋体" w:cs="宋体"/>
          <w:b/>
          <w:bCs/>
          <w:sz w:val="24"/>
          <w:szCs w:val="24"/>
          <w:highlight w:val="none"/>
        </w:rPr>
      </w:pPr>
    </w:p>
    <w:p w14:paraId="6FD3A660">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27．中标通知书</w:t>
      </w:r>
    </w:p>
    <w:p w14:paraId="25A2A1B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27.1招标人将在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B22D89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27.2招标人应当自确定中标人后，向招标投标监管机构提交招标投标情况的书面报告；经招投标监管机构备案后，方可发出中标通知书。</w:t>
      </w:r>
    </w:p>
    <w:p w14:paraId="32DC4DB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27.3中标人必须在收到中标通知书后24小时之内以书面形式回复招标人，确认收到。</w:t>
      </w:r>
    </w:p>
    <w:p w14:paraId="489EEB5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27.4在产生中标候选人后，招标人将中标候选人的投标文件商务部分文件的所有内容（包括人员、业绩、奖项等资料）在</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交易平台和广东省招标投标监管网公开。</w:t>
      </w:r>
    </w:p>
    <w:p w14:paraId="13B7D588">
      <w:pPr>
        <w:spacing w:line="360" w:lineRule="auto"/>
        <w:ind w:firstLine="482" w:firstLineChars="200"/>
        <w:rPr>
          <w:rFonts w:ascii="宋体" w:hAnsi="宋体" w:cs="宋体"/>
          <w:b/>
          <w:bCs/>
          <w:sz w:val="24"/>
          <w:szCs w:val="24"/>
          <w:highlight w:val="none"/>
        </w:rPr>
      </w:pPr>
    </w:p>
    <w:p w14:paraId="0E878339">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28．合同协议书的签订</w:t>
      </w:r>
    </w:p>
    <w:p w14:paraId="7FC1D9C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28.1招标人与中标人将于中标通知书发出之日起30日内，按照招标文件和中标人的投标文件商定和签订合同，招标人和中标人不得再行订立背离合同实质性内容的其他协议。</w:t>
      </w:r>
    </w:p>
    <w:p w14:paraId="4ACB95D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F40DD2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28.3非经招标人同意，中标人在投标过程中使用的银行名称及帐号至完成竣工结算不得变更，否则招标人有权停止工程款项的拔付及至解除合同，由此造成的一切责任由中标人承担。</w:t>
      </w:r>
    </w:p>
    <w:p w14:paraId="767219C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28.4招标人支付工程款时，中标人应按规定开具发票。</w:t>
      </w:r>
    </w:p>
    <w:p w14:paraId="1252FE9F">
      <w:pPr>
        <w:spacing w:line="360" w:lineRule="auto"/>
        <w:ind w:firstLine="482" w:firstLineChars="200"/>
        <w:rPr>
          <w:rFonts w:ascii="宋体" w:hAnsi="宋体" w:cs="宋体"/>
          <w:b/>
          <w:bCs/>
          <w:sz w:val="24"/>
          <w:szCs w:val="24"/>
          <w:highlight w:val="none"/>
        </w:rPr>
      </w:pPr>
    </w:p>
    <w:p w14:paraId="14FED6D5">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29．履约担保</w:t>
      </w:r>
    </w:p>
    <w:p w14:paraId="0F845E48">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29.1在收到中标通知书后的</w:t>
      </w:r>
      <w:r>
        <w:rPr>
          <w:rFonts w:hint="eastAsia" w:ascii="宋体" w:hAnsi="宋体" w:cs="宋体"/>
          <w:b/>
          <w:sz w:val="24"/>
          <w:szCs w:val="24"/>
          <w:highlight w:val="none"/>
        </w:rPr>
        <w:t>15日</w:t>
      </w:r>
      <w:r>
        <w:rPr>
          <w:rFonts w:hint="eastAsia" w:ascii="宋体" w:hAnsi="宋体" w:cs="宋体"/>
          <w:sz w:val="24"/>
          <w:szCs w:val="24"/>
          <w:highlight w:val="none"/>
        </w:rPr>
        <w:t>内，中标人应按本须知前附表第20项的规定向招标人提交履约担保。</w:t>
      </w:r>
    </w:p>
    <w:p w14:paraId="6421ACC5">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AEDFFBE">
      <w:pPr>
        <w:spacing w:line="360" w:lineRule="auto"/>
        <w:ind w:firstLine="482" w:firstLineChars="200"/>
        <w:rPr>
          <w:rFonts w:ascii="宋体" w:hAnsi="宋体" w:cs="宋体"/>
          <w:b/>
          <w:bCs/>
          <w:sz w:val="24"/>
          <w:szCs w:val="24"/>
          <w:highlight w:val="none"/>
        </w:rPr>
      </w:pPr>
    </w:p>
    <w:p w14:paraId="177917BC">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30．合同生效</w:t>
      </w:r>
    </w:p>
    <w:p w14:paraId="1B90369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30.1在合同双方全权代表在合同协议书上签字，并分别加盖双方单位的公章后，合同正式生效。</w:t>
      </w:r>
    </w:p>
    <w:p w14:paraId="068A96D9">
      <w:pPr>
        <w:spacing w:line="360" w:lineRule="auto"/>
        <w:ind w:firstLine="482" w:firstLineChars="200"/>
        <w:rPr>
          <w:rFonts w:ascii="宋体" w:hAnsi="宋体" w:cs="宋体"/>
          <w:b/>
          <w:bCs/>
          <w:sz w:val="24"/>
          <w:szCs w:val="24"/>
          <w:highlight w:val="none"/>
        </w:rPr>
      </w:pPr>
    </w:p>
    <w:p w14:paraId="0DC9B676">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31．其它费用</w:t>
      </w:r>
    </w:p>
    <w:p w14:paraId="0E69861E">
      <w:pPr>
        <w:pStyle w:val="34"/>
        <w:spacing w:after="0" w:line="360" w:lineRule="auto"/>
        <w:ind w:firstLine="482" w:firstLineChars="200"/>
        <w:rPr>
          <w:rFonts w:ascii="宋体" w:hAnsi="宋体" w:cs="宋体"/>
          <w:b/>
          <w:bCs/>
          <w:sz w:val="24"/>
          <w:szCs w:val="24"/>
          <w:highlight w:val="none"/>
        </w:rPr>
      </w:pPr>
    </w:p>
    <w:p w14:paraId="014AD7B0">
      <w:pPr>
        <w:pStyle w:val="34"/>
        <w:spacing w:after="0"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32．腐败与欺诈行为</w:t>
      </w:r>
    </w:p>
    <w:p w14:paraId="2F41238D">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在招标和合同实施期间，招标人要求投标人和承包人遵守最高的道德标准。</w:t>
      </w:r>
    </w:p>
    <w:p w14:paraId="70FD9CEE">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32．1对本条款的规定，特定义如下词汇：</w:t>
      </w:r>
    </w:p>
    <w:p w14:paraId="4C7A5175">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1）“腐败行为”是指在招标或合同执行期间，通过提供、给予、接受或索要任何有价值的东西，从而影响招标人有关人员工作的行为；</w:t>
      </w:r>
    </w:p>
    <w:p w14:paraId="0B93C275">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3E97CAE3">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w:t>
      </w:r>
      <w:r>
        <w:rPr>
          <w:rFonts w:hint="eastAsia" w:ascii="宋体" w:hAnsi="宋体" w:cs="宋体"/>
          <w:sz w:val="24"/>
          <w:szCs w:val="24"/>
          <w:highlight w:val="none"/>
          <w:lang w:val="en-US" w:eastAsia="zh-CN"/>
        </w:rPr>
        <w:t>.</w:t>
      </w:r>
      <w:r>
        <w:rPr>
          <w:rFonts w:hint="eastAsia" w:ascii="宋体" w:hAnsi="宋体" w:cs="宋体"/>
          <w:sz w:val="24"/>
          <w:szCs w:val="24"/>
          <w:highlight w:val="none"/>
        </w:rPr>
        <w:t>2如果投标人被认定在本招标的竞争中有腐败或欺诈行为，则会被取消投标资格。</w:t>
      </w:r>
    </w:p>
    <w:p w14:paraId="604F2BC6">
      <w:pPr>
        <w:pStyle w:val="34"/>
        <w:spacing w:after="0"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584F2571">
      <w:pPr>
        <w:pStyle w:val="2"/>
        <w:spacing w:after="0"/>
        <w:jc w:val="center"/>
        <w:rPr>
          <w:rFonts w:ascii="宋体" w:hAnsi="宋体" w:cs="宋体"/>
          <w:b/>
          <w:bCs/>
          <w:sz w:val="32"/>
          <w:szCs w:val="32"/>
          <w:highlight w:val="none"/>
        </w:rPr>
      </w:pPr>
      <w:r>
        <w:rPr>
          <w:rFonts w:hint="eastAsia" w:ascii="宋体" w:hAnsi="宋体" w:cs="宋体"/>
          <w:sz w:val="24"/>
          <w:szCs w:val="24"/>
          <w:highlight w:val="none"/>
        </w:rPr>
        <w:br w:type="page"/>
      </w:r>
      <w:bookmarkStart w:id="23" w:name="_Toc24011"/>
      <w:bookmarkStart w:id="24" w:name="_Toc2272554"/>
      <w:r>
        <w:rPr>
          <w:rFonts w:hint="eastAsia" w:ascii="宋体" w:hAnsi="宋体" w:cs="宋体"/>
          <w:b/>
          <w:bCs/>
          <w:sz w:val="32"/>
          <w:szCs w:val="32"/>
          <w:highlight w:val="none"/>
        </w:rPr>
        <w:t>第二章  开标、评标及定标办法</w:t>
      </w:r>
      <w:bookmarkEnd w:id="23"/>
      <w:bookmarkEnd w:id="24"/>
    </w:p>
    <w:p w14:paraId="6F5C4A12">
      <w:pPr>
        <w:pStyle w:val="2"/>
        <w:spacing w:after="0"/>
        <w:jc w:val="center"/>
        <w:rPr>
          <w:rFonts w:ascii="宋体" w:hAnsi="宋体" w:cs="宋体"/>
          <w:b/>
          <w:bCs/>
          <w:sz w:val="32"/>
          <w:szCs w:val="32"/>
          <w:highlight w:val="none"/>
        </w:rPr>
      </w:pPr>
      <w:bookmarkStart w:id="25" w:name="_Toc24598"/>
      <w:bookmarkStart w:id="26" w:name="_Toc2272555"/>
      <w:r>
        <w:rPr>
          <w:rFonts w:hint="eastAsia" w:ascii="宋体" w:hAnsi="宋体" w:cs="宋体"/>
          <w:b/>
          <w:bCs/>
          <w:sz w:val="32"/>
          <w:szCs w:val="32"/>
          <w:highlight w:val="none"/>
        </w:rPr>
        <w:t>一、开标、评标及定标办法修改表</w:t>
      </w:r>
      <w:bookmarkEnd w:id="25"/>
      <w:bookmarkEnd w:id="26"/>
    </w:p>
    <w:p w14:paraId="42929591">
      <w:pPr>
        <w:pStyle w:val="34"/>
        <w:spacing w:after="0"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highlight w:val="none"/>
        </w:rPr>
        <w:fldChar w:fldCharType="begin"/>
      </w:r>
      <w:r>
        <w:rPr>
          <w:highlight w:val="none"/>
        </w:rPr>
        <w:instrText xml:space="preserve"> HYPERLINK "http://www.gzcc.gov.cn/）下载GZZB2018-3" </w:instrText>
      </w:r>
      <w:r>
        <w:rPr>
          <w:highlight w:val="none"/>
        </w:rPr>
        <w:fldChar w:fldCharType="separate"/>
      </w:r>
      <w:r>
        <w:rPr>
          <w:rStyle w:val="43"/>
          <w:rFonts w:hint="eastAsia" w:ascii="宋体" w:hAnsi="宋体" w:cs="宋体"/>
          <w:bCs/>
          <w:color w:val="auto"/>
          <w:sz w:val="24"/>
          <w:szCs w:val="24"/>
          <w:highlight w:val="none"/>
          <w:u w:val="none"/>
        </w:rPr>
        <w:t>http://zfcj.gz.gov.cn/）下载GZZB2018-3</w:t>
      </w:r>
      <w:r>
        <w:rPr>
          <w:rStyle w:val="43"/>
          <w:rFonts w:hint="eastAsia" w:ascii="宋体" w:hAnsi="宋体" w:cs="宋体"/>
          <w:bCs/>
          <w:color w:val="auto"/>
          <w:sz w:val="24"/>
          <w:szCs w:val="24"/>
          <w:highlight w:val="none"/>
          <w:u w:val="none"/>
        </w:rPr>
        <w:fldChar w:fldCharType="end"/>
      </w:r>
      <w:r>
        <w:rPr>
          <w:rFonts w:hint="eastAsia" w:ascii="宋体" w:hAnsi="宋体" w:cs="宋体"/>
          <w:bCs/>
          <w:sz w:val="24"/>
          <w:szCs w:val="24"/>
          <w:highlight w:val="none"/>
        </w:rPr>
        <w:t>范本查阅。</w:t>
      </w:r>
    </w:p>
    <w:p w14:paraId="0C80AD6D">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lang w:bidi="ar"/>
        </w:rPr>
        <w:t>条款号：（二）开标评标办法程序和细则        修改类型：删除</w:t>
      </w:r>
    </w:p>
    <w:p w14:paraId="3F89E89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原文：可选办法一（适合综合评分法一，技术标与经济标先后分别开启）</w:t>
      </w:r>
    </w:p>
    <w:p w14:paraId="28ACD95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原文：可选办法二（适合综合评分法一，技术标与经济标同时开启）</w:t>
      </w:r>
    </w:p>
    <w:p w14:paraId="0A1A114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原文：可选办法三（适合综合评分法二，技术标与经济标先后分别开启）</w:t>
      </w:r>
    </w:p>
    <w:p w14:paraId="2515BF9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原文：可选办法四（适合综合评分法二，技术标与经济标同时开启）</w:t>
      </w:r>
    </w:p>
    <w:p w14:paraId="4E64B65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原文：可选办法五（适合综合评分法三，技术标与经济标先后分别开启）</w:t>
      </w:r>
    </w:p>
    <w:p w14:paraId="08B2F17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原文：可选办法七（适合综合评分法四，技术标与经济标同时开启）</w:t>
      </w:r>
    </w:p>
    <w:p w14:paraId="53E5D98A">
      <w:pPr>
        <w:pBdr>
          <w:bottom w:val="single" w:color="auto" w:sz="4" w:space="1"/>
        </w:pBdr>
        <w:spacing w:line="360" w:lineRule="auto"/>
        <w:ind w:firstLine="480" w:firstLineChars="200"/>
        <w:rPr>
          <w:rFonts w:ascii="宋体" w:hAnsi="宋体" w:cs="宋体"/>
          <w:b/>
          <w:sz w:val="24"/>
          <w:szCs w:val="24"/>
          <w:highlight w:val="none"/>
        </w:rPr>
      </w:pPr>
      <w:r>
        <w:rPr>
          <w:rFonts w:hint="eastAsia" w:ascii="宋体" w:hAnsi="宋体" w:cs="宋体"/>
          <w:sz w:val="24"/>
          <w:szCs w:val="24"/>
          <w:highlight w:val="none"/>
          <w:lang w:bidi="ar"/>
        </w:rPr>
        <w:t>原文：可选办法八（适合经评审的最低投标价法，技术标与经济标同时开启）</w:t>
      </w:r>
    </w:p>
    <w:p w14:paraId="33D75A47">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lang w:bidi="ar"/>
        </w:rPr>
        <w:t>条款号：36.1</w:t>
      </w:r>
      <w:r>
        <w:rPr>
          <w:rFonts w:hint="eastAsia" w:ascii="宋体" w:hAnsi="宋体" w:cs="宋体"/>
          <w:b/>
          <w:sz w:val="24"/>
          <w:szCs w:val="24"/>
          <w:highlight w:val="none"/>
        </w:rPr>
        <w:t xml:space="preserve">             </w:t>
      </w:r>
      <w:r>
        <w:rPr>
          <w:rFonts w:hint="eastAsia" w:ascii="宋体" w:hAnsi="宋体" w:cs="宋体"/>
          <w:b/>
          <w:sz w:val="24"/>
          <w:szCs w:val="24"/>
          <w:highlight w:val="none"/>
          <w:lang w:bidi="ar"/>
        </w:rPr>
        <w:t>修改类型：修改</w:t>
      </w:r>
    </w:p>
    <w:p w14:paraId="67AF12C8">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lang w:bidi="ar"/>
        </w:rPr>
        <w:t>原文</w:t>
      </w:r>
      <w:r>
        <w:rPr>
          <w:rFonts w:hint="eastAsia" w:ascii="宋体" w:hAnsi="宋体" w:cs="宋体"/>
          <w:sz w:val="24"/>
          <w:szCs w:val="24"/>
          <w:highlight w:val="none"/>
          <w:lang w:bidi="ar"/>
        </w:rPr>
        <w:t>：36.1 招标人按投标须知前附表第18项所规定的时间和地点公开开标，并邀请所有投标人参加。截标后，开标开始时间因故推迟的，相关评标信息仍以原定的开标开始时间的信息为准。</w:t>
      </w:r>
    </w:p>
    <w:p w14:paraId="42707D50">
      <w:pPr>
        <w:pBdr>
          <w:bottom w:val="single" w:color="auto" w:sz="6" w:space="0"/>
        </w:pBd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lang w:bidi="ar"/>
        </w:rPr>
        <w:t>现文：</w:t>
      </w:r>
      <w:r>
        <w:rPr>
          <w:rFonts w:hint="eastAsia" w:ascii="宋体" w:hAnsi="宋体" w:cs="宋体"/>
          <w:sz w:val="24"/>
          <w:szCs w:val="24"/>
          <w:highlight w:val="none"/>
          <w:lang w:bidi="ar"/>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 w:val="24"/>
          <w:szCs w:val="24"/>
          <w:highlight w:val="none"/>
          <w:u w:val="single"/>
          <w:lang w:bidi="ar"/>
        </w:rPr>
        <w:t>若投标人不参加开标会的，其投标文件在开标现场的投标人或招标人代表、招标代理机构代表及交易中心代表见证下公开开启、解密、公布，并视同该投标人认可开标结果。</w:t>
      </w:r>
    </w:p>
    <w:p w14:paraId="70844D29">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条款号：36.3             修改类型：删除</w:t>
      </w:r>
    </w:p>
    <w:p w14:paraId="1E911BB4">
      <w:pPr>
        <w:pBdr>
          <w:bottom w:val="single" w:color="auto" w:sz="6" w:space="1"/>
        </w:pBd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FE07AF8">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条款号：36.4             修改类型：修改</w:t>
      </w:r>
    </w:p>
    <w:p w14:paraId="21DA46E0">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36.4若递交投标文件的投标人不足3家，则重新组织招标。（当N个标段同时招标且不允许兼中时，若有效投标人不足N+2家，则重新组织招标）</w:t>
      </w:r>
    </w:p>
    <w:p w14:paraId="4DDDBD7D">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36.4若递交投标文件的投标人不足</w:t>
      </w:r>
      <w:r>
        <w:rPr>
          <w:rFonts w:hint="eastAsia" w:ascii="宋体" w:hAnsi="宋体" w:cs="宋体"/>
          <w:sz w:val="24"/>
          <w:szCs w:val="24"/>
          <w:highlight w:val="none"/>
          <w:u w:val="single"/>
        </w:rPr>
        <w:t>3</w:t>
      </w:r>
      <w:r>
        <w:rPr>
          <w:rFonts w:hint="eastAsia" w:ascii="宋体" w:hAnsi="宋体" w:cs="宋体"/>
          <w:sz w:val="24"/>
          <w:szCs w:val="24"/>
          <w:highlight w:val="none"/>
        </w:rPr>
        <w:t>家，则重新组织招标。</w:t>
      </w:r>
    </w:p>
    <w:p w14:paraId="4EBB5481">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条款号：36.5.1           修改类型：修改</w:t>
      </w:r>
    </w:p>
    <w:p w14:paraId="03A5A884">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053E86A8">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36.5.1在投标截止时间后半小时内，投标人通过</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交易平台对已递交的电子投标文件进行解密。投标人完成解密后，再由</w:t>
      </w:r>
      <w:r>
        <w:rPr>
          <w:rFonts w:hint="eastAsia" w:ascii="宋体" w:hAnsi="宋体" w:cs="宋体"/>
          <w:sz w:val="24"/>
          <w:szCs w:val="24"/>
          <w:highlight w:val="none"/>
          <w:u w:val="single"/>
        </w:rPr>
        <w:t>招标人或招标代理机构</w:t>
      </w:r>
      <w:r>
        <w:rPr>
          <w:rFonts w:hint="eastAsia" w:ascii="宋体" w:hAnsi="宋体" w:cs="宋体"/>
          <w:sz w:val="24"/>
          <w:szCs w:val="24"/>
          <w:highlight w:val="none"/>
        </w:rPr>
        <w:t>进行解密。解密完成后，公布招标项目名称、投标人名称、投标保证金的递交情况、投标报价、工期及其他内容；</w:t>
      </w:r>
    </w:p>
    <w:p w14:paraId="4AC07F12">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36.5.3</w:t>
      </w:r>
      <w:r>
        <w:rPr>
          <w:rFonts w:hint="eastAsia" w:ascii="宋体" w:hAnsi="宋体" w:cs="宋体"/>
          <w:b/>
          <w:sz w:val="24"/>
          <w:szCs w:val="24"/>
          <w:highlight w:val="none"/>
        </w:rPr>
        <w:t xml:space="preserve">            修改类型：修改</w:t>
      </w:r>
    </w:p>
    <w:p w14:paraId="55D7BD8A">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投标人代表、招标人代表、监标人、记录人等有关人员在开标记录上签字确认；若有关人员不签字的，不影响开标程序；</w:t>
      </w:r>
    </w:p>
    <w:p w14:paraId="508F3578">
      <w:pPr>
        <w:pBdr>
          <w:bottom w:val="single" w:color="auto" w:sz="6" w:space="1"/>
        </w:pBd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投标人代表、招标人代表、监标人、记录人等有关人员在开标记录上签字确认；若有关人员不签字的，不影响开标程序；</w:t>
      </w:r>
      <w:r>
        <w:rPr>
          <w:rFonts w:hint="eastAsia" w:ascii="宋体" w:hAnsi="宋体" w:cs="宋体"/>
          <w:sz w:val="24"/>
          <w:szCs w:val="24"/>
          <w:highlight w:val="none"/>
          <w:u w:val="single"/>
        </w:rPr>
        <w:t>若投标人不参加开标会的，或不签字确认的，视同该投标人认可开标结果。</w:t>
      </w:r>
    </w:p>
    <w:p w14:paraId="21030A5F">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37</w:t>
      </w:r>
      <w:r>
        <w:rPr>
          <w:rFonts w:hint="eastAsia" w:ascii="宋体" w:hAnsi="宋体" w:cs="宋体"/>
          <w:b/>
          <w:sz w:val="24"/>
          <w:szCs w:val="24"/>
          <w:highlight w:val="none"/>
        </w:rPr>
        <w:t xml:space="preserve">                修改类型：修改</w:t>
      </w:r>
    </w:p>
    <w:p w14:paraId="0CB1A6D2">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37．评标</w:t>
      </w:r>
    </w:p>
    <w:p w14:paraId="165984A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37.1评标委员会由招标人依法组建。</w:t>
      </w:r>
    </w:p>
    <w:p w14:paraId="0341F32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37.2评标委员会的职责及守则：</w:t>
      </w:r>
    </w:p>
    <w:p w14:paraId="1418D5E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37.2.1根据评标细则，对投标文件进行认真评审，完成评审报告；</w:t>
      </w:r>
    </w:p>
    <w:p w14:paraId="17D329D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37.2.2向招标人报告评审意见，推荐合格的中标候选人。</w:t>
      </w:r>
    </w:p>
    <w:p w14:paraId="1AF8A739">
      <w:pPr>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37.2.3</w:t>
      </w:r>
      <w:r>
        <w:rPr>
          <w:rFonts w:hint="eastAsia" w:ascii="宋体" w:hAnsi="宋体" w:cs="宋体"/>
          <w:b/>
          <w:bCs/>
          <w:sz w:val="24"/>
          <w:szCs w:val="24"/>
          <w:highlight w:val="none"/>
        </w:rPr>
        <w:t xml:space="preserve"> </w:t>
      </w:r>
      <w:r>
        <w:rPr>
          <w:rFonts w:hint="eastAsia" w:ascii="宋体" w:hAnsi="宋体" w:cs="宋体"/>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5033FD3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37.2.4全体参与评标人员：</w:t>
      </w:r>
    </w:p>
    <w:p w14:paraId="7584FF3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37.2.4.1 必须遵守评标纪律、不得泄密；</w:t>
      </w:r>
    </w:p>
    <w:p w14:paraId="0A3FC69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37.2.4.2 必须公正、不得循私；</w:t>
      </w:r>
    </w:p>
    <w:p w14:paraId="4BB227A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37.2.4.3 必须科学、不得草率；</w:t>
      </w:r>
    </w:p>
    <w:p w14:paraId="0CA8369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37.2.4.4 必须客观、不得带有成见；</w:t>
      </w:r>
    </w:p>
    <w:p w14:paraId="2C43218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37.2.4.5 必须平等、不得强加于人；</w:t>
      </w:r>
    </w:p>
    <w:p w14:paraId="266A671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37.2.4.6 必须严谨、不得随意马虎。</w:t>
      </w:r>
    </w:p>
    <w:p w14:paraId="5B0129B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37.3 </w:t>
      </w:r>
      <w:r>
        <w:rPr>
          <w:rFonts w:hint="eastAsia" w:ascii="宋体" w:hAnsi="宋体" w:cs="宋体"/>
          <w:sz w:val="24"/>
          <w:szCs w:val="24"/>
          <w:highlight w:val="none"/>
          <w:lang w:bidi="ar"/>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6AABF0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37.4评标结束后，评标委员会递交评标报告并依法推荐中标候选人。</w:t>
      </w:r>
    </w:p>
    <w:p w14:paraId="6F6E5B8F">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37．评标</w:t>
      </w:r>
    </w:p>
    <w:p w14:paraId="77BB60C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37.1评标委员会由招标人依法组建。</w:t>
      </w:r>
    </w:p>
    <w:p w14:paraId="6A7BA3D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37.2评标委员会的职责及守则：</w:t>
      </w:r>
    </w:p>
    <w:p w14:paraId="2449D70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37.2.1根据评标细则，对投标文件进行认真评审，完成评审报告；</w:t>
      </w:r>
    </w:p>
    <w:p w14:paraId="3FCA4862">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37.2.2</w:t>
      </w:r>
      <w:r>
        <w:rPr>
          <w:rFonts w:hint="eastAsia" w:ascii="宋体" w:hAnsi="宋体" w:cs="宋体"/>
          <w:sz w:val="24"/>
          <w:szCs w:val="24"/>
          <w:highlight w:val="none"/>
          <w:u w:val="single"/>
        </w:rPr>
        <w:t>向招标人报告评审意见，推荐</w:t>
      </w:r>
      <w:r>
        <w:rPr>
          <w:rFonts w:hint="eastAsia" w:ascii="宋体" w:hAnsi="宋体" w:cs="宋体"/>
          <w:sz w:val="24"/>
          <w:szCs w:val="24"/>
          <w:highlight w:val="none"/>
          <w:u w:val="single"/>
          <w:lang w:eastAsia="zh-CN"/>
        </w:rPr>
        <w:t>1</w:t>
      </w:r>
      <w:r>
        <w:rPr>
          <w:rFonts w:hint="eastAsia" w:ascii="宋体" w:hAnsi="宋体" w:cs="宋体"/>
          <w:sz w:val="24"/>
          <w:szCs w:val="24"/>
          <w:highlight w:val="none"/>
          <w:u w:val="single"/>
          <w:lang w:val="en-US" w:eastAsia="zh-CN"/>
        </w:rPr>
        <w:t>0</w:t>
      </w:r>
      <w:r>
        <w:rPr>
          <w:rFonts w:hint="eastAsia" w:ascii="宋体" w:hAnsi="宋体" w:cs="宋体"/>
          <w:sz w:val="24"/>
          <w:szCs w:val="24"/>
          <w:highlight w:val="none"/>
          <w:u w:val="single"/>
        </w:rPr>
        <w:t>名（通过经济标有效性审查家数在[3,</w:t>
      </w:r>
      <w:r>
        <w:rPr>
          <w:rFonts w:hint="eastAsia" w:ascii="宋体" w:hAnsi="宋体" w:cs="宋体"/>
          <w:sz w:val="24"/>
          <w:szCs w:val="24"/>
          <w:highlight w:val="none"/>
          <w:u w:val="single"/>
          <w:lang w:eastAsia="zh-CN"/>
        </w:rPr>
        <w:t>1</w:t>
      </w:r>
      <w:r>
        <w:rPr>
          <w:rFonts w:hint="eastAsia" w:ascii="宋体" w:hAnsi="宋体" w:cs="宋体"/>
          <w:sz w:val="24"/>
          <w:szCs w:val="24"/>
          <w:highlight w:val="none"/>
          <w:u w:val="single"/>
          <w:lang w:val="en-US" w:eastAsia="zh-CN"/>
        </w:rPr>
        <w:t>0</w:t>
      </w:r>
      <w:r>
        <w:rPr>
          <w:rFonts w:hint="eastAsia" w:ascii="宋体" w:hAnsi="宋体" w:cs="宋体"/>
          <w:sz w:val="24"/>
          <w:szCs w:val="24"/>
          <w:highlight w:val="none"/>
          <w:u w:val="single"/>
        </w:rPr>
        <w:t>]的，以实际家数为准；超过</w:t>
      </w:r>
      <w:r>
        <w:rPr>
          <w:rFonts w:hint="eastAsia" w:ascii="宋体" w:hAnsi="宋体" w:cs="宋体"/>
          <w:sz w:val="24"/>
          <w:szCs w:val="24"/>
          <w:highlight w:val="none"/>
          <w:u w:val="single"/>
          <w:lang w:eastAsia="zh-CN"/>
        </w:rPr>
        <w:t>1</w:t>
      </w:r>
      <w:r>
        <w:rPr>
          <w:rFonts w:hint="eastAsia" w:ascii="宋体" w:hAnsi="宋体" w:cs="宋体"/>
          <w:sz w:val="24"/>
          <w:szCs w:val="24"/>
          <w:highlight w:val="none"/>
          <w:u w:val="single"/>
          <w:lang w:val="en-US" w:eastAsia="zh-CN"/>
        </w:rPr>
        <w:t>0</w:t>
      </w:r>
      <w:r>
        <w:rPr>
          <w:rFonts w:hint="eastAsia" w:ascii="宋体" w:hAnsi="宋体" w:cs="宋体"/>
          <w:sz w:val="24"/>
          <w:szCs w:val="24"/>
          <w:highlight w:val="none"/>
          <w:u w:val="single"/>
        </w:rPr>
        <w:t>家的，则只推荐</w:t>
      </w:r>
      <w:r>
        <w:rPr>
          <w:rFonts w:hint="eastAsia" w:ascii="宋体" w:hAnsi="宋体" w:cs="宋体"/>
          <w:sz w:val="24"/>
          <w:szCs w:val="24"/>
          <w:highlight w:val="none"/>
          <w:u w:val="single"/>
          <w:lang w:eastAsia="zh-CN"/>
        </w:rPr>
        <w:t>1</w:t>
      </w:r>
      <w:r>
        <w:rPr>
          <w:rFonts w:hint="eastAsia" w:ascii="宋体" w:hAnsi="宋体" w:cs="宋体"/>
          <w:sz w:val="24"/>
          <w:szCs w:val="24"/>
          <w:highlight w:val="none"/>
          <w:u w:val="single"/>
          <w:lang w:val="en-US" w:eastAsia="zh-CN"/>
        </w:rPr>
        <w:t>0</w:t>
      </w:r>
      <w:r>
        <w:rPr>
          <w:rFonts w:hint="eastAsia" w:ascii="宋体" w:hAnsi="宋体" w:cs="宋体"/>
          <w:sz w:val="24"/>
          <w:szCs w:val="24"/>
          <w:highlight w:val="none"/>
          <w:u w:val="single"/>
        </w:rPr>
        <w:t>家）不排序的合格中标候选人进入定标阶段【按统一社会信用代码后4位（除校验码外）大小排位，如统一社会信用代码后4位出现字母情况的，字母以“0”进行代替大小排位；如出现后4位（除校验码外）大小一致的，则随机排位】。</w:t>
      </w:r>
    </w:p>
    <w:p w14:paraId="4E47BD94">
      <w:pPr>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37.2.3</w:t>
      </w:r>
      <w:r>
        <w:rPr>
          <w:rFonts w:hint="eastAsia" w:ascii="宋体" w:hAnsi="宋体" w:cs="宋体"/>
          <w:b/>
          <w:bCs/>
          <w:sz w:val="24"/>
          <w:szCs w:val="24"/>
          <w:highlight w:val="none"/>
        </w:rPr>
        <w:t xml:space="preserve"> </w:t>
      </w:r>
      <w:r>
        <w:rPr>
          <w:rFonts w:hint="eastAsia" w:ascii="宋体" w:hAnsi="宋体" w:cs="宋体"/>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3140B8C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37.2.4全体参与评标人员：</w:t>
      </w:r>
    </w:p>
    <w:p w14:paraId="1AFD4DE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37.2.4.1 必须遵守评标纪律、不得泄密；</w:t>
      </w:r>
    </w:p>
    <w:p w14:paraId="02A1BBA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37.2.4.2 必须公正、不得循私；</w:t>
      </w:r>
    </w:p>
    <w:p w14:paraId="11A8ECB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37.2.4.3 必须科学、不得草率；</w:t>
      </w:r>
    </w:p>
    <w:p w14:paraId="188E8D7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37.2.4.4 必须客观、不得带有成见；</w:t>
      </w:r>
    </w:p>
    <w:p w14:paraId="2FD5DC4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37.2.4.5 必须平等、不得强加于人；</w:t>
      </w:r>
    </w:p>
    <w:p w14:paraId="3A71808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37.2.4.6 必须严谨、不得随意马虎。</w:t>
      </w:r>
    </w:p>
    <w:p w14:paraId="2F5C1C2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37.3 </w:t>
      </w:r>
      <w:r>
        <w:rPr>
          <w:rFonts w:hint="eastAsia" w:ascii="宋体" w:hAnsi="宋体" w:cs="宋体"/>
          <w:sz w:val="24"/>
          <w:szCs w:val="24"/>
          <w:highlight w:val="none"/>
          <w:lang w:bidi="ar"/>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BB1A41D">
      <w:pPr>
        <w:pBdr>
          <w:bottom w:val="single" w:color="auto" w:sz="6" w:space="1"/>
        </w:pBdr>
        <w:spacing w:line="360" w:lineRule="auto"/>
        <w:ind w:firstLine="480" w:firstLineChars="200"/>
        <w:rPr>
          <w:rFonts w:ascii="宋体" w:hAnsi="宋体" w:cs="宋体"/>
          <w:b/>
          <w:sz w:val="24"/>
          <w:szCs w:val="24"/>
          <w:highlight w:val="none"/>
          <w:u w:val="single"/>
        </w:rPr>
      </w:pPr>
      <w:r>
        <w:rPr>
          <w:rFonts w:hint="eastAsia" w:ascii="宋体" w:hAnsi="宋体" w:cs="宋体"/>
          <w:sz w:val="24"/>
          <w:szCs w:val="24"/>
          <w:highlight w:val="none"/>
          <w:lang w:bidi="ar"/>
        </w:rPr>
        <w:t>37.4评标结束后，评标委员会</w:t>
      </w:r>
      <w:r>
        <w:rPr>
          <w:rFonts w:hint="eastAsia" w:ascii="宋体" w:hAnsi="宋体" w:cs="宋体"/>
          <w:sz w:val="24"/>
          <w:szCs w:val="24"/>
          <w:highlight w:val="none"/>
          <w:u w:val="single"/>
          <w:lang w:bidi="ar"/>
        </w:rPr>
        <w:t>递交资格审查报告和评标报告并依法推荐</w:t>
      </w:r>
      <w:r>
        <w:rPr>
          <w:rFonts w:hint="eastAsia" w:ascii="宋体" w:hAnsi="宋体" w:cs="宋体"/>
          <w:sz w:val="24"/>
          <w:szCs w:val="24"/>
          <w:highlight w:val="none"/>
          <w:u w:val="single"/>
          <w:lang w:eastAsia="zh-CN" w:bidi="ar"/>
        </w:rPr>
        <w:t>1</w:t>
      </w:r>
      <w:r>
        <w:rPr>
          <w:rFonts w:hint="eastAsia" w:ascii="宋体" w:hAnsi="宋体" w:cs="宋体"/>
          <w:sz w:val="24"/>
          <w:szCs w:val="24"/>
          <w:highlight w:val="none"/>
          <w:u w:val="single"/>
          <w:lang w:val="en-US" w:eastAsia="zh-CN" w:bidi="ar"/>
        </w:rPr>
        <w:t>0</w:t>
      </w:r>
      <w:r>
        <w:rPr>
          <w:rFonts w:hint="eastAsia" w:ascii="宋体" w:hAnsi="宋体" w:cs="宋体"/>
          <w:sz w:val="24"/>
          <w:szCs w:val="24"/>
          <w:highlight w:val="none"/>
          <w:u w:val="single"/>
          <w:lang w:bidi="ar"/>
        </w:rPr>
        <w:t>名（通过经济标有效性审查家数在[3,</w:t>
      </w:r>
      <w:r>
        <w:rPr>
          <w:rFonts w:hint="eastAsia" w:ascii="宋体" w:hAnsi="宋体" w:cs="宋体"/>
          <w:sz w:val="24"/>
          <w:szCs w:val="24"/>
          <w:highlight w:val="none"/>
          <w:u w:val="single"/>
          <w:lang w:eastAsia="zh-CN" w:bidi="ar"/>
        </w:rPr>
        <w:t>1</w:t>
      </w:r>
      <w:r>
        <w:rPr>
          <w:rFonts w:hint="eastAsia" w:ascii="宋体" w:hAnsi="宋体" w:cs="宋体"/>
          <w:sz w:val="24"/>
          <w:szCs w:val="24"/>
          <w:highlight w:val="none"/>
          <w:u w:val="single"/>
          <w:lang w:val="en-US" w:eastAsia="zh-CN" w:bidi="ar"/>
        </w:rPr>
        <w:t>0</w:t>
      </w:r>
      <w:r>
        <w:rPr>
          <w:rFonts w:hint="eastAsia" w:ascii="宋体" w:hAnsi="宋体" w:cs="宋体"/>
          <w:sz w:val="24"/>
          <w:szCs w:val="24"/>
          <w:highlight w:val="none"/>
          <w:u w:val="single"/>
          <w:lang w:bidi="ar"/>
        </w:rPr>
        <w:t>]的，以实际家数为准；超过</w:t>
      </w:r>
      <w:r>
        <w:rPr>
          <w:rFonts w:hint="eastAsia" w:ascii="宋体" w:hAnsi="宋体" w:cs="宋体"/>
          <w:sz w:val="24"/>
          <w:szCs w:val="24"/>
          <w:highlight w:val="none"/>
          <w:u w:val="single"/>
          <w:lang w:eastAsia="zh-CN" w:bidi="ar"/>
        </w:rPr>
        <w:t>1</w:t>
      </w:r>
      <w:r>
        <w:rPr>
          <w:rFonts w:hint="eastAsia" w:ascii="宋体" w:hAnsi="宋体" w:cs="宋体"/>
          <w:sz w:val="24"/>
          <w:szCs w:val="24"/>
          <w:highlight w:val="none"/>
          <w:u w:val="single"/>
          <w:lang w:val="en-US" w:eastAsia="zh-CN" w:bidi="ar"/>
        </w:rPr>
        <w:t>0</w:t>
      </w:r>
      <w:r>
        <w:rPr>
          <w:rFonts w:hint="eastAsia" w:ascii="宋体" w:hAnsi="宋体" w:cs="宋体"/>
          <w:sz w:val="24"/>
          <w:szCs w:val="24"/>
          <w:highlight w:val="none"/>
          <w:u w:val="single"/>
          <w:lang w:bidi="ar"/>
        </w:rPr>
        <w:t>家的，则只推荐</w:t>
      </w:r>
      <w:r>
        <w:rPr>
          <w:rFonts w:hint="eastAsia" w:ascii="宋体" w:hAnsi="宋体" w:cs="宋体"/>
          <w:sz w:val="24"/>
          <w:szCs w:val="24"/>
          <w:highlight w:val="none"/>
          <w:u w:val="single"/>
          <w:lang w:eastAsia="zh-CN" w:bidi="ar"/>
        </w:rPr>
        <w:t>1</w:t>
      </w:r>
      <w:r>
        <w:rPr>
          <w:rFonts w:hint="eastAsia" w:ascii="宋体" w:hAnsi="宋体" w:cs="宋体"/>
          <w:sz w:val="24"/>
          <w:szCs w:val="24"/>
          <w:highlight w:val="none"/>
          <w:u w:val="single"/>
          <w:lang w:val="en-US" w:eastAsia="zh-CN" w:bidi="ar"/>
        </w:rPr>
        <w:t>0</w:t>
      </w:r>
      <w:r>
        <w:rPr>
          <w:rFonts w:hint="eastAsia" w:ascii="宋体" w:hAnsi="宋体" w:cs="宋体"/>
          <w:sz w:val="24"/>
          <w:szCs w:val="24"/>
          <w:highlight w:val="none"/>
          <w:u w:val="single"/>
          <w:lang w:bidi="ar"/>
        </w:rPr>
        <w:t>家）合格的中标候选人[不排序，按统一社会信用代码后4位（除校验码外）大小排位，如统一社会信用代码后4位出现字母情况的，字母以“0”进行代替大小排位；如出现后4位（除校验码外）大小一致的，则随机排位。]进入定标阶段。</w:t>
      </w:r>
    </w:p>
    <w:p w14:paraId="68F1EE75">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条款号：38.1             修改类型：修改</w:t>
      </w:r>
    </w:p>
    <w:p w14:paraId="2455FD82">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1EB3980">
      <w:pPr>
        <w:pBdr>
          <w:bottom w:val="single" w:color="auto" w:sz="12"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cs="宋体"/>
          <w:sz w:val="24"/>
          <w:szCs w:val="24"/>
          <w:highlight w:val="none"/>
          <w:u w:val="single"/>
        </w:rPr>
        <w:t>对投标文件含义不明确、对同类问题表述不一致、有明显文字和计算错误的内容以及细微偏差的</w:t>
      </w:r>
      <w:r>
        <w:rPr>
          <w:rFonts w:hint="eastAsia" w:ascii="宋体" w:hAnsi="宋体" w:cs="宋体"/>
          <w:sz w:val="24"/>
          <w:szCs w:val="24"/>
          <w:highlight w:val="none"/>
        </w:rPr>
        <w:t>内容作出澄清。</w:t>
      </w:r>
    </w:p>
    <w:p w14:paraId="08098BBE">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条款号：38.5             修改类型：修改</w:t>
      </w:r>
    </w:p>
    <w:p w14:paraId="714299E3">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23169D91">
      <w:pPr>
        <w:pBdr>
          <w:bottom w:val="single" w:color="auto" w:sz="6" w:space="1"/>
        </w:pBd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38.5投标人如在本项目中存在串通投标、弄虚作假、行贿情形且在评标</w:t>
      </w:r>
      <w:r>
        <w:rPr>
          <w:rFonts w:hint="eastAsia" w:ascii="宋体" w:hAnsi="宋体" w:cs="宋体"/>
          <w:sz w:val="24"/>
          <w:szCs w:val="24"/>
          <w:highlight w:val="none"/>
          <w:u w:val="single"/>
        </w:rPr>
        <w:t>或定标</w:t>
      </w:r>
      <w:r>
        <w:rPr>
          <w:rFonts w:hint="eastAsia" w:ascii="宋体" w:hAnsi="宋体" w:cs="宋体"/>
          <w:sz w:val="24"/>
          <w:szCs w:val="24"/>
          <w:highlight w:val="none"/>
        </w:rPr>
        <w:t>过程中未被发现的，该投标不改变本项目评标结果排序，</w:t>
      </w:r>
      <w:r>
        <w:rPr>
          <w:rFonts w:hint="eastAsia" w:ascii="宋体" w:hAnsi="宋体" w:cs="宋体"/>
          <w:sz w:val="24"/>
          <w:szCs w:val="24"/>
          <w:highlight w:val="none"/>
          <w:u w:val="single"/>
        </w:rPr>
        <w:t>若在定标过程中被确定为中标人，</w:t>
      </w:r>
      <w:r>
        <w:rPr>
          <w:rFonts w:hint="eastAsia" w:ascii="宋体" w:hAnsi="宋体" w:cs="宋体"/>
          <w:sz w:val="24"/>
          <w:szCs w:val="24"/>
          <w:highlight w:val="none"/>
        </w:rPr>
        <w:t>其中标无效。</w:t>
      </w:r>
      <w:r>
        <w:rPr>
          <w:rFonts w:hint="eastAsia" w:ascii="宋体" w:hAnsi="宋体" w:cs="宋体"/>
          <w:sz w:val="24"/>
          <w:szCs w:val="24"/>
          <w:highlight w:val="none"/>
          <w:u w:val="single"/>
        </w:rPr>
        <w:t>招标人可从其他合格的中标候选人中采用原定标办法，由原定标委员会重新确定中标人，也可以重新招标。</w:t>
      </w:r>
    </w:p>
    <w:p w14:paraId="35A78025">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条款号：39.               修改类型：修改</w:t>
      </w:r>
    </w:p>
    <w:p w14:paraId="75EBD551">
      <w:pPr>
        <w:spacing w:line="360" w:lineRule="auto"/>
        <w:ind w:firstLine="482" w:firstLineChars="200"/>
        <w:rPr>
          <w:rFonts w:ascii="宋体" w:hAnsi="宋体" w:cs="宋体"/>
          <w:bCs/>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39．定标</w:t>
      </w:r>
    </w:p>
    <w:p w14:paraId="7363885F">
      <w:pPr>
        <w:pBdr>
          <w:bottom w:val="single" w:color="auto" w:sz="6" w:space="1"/>
        </w:pBd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39.1 招标人根据评标委员会递交的评标报告，最终审定中标人。</w:t>
      </w:r>
    </w:p>
    <w:p w14:paraId="4C739FC5">
      <w:pPr>
        <w:pBdr>
          <w:bottom w:val="single" w:color="auto" w:sz="6" w:space="1"/>
        </w:pBd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39.2 依法必须进行公开招标的项目，招标人应当确定排名第一的中标候选人为中标人。</w:t>
      </w:r>
    </w:p>
    <w:p w14:paraId="0AC51AC4">
      <w:pPr>
        <w:pBdr>
          <w:bottom w:val="single" w:color="auto" w:sz="6" w:space="1"/>
        </w:pBd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46A08EA5">
      <w:pPr>
        <w:pBdr>
          <w:bottom w:val="single" w:color="auto" w:sz="6" w:space="1"/>
        </w:pBd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188D27AF">
      <w:pPr>
        <w:pBdr>
          <w:bottom w:val="single" w:color="auto" w:sz="6" w:space="1"/>
        </w:pBd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7A3832F2">
      <w:pPr>
        <w:pBdr>
          <w:bottom w:val="single" w:color="auto" w:sz="6" w:space="1"/>
        </w:pBdr>
        <w:spacing w:line="360" w:lineRule="auto"/>
        <w:ind w:firstLine="482" w:firstLineChars="200"/>
        <w:rPr>
          <w:rFonts w:ascii="宋体" w:hAnsi="宋体" w:cs="宋体"/>
          <w:bCs/>
          <w:sz w:val="24"/>
          <w:szCs w:val="24"/>
          <w:highlight w:val="none"/>
          <w:u w:val="single"/>
        </w:rPr>
      </w:pPr>
      <w:r>
        <w:rPr>
          <w:rFonts w:hint="eastAsia" w:ascii="宋体" w:hAnsi="宋体" w:cs="宋体"/>
          <w:b/>
          <w:sz w:val="24"/>
          <w:szCs w:val="24"/>
          <w:highlight w:val="none"/>
        </w:rPr>
        <w:t>现文：</w:t>
      </w:r>
      <w:r>
        <w:rPr>
          <w:rFonts w:hint="eastAsia" w:ascii="宋体" w:hAnsi="宋体" w:cs="宋体"/>
          <w:bCs/>
          <w:sz w:val="24"/>
          <w:szCs w:val="24"/>
          <w:highlight w:val="none"/>
          <w:u w:val="single"/>
        </w:rPr>
        <w:t>39.定标详细规定条款详见本章43.定标详细规定。</w:t>
      </w:r>
    </w:p>
    <w:p w14:paraId="59076DF7">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lang w:bidi="ar"/>
        </w:rPr>
        <w:t>条款号：（二）开标评标办法程序和细则  注</w:t>
      </w:r>
      <w:r>
        <w:rPr>
          <w:rFonts w:hint="eastAsia" w:ascii="宋体" w:hAnsi="宋体" w:cs="宋体"/>
          <w:b/>
          <w:sz w:val="24"/>
          <w:szCs w:val="24"/>
          <w:highlight w:val="none"/>
        </w:rPr>
        <w:t xml:space="preserve">             </w:t>
      </w:r>
      <w:r>
        <w:rPr>
          <w:rFonts w:hint="eastAsia" w:ascii="宋体" w:hAnsi="宋体" w:cs="宋体"/>
          <w:b/>
          <w:sz w:val="24"/>
          <w:szCs w:val="24"/>
          <w:highlight w:val="none"/>
          <w:lang w:bidi="ar"/>
        </w:rPr>
        <w:t>修改类型：删除</w:t>
      </w:r>
    </w:p>
    <w:p w14:paraId="0D1286E8">
      <w:pPr>
        <w:pBdr>
          <w:bottom w:val="single" w:color="auto" w:sz="4" w:space="0"/>
        </w:pBdr>
        <w:spacing w:line="360" w:lineRule="auto"/>
        <w:ind w:firstLine="482" w:firstLineChars="200"/>
        <w:rPr>
          <w:rFonts w:ascii="宋体" w:hAnsi="宋体" w:cs="宋体"/>
          <w:sz w:val="24"/>
          <w:szCs w:val="24"/>
          <w:highlight w:val="none"/>
          <w:lang w:bidi="ar"/>
        </w:rPr>
      </w:pPr>
      <w:r>
        <w:rPr>
          <w:rFonts w:hint="eastAsia" w:ascii="宋体" w:hAnsi="宋体" w:cs="宋体"/>
          <w:b/>
          <w:sz w:val="24"/>
          <w:szCs w:val="24"/>
          <w:highlight w:val="none"/>
          <w:lang w:bidi="ar"/>
        </w:rPr>
        <w:t>原文：</w:t>
      </w:r>
      <w:r>
        <w:rPr>
          <w:rFonts w:hint="eastAsia" w:ascii="宋体" w:hAnsi="宋体" w:cs="宋体"/>
          <w:sz w:val="24"/>
          <w:szCs w:val="24"/>
          <w:highlight w:val="none"/>
          <w:lang w:bidi="ar"/>
        </w:rPr>
        <w:t>注：</w:t>
      </w:r>
      <w:r>
        <w:rPr>
          <w:rFonts w:hint="eastAsia" w:ascii="宋体" w:hAnsi="宋体" w:cs="宋体"/>
          <w:sz w:val="24"/>
          <w:szCs w:val="24"/>
          <w:highlight w:val="none"/>
        </w:rPr>
        <w:t>以下八种评标办法所述企业综合诚信评价分数即投标截止当日广州市工程招标代理行业协会网站上公布的企业综合诚信评价60日诚信分</w:t>
      </w:r>
      <w:r>
        <w:rPr>
          <w:rFonts w:hint="eastAsia" w:ascii="宋体" w:hAnsi="宋体" w:cs="宋体"/>
          <w:sz w:val="24"/>
          <w:szCs w:val="24"/>
          <w:highlight w:val="none"/>
          <w:lang w:bidi="ar"/>
        </w:rPr>
        <w:t>。</w:t>
      </w:r>
    </w:p>
    <w:p w14:paraId="1ACE3485">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lang w:bidi="ar"/>
        </w:rPr>
        <w:t>条款号：评标办法</w:t>
      </w:r>
      <w:r>
        <w:rPr>
          <w:rFonts w:hint="eastAsia" w:ascii="宋体" w:hAnsi="宋体" w:cs="宋体"/>
          <w:b/>
          <w:sz w:val="24"/>
          <w:szCs w:val="24"/>
          <w:highlight w:val="none"/>
        </w:rPr>
        <w:t xml:space="preserve">          </w:t>
      </w:r>
      <w:r>
        <w:rPr>
          <w:rFonts w:hint="eastAsia" w:ascii="宋体" w:hAnsi="宋体" w:cs="宋体"/>
          <w:b/>
          <w:sz w:val="24"/>
          <w:szCs w:val="24"/>
          <w:highlight w:val="none"/>
          <w:lang w:bidi="ar"/>
        </w:rPr>
        <w:t>修改类型：删除</w:t>
      </w:r>
    </w:p>
    <w:p w14:paraId="73C19BAB">
      <w:pPr>
        <w:pBdr>
          <w:bottom w:val="single" w:color="auto" w:sz="4" w:space="0"/>
        </w:pBdr>
        <w:spacing w:line="360" w:lineRule="auto"/>
        <w:ind w:firstLine="482" w:firstLineChars="200"/>
        <w:rPr>
          <w:rFonts w:ascii="宋体" w:hAnsi="宋体" w:cs="宋体"/>
          <w:bCs/>
          <w:sz w:val="24"/>
          <w:szCs w:val="24"/>
          <w:highlight w:val="none"/>
          <w:lang w:bidi="ar"/>
        </w:rPr>
      </w:pPr>
      <w:r>
        <w:rPr>
          <w:rFonts w:hint="eastAsia" w:ascii="宋体" w:hAnsi="宋体" w:cs="宋体"/>
          <w:b/>
          <w:sz w:val="24"/>
          <w:szCs w:val="24"/>
          <w:highlight w:val="none"/>
          <w:lang w:bidi="ar"/>
        </w:rPr>
        <w:t>原文：</w:t>
      </w:r>
      <w:r>
        <w:rPr>
          <w:rFonts w:hint="eastAsia" w:ascii="宋体" w:hAnsi="宋体" w:cs="宋体"/>
          <w:bCs/>
          <w:sz w:val="24"/>
          <w:szCs w:val="24"/>
          <w:highlight w:val="none"/>
          <w:lang w:bidi="ar"/>
        </w:rPr>
        <w:t>可选办法一（适合综合评分法一，技术标与经济标先后分别开启）</w:t>
      </w:r>
    </w:p>
    <w:p w14:paraId="657DE8A7">
      <w:pPr>
        <w:pBdr>
          <w:bottom w:val="single" w:color="auto" w:sz="4" w:space="0"/>
        </w:pBdr>
        <w:spacing w:line="360" w:lineRule="auto"/>
        <w:ind w:firstLine="480" w:firstLineChars="200"/>
        <w:rPr>
          <w:rFonts w:ascii="宋体" w:hAnsi="宋体" w:cs="宋体"/>
          <w:bCs/>
          <w:sz w:val="24"/>
          <w:szCs w:val="24"/>
          <w:highlight w:val="none"/>
          <w:lang w:bidi="ar"/>
        </w:rPr>
      </w:pPr>
      <w:r>
        <w:rPr>
          <w:rFonts w:hint="eastAsia" w:ascii="宋体" w:hAnsi="宋体" w:cs="宋体"/>
          <w:bCs/>
          <w:sz w:val="24"/>
          <w:szCs w:val="24"/>
          <w:highlight w:val="none"/>
          <w:lang w:bidi="ar"/>
        </w:rPr>
        <w:t>可选办法二（适合综合评分法一，技术标与经济标同时开启）</w:t>
      </w:r>
    </w:p>
    <w:p w14:paraId="2A53407C">
      <w:pPr>
        <w:pBdr>
          <w:bottom w:val="single" w:color="auto" w:sz="4" w:space="0"/>
        </w:pBdr>
        <w:spacing w:line="360" w:lineRule="auto"/>
        <w:ind w:firstLine="480" w:firstLineChars="200"/>
        <w:rPr>
          <w:rFonts w:ascii="宋体" w:hAnsi="宋体" w:cs="宋体"/>
          <w:bCs/>
          <w:sz w:val="24"/>
          <w:szCs w:val="24"/>
          <w:highlight w:val="none"/>
          <w:lang w:bidi="ar"/>
        </w:rPr>
      </w:pPr>
      <w:r>
        <w:rPr>
          <w:rFonts w:hint="eastAsia" w:ascii="宋体" w:hAnsi="宋体" w:cs="宋体"/>
          <w:bCs/>
          <w:sz w:val="24"/>
          <w:szCs w:val="24"/>
          <w:highlight w:val="none"/>
          <w:lang w:bidi="ar"/>
        </w:rPr>
        <w:t>可选办法三（适合综合评分法二，技术标与经济标先后分别开启）</w:t>
      </w:r>
    </w:p>
    <w:p w14:paraId="56DDAB83">
      <w:pPr>
        <w:pBdr>
          <w:bottom w:val="single" w:color="auto" w:sz="4" w:space="0"/>
        </w:pBdr>
        <w:spacing w:line="360" w:lineRule="auto"/>
        <w:ind w:firstLine="480" w:firstLineChars="200"/>
        <w:rPr>
          <w:rFonts w:ascii="宋体" w:hAnsi="宋体" w:cs="宋体"/>
          <w:bCs/>
          <w:sz w:val="24"/>
          <w:szCs w:val="24"/>
          <w:highlight w:val="none"/>
          <w:lang w:bidi="ar"/>
        </w:rPr>
      </w:pPr>
      <w:r>
        <w:rPr>
          <w:rFonts w:hint="eastAsia" w:ascii="宋体" w:hAnsi="宋体" w:cs="宋体"/>
          <w:bCs/>
          <w:sz w:val="24"/>
          <w:szCs w:val="24"/>
          <w:highlight w:val="none"/>
          <w:lang w:bidi="ar"/>
        </w:rPr>
        <w:t>可选办法四（适合综合评分法二，技术标与经济标同时开启）</w:t>
      </w:r>
    </w:p>
    <w:p w14:paraId="1109B1F6">
      <w:pPr>
        <w:pBdr>
          <w:bottom w:val="single" w:color="auto" w:sz="4" w:space="0"/>
        </w:pBdr>
        <w:spacing w:line="360" w:lineRule="auto"/>
        <w:ind w:firstLine="480" w:firstLineChars="200"/>
        <w:rPr>
          <w:rFonts w:ascii="宋体" w:hAnsi="宋体" w:cs="宋体"/>
          <w:bCs/>
          <w:sz w:val="24"/>
          <w:szCs w:val="24"/>
          <w:highlight w:val="none"/>
          <w:lang w:bidi="ar"/>
        </w:rPr>
      </w:pPr>
      <w:r>
        <w:rPr>
          <w:rFonts w:hint="eastAsia" w:ascii="宋体" w:hAnsi="宋体" w:cs="宋体"/>
          <w:bCs/>
          <w:sz w:val="24"/>
          <w:szCs w:val="24"/>
          <w:highlight w:val="none"/>
          <w:lang w:bidi="ar"/>
        </w:rPr>
        <w:t>可选办法五（适合综合评分法三，技术标与经济标先后分别开启）</w:t>
      </w:r>
    </w:p>
    <w:p w14:paraId="3BFCD706">
      <w:pPr>
        <w:pBdr>
          <w:bottom w:val="single" w:color="auto" w:sz="4" w:space="0"/>
        </w:pBdr>
        <w:spacing w:line="360" w:lineRule="auto"/>
        <w:ind w:firstLine="480" w:firstLineChars="200"/>
        <w:rPr>
          <w:rFonts w:ascii="宋体" w:hAnsi="宋体" w:cs="宋体"/>
          <w:bCs/>
          <w:sz w:val="24"/>
          <w:szCs w:val="24"/>
          <w:highlight w:val="none"/>
          <w:lang w:bidi="ar"/>
        </w:rPr>
      </w:pPr>
      <w:r>
        <w:rPr>
          <w:rFonts w:hint="eastAsia" w:ascii="宋体" w:hAnsi="宋体" w:cs="宋体"/>
          <w:bCs/>
          <w:sz w:val="24"/>
          <w:szCs w:val="24"/>
          <w:highlight w:val="none"/>
          <w:lang w:bidi="ar"/>
        </w:rPr>
        <w:t>可选办法七（适合综合评分法四，技术标与经济标同时开启）</w:t>
      </w:r>
    </w:p>
    <w:p w14:paraId="6DD1E4E8">
      <w:pPr>
        <w:pBdr>
          <w:bottom w:val="single" w:color="auto" w:sz="4" w:space="0"/>
        </w:pBd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lang w:bidi="ar"/>
        </w:rPr>
        <w:t>可选办法八（适合经评审的最低投标价法，技术标与经济标同时开启）</w:t>
      </w:r>
    </w:p>
    <w:p w14:paraId="28478F6B">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lang w:bidi="ar"/>
        </w:rPr>
        <w:t>条款号：可选办法六（适合综合评分法三，技术标与经济标同时开启）</w:t>
      </w:r>
      <w:r>
        <w:rPr>
          <w:rFonts w:hint="eastAsia" w:ascii="宋体" w:hAnsi="宋体" w:cs="宋体"/>
          <w:b/>
          <w:sz w:val="24"/>
          <w:szCs w:val="24"/>
          <w:highlight w:val="none"/>
        </w:rPr>
        <w:t xml:space="preserve"> </w:t>
      </w:r>
      <w:r>
        <w:rPr>
          <w:rFonts w:hint="eastAsia" w:ascii="宋体" w:hAnsi="宋体" w:cs="宋体"/>
          <w:b/>
          <w:sz w:val="24"/>
          <w:szCs w:val="24"/>
          <w:highlight w:val="none"/>
          <w:lang w:bidi="ar"/>
        </w:rPr>
        <w:t>修改类型：修改</w:t>
      </w:r>
    </w:p>
    <w:p w14:paraId="5C55CE84">
      <w:pPr>
        <w:pBdr>
          <w:bottom w:val="single" w:color="auto" w:sz="4" w:space="0"/>
        </w:pBdr>
        <w:spacing w:line="360" w:lineRule="auto"/>
        <w:ind w:firstLine="482" w:firstLineChars="200"/>
        <w:rPr>
          <w:rFonts w:ascii="宋体" w:hAnsi="宋体" w:cs="宋体"/>
          <w:bCs/>
          <w:sz w:val="24"/>
          <w:szCs w:val="24"/>
          <w:highlight w:val="none"/>
          <w:lang w:bidi="ar"/>
        </w:rPr>
      </w:pPr>
      <w:r>
        <w:rPr>
          <w:rFonts w:hint="eastAsia" w:ascii="宋体" w:hAnsi="宋体" w:cs="宋体"/>
          <w:b/>
          <w:sz w:val="24"/>
          <w:szCs w:val="24"/>
          <w:highlight w:val="none"/>
          <w:lang w:bidi="ar"/>
        </w:rPr>
        <w:t>原文：</w:t>
      </w:r>
      <w:r>
        <w:rPr>
          <w:rFonts w:hint="eastAsia" w:ascii="宋体" w:hAnsi="宋体" w:cs="宋体"/>
          <w:bCs/>
          <w:sz w:val="24"/>
          <w:szCs w:val="24"/>
          <w:highlight w:val="none"/>
          <w:lang w:bidi="ar"/>
        </w:rPr>
        <w:t>详见最新版广州市建设工程施工公开招标项目招标文件范本（适用于资格后审综合评分法、经评审的最低投标价法的施工电子招标项目）GZZB2018-3。</w:t>
      </w:r>
    </w:p>
    <w:p w14:paraId="62E08534">
      <w:pPr>
        <w:pBdr>
          <w:bottom w:val="single" w:color="auto" w:sz="4" w:space="0"/>
        </w:pBdr>
        <w:spacing w:line="360" w:lineRule="auto"/>
        <w:ind w:firstLine="482" w:firstLineChars="200"/>
        <w:rPr>
          <w:rFonts w:ascii="宋体" w:hAnsi="宋体" w:cs="宋体"/>
          <w:sz w:val="24"/>
          <w:szCs w:val="24"/>
          <w:highlight w:val="none"/>
          <w:u w:val="single"/>
          <w:lang w:bidi="ar"/>
        </w:rPr>
      </w:pPr>
      <w:r>
        <w:rPr>
          <w:rFonts w:hint="eastAsia" w:ascii="宋体" w:hAnsi="宋体" w:cs="宋体"/>
          <w:b/>
          <w:bCs/>
          <w:sz w:val="24"/>
          <w:szCs w:val="24"/>
          <w:highlight w:val="none"/>
          <w:lang w:bidi="ar"/>
        </w:rPr>
        <w:t>现文：</w:t>
      </w:r>
      <w:r>
        <w:rPr>
          <w:rFonts w:hint="eastAsia" w:ascii="宋体" w:hAnsi="宋体" w:cs="宋体"/>
          <w:sz w:val="24"/>
          <w:szCs w:val="24"/>
          <w:highlight w:val="none"/>
          <w:u w:val="single"/>
          <w:lang w:bidi="ar"/>
        </w:rPr>
        <w:t>评定分离评标定标办法。</w:t>
      </w:r>
    </w:p>
    <w:p w14:paraId="5A630144">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条款号：40                 修改类型：修改</w:t>
      </w:r>
    </w:p>
    <w:p w14:paraId="233484B1">
      <w:pPr>
        <w:spacing w:line="360" w:lineRule="auto"/>
        <w:ind w:firstLine="482" w:firstLineChars="200"/>
        <w:rPr>
          <w:rFonts w:ascii="宋体" w:hAnsi="宋体" w:cs="宋体"/>
          <w:kern w:val="0"/>
          <w:sz w:val="24"/>
          <w:szCs w:val="24"/>
          <w:highlight w:val="none"/>
        </w:rPr>
      </w:pPr>
      <w:r>
        <w:rPr>
          <w:rFonts w:hint="eastAsia" w:ascii="宋体" w:hAnsi="宋体" w:cs="宋体"/>
          <w:b/>
          <w:kern w:val="0"/>
          <w:sz w:val="24"/>
          <w:szCs w:val="24"/>
          <w:highlight w:val="none"/>
        </w:rPr>
        <w:t>原文：</w:t>
      </w:r>
      <w:r>
        <w:rPr>
          <w:rFonts w:hint="eastAsia" w:ascii="宋体" w:hAnsi="宋体" w:cs="宋体"/>
          <w:kern w:val="0"/>
          <w:sz w:val="24"/>
          <w:szCs w:val="24"/>
          <w:highlight w:val="none"/>
        </w:rPr>
        <w:t>40．开标和评标程序</w:t>
      </w:r>
    </w:p>
    <w:p w14:paraId="30D33EDD">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40.1技术标（含资格审查文件）与经济标投标文件同时公开开标；</w:t>
      </w:r>
    </w:p>
    <w:p w14:paraId="331F5F7B">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40.2由评标委员会对所有已公开开标的投标人进行资格审查；</w:t>
      </w:r>
    </w:p>
    <w:p w14:paraId="559EB831">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40.3技术标投标文件有效性审查；</w:t>
      </w:r>
    </w:p>
    <w:p w14:paraId="450D06B8">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40.4技术标详细审查评分；</w:t>
      </w:r>
    </w:p>
    <w:p w14:paraId="1FC78F4C">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40.5经济标详细审查评分； </w:t>
      </w:r>
    </w:p>
    <w:p w14:paraId="45D110E7">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40.6评标委员会按照投标人总得分由高至低排序；</w:t>
      </w:r>
    </w:p>
    <w:p w14:paraId="008253E6">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40.7经济标投标文件有效性审查；</w:t>
      </w:r>
    </w:p>
    <w:p w14:paraId="22D95A33">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rPr>
        <w:t>40.8评标委员会按排序向招标人推荐中标候选人名单，并递交资格审查报告及评标报告。</w:t>
      </w:r>
    </w:p>
    <w:p w14:paraId="0766207D">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40．开标和评标程序：</w:t>
      </w:r>
    </w:p>
    <w:p w14:paraId="73F8FEBC">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40.1投标人递交技术标</w:t>
      </w:r>
      <w:r>
        <w:rPr>
          <w:rFonts w:hint="eastAsia" w:ascii="宋体" w:hAnsi="宋体" w:cs="宋体"/>
          <w:sz w:val="24"/>
          <w:szCs w:val="24"/>
          <w:highlight w:val="none"/>
          <w:u w:val="single"/>
        </w:rPr>
        <w:t>（含资格审查）</w:t>
      </w:r>
      <w:r>
        <w:rPr>
          <w:rFonts w:hint="eastAsia" w:ascii="宋体" w:hAnsi="宋体" w:cs="宋体"/>
          <w:sz w:val="24"/>
          <w:szCs w:val="24"/>
          <w:highlight w:val="none"/>
        </w:rPr>
        <w:t>、经济标投标文件；</w:t>
      </w:r>
    </w:p>
    <w:p w14:paraId="32517802">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40.2技术标</w:t>
      </w:r>
      <w:r>
        <w:rPr>
          <w:rFonts w:hint="eastAsia" w:ascii="宋体" w:hAnsi="宋体" w:cs="宋体"/>
          <w:sz w:val="24"/>
          <w:szCs w:val="24"/>
          <w:highlight w:val="none"/>
          <w:u w:val="single"/>
        </w:rPr>
        <w:t>（含资格审查）</w:t>
      </w:r>
      <w:r>
        <w:rPr>
          <w:rFonts w:hint="eastAsia" w:ascii="宋体" w:hAnsi="宋体" w:cs="宋体"/>
          <w:sz w:val="24"/>
          <w:szCs w:val="24"/>
          <w:highlight w:val="none"/>
        </w:rPr>
        <w:t>与经济标投标文件同时公开开标；</w:t>
      </w:r>
    </w:p>
    <w:p w14:paraId="7A75B0C7">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40.3由评标委员会对所有已公开开标的投标人进行资格审查，并编写资格审查报告；</w:t>
      </w:r>
    </w:p>
    <w:p w14:paraId="100BAA26">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40.4技术标投标文件有效性审查；</w:t>
      </w:r>
    </w:p>
    <w:p w14:paraId="2A8B1DFE">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40.5</w:t>
      </w:r>
      <w:r>
        <w:rPr>
          <w:rFonts w:hint="eastAsia" w:ascii="宋体" w:hAnsi="宋体" w:cs="宋体"/>
          <w:sz w:val="24"/>
          <w:szCs w:val="24"/>
          <w:highlight w:val="none"/>
          <w:u w:val="single"/>
        </w:rPr>
        <w:t>技术标详细审查评分</w:t>
      </w:r>
      <w:r>
        <w:rPr>
          <w:rFonts w:hint="eastAsia" w:ascii="宋体" w:hAnsi="宋体" w:cs="宋体"/>
          <w:sz w:val="24"/>
          <w:szCs w:val="24"/>
          <w:highlight w:val="none"/>
        </w:rPr>
        <w:t>；</w:t>
      </w:r>
    </w:p>
    <w:p w14:paraId="360A56DE">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40.6</w:t>
      </w:r>
      <w:r>
        <w:rPr>
          <w:rFonts w:hint="eastAsia" w:ascii="宋体" w:hAnsi="宋体" w:cs="宋体"/>
          <w:sz w:val="24"/>
          <w:szCs w:val="24"/>
          <w:highlight w:val="none"/>
          <w:u w:val="single"/>
        </w:rPr>
        <w:t>按投标须知前附表第19项规定</w:t>
      </w:r>
      <w:r>
        <w:rPr>
          <w:rFonts w:hint="eastAsia" w:ascii="宋体" w:hAnsi="宋体" w:cs="宋体"/>
          <w:sz w:val="24"/>
          <w:szCs w:val="24"/>
          <w:highlight w:val="none"/>
        </w:rPr>
        <w:t>计算第一阶段得分，并按照总分从高到低排列先后次序，编写第一阶段评审报告；</w:t>
      </w:r>
    </w:p>
    <w:p w14:paraId="45B341F6">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40.7按投标须知前附表</w:t>
      </w:r>
      <w:r>
        <w:rPr>
          <w:rFonts w:hint="eastAsia" w:ascii="宋体" w:hAnsi="宋体" w:cs="宋体"/>
          <w:sz w:val="24"/>
          <w:szCs w:val="24"/>
          <w:highlight w:val="none"/>
          <w:u w:val="single"/>
        </w:rPr>
        <w:t>第26项</w:t>
      </w:r>
      <w:r>
        <w:rPr>
          <w:rFonts w:hint="eastAsia" w:ascii="宋体" w:hAnsi="宋体" w:cs="宋体"/>
          <w:sz w:val="24"/>
          <w:szCs w:val="24"/>
          <w:highlight w:val="none"/>
        </w:rPr>
        <w:t>规定，确定进入第二阶段评审的投标人；</w:t>
      </w:r>
    </w:p>
    <w:p w14:paraId="08F666DE">
      <w:pPr>
        <w:pBdr>
          <w:bottom w:val="single" w:color="auto" w:sz="6" w:space="1"/>
        </w:pBd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40.8对进入第二阶段的投标人按投标须知前附表第19项规定计算第二阶段得分并排序；</w:t>
      </w:r>
    </w:p>
    <w:p w14:paraId="6FD506B9">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40.9经济标投标文件有效性审查；</w:t>
      </w:r>
    </w:p>
    <w:p w14:paraId="5A6FCA43">
      <w:pPr>
        <w:pBdr>
          <w:bottom w:val="single" w:color="auto" w:sz="6" w:space="1"/>
        </w:pBd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40.10</w:t>
      </w:r>
      <w:r>
        <w:rPr>
          <w:rFonts w:hint="eastAsia" w:ascii="宋体" w:hAnsi="宋体" w:cs="宋体"/>
          <w:sz w:val="24"/>
          <w:szCs w:val="24"/>
          <w:highlight w:val="none"/>
          <w:u w:val="single"/>
        </w:rPr>
        <w:t>评标委员会编写资格审查报告以及评标报告，向招标人推荐</w:t>
      </w:r>
      <w:r>
        <w:rPr>
          <w:rFonts w:hint="eastAsia" w:ascii="宋体" w:hAnsi="宋体" w:cs="宋体"/>
          <w:sz w:val="24"/>
          <w:szCs w:val="24"/>
          <w:highlight w:val="none"/>
          <w:u w:val="single"/>
          <w:lang w:eastAsia="zh-CN"/>
        </w:rPr>
        <w:t>1</w:t>
      </w:r>
      <w:r>
        <w:rPr>
          <w:rFonts w:hint="eastAsia" w:ascii="宋体" w:hAnsi="宋体" w:cs="宋体"/>
          <w:sz w:val="24"/>
          <w:szCs w:val="24"/>
          <w:highlight w:val="none"/>
          <w:u w:val="single"/>
          <w:lang w:val="en-US" w:eastAsia="zh-CN"/>
        </w:rPr>
        <w:t>0</w:t>
      </w:r>
      <w:r>
        <w:rPr>
          <w:rFonts w:hint="eastAsia" w:ascii="宋体" w:hAnsi="宋体" w:cs="宋体"/>
          <w:sz w:val="24"/>
          <w:szCs w:val="24"/>
          <w:highlight w:val="none"/>
          <w:u w:val="single"/>
        </w:rPr>
        <w:t>名（通过经济标有效性审查家数在[3,</w:t>
      </w:r>
      <w:r>
        <w:rPr>
          <w:rFonts w:hint="eastAsia" w:ascii="宋体" w:hAnsi="宋体" w:cs="宋体"/>
          <w:sz w:val="24"/>
          <w:szCs w:val="24"/>
          <w:highlight w:val="none"/>
          <w:u w:val="single"/>
          <w:lang w:eastAsia="zh-CN"/>
        </w:rPr>
        <w:t>1</w:t>
      </w:r>
      <w:r>
        <w:rPr>
          <w:rFonts w:hint="eastAsia" w:ascii="宋体" w:hAnsi="宋体" w:cs="宋体"/>
          <w:sz w:val="24"/>
          <w:szCs w:val="24"/>
          <w:highlight w:val="none"/>
          <w:u w:val="single"/>
          <w:lang w:val="en-US" w:eastAsia="zh-CN"/>
        </w:rPr>
        <w:t>0</w:t>
      </w:r>
      <w:r>
        <w:rPr>
          <w:rFonts w:hint="eastAsia" w:ascii="宋体" w:hAnsi="宋体" w:cs="宋体"/>
          <w:sz w:val="24"/>
          <w:szCs w:val="24"/>
          <w:highlight w:val="none"/>
          <w:u w:val="single"/>
        </w:rPr>
        <w:t>]的，以实际家数为准；超过</w:t>
      </w:r>
      <w:r>
        <w:rPr>
          <w:rFonts w:hint="eastAsia" w:ascii="宋体" w:hAnsi="宋体" w:cs="宋体"/>
          <w:sz w:val="24"/>
          <w:szCs w:val="24"/>
          <w:highlight w:val="none"/>
          <w:u w:val="single"/>
          <w:lang w:eastAsia="zh-CN"/>
        </w:rPr>
        <w:t>1</w:t>
      </w:r>
      <w:r>
        <w:rPr>
          <w:rFonts w:hint="eastAsia" w:ascii="宋体" w:hAnsi="宋体" w:cs="宋体"/>
          <w:sz w:val="24"/>
          <w:szCs w:val="24"/>
          <w:highlight w:val="none"/>
          <w:u w:val="single"/>
          <w:lang w:val="en-US" w:eastAsia="zh-CN"/>
        </w:rPr>
        <w:t>0</w:t>
      </w:r>
      <w:r>
        <w:rPr>
          <w:rFonts w:hint="eastAsia" w:ascii="宋体" w:hAnsi="宋体" w:cs="宋体"/>
          <w:sz w:val="24"/>
          <w:szCs w:val="24"/>
          <w:highlight w:val="none"/>
          <w:u w:val="single"/>
        </w:rPr>
        <w:t>家的，则只推荐</w:t>
      </w:r>
      <w:r>
        <w:rPr>
          <w:rFonts w:hint="eastAsia" w:ascii="宋体" w:hAnsi="宋体" w:cs="宋体"/>
          <w:sz w:val="24"/>
          <w:szCs w:val="24"/>
          <w:highlight w:val="none"/>
          <w:u w:val="single"/>
          <w:lang w:eastAsia="zh-CN"/>
        </w:rPr>
        <w:t>1</w:t>
      </w:r>
      <w:r>
        <w:rPr>
          <w:rFonts w:hint="eastAsia" w:ascii="宋体" w:hAnsi="宋体" w:cs="宋体"/>
          <w:sz w:val="24"/>
          <w:szCs w:val="24"/>
          <w:highlight w:val="none"/>
          <w:u w:val="single"/>
          <w:lang w:val="en-US" w:eastAsia="zh-CN"/>
        </w:rPr>
        <w:t>0</w:t>
      </w:r>
      <w:r>
        <w:rPr>
          <w:rFonts w:hint="eastAsia" w:ascii="宋体" w:hAnsi="宋体" w:cs="宋体"/>
          <w:sz w:val="24"/>
          <w:szCs w:val="24"/>
          <w:highlight w:val="none"/>
          <w:u w:val="single"/>
        </w:rPr>
        <w:t>家）不排序的合格中标候选人进入定标阶段【按统一社会信用代码后4位（除校验码外）大小排位，如统一社会信用代码后4位出现字母情况的，字母以“0”进行代替大小排位；如出现后4位（除校验码外）大小一致的，则随机排位】。</w:t>
      </w:r>
    </w:p>
    <w:p w14:paraId="0DAF4B47">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40.11定标委员会对评标委员会推荐的合格的中标候选人进行择优评审，确定中标人。定标结束后，定标委员会向招标人递交定标报告。</w:t>
      </w:r>
    </w:p>
    <w:p w14:paraId="18E79B97">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41.1</w:t>
      </w:r>
      <w:r>
        <w:rPr>
          <w:rFonts w:hint="eastAsia" w:ascii="宋体" w:hAnsi="宋体" w:cs="宋体"/>
          <w:b/>
          <w:sz w:val="24"/>
          <w:szCs w:val="24"/>
          <w:highlight w:val="none"/>
        </w:rPr>
        <w:t xml:space="preserve">             修改类型：修改</w:t>
      </w:r>
    </w:p>
    <w:p w14:paraId="0848BD8F">
      <w:pPr>
        <w:snapToGrid w:val="0"/>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41.1开</w:t>
      </w:r>
      <w:r>
        <w:rPr>
          <w:rFonts w:hint="eastAsia" w:ascii="宋体" w:hAnsi="宋体" w:cs="宋体"/>
          <w:sz w:val="24"/>
          <w:szCs w:val="24"/>
          <w:highlight w:val="none"/>
        </w:rPr>
        <w:t>标由招标人主持；</w:t>
      </w:r>
    </w:p>
    <w:p w14:paraId="699CD849">
      <w:pPr>
        <w:pBdr>
          <w:bottom w:val="single" w:color="auto" w:sz="6" w:space="1"/>
        </w:pBd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41.1</w:t>
      </w:r>
      <w:r>
        <w:rPr>
          <w:rFonts w:hint="eastAsia" w:ascii="宋体" w:hAnsi="宋体" w:cs="宋体"/>
          <w:sz w:val="24"/>
          <w:szCs w:val="24"/>
          <w:highlight w:val="none"/>
          <w:u w:val="single"/>
        </w:rPr>
        <w:t>开标由招标人或招标代理主持；</w:t>
      </w:r>
    </w:p>
    <w:p w14:paraId="41225158">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41.2.1</w:t>
      </w:r>
      <w:r>
        <w:rPr>
          <w:rFonts w:hint="eastAsia" w:ascii="宋体" w:hAnsi="宋体" w:cs="宋体"/>
          <w:b/>
          <w:sz w:val="24"/>
          <w:szCs w:val="24"/>
          <w:highlight w:val="none"/>
        </w:rPr>
        <w:t xml:space="preserve">           修改类型：修改</w:t>
      </w:r>
    </w:p>
    <w:p w14:paraId="5C977B3A">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41.2.1</w:t>
      </w:r>
      <w:r>
        <w:rPr>
          <w:rFonts w:hint="eastAsia" w:ascii="宋体" w:hAnsi="宋体" w:cs="宋体"/>
          <w:sz w:val="24"/>
          <w:szCs w:val="24"/>
          <w:highlight w:val="none"/>
        </w:rPr>
        <w:t>投标截止期前，各投标人递交投标文件（包括技术标投标文件、经济标投标文件）至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交易平台。有关投标文件提交的事项详见第一章投标须知。</w:t>
      </w:r>
    </w:p>
    <w:p w14:paraId="3A5F4D3E">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41.2.1</w:t>
      </w:r>
      <w:r>
        <w:rPr>
          <w:rFonts w:hint="eastAsia" w:ascii="宋体" w:hAnsi="宋体" w:cs="宋体"/>
          <w:sz w:val="24"/>
          <w:szCs w:val="24"/>
          <w:highlight w:val="none"/>
        </w:rPr>
        <w:t>投标截止期前，各投标人递交投标文件（包括技术标投标文件</w:t>
      </w:r>
      <w:r>
        <w:rPr>
          <w:rFonts w:hint="eastAsia" w:ascii="宋体" w:hAnsi="宋体" w:cs="宋体"/>
          <w:sz w:val="24"/>
          <w:szCs w:val="24"/>
          <w:highlight w:val="none"/>
          <w:u w:val="single"/>
        </w:rPr>
        <w:t>（含资格审查）</w:t>
      </w:r>
      <w:r>
        <w:rPr>
          <w:rFonts w:hint="eastAsia" w:ascii="宋体" w:hAnsi="宋体" w:cs="宋体"/>
          <w:sz w:val="24"/>
          <w:szCs w:val="24"/>
          <w:highlight w:val="none"/>
        </w:rPr>
        <w:t>、经济标投标文件）至</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交易平台。有关投标文件提交的事项详见第一章投标须知。</w:t>
      </w:r>
    </w:p>
    <w:p w14:paraId="75230FF3">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条款号：41.3.1             修改类型：修改</w:t>
      </w:r>
    </w:p>
    <w:p w14:paraId="5D27C19B">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593B398A">
      <w:pPr>
        <w:pBdr>
          <w:bottom w:val="single" w:color="auto" w:sz="6" w:space="1"/>
        </w:pBd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41.3.1开标时，公布：a、投标人名称；b、投标文件密封情况；c、投标报价；d、投标保证金；</w:t>
      </w:r>
      <w:r>
        <w:rPr>
          <w:rFonts w:hint="eastAsia" w:ascii="宋体" w:hAnsi="宋体" w:cs="宋体"/>
          <w:bCs/>
          <w:sz w:val="24"/>
          <w:szCs w:val="24"/>
          <w:highlight w:val="none"/>
          <w:u w:val="single"/>
        </w:rPr>
        <w:t>e、项目负责人、技术负责人及专职安全员姓名</w:t>
      </w:r>
      <w:r>
        <w:rPr>
          <w:rFonts w:hint="eastAsia" w:ascii="宋体" w:hAnsi="宋体" w:cs="宋体"/>
          <w:bCs/>
          <w:sz w:val="24"/>
          <w:szCs w:val="24"/>
          <w:highlight w:val="none"/>
        </w:rPr>
        <w:t>；f、法定代表人证明及授权委托等主要内容及开标记录表中的其他必要内容。投标报价以数字和文字两种方式表述的，应公布文字表述的投标报价。</w:t>
      </w:r>
    </w:p>
    <w:p w14:paraId="501B41FE">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条款号：41.4             修改类型：修改</w:t>
      </w:r>
    </w:p>
    <w:p w14:paraId="40BF8577">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41.4招标人对开标过程进行记录，并存档备查，投标人在开标记录上签字。</w:t>
      </w:r>
    </w:p>
    <w:p w14:paraId="0E6FF80E">
      <w:pPr>
        <w:pBdr>
          <w:bottom w:val="single" w:color="auto" w:sz="6" w:space="1"/>
        </w:pBd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41.4招标人</w:t>
      </w:r>
      <w:r>
        <w:rPr>
          <w:rFonts w:hint="eastAsia" w:ascii="宋体" w:hAnsi="宋体" w:cs="宋体"/>
          <w:sz w:val="24"/>
          <w:szCs w:val="24"/>
          <w:highlight w:val="none"/>
          <w:u w:val="single"/>
        </w:rPr>
        <w:t>或招标代理机构</w:t>
      </w:r>
      <w:r>
        <w:rPr>
          <w:rFonts w:hint="eastAsia" w:ascii="宋体" w:hAnsi="宋体" w:cs="宋体"/>
          <w:bCs/>
          <w:sz w:val="24"/>
          <w:szCs w:val="24"/>
          <w:highlight w:val="none"/>
        </w:rPr>
        <w:t>对开标过程进行记录，并存档备查，投标人在开标记录上签字。</w:t>
      </w:r>
    </w:p>
    <w:p w14:paraId="788BF20C">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条款号：41.5             修改类型：修改</w:t>
      </w:r>
    </w:p>
    <w:p w14:paraId="2BD1A2B5">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bCs/>
          <w:sz w:val="24"/>
          <w:szCs w:val="24"/>
          <w:highlight w:val="none"/>
        </w:rPr>
        <w:t>41.5招标人将上述符合要求的投标文件，送至评标委员会进行评审</w:t>
      </w:r>
      <w:r>
        <w:rPr>
          <w:rFonts w:hint="eastAsia" w:ascii="宋体" w:hAnsi="宋体" w:cs="宋体"/>
          <w:sz w:val="24"/>
          <w:szCs w:val="24"/>
          <w:highlight w:val="none"/>
        </w:rPr>
        <w:t>。</w:t>
      </w:r>
    </w:p>
    <w:p w14:paraId="245BC668">
      <w:pPr>
        <w:pBdr>
          <w:bottom w:val="single" w:color="auto" w:sz="6" w:space="1"/>
        </w:pBd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41.5</w:t>
      </w:r>
      <w:r>
        <w:rPr>
          <w:rFonts w:hint="eastAsia" w:ascii="宋体" w:hAnsi="宋体" w:cs="宋体"/>
          <w:sz w:val="24"/>
          <w:szCs w:val="24"/>
          <w:highlight w:val="none"/>
        </w:rPr>
        <w:t>招标人</w:t>
      </w:r>
      <w:r>
        <w:rPr>
          <w:rFonts w:hint="eastAsia" w:ascii="宋体" w:hAnsi="宋体" w:cs="宋体"/>
          <w:sz w:val="24"/>
          <w:szCs w:val="24"/>
          <w:highlight w:val="none"/>
          <w:u w:val="single"/>
        </w:rPr>
        <w:t>或招标代理机构</w:t>
      </w:r>
      <w:r>
        <w:rPr>
          <w:rFonts w:hint="eastAsia" w:ascii="宋体" w:hAnsi="宋体" w:cs="宋体"/>
          <w:bCs/>
          <w:sz w:val="24"/>
          <w:szCs w:val="24"/>
          <w:highlight w:val="none"/>
        </w:rPr>
        <w:t>将上述符合要求的投标文件，送至评标委员会进行评审</w:t>
      </w:r>
      <w:r>
        <w:rPr>
          <w:rFonts w:hint="eastAsia" w:ascii="宋体" w:hAnsi="宋体" w:cs="宋体"/>
          <w:sz w:val="24"/>
          <w:szCs w:val="24"/>
          <w:highlight w:val="none"/>
        </w:rPr>
        <w:t>。</w:t>
      </w:r>
    </w:p>
    <w:p w14:paraId="6FD756A6">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lang w:bidi="ar"/>
        </w:rPr>
        <w:t>条款号：</w:t>
      </w:r>
      <w:r>
        <w:rPr>
          <w:rFonts w:hint="eastAsia" w:ascii="宋体" w:hAnsi="宋体" w:cs="宋体"/>
          <w:b/>
          <w:bCs/>
          <w:sz w:val="24"/>
          <w:szCs w:val="24"/>
          <w:highlight w:val="none"/>
          <w:lang w:bidi="ar"/>
        </w:rPr>
        <w:t>42.1</w:t>
      </w:r>
      <w:r>
        <w:rPr>
          <w:rFonts w:hint="eastAsia" w:ascii="宋体" w:hAnsi="宋体" w:cs="宋体"/>
          <w:b/>
          <w:sz w:val="24"/>
          <w:szCs w:val="24"/>
          <w:highlight w:val="none"/>
        </w:rPr>
        <w:t xml:space="preserve">             </w:t>
      </w:r>
      <w:r>
        <w:rPr>
          <w:rFonts w:hint="eastAsia" w:ascii="宋体" w:hAnsi="宋体" w:cs="宋体"/>
          <w:b/>
          <w:sz w:val="24"/>
          <w:szCs w:val="24"/>
          <w:highlight w:val="none"/>
          <w:lang w:bidi="ar"/>
        </w:rPr>
        <w:t>修改类型：修改</w:t>
      </w:r>
    </w:p>
    <w:p w14:paraId="33241A76">
      <w:pPr>
        <w:spacing w:line="360" w:lineRule="auto"/>
        <w:ind w:firstLine="482" w:firstLineChars="200"/>
        <w:rPr>
          <w:rFonts w:ascii="宋体" w:hAnsi="宋体" w:cs="宋体"/>
          <w:bCs/>
          <w:sz w:val="24"/>
          <w:szCs w:val="24"/>
          <w:highlight w:val="none"/>
          <w:lang w:bidi="ar"/>
        </w:rPr>
      </w:pPr>
      <w:r>
        <w:rPr>
          <w:rFonts w:hint="eastAsia" w:ascii="宋体" w:hAnsi="宋体" w:cs="宋体"/>
          <w:b/>
          <w:sz w:val="24"/>
          <w:szCs w:val="24"/>
          <w:highlight w:val="none"/>
          <w:lang w:bidi="ar"/>
        </w:rPr>
        <w:t>原文：</w:t>
      </w:r>
      <w:r>
        <w:rPr>
          <w:rFonts w:hint="eastAsia" w:ascii="宋体" w:hAnsi="宋体" w:cs="宋体"/>
          <w:bCs/>
          <w:sz w:val="24"/>
          <w:szCs w:val="24"/>
          <w:highlight w:val="none"/>
          <w:lang w:bidi="ar"/>
        </w:rPr>
        <w:t>42.1评标委员会的组成：方式</w:t>
      </w:r>
      <w:r>
        <w:rPr>
          <w:rFonts w:hint="eastAsia" w:ascii="宋体" w:hAnsi="宋体" w:cs="宋体"/>
          <w:bCs/>
          <w:sz w:val="24"/>
          <w:szCs w:val="24"/>
          <w:highlight w:val="none"/>
          <w:u w:val="single"/>
          <w:lang w:bidi="ar"/>
        </w:rPr>
        <w:t xml:space="preserve">      </w:t>
      </w:r>
      <w:r>
        <w:rPr>
          <w:rFonts w:hint="eastAsia" w:ascii="宋体" w:hAnsi="宋体" w:cs="宋体"/>
          <w:bCs/>
          <w:sz w:val="24"/>
          <w:szCs w:val="24"/>
          <w:highlight w:val="none"/>
          <w:lang w:bidi="ar"/>
        </w:rPr>
        <w:t>。</w:t>
      </w:r>
    </w:p>
    <w:p w14:paraId="0B17F9F6">
      <w:pPr>
        <w:spacing w:line="360" w:lineRule="auto"/>
        <w:ind w:firstLine="480" w:firstLineChars="200"/>
        <w:rPr>
          <w:rFonts w:ascii="宋体" w:hAnsi="宋体" w:cs="宋体"/>
          <w:bCs/>
          <w:sz w:val="24"/>
          <w:szCs w:val="24"/>
          <w:highlight w:val="none"/>
          <w:lang w:bidi="ar"/>
        </w:rPr>
      </w:pPr>
      <w:r>
        <w:rPr>
          <w:rFonts w:hint="eastAsia" w:ascii="宋体" w:hAnsi="宋体" w:cs="宋体"/>
          <w:bCs/>
          <w:sz w:val="24"/>
          <w:szCs w:val="24"/>
          <w:highlight w:val="none"/>
          <w:lang w:bidi="ar"/>
        </w:rPr>
        <w:t>方式一：评标委员会为综合评标委员会，负责评标工作。</w:t>
      </w:r>
    </w:p>
    <w:p w14:paraId="31DD04B8">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lang w:bidi="ar"/>
        </w:rPr>
        <w:t>方式二：评标委员会由技术评审组和经济评审组组成。其中：资格审查、技术评审由技术评标组负责，经济评审由经济评审组负责。</w:t>
      </w:r>
    </w:p>
    <w:p w14:paraId="070AE316">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lang w:bidi="ar"/>
        </w:rPr>
        <w:t>现文：</w:t>
      </w:r>
      <w:r>
        <w:rPr>
          <w:rFonts w:hint="eastAsia" w:ascii="宋体" w:hAnsi="宋体" w:cs="宋体"/>
          <w:sz w:val="24"/>
          <w:szCs w:val="24"/>
          <w:highlight w:val="none"/>
          <w:lang w:bidi="ar"/>
        </w:rPr>
        <w:t>评标委员会的组成：方式</w:t>
      </w:r>
      <w:r>
        <w:rPr>
          <w:rFonts w:hint="eastAsia" w:ascii="宋体" w:hAnsi="宋体" w:cs="宋体"/>
          <w:sz w:val="24"/>
          <w:szCs w:val="24"/>
          <w:highlight w:val="none"/>
          <w:u w:val="single"/>
          <w:lang w:bidi="ar"/>
        </w:rPr>
        <w:t>一</w:t>
      </w:r>
      <w:r>
        <w:rPr>
          <w:rFonts w:hint="eastAsia" w:ascii="宋体" w:hAnsi="宋体" w:cs="宋体"/>
          <w:sz w:val="24"/>
          <w:szCs w:val="24"/>
          <w:highlight w:val="none"/>
          <w:lang w:bidi="ar"/>
        </w:rPr>
        <w:t>。</w:t>
      </w:r>
    </w:p>
    <w:p w14:paraId="47B6671C">
      <w:pPr>
        <w:pBdr>
          <w:bottom w:val="single" w:color="auto" w:sz="6" w:space="1"/>
        </w:pBd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方式一：评标委员会为综合评标委员会，负责资格审查及评标工作。</w:t>
      </w:r>
    </w:p>
    <w:p w14:paraId="3B9E65C7">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条款号：42.2.6           修改类型：修改</w:t>
      </w:r>
    </w:p>
    <w:p w14:paraId="46B35D82">
      <w:pPr>
        <w:widowControl/>
        <w:spacing w:line="360" w:lineRule="auto"/>
        <w:ind w:firstLine="482" w:firstLineChars="200"/>
        <w:jc w:val="left"/>
        <w:rPr>
          <w:rFonts w:ascii="宋体" w:hAnsi="宋体" w:cs="宋体"/>
          <w:kern w:val="0"/>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42.2.6资格审查合格的投标人少于3名的（当N个标段同时招标且不允许兼中时，资格审查合格的投标人少于N+2名），则本项目招标失败。</w:t>
      </w:r>
    </w:p>
    <w:p w14:paraId="6A171260">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42.2.6资格审查合格的投标人少于3名的，则本项目招标失败。</w:t>
      </w:r>
    </w:p>
    <w:p w14:paraId="1228D807">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条款号：42.3.1           修改类型：修改</w:t>
      </w:r>
    </w:p>
    <w:p w14:paraId="43F42E47">
      <w:pPr>
        <w:widowControl/>
        <w:spacing w:line="360" w:lineRule="auto"/>
        <w:ind w:firstLine="482" w:firstLineChars="200"/>
        <w:jc w:val="left"/>
        <w:rPr>
          <w:rFonts w:ascii="宋体" w:hAnsi="宋体" w:cs="宋体"/>
          <w:kern w:val="0"/>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9A03A4E">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评委发现投标文件中含义不明确、对同类问题表述不一致、有明显文字和计算错误的，应当要求投标人作必要的澄清、说明后再判定投标人是否通过有效性审查，不得直接否决投标。</w:t>
      </w:r>
    </w:p>
    <w:p w14:paraId="62E97403">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条款号：42.3.2           修改类型：修改</w:t>
      </w:r>
    </w:p>
    <w:p w14:paraId="31148157">
      <w:pPr>
        <w:widowControl/>
        <w:spacing w:line="360" w:lineRule="auto"/>
        <w:ind w:firstLine="482" w:firstLineChars="200"/>
        <w:jc w:val="left"/>
        <w:rPr>
          <w:rFonts w:ascii="宋体" w:hAnsi="宋体" w:cs="宋体"/>
          <w:kern w:val="0"/>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42.3.2</w:t>
      </w:r>
      <w:r>
        <w:rPr>
          <w:rFonts w:hint="eastAsia" w:ascii="宋体" w:hAnsi="宋体" w:cs="宋体"/>
          <w:sz w:val="24"/>
          <w:szCs w:val="24"/>
          <w:highlight w:val="none"/>
          <w:u w:val="single"/>
        </w:rPr>
        <w:t xml:space="preserve">     </w:t>
      </w:r>
      <w:r>
        <w:rPr>
          <w:rFonts w:hint="eastAsia" w:ascii="宋体" w:hAnsi="宋体" w:cs="宋体"/>
          <w:sz w:val="24"/>
          <w:szCs w:val="24"/>
          <w:highlight w:val="none"/>
        </w:rPr>
        <w:t>详细审查评分：评标委员会按照本办法附表</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详细审查评分表》对通过技术标有效性审查的投标文件进行详细审查，评出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得分。</w:t>
      </w:r>
    </w:p>
    <w:p w14:paraId="7AB2AFCF">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42.3.2</w:t>
      </w:r>
      <w:r>
        <w:rPr>
          <w:rFonts w:hint="eastAsia" w:ascii="宋体" w:hAnsi="宋体" w:cs="宋体"/>
          <w:sz w:val="24"/>
          <w:szCs w:val="24"/>
          <w:highlight w:val="none"/>
          <w:u w:val="single"/>
        </w:rPr>
        <w:t>技术标</w:t>
      </w:r>
      <w:r>
        <w:rPr>
          <w:rFonts w:hint="eastAsia" w:ascii="宋体" w:hAnsi="宋体" w:cs="宋体"/>
          <w:sz w:val="24"/>
          <w:szCs w:val="24"/>
          <w:highlight w:val="none"/>
        </w:rPr>
        <w:t>详细审查评分：评标委员会按照本办法附表</w:t>
      </w:r>
      <w:r>
        <w:rPr>
          <w:rFonts w:hint="eastAsia" w:ascii="宋体" w:hAnsi="宋体" w:cs="宋体"/>
          <w:sz w:val="24"/>
          <w:szCs w:val="24"/>
          <w:highlight w:val="none"/>
          <w:u w:val="single"/>
        </w:rPr>
        <w:t>四</w:t>
      </w:r>
      <w:r>
        <w:rPr>
          <w:rFonts w:hint="eastAsia" w:ascii="宋体" w:hAnsi="宋体" w:cs="宋体"/>
          <w:sz w:val="24"/>
          <w:szCs w:val="24"/>
          <w:highlight w:val="none"/>
        </w:rPr>
        <w:t>《</w:t>
      </w:r>
      <w:r>
        <w:rPr>
          <w:rFonts w:hint="eastAsia" w:ascii="宋体" w:hAnsi="宋体" w:cs="宋体"/>
          <w:sz w:val="24"/>
          <w:szCs w:val="24"/>
          <w:highlight w:val="none"/>
          <w:u w:val="single"/>
        </w:rPr>
        <w:t>技术标</w:t>
      </w:r>
      <w:r>
        <w:rPr>
          <w:rFonts w:hint="eastAsia" w:ascii="宋体" w:hAnsi="宋体" w:cs="宋体"/>
          <w:sz w:val="24"/>
          <w:szCs w:val="24"/>
          <w:highlight w:val="none"/>
        </w:rPr>
        <w:t>详细审查评分表》对通过技术标有效性审查的投标文件进行详细审查，评出</w:t>
      </w:r>
      <w:r>
        <w:rPr>
          <w:rFonts w:hint="eastAsia" w:ascii="宋体" w:hAnsi="宋体" w:cs="宋体"/>
          <w:sz w:val="24"/>
          <w:szCs w:val="24"/>
          <w:highlight w:val="none"/>
          <w:u w:val="single"/>
        </w:rPr>
        <w:t>技术标</w:t>
      </w:r>
      <w:r>
        <w:rPr>
          <w:rFonts w:hint="eastAsia" w:ascii="宋体" w:hAnsi="宋体" w:cs="宋体"/>
          <w:sz w:val="24"/>
          <w:szCs w:val="24"/>
          <w:highlight w:val="none"/>
        </w:rPr>
        <w:t>得分。</w:t>
      </w:r>
    </w:p>
    <w:p w14:paraId="340F83CC">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条款号：42.3.4           修改类型：修改</w:t>
      </w:r>
    </w:p>
    <w:p w14:paraId="523FFCA7">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42.3.4评标委员会按照“第一阶段得分=</w:t>
      </w:r>
      <w:r>
        <w:rPr>
          <w:rFonts w:hint="eastAsia" w:ascii="宋体" w:hAnsi="宋体" w:cs="宋体"/>
          <w:sz w:val="24"/>
          <w:szCs w:val="24"/>
          <w:highlight w:val="none"/>
          <w:u w:val="single"/>
        </w:rPr>
        <w:t xml:space="preserve">               </w:t>
      </w:r>
      <w:r>
        <w:rPr>
          <w:rFonts w:hint="eastAsia" w:ascii="宋体" w:hAnsi="宋体" w:cs="宋体"/>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7BCC80CF">
      <w:pPr>
        <w:pBdr>
          <w:bottom w:val="single" w:color="auto" w:sz="6" w:space="1"/>
        </w:pBdr>
        <w:spacing w:line="360" w:lineRule="auto"/>
        <w:ind w:firstLine="482" w:firstLineChars="200"/>
        <w:rPr>
          <w:rFonts w:ascii="宋体" w:hAnsi="宋体" w:cs="宋体"/>
          <w:sz w:val="24"/>
          <w:szCs w:val="24"/>
          <w:highlight w:val="none"/>
          <w:u w:val="single"/>
        </w:rPr>
      </w:pPr>
      <w:r>
        <w:rPr>
          <w:rFonts w:hint="eastAsia" w:ascii="宋体" w:hAnsi="宋体" w:cs="宋体"/>
          <w:b/>
          <w:sz w:val="24"/>
          <w:szCs w:val="24"/>
          <w:highlight w:val="none"/>
        </w:rPr>
        <w:t>现文：</w:t>
      </w:r>
      <w:r>
        <w:rPr>
          <w:rFonts w:hint="eastAsia" w:ascii="宋体" w:hAnsi="宋体" w:cs="宋体"/>
          <w:sz w:val="24"/>
          <w:szCs w:val="24"/>
          <w:highlight w:val="none"/>
        </w:rPr>
        <w:t>42.3.4评标委员会按照“第一阶段得分=</w:t>
      </w:r>
      <w:r>
        <w:rPr>
          <w:rFonts w:hint="eastAsia" w:ascii="宋体" w:hAnsi="宋体" w:cs="宋体"/>
          <w:sz w:val="24"/>
          <w:szCs w:val="24"/>
          <w:highlight w:val="none"/>
          <w:u w:val="single"/>
        </w:rPr>
        <w:t>技术标得分（满分为100分）×得分权重（100%）”</w:t>
      </w:r>
      <w:r>
        <w:rPr>
          <w:rFonts w:hint="eastAsia" w:ascii="宋体" w:hAnsi="宋体" w:cs="宋体"/>
          <w:sz w:val="24"/>
          <w:szCs w:val="24"/>
          <w:highlight w:val="none"/>
        </w:rPr>
        <w:t>的公式及投标须知前附表第27项的规定，计算各投标人第一阶段得分(按四舍五入的原则保留两位小数)，并按照得分从高到低排列先后次序</w:t>
      </w:r>
      <w:r>
        <w:rPr>
          <w:rFonts w:hint="eastAsia" w:ascii="宋体" w:hAnsi="宋体" w:cs="宋体"/>
          <w:sz w:val="24"/>
          <w:szCs w:val="24"/>
          <w:highlight w:val="none"/>
          <w:u w:val="single"/>
        </w:rPr>
        <w:t>。若投标人得分相同的，则以投标总报价较低的排前；如仍存在相同情况，则对具有相同情况的投标人，由评标委员会采用记名投票方式，确定投标人第一阶段名次的排序。编写第一阶段评审报告。</w:t>
      </w:r>
    </w:p>
    <w:p w14:paraId="6F7685D9">
      <w:pPr>
        <w:pBdr>
          <w:bottom w:val="single" w:color="auto" w:sz="6" w:space="1"/>
        </w:pBd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注：记名投票方式确定排序的具体操作步骤为：由评标委员会对出现该情况的投标人采取记名投票的方式确定，按得票数从高到低排列先后次序，以得票数高的排前，根据得票数高低确定排序。</w:t>
      </w:r>
    </w:p>
    <w:p w14:paraId="30F9D164">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条款号：42.4.1           修改类型：修改</w:t>
      </w:r>
    </w:p>
    <w:p w14:paraId="7AE2B108">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42.4.1按照投标须知前附表第25项规定，确定进入第二阶段评审的投标人。若在进入第二阶段的最后名次发生并列的，则所有并列的投标人均进入第二阶段。</w:t>
      </w:r>
    </w:p>
    <w:p w14:paraId="65AE7996">
      <w:pPr>
        <w:pBdr>
          <w:bottom w:val="single" w:color="auto" w:sz="6" w:space="1"/>
        </w:pBd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42.4.1按照投标须知前附表</w:t>
      </w:r>
      <w:r>
        <w:rPr>
          <w:rFonts w:hint="eastAsia" w:ascii="宋体" w:hAnsi="宋体" w:cs="宋体"/>
          <w:sz w:val="24"/>
          <w:szCs w:val="24"/>
          <w:highlight w:val="none"/>
          <w:u w:val="single"/>
        </w:rPr>
        <w:t>第26项</w:t>
      </w:r>
      <w:r>
        <w:rPr>
          <w:rFonts w:hint="eastAsia" w:ascii="宋体" w:hAnsi="宋体" w:cs="宋体"/>
          <w:sz w:val="24"/>
          <w:szCs w:val="24"/>
          <w:highlight w:val="none"/>
        </w:rPr>
        <w:t>规定，确定进入第二阶段评审的投标人。</w:t>
      </w:r>
    </w:p>
    <w:p w14:paraId="717B6F18">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条款号：42.4.2           修改类型：删除</w:t>
      </w:r>
    </w:p>
    <w:p w14:paraId="2761D25F">
      <w:pPr>
        <w:pBdr>
          <w:bottom w:val="single" w:color="auto" w:sz="6" w:space="1"/>
        </w:pBd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42.4.2若进入第二阶段投标人中所有投标报价均大于等于最高投标限价*D%（D的取值范围为[94,100],由招标人自主确定）的（具体金额为：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元），则本项目招标失败，由招标人依法重新招标。</w:t>
      </w:r>
    </w:p>
    <w:p w14:paraId="6ED05AA7">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lang w:bidi="ar"/>
        </w:rPr>
        <w:t>条款号：42.4.3.1</w:t>
      </w:r>
      <w:r>
        <w:rPr>
          <w:rFonts w:hint="eastAsia" w:ascii="宋体" w:hAnsi="宋体" w:cs="宋体"/>
          <w:b/>
          <w:sz w:val="24"/>
          <w:szCs w:val="24"/>
          <w:highlight w:val="none"/>
        </w:rPr>
        <w:t xml:space="preserve">               </w:t>
      </w:r>
      <w:r>
        <w:rPr>
          <w:rFonts w:hint="eastAsia" w:ascii="宋体" w:hAnsi="宋体" w:cs="宋体"/>
          <w:b/>
          <w:sz w:val="24"/>
          <w:szCs w:val="24"/>
          <w:highlight w:val="none"/>
          <w:lang w:bidi="ar"/>
        </w:rPr>
        <w:t>修改类型：修改</w:t>
      </w:r>
    </w:p>
    <w:p w14:paraId="4A32B832">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lang w:bidi="ar"/>
        </w:rPr>
        <w:t>原文：</w:t>
      </w:r>
      <w:r>
        <w:rPr>
          <w:rFonts w:hint="eastAsia" w:ascii="宋体" w:hAnsi="宋体" w:cs="宋体"/>
          <w:sz w:val="24"/>
          <w:szCs w:val="24"/>
          <w:highlight w:val="none"/>
        </w:rPr>
        <w:t>42.4.3.1按方法</w:t>
      </w:r>
      <w:r>
        <w:rPr>
          <w:rFonts w:hint="eastAsia" w:ascii="宋体" w:hAnsi="宋体" w:cs="宋体"/>
          <w:sz w:val="24"/>
          <w:szCs w:val="24"/>
          <w:highlight w:val="none"/>
          <w:u w:val="single"/>
        </w:rPr>
        <w:t xml:space="preserve">    </w:t>
      </w:r>
      <w:r>
        <w:rPr>
          <w:rFonts w:hint="eastAsia" w:ascii="宋体" w:hAnsi="宋体" w:cs="宋体"/>
          <w:sz w:val="24"/>
          <w:szCs w:val="24"/>
          <w:highlight w:val="none"/>
        </w:rPr>
        <w:t>计算评标参考价：</w:t>
      </w:r>
    </w:p>
    <w:p w14:paraId="16D13600">
      <w:pPr>
        <w:widowControl/>
        <w:spacing w:line="360" w:lineRule="auto"/>
        <w:ind w:firstLine="482" w:firstLineChars="200"/>
        <w:rPr>
          <w:rFonts w:ascii="宋体" w:hAnsi="宋体" w:cs="宋体"/>
          <w:b/>
          <w:bCs/>
          <w:kern w:val="0"/>
          <w:sz w:val="24"/>
          <w:szCs w:val="24"/>
          <w:highlight w:val="none"/>
        </w:rPr>
      </w:pPr>
      <w:r>
        <w:rPr>
          <w:rFonts w:hint="eastAsia" w:ascii="宋体" w:hAnsi="宋体" w:cs="宋体"/>
          <w:b/>
          <w:bCs/>
          <w:kern w:val="0"/>
          <w:sz w:val="24"/>
          <w:szCs w:val="24"/>
          <w:highlight w:val="none"/>
        </w:rPr>
        <w:t>方法一：加权平均法</w:t>
      </w:r>
    </w:p>
    <w:p w14:paraId="73115DB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技术标或技术标加诚信得分或第一阶段入围得分（具体由招标人自定）前N名（N≥5，具体由招标人自定）的经济报价加权平均，计算评标参考价。公式如下：</w:t>
      </w:r>
    </w:p>
    <w:p w14:paraId="7C4411E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评标参考价=Σ（投标人的投标报价*报价权重）。</w:t>
      </w:r>
    </w:p>
    <w:p w14:paraId="5A7003E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其中：报价权重的计算方法为：将N名投标人按技术分由高至低进行排序，第一名投标人的权重为（</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QUOTE </w:instrText>
      </w:r>
      <w:r>
        <w:rPr>
          <w:rFonts w:hint="eastAsia" w:ascii="宋体" w:hAnsi="宋体" w:cs="宋体"/>
          <w:sz w:val="24"/>
          <w:szCs w:val="24"/>
          <w:highlight w:val="none"/>
        </w:rPr>
        <w:drawing>
          <wp:inline distT="0" distB="0" distL="0" distR="0">
            <wp:extent cx="381000" cy="447675"/>
            <wp:effectExtent l="0" t="0" r="0" b="889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z w:val="24"/>
          <w:szCs w:val="24"/>
          <w:highlight w:val="none"/>
        </w:rPr>
        <w:fldChar w:fldCharType="separate"/>
      </w:r>
      <w:r>
        <w:rPr>
          <w:rFonts w:hint="eastAsia" w:ascii="宋体" w:hAnsi="宋体" w:cs="宋体"/>
          <w:sz w:val="24"/>
          <w:szCs w:val="24"/>
          <w:highlight w:val="none"/>
        </w:rPr>
        <w:drawing>
          <wp:inline distT="0" distB="0" distL="0" distR="0">
            <wp:extent cx="381000" cy="447675"/>
            <wp:effectExtent l="0" t="0" r="0" b="8890"/>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z w:val="24"/>
          <w:szCs w:val="24"/>
          <w:highlight w:val="none"/>
        </w:rPr>
        <w:fldChar w:fldCharType="end"/>
      </w:r>
      <w:r>
        <w:rPr>
          <w:rFonts w:hint="eastAsia" w:ascii="宋体" w:hAnsi="宋体" w:cs="宋体"/>
          <w:sz w:val="24"/>
          <w:szCs w:val="24"/>
          <w:highlight w:val="none"/>
        </w:rPr>
        <w:t>），第二名投标人的权重为（</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QUOTE </w:instrText>
      </w:r>
      <w:r>
        <w:rPr>
          <w:rFonts w:hint="eastAsia" w:ascii="宋体" w:hAnsi="宋体" w:cs="宋体"/>
          <w:position w:val="-23"/>
          <w:sz w:val="24"/>
          <w:szCs w:val="24"/>
          <w:highlight w:val="none"/>
        </w:rPr>
        <w:drawing>
          <wp:inline distT="0" distB="0" distL="0" distR="0">
            <wp:extent cx="323850" cy="4000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 w:val="24"/>
          <w:szCs w:val="24"/>
          <w:highlight w:val="none"/>
        </w:rPr>
        <w:fldChar w:fldCharType="separate"/>
      </w:r>
      <w:r>
        <w:rPr>
          <w:rFonts w:hint="eastAsia" w:ascii="宋体" w:hAnsi="宋体" w:cs="宋体"/>
          <w:position w:val="-23"/>
          <w:sz w:val="24"/>
          <w:szCs w:val="24"/>
          <w:highlight w:val="none"/>
        </w:rPr>
        <w:drawing>
          <wp:inline distT="0" distB="0" distL="0" distR="0">
            <wp:extent cx="323850" cy="400050"/>
            <wp:effectExtent l="0" t="0" r="0"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 w:val="24"/>
          <w:szCs w:val="24"/>
          <w:highlight w:val="none"/>
        </w:rPr>
        <w:fldChar w:fldCharType="end"/>
      </w:r>
      <w:r>
        <w:rPr>
          <w:rFonts w:hint="eastAsia" w:ascii="宋体" w:hAnsi="宋体" w:cs="宋体"/>
          <w:sz w:val="24"/>
          <w:szCs w:val="24"/>
          <w:highlight w:val="none"/>
        </w:rPr>
        <w:t>），以此类推，最后一名投标人的权重为（</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QUOTE </w:instrText>
      </w:r>
      <w:r>
        <w:rPr>
          <w:rFonts w:hint="eastAsia" w:ascii="宋体" w:hAnsi="宋体" w:cs="宋体"/>
          <w:position w:val="-23"/>
          <w:sz w:val="24"/>
          <w:szCs w:val="24"/>
          <w:highlight w:val="none"/>
        </w:rPr>
        <w:drawing>
          <wp:inline distT="0" distB="0" distL="0" distR="0">
            <wp:extent cx="323850" cy="400050"/>
            <wp:effectExtent l="0" t="0" r="0"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 w:val="24"/>
          <w:szCs w:val="24"/>
          <w:highlight w:val="none"/>
        </w:rPr>
        <w:fldChar w:fldCharType="separate"/>
      </w:r>
      <w:r>
        <w:rPr>
          <w:rFonts w:hint="eastAsia" w:ascii="宋体" w:hAnsi="宋体" w:cs="宋体"/>
          <w:position w:val="-23"/>
          <w:sz w:val="24"/>
          <w:szCs w:val="24"/>
          <w:highlight w:val="none"/>
        </w:rPr>
        <w:drawing>
          <wp:inline distT="0" distB="0" distL="0" distR="0">
            <wp:extent cx="323850" cy="400050"/>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 w:val="24"/>
          <w:szCs w:val="24"/>
          <w:highlight w:val="none"/>
        </w:rPr>
        <w:fldChar w:fldCharType="end"/>
      </w:r>
      <w:r>
        <w:rPr>
          <w:rFonts w:hint="eastAsia" w:ascii="宋体" w:hAnsi="宋体" w:cs="宋体"/>
          <w:sz w:val="24"/>
          <w:szCs w:val="24"/>
          <w:highlight w:val="none"/>
        </w:rPr>
        <w:t>）。</w:t>
      </w:r>
    </w:p>
    <w:p w14:paraId="165313FB">
      <w:pPr>
        <w:widowControl/>
        <w:spacing w:line="360" w:lineRule="auto"/>
        <w:ind w:firstLine="482" w:firstLineChars="200"/>
        <w:rPr>
          <w:rFonts w:ascii="宋体" w:hAnsi="宋体" w:cs="宋体"/>
          <w:b/>
          <w:bCs/>
          <w:kern w:val="0"/>
          <w:sz w:val="24"/>
          <w:szCs w:val="24"/>
          <w:highlight w:val="none"/>
        </w:rPr>
      </w:pPr>
      <w:r>
        <w:rPr>
          <w:rFonts w:hint="eastAsia" w:ascii="宋体" w:hAnsi="宋体" w:cs="宋体"/>
          <w:b/>
          <w:bCs/>
          <w:kern w:val="0"/>
          <w:sz w:val="24"/>
          <w:szCs w:val="24"/>
          <w:highlight w:val="none"/>
        </w:rPr>
        <w:t>方法二：区间抽取法</w:t>
      </w:r>
    </w:p>
    <w:p w14:paraId="0C325436">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1D54ECC">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评标参考价=（Q高-Q低）/100*Ｘ+Q低</w:t>
      </w:r>
    </w:p>
    <w:p w14:paraId="6F3C9DE8">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Q低：为达到或超过技术标及格分数线的投标人最低报价与工程成本警示价两者中的较高值；</w:t>
      </w:r>
    </w:p>
    <w:p w14:paraId="0382B729">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Q高：为最高投标限价</w:t>
      </w:r>
    </w:p>
    <w:p w14:paraId="48B95D43">
      <w:pPr>
        <w:pBdr>
          <w:bottom w:val="single" w:color="auto" w:sz="6" w:space="1"/>
        </w:pBd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 xml:space="preserve"> X:为等分点值，在开标前从[0,100]整数中随机抽取</w:t>
      </w:r>
    </w:p>
    <w:p w14:paraId="0A3BA41E">
      <w:pPr>
        <w:pBdr>
          <w:bottom w:val="single" w:color="auto" w:sz="6" w:space="1"/>
        </w:pBdr>
        <w:spacing w:line="360" w:lineRule="auto"/>
        <w:ind w:firstLine="482" w:firstLineChars="200"/>
        <w:rPr>
          <w:rFonts w:ascii="宋体" w:hAnsi="宋体" w:cs="宋体"/>
          <w:bCs/>
          <w:sz w:val="24"/>
          <w:szCs w:val="24"/>
          <w:highlight w:val="none"/>
        </w:rPr>
      </w:pPr>
      <w:r>
        <w:rPr>
          <w:rFonts w:hint="eastAsia" w:ascii="宋体" w:hAnsi="宋体" w:cs="宋体"/>
          <w:b/>
          <w:sz w:val="24"/>
          <w:szCs w:val="24"/>
          <w:highlight w:val="none"/>
        </w:rPr>
        <w:t>现文：</w:t>
      </w:r>
      <w:r>
        <w:rPr>
          <w:rFonts w:hint="eastAsia" w:ascii="宋体" w:hAnsi="宋体" w:cs="宋体"/>
          <w:bCs/>
          <w:sz w:val="24"/>
          <w:szCs w:val="24"/>
          <w:highlight w:val="none"/>
        </w:rPr>
        <w:t>42.4.3.1按方法</w:t>
      </w:r>
      <w:r>
        <w:rPr>
          <w:rFonts w:hint="eastAsia" w:ascii="宋体" w:hAnsi="宋体" w:cs="宋体"/>
          <w:bCs/>
          <w:sz w:val="24"/>
          <w:szCs w:val="24"/>
          <w:highlight w:val="none"/>
          <w:u w:val="single"/>
        </w:rPr>
        <w:t xml:space="preserve"> 一 </w:t>
      </w:r>
      <w:r>
        <w:rPr>
          <w:rFonts w:hint="eastAsia" w:ascii="宋体" w:hAnsi="宋体" w:cs="宋体"/>
          <w:bCs/>
          <w:sz w:val="24"/>
          <w:szCs w:val="24"/>
          <w:highlight w:val="none"/>
        </w:rPr>
        <w:t>计算评标参考价：</w:t>
      </w:r>
    </w:p>
    <w:p w14:paraId="2D13BF08">
      <w:pPr>
        <w:pBdr>
          <w:bottom w:val="single" w:color="auto" w:sz="6" w:space="1"/>
        </w:pBd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方法一：加权平均法</w:t>
      </w:r>
    </w:p>
    <w:p w14:paraId="69946F38">
      <w:pPr>
        <w:pBdr>
          <w:bottom w:val="single" w:color="auto" w:sz="6" w:space="1"/>
        </w:pBd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u w:val="single"/>
        </w:rPr>
        <w:t>技术标得分前N名（N=5；若通过技术标有效性审查投标人小于5家时，N=通过技术标有效性审查的投标人家数）</w:t>
      </w:r>
      <w:r>
        <w:rPr>
          <w:rFonts w:hint="eastAsia" w:ascii="宋体" w:hAnsi="宋体" w:cs="宋体"/>
          <w:bCs/>
          <w:sz w:val="24"/>
          <w:szCs w:val="24"/>
          <w:highlight w:val="none"/>
        </w:rPr>
        <w:t>的经济报价加权平均，计算评标参考价。公式如下：</w:t>
      </w:r>
    </w:p>
    <w:p w14:paraId="7E7BA4F6">
      <w:pPr>
        <w:pBdr>
          <w:bottom w:val="single" w:color="auto" w:sz="6" w:space="1"/>
        </w:pBd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评标参考价=Σ（投标人的投标报价*报价权重）。</w:t>
      </w:r>
    </w:p>
    <w:p w14:paraId="6874679A">
      <w:pPr>
        <w:pBdr>
          <w:bottom w:val="single" w:color="auto" w:sz="6" w:space="1"/>
        </w:pBd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其中：报价权重的计算方法为：将N名投标人按技术分由高至低进行排序，第一名投标人的权重为（</w:t>
      </w:r>
      <w:r>
        <w:rPr>
          <w:rFonts w:hint="eastAsia" w:ascii="宋体" w:hAnsi="宋体" w:cs="宋体"/>
          <w:bCs/>
          <w:sz w:val="24"/>
          <w:szCs w:val="24"/>
          <w:highlight w:val="none"/>
        </w:rPr>
        <w:fldChar w:fldCharType="begin"/>
      </w:r>
      <w:r>
        <w:rPr>
          <w:rFonts w:hint="eastAsia" w:ascii="宋体" w:hAnsi="宋体" w:cs="宋体"/>
          <w:bCs/>
          <w:sz w:val="24"/>
          <w:szCs w:val="24"/>
          <w:highlight w:val="none"/>
        </w:rPr>
        <w:instrText xml:space="preserve"> QUOTE </w:instrText>
      </w:r>
      <w:r>
        <w:rPr>
          <w:rFonts w:hint="eastAsia" w:ascii="宋体" w:hAnsi="宋体" w:cs="宋体"/>
          <w:bCs/>
          <w:sz w:val="24"/>
          <w:szCs w:val="24"/>
          <w:highlight w:val="none"/>
        </w:rPr>
        <w:drawing>
          <wp:inline distT="0" distB="0" distL="0" distR="0">
            <wp:extent cx="381000" cy="447675"/>
            <wp:effectExtent l="0" t="0" r="0" b="889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bCs/>
          <w:sz w:val="24"/>
          <w:szCs w:val="24"/>
          <w:highlight w:val="none"/>
        </w:rPr>
        <w:fldChar w:fldCharType="separate"/>
      </w:r>
      <w:r>
        <w:rPr>
          <w:rFonts w:hint="eastAsia" w:ascii="宋体" w:hAnsi="宋体" w:cs="宋体"/>
          <w:bCs/>
          <w:sz w:val="24"/>
          <w:szCs w:val="24"/>
          <w:highlight w:val="none"/>
        </w:rPr>
        <w:drawing>
          <wp:inline distT="0" distB="0" distL="0" distR="0">
            <wp:extent cx="381000" cy="447675"/>
            <wp:effectExtent l="0" t="0" r="0" b="889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bCs/>
          <w:sz w:val="24"/>
          <w:szCs w:val="24"/>
          <w:highlight w:val="none"/>
        </w:rPr>
        <w:fldChar w:fldCharType="end"/>
      </w:r>
      <w:r>
        <w:rPr>
          <w:rFonts w:hint="eastAsia" w:ascii="宋体" w:hAnsi="宋体" w:cs="宋体"/>
          <w:bCs/>
          <w:sz w:val="24"/>
          <w:szCs w:val="24"/>
          <w:highlight w:val="none"/>
        </w:rPr>
        <w:t>），第二名投标人的权重为（</w:t>
      </w:r>
      <w:r>
        <w:rPr>
          <w:rFonts w:hint="eastAsia" w:ascii="宋体" w:hAnsi="宋体" w:cs="宋体"/>
          <w:bCs/>
          <w:sz w:val="24"/>
          <w:szCs w:val="24"/>
          <w:highlight w:val="none"/>
        </w:rPr>
        <w:fldChar w:fldCharType="begin"/>
      </w:r>
      <w:r>
        <w:rPr>
          <w:rFonts w:hint="eastAsia" w:ascii="宋体" w:hAnsi="宋体" w:cs="宋体"/>
          <w:bCs/>
          <w:sz w:val="24"/>
          <w:szCs w:val="24"/>
          <w:highlight w:val="none"/>
        </w:rPr>
        <w:instrText xml:space="preserve"> QUOTE </w:instrText>
      </w:r>
      <w:r>
        <w:rPr>
          <w:rFonts w:hint="eastAsia" w:ascii="宋体" w:hAnsi="宋体" w:cs="宋体"/>
          <w:bCs/>
          <w:sz w:val="24"/>
          <w:szCs w:val="24"/>
          <w:highlight w:val="none"/>
        </w:rPr>
        <w:drawing>
          <wp:inline distT="0" distB="0" distL="0" distR="0">
            <wp:extent cx="323850" cy="400050"/>
            <wp:effectExtent l="0" t="0" r="0" b="0"/>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bCs/>
          <w:sz w:val="24"/>
          <w:szCs w:val="24"/>
          <w:highlight w:val="none"/>
        </w:rPr>
        <w:fldChar w:fldCharType="separate"/>
      </w:r>
      <w:r>
        <w:rPr>
          <w:rFonts w:hint="eastAsia" w:ascii="宋体" w:hAnsi="宋体" w:cs="宋体"/>
          <w:bCs/>
          <w:sz w:val="24"/>
          <w:szCs w:val="24"/>
          <w:highlight w:val="none"/>
        </w:rPr>
        <w:drawing>
          <wp:inline distT="0" distB="0" distL="0" distR="0">
            <wp:extent cx="323850" cy="400050"/>
            <wp:effectExtent l="0" t="0" r="0" b="0"/>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bCs/>
          <w:sz w:val="24"/>
          <w:szCs w:val="24"/>
          <w:highlight w:val="none"/>
        </w:rPr>
        <w:fldChar w:fldCharType="end"/>
      </w:r>
      <w:r>
        <w:rPr>
          <w:rFonts w:hint="eastAsia" w:ascii="宋体" w:hAnsi="宋体" w:cs="宋体"/>
          <w:bCs/>
          <w:sz w:val="24"/>
          <w:szCs w:val="24"/>
          <w:highlight w:val="none"/>
        </w:rPr>
        <w:t>），以此类推，最后一名投标人的权重为（</w:t>
      </w:r>
      <w:r>
        <w:rPr>
          <w:rFonts w:hint="eastAsia" w:ascii="宋体" w:hAnsi="宋体" w:cs="宋体"/>
          <w:bCs/>
          <w:sz w:val="24"/>
          <w:szCs w:val="24"/>
          <w:highlight w:val="none"/>
        </w:rPr>
        <w:fldChar w:fldCharType="begin"/>
      </w:r>
      <w:r>
        <w:rPr>
          <w:rFonts w:hint="eastAsia" w:ascii="宋体" w:hAnsi="宋体" w:cs="宋体"/>
          <w:bCs/>
          <w:sz w:val="24"/>
          <w:szCs w:val="24"/>
          <w:highlight w:val="none"/>
        </w:rPr>
        <w:instrText xml:space="preserve"> QUOTE </w:instrText>
      </w:r>
      <w:r>
        <w:rPr>
          <w:rFonts w:hint="eastAsia" w:ascii="宋体" w:hAnsi="宋体" w:cs="宋体"/>
          <w:bCs/>
          <w:sz w:val="24"/>
          <w:szCs w:val="24"/>
          <w:highlight w:val="none"/>
        </w:rPr>
        <w:drawing>
          <wp:inline distT="0" distB="0" distL="0" distR="0">
            <wp:extent cx="323850" cy="400050"/>
            <wp:effectExtent l="0" t="0" r="0" b="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bCs/>
          <w:sz w:val="24"/>
          <w:szCs w:val="24"/>
          <w:highlight w:val="none"/>
        </w:rPr>
        <w:fldChar w:fldCharType="separate"/>
      </w:r>
      <w:r>
        <w:rPr>
          <w:rFonts w:hint="eastAsia" w:ascii="宋体" w:hAnsi="宋体" w:cs="宋体"/>
          <w:bCs/>
          <w:sz w:val="24"/>
          <w:szCs w:val="24"/>
          <w:highlight w:val="none"/>
        </w:rPr>
        <w:drawing>
          <wp:inline distT="0" distB="0" distL="0" distR="0">
            <wp:extent cx="323850" cy="400050"/>
            <wp:effectExtent l="0" t="0" r="0" b="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bCs/>
          <w:sz w:val="24"/>
          <w:szCs w:val="24"/>
          <w:highlight w:val="none"/>
        </w:rPr>
        <w:fldChar w:fldCharType="end"/>
      </w:r>
      <w:r>
        <w:rPr>
          <w:rFonts w:hint="eastAsia" w:ascii="宋体" w:hAnsi="宋体" w:cs="宋体"/>
          <w:bCs/>
          <w:sz w:val="24"/>
          <w:szCs w:val="24"/>
          <w:highlight w:val="none"/>
        </w:rPr>
        <w:t>）。</w:t>
      </w:r>
    </w:p>
    <w:p w14:paraId="54B7710F">
      <w:pPr>
        <w:pBdr>
          <w:bottom w:val="single" w:color="auto" w:sz="6" w:space="1"/>
        </w:pBd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若投标人技术分得分相同的，则以投标总报价较低的排前；如仍存在相同情况，则对具有相同情况的投标人，由评标委员会采用记名投票方式，确定投标人第</w:t>
      </w:r>
      <w:r>
        <w:rPr>
          <w:rFonts w:hint="eastAsia" w:ascii="宋体" w:hAnsi="宋体" w:cs="宋体"/>
          <w:bCs/>
          <w:sz w:val="24"/>
          <w:szCs w:val="24"/>
          <w:highlight w:val="none"/>
          <w:lang w:val="en-US" w:eastAsia="zh-CN"/>
        </w:rPr>
        <w:t>二</w:t>
      </w:r>
      <w:r>
        <w:rPr>
          <w:rFonts w:hint="eastAsia" w:ascii="宋体" w:hAnsi="宋体" w:cs="宋体"/>
          <w:bCs/>
          <w:sz w:val="24"/>
          <w:szCs w:val="24"/>
          <w:highlight w:val="none"/>
        </w:rPr>
        <w:t>阶段名次的排序。</w:t>
      </w:r>
    </w:p>
    <w:p w14:paraId="1C793ECB">
      <w:pPr>
        <w:pBdr>
          <w:bottom w:val="single" w:color="auto" w:sz="6" w:space="1"/>
        </w:pBd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注：记名投票方式确定排序的具体操作步骤为：由评标委员会对出现该情况的投标人采取记名投票的方式确定，按得票数从高到低排列先后次序，以得票数高的排前，根据得票数高低确定排序。</w:t>
      </w:r>
    </w:p>
    <w:p w14:paraId="726AAC43">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lang w:bidi="ar"/>
        </w:rPr>
        <w:t>条款号：42.4.3.2</w:t>
      </w:r>
      <w:r>
        <w:rPr>
          <w:rFonts w:hint="eastAsia" w:ascii="宋体" w:hAnsi="宋体" w:cs="宋体"/>
          <w:b/>
          <w:sz w:val="24"/>
          <w:szCs w:val="24"/>
          <w:highlight w:val="none"/>
        </w:rPr>
        <w:t xml:space="preserve">        </w:t>
      </w:r>
      <w:r>
        <w:rPr>
          <w:rFonts w:hint="eastAsia" w:ascii="宋体" w:hAnsi="宋体" w:cs="宋体"/>
          <w:b/>
          <w:sz w:val="24"/>
          <w:szCs w:val="24"/>
          <w:highlight w:val="none"/>
          <w:lang w:bidi="ar"/>
        </w:rPr>
        <w:t>修改类型：修改</w:t>
      </w:r>
    </w:p>
    <w:p w14:paraId="015F813A">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lang w:bidi="ar"/>
        </w:rPr>
        <w:t>原文：</w:t>
      </w:r>
      <w:r>
        <w:rPr>
          <w:rFonts w:hint="eastAsia" w:ascii="宋体" w:hAnsi="宋体" w:cs="宋体"/>
          <w:sz w:val="24"/>
          <w:szCs w:val="24"/>
          <w:highlight w:val="none"/>
          <w:lang w:bidi="ar"/>
        </w:rPr>
        <w:t>42.4.3.2当标价等于评标参考价时得100分，标价每高于评标参考价1%，扣1.5分，每低于评标参考价1%，扣1分，扣至0分为止，得出经济分，精确到小数点后两位。</w:t>
      </w:r>
    </w:p>
    <w:p w14:paraId="47ED3D5A">
      <w:pPr>
        <w:pBdr>
          <w:bottom w:val="single" w:color="000000" w:sz="4" w:space="1"/>
        </w:pBdr>
        <w:spacing w:line="360" w:lineRule="auto"/>
        <w:ind w:firstLine="482" w:firstLineChars="200"/>
        <w:rPr>
          <w:rFonts w:ascii="宋体" w:hAnsi="宋体" w:cs="宋体"/>
          <w:sz w:val="24"/>
          <w:szCs w:val="24"/>
          <w:highlight w:val="none"/>
          <w:lang w:bidi="ar"/>
        </w:rPr>
      </w:pPr>
      <w:r>
        <w:rPr>
          <w:rFonts w:hint="eastAsia" w:ascii="宋体" w:hAnsi="宋体" w:cs="宋体"/>
          <w:b/>
          <w:sz w:val="24"/>
          <w:szCs w:val="24"/>
          <w:highlight w:val="none"/>
          <w:lang w:bidi="ar"/>
        </w:rPr>
        <w:t>现文：</w:t>
      </w:r>
      <w:r>
        <w:rPr>
          <w:rFonts w:hint="eastAsia" w:ascii="宋体" w:hAnsi="宋体" w:cs="宋体"/>
          <w:sz w:val="24"/>
          <w:szCs w:val="24"/>
          <w:highlight w:val="none"/>
          <w:lang w:bidi="ar"/>
        </w:rPr>
        <w:t>42.4.3.2当</w:t>
      </w:r>
      <w:r>
        <w:rPr>
          <w:rFonts w:hint="eastAsia" w:ascii="宋体" w:hAnsi="宋体" w:cs="宋体"/>
          <w:sz w:val="24"/>
          <w:szCs w:val="24"/>
          <w:highlight w:val="none"/>
          <w:u w:val="single"/>
          <w:lang w:bidi="ar"/>
        </w:rPr>
        <w:t>投标总报价</w:t>
      </w:r>
      <w:r>
        <w:rPr>
          <w:rFonts w:hint="eastAsia" w:ascii="宋体" w:hAnsi="宋体" w:cs="宋体"/>
          <w:sz w:val="24"/>
          <w:szCs w:val="24"/>
          <w:highlight w:val="none"/>
          <w:lang w:bidi="ar"/>
        </w:rPr>
        <w:t>等于评标参考价时得100分，</w:t>
      </w:r>
      <w:r>
        <w:rPr>
          <w:rFonts w:hint="eastAsia" w:ascii="宋体" w:hAnsi="宋体" w:cs="宋体"/>
          <w:sz w:val="24"/>
          <w:szCs w:val="24"/>
          <w:highlight w:val="none"/>
          <w:u w:val="single"/>
          <w:lang w:bidi="ar"/>
        </w:rPr>
        <w:t>投标总报价</w:t>
      </w:r>
      <w:r>
        <w:rPr>
          <w:rFonts w:hint="eastAsia" w:ascii="宋体" w:hAnsi="宋体" w:cs="宋体"/>
          <w:sz w:val="24"/>
          <w:szCs w:val="24"/>
          <w:highlight w:val="none"/>
          <w:lang w:bidi="ar"/>
        </w:rPr>
        <w:t>每高于评标参考价1%，扣1.0分，每低于评标参考价1%，扣0.5分，扣至0分为止，得出经济分，精确到小数点后两位。</w:t>
      </w:r>
    </w:p>
    <w:p w14:paraId="735770C6">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条款号：42.5</w:t>
      </w:r>
      <w:r>
        <w:rPr>
          <w:rFonts w:hint="eastAsia" w:ascii="宋体" w:hAnsi="宋体" w:cs="宋体"/>
          <w:b/>
          <w:kern w:val="0"/>
          <w:sz w:val="24"/>
          <w:szCs w:val="24"/>
          <w:highlight w:val="none"/>
        </w:rPr>
        <w:t xml:space="preserve">.    </w:t>
      </w:r>
      <w:r>
        <w:rPr>
          <w:rFonts w:hint="eastAsia" w:ascii="宋体" w:hAnsi="宋体" w:cs="宋体"/>
          <w:b/>
          <w:sz w:val="24"/>
          <w:szCs w:val="24"/>
          <w:highlight w:val="none"/>
        </w:rPr>
        <w:t xml:space="preserve">      修改类型：修改</w:t>
      </w:r>
    </w:p>
    <w:p w14:paraId="7C8E4161">
      <w:pPr>
        <w:spacing w:line="360" w:lineRule="auto"/>
        <w:ind w:firstLine="482" w:firstLineChars="200"/>
        <w:rPr>
          <w:rFonts w:ascii="宋体" w:hAnsi="宋体" w:cs="宋体"/>
          <w:kern w:val="0"/>
          <w:sz w:val="24"/>
          <w:szCs w:val="24"/>
          <w:highlight w:val="none"/>
        </w:rPr>
      </w:pPr>
      <w:r>
        <w:rPr>
          <w:rFonts w:hint="eastAsia" w:ascii="宋体" w:hAnsi="宋体" w:cs="宋体"/>
          <w:b/>
          <w:sz w:val="24"/>
          <w:szCs w:val="24"/>
          <w:highlight w:val="none"/>
        </w:rPr>
        <w:t>原文：</w:t>
      </w:r>
      <w:r>
        <w:rPr>
          <w:rFonts w:hint="eastAsia" w:ascii="宋体" w:hAnsi="宋体" w:cs="宋体"/>
          <w:kern w:val="0"/>
          <w:sz w:val="24"/>
          <w:szCs w:val="24"/>
          <w:highlight w:val="none"/>
        </w:rPr>
        <w:t>42.5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86F2457">
      <w:pPr>
        <w:pBdr>
          <w:bottom w:val="single" w:color="auto" w:sz="4" w:space="1"/>
        </w:pBdr>
        <w:spacing w:line="360" w:lineRule="auto"/>
        <w:ind w:firstLine="482" w:firstLineChars="200"/>
        <w:rPr>
          <w:rFonts w:ascii="宋体" w:hAnsi="宋体" w:cs="宋体"/>
          <w:b/>
          <w:bCs/>
          <w:sz w:val="24"/>
          <w:szCs w:val="24"/>
          <w:highlight w:val="none"/>
          <w:u w:val="single"/>
        </w:rPr>
      </w:pPr>
      <w:r>
        <w:rPr>
          <w:rFonts w:hint="eastAsia" w:ascii="宋体" w:hAnsi="宋体" w:cs="宋体"/>
          <w:b/>
          <w:sz w:val="24"/>
          <w:szCs w:val="24"/>
          <w:highlight w:val="none"/>
        </w:rPr>
        <w:t>现文：</w:t>
      </w:r>
      <w:r>
        <w:rPr>
          <w:rFonts w:hint="eastAsia" w:ascii="宋体" w:hAnsi="宋体" w:cs="宋体"/>
          <w:kern w:val="0"/>
          <w:sz w:val="24"/>
          <w:szCs w:val="24"/>
          <w:highlight w:val="none"/>
        </w:rPr>
        <w:t>42.5评标委员会按只有通过有效性审查的投标人的投标文件方可进入下一阶段评审的评审原则，根据有效性审查结果，</w:t>
      </w:r>
      <w:r>
        <w:rPr>
          <w:rFonts w:hint="eastAsia" w:ascii="宋体" w:hAnsi="宋体" w:cs="宋体"/>
          <w:kern w:val="0"/>
          <w:sz w:val="24"/>
          <w:szCs w:val="24"/>
          <w:highlight w:val="none"/>
          <w:u w:val="single"/>
        </w:rPr>
        <w:t>取消被否决投标的投标人，直至经济标有效性审查结束。</w:t>
      </w:r>
    </w:p>
    <w:p w14:paraId="5AD2126B">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42.6</w:t>
      </w:r>
      <w:r>
        <w:rPr>
          <w:rFonts w:hint="eastAsia" w:ascii="宋体" w:hAnsi="宋体" w:cs="宋体"/>
          <w:b/>
          <w:sz w:val="24"/>
          <w:szCs w:val="24"/>
          <w:highlight w:val="none"/>
        </w:rPr>
        <w:t xml:space="preserve">           修改类型：修改</w:t>
      </w:r>
    </w:p>
    <w:p w14:paraId="4819739A">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42.6评标委员会应在通过投标文件经济标有效性审查的投标人中，按步骤42.4确定的投标人第二阶段排序，推荐前3名依次为第一中标候选人至第三中标候选人,并编制评标报告。</w:t>
      </w:r>
    </w:p>
    <w:p w14:paraId="1374C7E5">
      <w:pPr>
        <w:pBdr>
          <w:bottom w:val="single" w:color="auto" w:sz="12"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42.6评标委员会应在通过投标文件经济标有效性审查的投标人中，按步骤42.4确定的投标人第二阶段排序，推荐前</w:t>
      </w:r>
      <w:r>
        <w:rPr>
          <w:rFonts w:hint="eastAsia" w:ascii="宋体" w:hAnsi="宋体" w:cs="宋体"/>
          <w:sz w:val="24"/>
          <w:szCs w:val="24"/>
          <w:highlight w:val="none"/>
          <w:u w:val="single"/>
          <w:lang w:eastAsia="zh-CN"/>
        </w:rPr>
        <w:t>1</w:t>
      </w:r>
      <w:r>
        <w:rPr>
          <w:rFonts w:hint="eastAsia" w:ascii="宋体" w:hAnsi="宋体" w:cs="宋体"/>
          <w:sz w:val="24"/>
          <w:szCs w:val="24"/>
          <w:highlight w:val="none"/>
          <w:u w:val="single"/>
          <w:lang w:val="en-US" w:eastAsia="zh-CN"/>
        </w:rPr>
        <w:t>0</w:t>
      </w:r>
      <w:r>
        <w:rPr>
          <w:rFonts w:hint="eastAsia" w:ascii="宋体" w:hAnsi="宋体" w:cs="宋体"/>
          <w:sz w:val="24"/>
          <w:szCs w:val="24"/>
          <w:highlight w:val="none"/>
          <w:u w:val="single"/>
        </w:rPr>
        <w:t>名（通过经济标有效性审查家数在[3,</w:t>
      </w:r>
      <w:r>
        <w:rPr>
          <w:rFonts w:hint="eastAsia" w:ascii="宋体" w:hAnsi="宋体" w:cs="宋体"/>
          <w:sz w:val="24"/>
          <w:szCs w:val="24"/>
          <w:highlight w:val="none"/>
          <w:u w:val="single"/>
          <w:lang w:val="en-US" w:eastAsia="zh-CN"/>
        </w:rPr>
        <w:t>10</w:t>
      </w:r>
      <w:r>
        <w:rPr>
          <w:rFonts w:hint="eastAsia" w:ascii="宋体" w:hAnsi="宋体" w:cs="宋体"/>
          <w:sz w:val="24"/>
          <w:szCs w:val="24"/>
          <w:highlight w:val="none"/>
          <w:u w:val="single"/>
        </w:rPr>
        <w:t>]的，以实际家数为准；超过</w:t>
      </w:r>
      <w:r>
        <w:rPr>
          <w:rFonts w:hint="eastAsia" w:ascii="宋体" w:hAnsi="宋体" w:cs="宋体"/>
          <w:sz w:val="24"/>
          <w:szCs w:val="24"/>
          <w:highlight w:val="none"/>
          <w:u w:val="single"/>
          <w:lang w:eastAsia="zh-CN"/>
        </w:rPr>
        <w:t>1</w:t>
      </w:r>
      <w:r>
        <w:rPr>
          <w:rFonts w:hint="eastAsia" w:ascii="宋体" w:hAnsi="宋体" w:cs="宋体"/>
          <w:sz w:val="24"/>
          <w:szCs w:val="24"/>
          <w:highlight w:val="none"/>
          <w:u w:val="single"/>
          <w:lang w:val="en-US" w:eastAsia="zh-CN"/>
        </w:rPr>
        <w:t>0</w:t>
      </w:r>
      <w:r>
        <w:rPr>
          <w:rFonts w:hint="eastAsia" w:ascii="宋体" w:hAnsi="宋体" w:cs="宋体"/>
          <w:sz w:val="24"/>
          <w:szCs w:val="24"/>
          <w:highlight w:val="none"/>
          <w:u w:val="single"/>
        </w:rPr>
        <w:t>家的，则只推荐</w:t>
      </w:r>
      <w:r>
        <w:rPr>
          <w:rFonts w:hint="eastAsia" w:ascii="宋体" w:hAnsi="宋体" w:cs="宋体"/>
          <w:sz w:val="24"/>
          <w:szCs w:val="24"/>
          <w:highlight w:val="none"/>
          <w:u w:val="single"/>
          <w:lang w:eastAsia="zh-CN"/>
        </w:rPr>
        <w:t>1</w:t>
      </w:r>
      <w:r>
        <w:rPr>
          <w:rFonts w:hint="eastAsia" w:ascii="宋体" w:hAnsi="宋体" w:cs="宋体"/>
          <w:sz w:val="24"/>
          <w:szCs w:val="24"/>
          <w:highlight w:val="none"/>
          <w:u w:val="single"/>
          <w:lang w:val="en-US" w:eastAsia="zh-CN"/>
        </w:rPr>
        <w:t>0</w:t>
      </w:r>
      <w:r>
        <w:rPr>
          <w:rFonts w:hint="eastAsia" w:ascii="宋体" w:hAnsi="宋体" w:cs="宋体"/>
          <w:sz w:val="24"/>
          <w:szCs w:val="24"/>
          <w:highlight w:val="none"/>
          <w:u w:val="single"/>
        </w:rPr>
        <w:t>家）不排序的合格的中标候选人进入定标阶段[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cs="宋体"/>
          <w:sz w:val="24"/>
          <w:szCs w:val="24"/>
          <w:highlight w:val="none"/>
        </w:rPr>
        <w:t>并编制评标报告。</w:t>
      </w:r>
    </w:p>
    <w:p w14:paraId="022553B8">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42.7</w:t>
      </w:r>
      <w:r>
        <w:rPr>
          <w:rFonts w:hint="eastAsia" w:ascii="宋体" w:hAnsi="宋体" w:cs="宋体"/>
          <w:b/>
          <w:sz w:val="24"/>
          <w:szCs w:val="24"/>
          <w:highlight w:val="none"/>
        </w:rPr>
        <w:t xml:space="preserve">           修改类型：修改</w:t>
      </w:r>
    </w:p>
    <w:p w14:paraId="6D095DCF">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42.7若通过经济标有效性审查的投标人不足三家，应当依法重新招标。（当N个标段同时招标且不允许兼中时，若有效投标人不足N+2家，应当依法重新招标）。</w:t>
      </w:r>
    </w:p>
    <w:p w14:paraId="1B60AF3C">
      <w:pPr>
        <w:pBdr>
          <w:bottom w:val="single" w:color="auto" w:sz="12"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42.7若通过经济标有效性审查的投标人不足三家，应当依法重新招标。</w:t>
      </w:r>
    </w:p>
    <w:p w14:paraId="672F63E4">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w:t>
      </w:r>
      <w:r>
        <w:rPr>
          <w:rFonts w:hint="eastAsia" w:ascii="宋体" w:hAnsi="宋体" w:cs="宋体"/>
          <w:b/>
          <w:bCs/>
          <w:sz w:val="24"/>
          <w:szCs w:val="24"/>
          <w:highlight w:val="none"/>
        </w:rPr>
        <w:t>43</w:t>
      </w:r>
      <w:r>
        <w:rPr>
          <w:rFonts w:hint="eastAsia" w:ascii="宋体" w:hAnsi="宋体" w:cs="宋体"/>
          <w:b/>
          <w:sz w:val="24"/>
          <w:szCs w:val="24"/>
          <w:highlight w:val="none"/>
        </w:rPr>
        <w:t xml:space="preserve">             修改类型：增加</w:t>
      </w:r>
    </w:p>
    <w:p w14:paraId="20180C87">
      <w:pPr>
        <w:pBdr>
          <w:bottom w:val="single" w:color="auto" w:sz="12" w:space="1"/>
        </w:pBdr>
        <w:spacing w:line="360" w:lineRule="auto"/>
        <w:ind w:firstLine="482" w:firstLineChars="200"/>
        <w:rPr>
          <w:rFonts w:ascii="宋体" w:hAnsi="宋体" w:cs="宋体"/>
          <w:bCs/>
          <w:sz w:val="24"/>
          <w:szCs w:val="24"/>
          <w:highlight w:val="none"/>
          <w:u w:val="single"/>
        </w:rPr>
      </w:pPr>
      <w:r>
        <w:rPr>
          <w:rFonts w:hint="eastAsia" w:ascii="宋体" w:hAnsi="宋体" w:cs="宋体"/>
          <w:b/>
          <w:sz w:val="24"/>
          <w:szCs w:val="24"/>
          <w:highlight w:val="none"/>
        </w:rPr>
        <w:t>现文：</w:t>
      </w:r>
      <w:r>
        <w:rPr>
          <w:rFonts w:hint="eastAsia" w:ascii="宋体" w:hAnsi="宋体" w:cs="宋体"/>
          <w:bCs/>
          <w:sz w:val="24"/>
          <w:szCs w:val="24"/>
          <w:highlight w:val="none"/>
          <w:u w:val="single"/>
        </w:rPr>
        <w:t>43.定标</w:t>
      </w:r>
    </w:p>
    <w:p w14:paraId="55A563B2">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43.1定标时间和地点</w:t>
      </w:r>
    </w:p>
    <w:p w14:paraId="44EE7689">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招标人在中标候选人公示结束后10个工作日内在广州交易集团有限公司（广州公共资源交易中心）开展定标工作，招标人按规定程序在投标人须知的时间和地点完成定标工作。</w:t>
      </w:r>
    </w:p>
    <w:p w14:paraId="0B463B91">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43.2定标委员会：由招标人组建。</w:t>
      </w:r>
    </w:p>
    <w:p w14:paraId="2067DC54">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43.3监督小组：不设立。</w:t>
      </w:r>
    </w:p>
    <w:p w14:paraId="4B7C5443">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43.4定标办法：定标采用直接票决定标法（记名投票+撰写评语）。</w:t>
      </w:r>
    </w:p>
    <w:p w14:paraId="7BB96EB2">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43.5定标因素：详见《定标因素表》。</w:t>
      </w:r>
    </w:p>
    <w:p w14:paraId="13D89322">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43.6定标程序</w:t>
      </w:r>
    </w:p>
    <w:p w14:paraId="76914B8D">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43.6.1本项目采用“记名投票+撰写评语”的直接票决定标法，定标委员会应根据评审因素对合格的中标候选人的各项能力进行定性评审，撰写评语，采用记名投票的方式推荐中标人。</w:t>
      </w:r>
    </w:p>
    <w:p w14:paraId="3F0C5603">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43.6.2定标工作开始后，由定标委员会组长发放选票，定标委员会参考定标因素进行投票排名，定标委员会应推荐1人为定标委员会组长，主持当次定标会议。</w:t>
      </w:r>
    </w:p>
    <w:p w14:paraId="574C793F">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43.6.3定标辅助资料为评标阶段的评标报告、投标人提交的投标文件与定标文件。</w:t>
      </w:r>
    </w:p>
    <w:p w14:paraId="2BD43CA8">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43.6.4定标委员会根据定标辅助资料，在同等条件下，定标因素具体评价标准详见《定标因素表》。</w:t>
      </w:r>
    </w:p>
    <w:p w14:paraId="0827B98C">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43.6.5投票规则：定标委员会根据定标因素及各合格的中标候选人投标文件进行比较，并进行一次性票决（记名投票+撰写评语）。每位定标委员会成员每轮只有1票表决权（即只能对其中一家合格的中标候选人投票），得票数最多的合格的中标候选人将确定为中标人，若出现票数相同且无法决出时，票数相同的合格的中标候选人再进行一次性票决，直至决出得票数最多的中标人。</w:t>
      </w:r>
    </w:p>
    <w:p w14:paraId="7705F265">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43.6.6定标委员会根据选票情况向招标人推荐中标人。</w:t>
      </w:r>
    </w:p>
    <w:p w14:paraId="3A30F1EC">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43.6.7编写定标报告，定标委员会全体确认后签署定标报告。定标报告由定标委员会全体成员签字，对定标结论持有异议的成员应以书面方式阐述其不同意见和理由。</w:t>
      </w:r>
    </w:p>
    <w:p w14:paraId="02BDAD80">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43.8因质疑或投诉生效，需要重新评标或定标的，评标、定标信息仍以投标截止时投标人的信息为准。因特殊原因需要延长投标有效期，投标人拒绝延长投标有效期的，仍参与评标、定标，但不被推荐为中标人。</w:t>
      </w:r>
    </w:p>
    <w:p w14:paraId="41B5B4E8">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43.9定标委员会向招标人提交书面定标报告后即解散，定标过程中使用的文件、表格以及其他资料不得私自带离。</w:t>
      </w:r>
    </w:p>
    <w:p w14:paraId="72EA04F8">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43.10招标人应当在定标工作完成后的3日内公示中标结果。</w:t>
      </w:r>
    </w:p>
    <w:p w14:paraId="16CD8306">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43.11定标后出现中标人不符合法定情形的，招标人可从其他合格中标候选人中采用原定标办法，由原定标委员会确定中标人，也可以重新招标。</w:t>
      </w:r>
    </w:p>
    <w:p w14:paraId="65284A6E">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43.12在合格中标候选人公示期间或在定标前，如有合格的中标候选人放弃中标候选人资格或者被查实存在影响中标候选人资格的违法行为等情形，且合格的中标候选人至少有1名的，招标人不再递补其他合格的中标候选人，可以继续定标或依法重新招标；如没有合格的中标候选人的，则依法重新招标。</w:t>
      </w:r>
    </w:p>
    <w:p w14:paraId="55BC4237">
      <w:pPr>
        <w:pBdr>
          <w:bottom w:val="single" w:color="auto" w:sz="12" w:space="1"/>
        </w:pBd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43.13在定标后，如中标人放弃中标、或因不可抗力提出不能履行合同，或者招标文件规定应当提交履约担保而在规定的期限内未能提交的，或经核查发现委派的项目负责人已在其他在建项目中担任本职务的，或者被查实存在影响中标结果的违法行为等情形，招标人有权取消其中标人资格或解除合同，可由原定标委员会根据原定标办法从其他合格的中标候选人中重新票决确定中标人，招标人也可以依法重新招标。</w:t>
      </w:r>
    </w:p>
    <w:p w14:paraId="3245132B">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条款号：附表一 《资格审查表》             修改类型：修改</w:t>
      </w:r>
    </w:p>
    <w:p w14:paraId="1EFD34A3">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见范本</w:t>
      </w:r>
    </w:p>
    <w:p w14:paraId="72D906C9">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见后附（现文：附表一《资格审查表》）</w:t>
      </w:r>
    </w:p>
    <w:p w14:paraId="0AE6485B">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条款号：附表二 《技术标有效性审查表》     修改类型：修改</w:t>
      </w:r>
    </w:p>
    <w:p w14:paraId="3F727DEF">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见范本</w:t>
      </w:r>
    </w:p>
    <w:p w14:paraId="2656207A">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见后附（现文：附表二《技术标有效性审查表》）</w:t>
      </w:r>
    </w:p>
    <w:p w14:paraId="5128BC50">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条款号：附表四 《技术标详细审查评分标准》 修改类型：修改</w:t>
      </w:r>
    </w:p>
    <w:p w14:paraId="22CD3AA8">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见范本</w:t>
      </w:r>
    </w:p>
    <w:p w14:paraId="36500098">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见后附（现文：附表四《技术标详细审查评分标准》）</w:t>
      </w:r>
    </w:p>
    <w:p w14:paraId="36339E96">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条款号：附表五 《经济标评分表》           修改类型：修改</w:t>
      </w:r>
    </w:p>
    <w:p w14:paraId="7557B263">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原文：</w:t>
      </w:r>
      <w:r>
        <w:rPr>
          <w:rFonts w:hint="eastAsia" w:ascii="宋体" w:hAnsi="宋体" w:cs="宋体"/>
          <w:sz w:val="24"/>
          <w:szCs w:val="24"/>
          <w:highlight w:val="none"/>
        </w:rPr>
        <w:t>见范本</w:t>
      </w:r>
    </w:p>
    <w:p w14:paraId="40636E42">
      <w:pPr>
        <w:pBdr>
          <w:bottom w:val="single" w:color="auto" w:sz="6" w:space="1"/>
        </w:pBd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现文：</w:t>
      </w:r>
      <w:r>
        <w:rPr>
          <w:rFonts w:hint="eastAsia" w:ascii="宋体" w:hAnsi="宋体" w:cs="宋体"/>
          <w:sz w:val="24"/>
          <w:szCs w:val="24"/>
          <w:highlight w:val="none"/>
        </w:rPr>
        <w:t>见后附（现文：附表五《经济标评分表》）</w:t>
      </w:r>
    </w:p>
    <w:p w14:paraId="4189C234">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条款号：附表七：《定标因素表（定标阶段用表）》、附表八：《定标选票》、附表九：《投票汇总表格（定标阶段）》、附表十：《附加票定标选票表（定标阶段－票数相同时定标委员会个人用表）》、附表十一《附加票定标选票表汇总表（定标阶段－票数相同时定标委员会汇总用表）》、附表十二《定标情况汇总表（定标阶段）》           修改类型：新增</w:t>
      </w:r>
    </w:p>
    <w:p w14:paraId="5CEC11C4">
      <w:pPr>
        <w:pBdr>
          <w:bottom w:val="single" w:color="auto" w:sz="6" w:space="1"/>
        </w:pBdr>
        <w:spacing w:line="360" w:lineRule="auto"/>
        <w:ind w:firstLine="482" w:firstLineChars="200"/>
        <w:rPr>
          <w:rFonts w:ascii="宋体" w:hAnsi="宋体" w:cs="宋体"/>
          <w:bCs/>
          <w:sz w:val="24"/>
          <w:szCs w:val="24"/>
          <w:highlight w:val="none"/>
          <w:u w:val="single"/>
        </w:rPr>
      </w:pPr>
      <w:r>
        <w:rPr>
          <w:rFonts w:hint="eastAsia" w:ascii="宋体" w:hAnsi="宋体" w:cs="宋体"/>
          <w:b/>
          <w:sz w:val="24"/>
          <w:szCs w:val="24"/>
          <w:highlight w:val="none"/>
        </w:rPr>
        <w:t>现文：</w:t>
      </w:r>
      <w:r>
        <w:rPr>
          <w:rFonts w:hint="eastAsia" w:ascii="宋体" w:hAnsi="宋体" w:cs="宋体"/>
          <w:bCs/>
          <w:sz w:val="24"/>
          <w:szCs w:val="24"/>
          <w:highlight w:val="none"/>
          <w:u w:val="single"/>
        </w:rPr>
        <w:t>附表七：《定标因素表（定标阶段用表）》、附表八：《定标选票》、附表九：《投票汇总表格（定标阶段）》、附表十：《附加票定标选票表（定标阶段－票数相同时定标委员会个人用表）》、附表十一《附加票定标选票表汇总表（定标阶段－票数相同时定标委员会汇总用表）》、附表十二《定标情况汇总表（定标阶段）》</w:t>
      </w:r>
    </w:p>
    <w:p w14:paraId="677273FA">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注：以上修改，仅限于本范本中有可供选择条款的情形。</w:t>
      </w:r>
    </w:p>
    <w:p w14:paraId="2CD82D9D">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（以下无正文）</w:t>
      </w:r>
    </w:p>
    <w:p w14:paraId="7C5ABA2C">
      <w:pPr>
        <w:pStyle w:val="6"/>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br w:type="page"/>
      </w:r>
    </w:p>
    <w:p w14:paraId="3FA51788">
      <w:pPr>
        <w:pStyle w:val="2"/>
        <w:spacing w:after="0"/>
        <w:jc w:val="center"/>
        <w:rPr>
          <w:rFonts w:ascii="宋体" w:hAnsi="宋体" w:cs="宋体"/>
          <w:b/>
          <w:bCs/>
          <w:sz w:val="32"/>
          <w:szCs w:val="32"/>
          <w:highlight w:val="none"/>
        </w:rPr>
      </w:pPr>
      <w:bookmarkStart w:id="27" w:name="_Toc7074"/>
      <w:bookmarkStart w:id="28" w:name="_Toc2272556"/>
      <w:r>
        <w:rPr>
          <w:rFonts w:hint="eastAsia" w:ascii="宋体" w:hAnsi="宋体" w:cs="宋体"/>
          <w:b/>
          <w:bCs/>
          <w:sz w:val="32"/>
          <w:szCs w:val="32"/>
          <w:highlight w:val="none"/>
        </w:rPr>
        <w:t>二、开标、评标及定标办法通用条款</w:t>
      </w:r>
      <w:bookmarkEnd w:id="27"/>
      <w:bookmarkEnd w:id="28"/>
    </w:p>
    <w:p w14:paraId="3B848576">
      <w:pPr>
        <w:pStyle w:val="4"/>
        <w:spacing w:before="0" w:beforeAutospacing="0" w:after="0" w:afterAutospacing="0" w:line="360" w:lineRule="auto"/>
        <w:ind w:firstLine="482" w:firstLineChars="200"/>
        <w:rPr>
          <w:b/>
          <w:bCs/>
          <w:sz w:val="24"/>
          <w:szCs w:val="24"/>
          <w:highlight w:val="none"/>
        </w:rPr>
      </w:pPr>
      <w:bookmarkStart w:id="29" w:name="_Toc26336"/>
      <w:bookmarkStart w:id="30" w:name="_Toc2272557"/>
      <w:bookmarkStart w:id="31" w:name="_Toc21525501"/>
      <w:r>
        <w:rPr>
          <w:rFonts w:hint="eastAsia"/>
          <w:b/>
          <w:bCs/>
          <w:sz w:val="24"/>
          <w:szCs w:val="24"/>
          <w:highlight w:val="none"/>
        </w:rPr>
        <w:t>（一）总则</w:t>
      </w:r>
      <w:bookmarkEnd w:id="29"/>
      <w:bookmarkEnd w:id="30"/>
      <w:bookmarkEnd w:id="31"/>
    </w:p>
    <w:p w14:paraId="6600DD87">
      <w:pPr>
        <w:spacing w:line="360" w:lineRule="auto"/>
        <w:ind w:firstLine="482" w:firstLineChars="200"/>
        <w:rPr>
          <w:rFonts w:ascii="宋体" w:hAnsi="宋体" w:cs="宋体"/>
          <w:b/>
          <w:bCs/>
          <w:sz w:val="24"/>
          <w:szCs w:val="24"/>
          <w:highlight w:val="none"/>
        </w:rPr>
      </w:pPr>
    </w:p>
    <w:p w14:paraId="4A3F5FD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35</w:t>
      </w:r>
      <w:r>
        <w:rPr>
          <w:rFonts w:hint="eastAsia" w:ascii="宋体" w:hAnsi="宋体" w:cs="宋体"/>
          <w:b/>
          <w:bCs/>
          <w:sz w:val="24"/>
          <w:szCs w:val="24"/>
          <w:highlight w:val="none"/>
          <w:lang w:val="en-US" w:eastAsia="zh-CN"/>
        </w:rPr>
        <w:t>.</w:t>
      </w:r>
      <w:r>
        <w:rPr>
          <w:rFonts w:hint="eastAsia" w:ascii="宋体" w:hAnsi="宋体" w:cs="宋体"/>
          <w:b/>
          <w:bCs/>
          <w:sz w:val="24"/>
          <w:szCs w:val="24"/>
          <w:highlight w:val="none"/>
        </w:rPr>
        <w:t>开标、评标及定标所依据的规则</w:t>
      </w:r>
    </w:p>
    <w:p w14:paraId="7C4C356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35.1《中华人民共和国招标投标法》；</w:t>
      </w:r>
    </w:p>
    <w:p w14:paraId="12A9DE7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35.2《中华人民共和国招标投标法实施条例》；</w:t>
      </w:r>
    </w:p>
    <w:p w14:paraId="19C8C65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35.3《评标委员会和评标方法暂行规定》（七部委第12号令）；</w:t>
      </w:r>
    </w:p>
    <w:p w14:paraId="466EA1A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35.4《工程建设项目施工招标投标办法》（七部委2003年第30号令）；</w:t>
      </w:r>
    </w:p>
    <w:p w14:paraId="1D3D0CB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35.5《广东省实施〈中华人民共和国招标投标法〉办法》；</w:t>
      </w:r>
    </w:p>
    <w:p w14:paraId="4A1CA78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35.6《房屋建筑和市政基础设施工程施工招标投标管理办法》（建设部令第89号）；</w:t>
      </w:r>
    </w:p>
    <w:p w14:paraId="4854065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35.7《广东省加强建设工程招标投标监督管理的若干规定》（粤发</w:t>
      </w:r>
      <w:r>
        <w:rPr>
          <w:rFonts w:hint="eastAsia" w:ascii="宋体" w:hAnsi="宋体" w:cs="宋体"/>
          <w:sz w:val="24"/>
          <w:szCs w:val="24"/>
          <w:highlight w:val="none"/>
          <w:lang w:bidi="ar"/>
        </w:rPr>
        <w:t>〔</w:t>
      </w:r>
      <w:r>
        <w:rPr>
          <w:rFonts w:hint="eastAsia" w:ascii="宋体" w:hAnsi="宋体" w:cs="宋体"/>
          <w:sz w:val="24"/>
          <w:szCs w:val="24"/>
          <w:highlight w:val="none"/>
        </w:rPr>
        <w:t>2004</w:t>
      </w:r>
      <w:r>
        <w:rPr>
          <w:rFonts w:hint="eastAsia" w:ascii="宋体" w:hAnsi="宋体" w:cs="宋体"/>
          <w:sz w:val="24"/>
          <w:szCs w:val="24"/>
          <w:highlight w:val="none"/>
          <w:lang w:bidi="ar"/>
        </w:rPr>
        <w:t>〕</w:t>
      </w:r>
      <w:r>
        <w:rPr>
          <w:rFonts w:hint="eastAsia" w:ascii="宋体" w:hAnsi="宋体" w:cs="宋体"/>
          <w:sz w:val="24"/>
          <w:szCs w:val="24"/>
          <w:highlight w:val="none"/>
        </w:rPr>
        <w:t>4号）；</w:t>
      </w:r>
    </w:p>
    <w:p w14:paraId="5A83193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35.8</w:t>
      </w:r>
      <w:r>
        <w:rPr>
          <w:rFonts w:hint="eastAsia" w:ascii="宋体" w:hAnsi="宋体" w:cs="宋体"/>
          <w:sz w:val="24"/>
          <w:szCs w:val="24"/>
          <w:highlight w:val="none"/>
          <w:lang w:bidi="ar"/>
        </w:rPr>
        <w:t>《广州市工程建设项目招标投标管理办法》（穗建规字〔2023〕12号）</w:t>
      </w:r>
      <w:r>
        <w:rPr>
          <w:rFonts w:hint="eastAsia" w:ascii="宋体" w:hAnsi="宋体" w:cs="宋体"/>
          <w:sz w:val="24"/>
          <w:szCs w:val="24"/>
          <w:highlight w:val="none"/>
        </w:rPr>
        <w:t>；</w:t>
      </w:r>
    </w:p>
    <w:p w14:paraId="726AE08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35.9本项目招标文件。</w:t>
      </w:r>
    </w:p>
    <w:p w14:paraId="0935099E">
      <w:pPr>
        <w:spacing w:line="360" w:lineRule="auto"/>
        <w:ind w:firstLine="482" w:firstLineChars="200"/>
        <w:rPr>
          <w:rFonts w:ascii="宋体" w:hAnsi="宋体" w:cs="宋体"/>
          <w:b/>
          <w:bCs/>
          <w:sz w:val="24"/>
          <w:szCs w:val="24"/>
          <w:highlight w:val="none"/>
        </w:rPr>
      </w:pPr>
    </w:p>
    <w:p w14:paraId="52BEB310">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36．开标</w:t>
      </w:r>
    </w:p>
    <w:p w14:paraId="78E83D4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36.1招标人按投标须知前附表第18项所规定的时间和地点公开开标，并邀请所有投标人参加。截标后，开标开始时间因故推迟的，相关评标信息仍以原定的开标开始时间的信息为准。</w:t>
      </w:r>
    </w:p>
    <w:p w14:paraId="0083F68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36.2招标人在招标文件要求提交投标文件的截止时间前收到的投标文件，开标时都当众予以解密、公布。</w:t>
      </w:r>
    </w:p>
    <w:p w14:paraId="61949CB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1D4DCB6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36.4若递交投标文件的投标人不足3家，则重新组织招标。（当N个标段同时招标且不允许兼中时，若有效投标人不足N+2家，则重新组织招标）</w:t>
      </w:r>
    </w:p>
    <w:p w14:paraId="4C807A44">
      <w:pPr>
        <w:spacing w:line="360" w:lineRule="auto"/>
        <w:ind w:firstLine="480" w:firstLineChars="200"/>
        <w:rPr>
          <w:rFonts w:ascii="宋体" w:hAnsi="宋体" w:cs="宋体"/>
          <w:sz w:val="24"/>
          <w:highlight w:val="none"/>
        </w:rPr>
      </w:pPr>
      <w:r>
        <w:rPr>
          <w:rFonts w:hint="eastAsia" w:ascii="宋体" w:hAnsi="宋体" w:cs="宋体"/>
          <w:sz w:val="24"/>
          <w:highlight w:val="none"/>
        </w:rPr>
        <w:t>36.5按下列程序进行开标：</w:t>
      </w:r>
    </w:p>
    <w:p w14:paraId="77DF72B8">
      <w:pPr>
        <w:spacing w:line="360" w:lineRule="auto"/>
        <w:ind w:firstLine="480" w:firstLineChars="200"/>
        <w:rPr>
          <w:rFonts w:ascii="宋体" w:hAnsi="宋体" w:cs="宋体"/>
          <w:sz w:val="24"/>
          <w:highlight w:val="none"/>
        </w:rPr>
      </w:pPr>
      <w:r>
        <w:rPr>
          <w:rFonts w:hint="eastAsia" w:ascii="宋体" w:hAnsi="宋体" w:cs="宋体"/>
          <w:sz w:val="24"/>
          <w:highlight w:val="none"/>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5240EBE3">
      <w:pPr>
        <w:spacing w:line="360" w:lineRule="auto"/>
        <w:ind w:firstLine="480" w:firstLineChars="200"/>
        <w:rPr>
          <w:rFonts w:ascii="宋体" w:hAnsi="宋体" w:cs="宋体"/>
          <w:sz w:val="24"/>
          <w:highlight w:val="none"/>
        </w:rPr>
      </w:pPr>
      <w:r>
        <w:rPr>
          <w:rFonts w:hint="eastAsia" w:ascii="宋体" w:hAnsi="宋体" w:cs="宋体"/>
          <w:sz w:val="24"/>
          <w:highlight w:val="none"/>
        </w:rPr>
        <w:t>36.5.2备用光盘的读取按投标须知前附表第36项的规定执行；</w:t>
      </w:r>
    </w:p>
    <w:p w14:paraId="1FA644CD">
      <w:pPr>
        <w:spacing w:line="360" w:lineRule="auto"/>
        <w:ind w:firstLine="480" w:firstLineChars="200"/>
        <w:rPr>
          <w:rFonts w:ascii="宋体" w:hAnsi="宋体" w:cs="宋体"/>
          <w:sz w:val="24"/>
          <w:highlight w:val="none"/>
        </w:rPr>
      </w:pPr>
      <w:r>
        <w:rPr>
          <w:rFonts w:hint="eastAsia" w:ascii="宋体" w:hAnsi="宋体" w:cs="宋体"/>
          <w:sz w:val="24"/>
          <w:highlight w:val="none"/>
        </w:rPr>
        <w:t>36.5.3投标人代表、招标人代表、监标人、记录人等有关人员在开标记录上签字确认；若有关人员不签字的，不影响开标程序；</w:t>
      </w:r>
    </w:p>
    <w:p w14:paraId="48AA1E13">
      <w:pPr>
        <w:spacing w:line="360" w:lineRule="auto"/>
        <w:ind w:firstLine="480" w:firstLineChars="200"/>
        <w:rPr>
          <w:rFonts w:ascii="宋体" w:hAnsi="宋体" w:cs="宋体"/>
          <w:sz w:val="24"/>
          <w:highlight w:val="none"/>
        </w:rPr>
      </w:pPr>
      <w:r>
        <w:rPr>
          <w:rFonts w:hint="eastAsia" w:ascii="宋体" w:hAnsi="宋体" w:cs="宋体"/>
          <w:sz w:val="24"/>
          <w:highlight w:val="none"/>
        </w:rPr>
        <w:t>36.5.4开标结束。</w:t>
      </w:r>
    </w:p>
    <w:p w14:paraId="4150A22F">
      <w:pPr>
        <w:spacing w:line="360" w:lineRule="auto"/>
        <w:ind w:firstLine="480" w:firstLineChars="200"/>
        <w:rPr>
          <w:rFonts w:ascii="宋体" w:hAnsi="宋体" w:cs="宋体"/>
          <w:sz w:val="24"/>
          <w:highlight w:val="none"/>
        </w:rPr>
      </w:pPr>
      <w:r>
        <w:rPr>
          <w:rFonts w:hint="eastAsia" w:ascii="宋体" w:hAnsi="宋体" w:cs="宋体"/>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D6AB266">
      <w:pPr>
        <w:spacing w:line="360" w:lineRule="auto"/>
        <w:ind w:firstLine="480" w:firstLineChars="200"/>
        <w:rPr>
          <w:rFonts w:ascii="宋体" w:hAnsi="宋体" w:cs="宋体"/>
          <w:sz w:val="24"/>
          <w:highlight w:val="none"/>
        </w:rPr>
      </w:pPr>
      <w:r>
        <w:rPr>
          <w:rFonts w:hint="eastAsia" w:ascii="宋体" w:hAnsi="宋体" w:cs="宋体"/>
          <w:sz w:val="24"/>
          <w:highlight w:val="none"/>
        </w:rPr>
        <w:t>36.7开标时，两个（含两个）以上的投标人加密打包投标文件电脑机器特征码一致的，不参与下一程序，并由评标委员会否决其投标。</w:t>
      </w:r>
    </w:p>
    <w:p w14:paraId="114ADE48">
      <w:pPr>
        <w:spacing w:line="360" w:lineRule="auto"/>
        <w:ind w:firstLine="482" w:firstLineChars="200"/>
        <w:rPr>
          <w:rFonts w:ascii="宋体" w:hAnsi="宋体" w:cs="宋体"/>
          <w:b/>
          <w:bCs/>
          <w:sz w:val="24"/>
          <w:szCs w:val="24"/>
          <w:highlight w:val="none"/>
        </w:rPr>
      </w:pPr>
    </w:p>
    <w:p w14:paraId="003E20DD">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37．评标</w:t>
      </w:r>
    </w:p>
    <w:p w14:paraId="6A7F744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37.1评标委员会由招标人依法组建。</w:t>
      </w:r>
    </w:p>
    <w:p w14:paraId="369DD31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37.2评标委员会的职责及守则：</w:t>
      </w:r>
    </w:p>
    <w:p w14:paraId="5FB8F4A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37.2.1根据评标细则，对</w:t>
      </w:r>
      <w:r>
        <w:rPr>
          <w:rFonts w:hint="eastAsia" w:ascii="宋体" w:hAnsi="宋体" w:cs="宋体"/>
          <w:sz w:val="24"/>
          <w:highlight w:val="none"/>
        </w:rPr>
        <w:t>投标文件</w:t>
      </w:r>
      <w:r>
        <w:rPr>
          <w:rFonts w:hint="eastAsia" w:ascii="宋体" w:hAnsi="宋体" w:cs="宋体"/>
          <w:sz w:val="24"/>
          <w:szCs w:val="24"/>
          <w:highlight w:val="none"/>
        </w:rPr>
        <w:t>进行认真评审，完成评审报告；</w:t>
      </w:r>
    </w:p>
    <w:p w14:paraId="558E5A7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37.2.2向招标人报告评审意见，推荐合格的中标候选人。</w:t>
      </w:r>
    </w:p>
    <w:p w14:paraId="5131A973">
      <w:pPr>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37.2.3</w:t>
      </w:r>
      <w:r>
        <w:rPr>
          <w:rFonts w:hint="eastAsia" w:ascii="宋体" w:hAnsi="宋体" w:cs="宋体"/>
          <w:b/>
          <w:bCs/>
          <w:sz w:val="24"/>
          <w:szCs w:val="24"/>
          <w:highlight w:val="none"/>
        </w:rPr>
        <w:t xml:space="preserve"> </w:t>
      </w:r>
      <w:r>
        <w:rPr>
          <w:rFonts w:hint="eastAsia" w:ascii="宋体" w:hAnsi="宋体" w:cs="宋体"/>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793E844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37.2.4全体参与评标人员：</w:t>
      </w:r>
    </w:p>
    <w:p w14:paraId="6E65A06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37.2.4.1 必须遵守评标纪律、不得泄密；</w:t>
      </w:r>
    </w:p>
    <w:p w14:paraId="4BC6D4E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37.2.4.2 必须公正、不得循私；</w:t>
      </w:r>
    </w:p>
    <w:p w14:paraId="25E25AC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37.2.4.3 必须科学、不得草率；</w:t>
      </w:r>
    </w:p>
    <w:p w14:paraId="77C1CC0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37.2.4.4 必须客观、不得带有成见；</w:t>
      </w:r>
    </w:p>
    <w:p w14:paraId="60BDF24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37.2.4.5 必须平等、不得强加于人；</w:t>
      </w:r>
    </w:p>
    <w:p w14:paraId="72055D3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37.2.4.6 必须严谨、不得随意马虎。</w:t>
      </w:r>
    </w:p>
    <w:p w14:paraId="52D71B9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37.3 </w:t>
      </w:r>
      <w:r>
        <w:rPr>
          <w:rFonts w:hint="eastAsia" w:ascii="宋体" w:hAnsi="宋体" w:cs="宋体"/>
          <w:sz w:val="24"/>
          <w:szCs w:val="24"/>
          <w:highlight w:val="none"/>
          <w:lang w:bidi="ar"/>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214A6AA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37.4评标结束后，评标委员会递交评标报告并依法推荐中标候选人。</w:t>
      </w:r>
    </w:p>
    <w:p w14:paraId="3EEACA6F">
      <w:pPr>
        <w:spacing w:line="360" w:lineRule="auto"/>
        <w:ind w:firstLine="482" w:firstLineChars="200"/>
        <w:rPr>
          <w:rFonts w:ascii="宋体" w:hAnsi="宋体" w:cs="宋体"/>
          <w:b/>
          <w:bCs/>
          <w:sz w:val="24"/>
          <w:szCs w:val="24"/>
          <w:highlight w:val="none"/>
        </w:rPr>
      </w:pPr>
    </w:p>
    <w:p w14:paraId="5064D386">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38．投标文件的澄清</w:t>
      </w:r>
    </w:p>
    <w:p w14:paraId="4713954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5553416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38.2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5FFE5A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38.3评标委员会或评标委员会专业评审组成员均应当阅读投标人的澄清，但应独立参考澄清对投标文件进行评审。</w:t>
      </w:r>
    </w:p>
    <w:p w14:paraId="75191E9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14:paraId="5FB75D3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1881245D">
      <w:pPr>
        <w:spacing w:line="360" w:lineRule="auto"/>
        <w:ind w:firstLine="482" w:firstLineChars="200"/>
        <w:rPr>
          <w:rFonts w:ascii="宋体" w:hAnsi="宋体" w:cs="宋体"/>
          <w:b/>
          <w:bCs/>
          <w:sz w:val="24"/>
          <w:szCs w:val="24"/>
          <w:highlight w:val="none"/>
        </w:rPr>
      </w:pPr>
    </w:p>
    <w:p w14:paraId="2D5CBB89">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39．定标</w:t>
      </w:r>
    </w:p>
    <w:p w14:paraId="59932FA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39.1招标人根据评标委员会递交的评标报告，最终审定中标人。</w:t>
      </w:r>
    </w:p>
    <w:p w14:paraId="7E977B3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39.2依法必须进行公开招标的项目，招标人应当确定排名第一的中标候选人为中标人。</w:t>
      </w:r>
    </w:p>
    <w:p w14:paraId="1460037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4271D58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2418979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39.5重新评标的，评标信息（含业绩、奖项等）仍以投标截止时投标人的信息为准。因特殊原因需要延长投标有效期，投标人拒绝延长投标有效期的，仍参与评标，但不被推荐为中标候选人。</w:t>
      </w:r>
    </w:p>
    <w:p w14:paraId="5E7B907B">
      <w:pPr>
        <w:pStyle w:val="4"/>
        <w:spacing w:before="0" w:beforeAutospacing="0" w:after="0" w:afterAutospacing="0" w:line="360" w:lineRule="auto"/>
        <w:ind w:firstLine="482" w:firstLineChars="200"/>
        <w:rPr>
          <w:b/>
          <w:bCs/>
          <w:sz w:val="24"/>
          <w:szCs w:val="24"/>
          <w:highlight w:val="none"/>
        </w:rPr>
      </w:pPr>
      <w:bookmarkStart w:id="32" w:name="_Toc21525502"/>
      <w:bookmarkStart w:id="33" w:name="_Toc31731"/>
      <w:bookmarkStart w:id="34" w:name="_Toc2272558"/>
    </w:p>
    <w:p w14:paraId="4562B3B9">
      <w:pPr>
        <w:pStyle w:val="4"/>
        <w:spacing w:before="0" w:beforeAutospacing="0" w:after="0" w:afterAutospacing="0" w:line="360" w:lineRule="auto"/>
        <w:ind w:firstLine="482" w:firstLineChars="200"/>
        <w:rPr>
          <w:b/>
          <w:bCs/>
          <w:sz w:val="24"/>
          <w:szCs w:val="24"/>
          <w:highlight w:val="none"/>
        </w:rPr>
      </w:pPr>
      <w:r>
        <w:rPr>
          <w:rFonts w:hint="eastAsia"/>
          <w:b/>
          <w:bCs/>
          <w:sz w:val="24"/>
          <w:szCs w:val="24"/>
          <w:highlight w:val="none"/>
        </w:rPr>
        <w:t>（二）开标评标办法程序和细则</w:t>
      </w:r>
      <w:bookmarkEnd w:id="32"/>
      <w:bookmarkEnd w:id="33"/>
      <w:bookmarkEnd w:id="34"/>
    </w:p>
    <w:p w14:paraId="76958F6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注：以下八种评标办法所述企业综合诚信评价分数即投标截止当日广州市工程招标代理行业协会网站上公布的企业综合诚信评价60日诚信分。</w:t>
      </w:r>
    </w:p>
    <w:p w14:paraId="62AB6265">
      <w:pPr>
        <w:widowControl/>
        <w:spacing w:line="360" w:lineRule="auto"/>
        <w:ind w:firstLine="482" w:firstLineChars="200"/>
        <w:jc w:val="left"/>
        <w:outlineLvl w:val="2"/>
        <w:rPr>
          <w:rFonts w:ascii="宋体" w:hAnsi="宋体" w:cs="宋体"/>
          <w:b/>
          <w:bCs/>
          <w:kern w:val="0"/>
          <w:sz w:val="24"/>
          <w:szCs w:val="24"/>
          <w:highlight w:val="none"/>
        </w:rPr>
      </w:pPr>
      <w:bookmarkStart w:id="35" w:name="_Toc2272563"/>
      <w:bookmarkStart w:id="36" w:name="_Toc21525508"/>
    </w:p>
    <w:p w14:paraId="63EA9FD2">
      <w:pPr>
        <w:widowControl/>
        <w:spacing w:line="360" w:lineRule="auto"/>
        <w:ind w:firstLine="482" w:firstLineChars="200"/>
        <w:jc w:val="left"/>
        <w:outlineLvl w:val="2"/>
        <w:rPr>
          <w:rFonts w:ascii="宋体" w:hAnsi="宋体" w:cs="宋体"/>
          <w:b/>
          <w:bCs/>
          <w:kern w:val="0"/>
          <w:sz w:val="24"/>
          <w:szCs w:val="24"/>
          <w:highlight w:val="none"/>
        </w:rPr>
      </w:pPr>
      <w:r>
        <w:rPr>
          <w:rFonts w:hint="eastAsia" w:ascii="宋体" w:hAnsi="宋体" w:cs="宋体"/>
          <w:b/>
          <w:bCs/>
          <w:kern w:val="0"/>
          <w:sz w:val="24"/>
          <w:szCs w:val="24"/>
          <w:highlight w:val="none"/>
        </w:rPr>
        <w:t>可选办法六（适合综合评分法三，技术标与经济标同时开启）</w:t>
      </w:r>
    </w:p>
    <w:p w14:paraId="3B02210B">
      <w:pPr>
        <w:spacing w:line="360" w:lineRule="auto"/>
        <w:ind w:firstLine="480" w:firstLineChars="200"/>
        <w:rPr>
          <w:rFonts w:ascii="宋体" w:hAnsi="宋体" w:cs="宋体"/>
          <w:sz w:val="24"/>
          <w:szCs w:val="24"/>
          <w:highlight w:val="none"/>
        </w:rPr>
      </w:pPr>
    </w:p>
    <w:p w14:paraId="5BBA7019">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40．开标和评标程序：</w:t>
      </w:r>
    </w:p>
    <w:p w14:paraId="1A6B456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40.1投标人递交技术标、经济标投标文件；</w:t>
      </w:r>
    </w:p>
    <w:p w14:paraId="20523D7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40.2技术标与经济标投标文件同时公开开标；</w:t>
      </w:r>
    </w:p>
    <w:p w14:paraId="0E0D995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40.3由评标委员会对所有已公开开标的投标人进行资格审查；</w:t>
      </w:r>
    </w:p>
    <w:p w14:paraId="3ABF4EA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40.4技术标投标文件有效性审查；</w:t>
      </w:r>
    </w:p>
    <w:p w14:paraId="583A410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40.5技术标详细审查评分；</w:t>
      </w:r>
    </w:p>
    <w:p w14:paraId="4DDD7EE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40.6计算第一阶段得分，并按照总分从高到低排列先后次序，编写第一阶段评审报告； </w:t>
      </w:r>
    </w:p>
    <w:p w14:paraId="4559A00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40.7按投标须知前附表第25项规定，确定进入第二阶段评审的投标人；</w:t>
      </w:r>
    </w:p>
    <w:p w14:paraId="1A5D3D6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40.8将进入第二阶段评审的投标人进行排序；</w:t>
      </w:r>
    </w:p>
    <w:p w14:paraId="0608905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40.9按排序对经济标投标文件进行有效性审查（含投标报价算术校核），直至评出所有中标候选人；</w:t>
      </w:r>
    </w:p>
    <w:p w14:paraId="1196859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40.10评标委员会编写评标报告，向招标人推荐中标候选人名单。</w:t>
      </w:r>
    </w:p>
    <w:p w14:paraId="568EE058">
      <w:pPr>
        <w:spacing w:line="360" w:lineRule="auto"/>
        <w:ind w:firstLine="482" w:firstLineChars="200"/>
        <w:rPr>
          <w:rFonts w:ascii="宋体" w:hAnsi="宋体" w:cs="宋体"/>
          <w:b/>
          <w:bCs/>
          <w:sz w:val="24"/>
          <w:szCs w:val="24"/>
          <w:highlight w:val="none"/>
        </w:rPr>
      </w:pPr>
    </w:p>
    <w:p w14:paraId="4241738C">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41. 开标细则</w:t>
      </w:r>
    </w:p>
    <w:p w14:paraId="63FAAB0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41.1开标由招标人主持；</w:t>
      </w:r>
    </w:p>
    <w:p w14:paraId="2281393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41.2细则</w:t>
      </w:r>
    </w:p>
    <w:p w14:paraId="527BBF0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41.2.1投标截止期前，各投标人递交投标文件（包括技术标投标文件、经济标投标文件）至</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交易平台。有关投标文件提交的事项详见第一章投标须知。 </w:t>
      </w:r>
    </w:p>
    <w:p w14:paraId="705B57A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7B3EE77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41.3按36.5.1的规定完成解密后，公布下列内容，并予以记录，记录提交评标委员会评审： </w:t>
      </w:r>
    </w:p>
    <w:p w14:paraId="3743218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256A8C7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41.4招标人对开标过程进行记录，并存档备查，投标人在开标记录上签字。</w:t>
      </w:r>
    </w:p>
    <w:p w14:paraId="039B893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41.5 招标人将上述符合要求的投标文件，送至评标委员会进行评审。</w:t>
      </w:r>
    </w:p>
    <w:p w14:paraId="00EB2673">
      <w:pPr>
        <w:spacing w:line="360" w:lineRule="auto"/>
        <w:ind w:firstLine="482" w:firstLineChars="200"/>
        <w:rPr>
          <w:rFonts w:ascii="宋体" w:hAnsi="宋体" w:cs="宋体"/>
          <w:b/>
          <w:bCs/>
          <w:sz w:val="24"/>
          <w:szCs w:val="24"/>
          <w:highlight w:val="none"/>
        </w:rPr>
      </w:pPr>
    </w:p>
    <w:p w14:paraId="582EB0BD">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42. 评标细则</w:t>
      </w:r>
    </w:p>
    <w:p w14:paraId="123F2DE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42.1评标委员会的组成：方式</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1CD019A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方式一：评标委员会为综合评标委员会，负责评标工作。</w:t>
      </w:r>
    </w:p>
    <w:p w14:paraId="76743038">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kern w:val="0"/>
          <w:sz w:val="24"/>
          <w:szCs w:val="24"/>
          <w:highlight w:val="none"/>
        </w:rPr>
        <w:t xml:space="preserve"> </w:t>
      </w:r>
    </w:p>
    <w:p w14:paraId="626AC269">
      <w:pPr>
        <w:tabs>
          <w:tab w:val="left" w:pos="738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42.2投标人资格审查</w:t>
      </w:r>
    </w:p>
    <w:p w14:paraId="34B12FE7">
      <w:pPr>
        <w:tabs>
          <w:tab w:val="left" w:pos="738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0C879121">
      <w:pPr>
        <w:tabs>
          <w:tab w:val="left" w:pos="738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42.2.2汇总资格审查情况，编写资格审查报告。</w:t>
      </w:r>
    </w:p>
    <w:p w14:paraId="47D75B28">
      <w:pPr>
        <w:tabs>
          <w:tab w:val="left" w:pos="738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42.2.3资格审查不合格的投标文件不参加下一阶段的评标，不参与评标参考价的计算。</w:t>
      </w:r>
    </w:p>
    <w:p w14:paraId="2BD0E1E7">
      <w:pPr>
        <w:tabs>
          <w:tab w:val="left" w:pos="738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077722A1">
      <w:pPr>
        <w:tabs>
          <w:tab w:val="left" w:pos="7380"/>
        </w:tabs>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42.2.5资审合格后，投标人的资格发生变化而不满足投标人合格条件，在发出中标通知书前，资格问题仍未解决的，招标人将取消其中标资格。</w:t>
      </w:r>
    </w:p>
    <w:p w14:paraId="00782773">
      <w:pPr>
        <w:widowControl/>
        <w:spacing w:line="360" w:lineRule="auto"/>
        <w:ind w:firstLine="480" w:firstLineChars="200"/>
        <w:jc w:val="left"/>
        <w:rPr>
          <w:rFonts w:ascii="宋体" w:hAnsi="宋体" w:cs="宋体"/>
          <w:kern w:val="0"/>
          <w:sz w:val="24"/>
          <w:szCs w:val="24"/>
          <w:highlight w:val="none"/>
        </w:rPr>
      </w:pPr>
      <w:r>
        <w:rPr>
          <w:rFonts w:hint="eastAsia" w:ascii="宋体" w:hAnsi="宋体" w:cs="宋体"/>
          <w:sz w:val="24"/>
          <w:szCs w:val="24"/>
          <w:highlight w:val="none"/>
        </w:rPr>
        <w:t>42.2.6资格审查合格的投标人少于3名的（当N个标段同时招标且不允许兼中时，资格审查合格的投标人少于N+2名），则本项目招标失败。</w:t>
      </w:r>
    </w:p>
    <w:p w14:paraId="1C8E19A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42.3 第一阶段评审</w:t>
      </w:r>
    </w:p>
    <w:p w14:paraId="127B025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1414E34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42.3.2</w:t>
      </w:r>
      <w:r>
        <w:rPr>
          <w:rFonts w:hint="eastAsia" w:ascii="宋体" w:hAnsi="宋体" w:cs="宋体"/>
          <w:sz w:val="24"/>
          <w:szCs w:val="24"/>
          <w:highlight w:val="none"/>
          <w:u w:val="single"/>
        </w:rPr>
        <w:t xml:space="preserve">     </w:t>
      </w:r>
      <w:r>
        <w:rPr>
          <w:rFonts w:hint="eastAsia" w:ascii="宋体" w:hAnsi="宋体" w:cs="宋体"/>
          <w:sz w:val="24"/>
          <w:szCs w:val="24"/>
          <w:highlight w:val="none"/>
        </w:rPr>
        <w:t>详细审查评分：评标委员会按照本办法附表</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详细审查评分表》对通过技术标有效性审查的投标文件进行详细审查，评出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得分。</w:t>
      </w:r>
    </w:p>
    <w:p w14:paraId="0060416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42.3.4评标委员会按照“第一阶段得分=</w:t>
      </w:r>
      <w:r>
        <w:rPr>
          <w:rFonts w:hint="eastAsia" w:ascii="宋体" w:hAnsi="宋体" w:cs="宋体"/>
          <w:sz w:val="24"/>
          <w:szCs w:val="24"/>
          <w:highlight w:val="none"/>
          <w:u w:val="single"/>
        </w:rPr>
        <w:t xml:space="preserve">               </w:t>
      </w:r>
      <w:r>
        <w:rPr>
          <w:rFonts w:hint="eastAsia" w:ascii="宋体" w:hAnsi="宋体" w:cs="宋体"/>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07B9A80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42.3.5招标人应在《投标须知前附表》中明确选择使用施工企业总排名或相应的施工专业承包排名计分。</w:t>
      </w:r>
    </w:p>
    <w:p w14:paraId="786FFF0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 第二阶段评审</w:t>
      </w:r>
    </w:p>
    <w:p w14:paraId="7B9898D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42.4.1按照投标须知前附表第25项规定，确定进入第二阶段评审的投标人。若在进入第二阶段的最后名次发生并列的，则所有并列的投标人均进入第二阶段。</w:t>
      </w:r>
    </w:p>
    <w:p w14:paraId="282DA5C3">
      <w:pPr>
        <w:spacing w:line="360" w:lineRule="auto"/>
        <w:ind w:firstLine="480" w:firstLineChars="200"/>
        <w:rPr>
          <w:rFonts w:ascii="宋体" w:hAnsi="宋体" w:cs="宋体"/>
          <w:strike/>
          <w:sz w:val="24"/>
          <w:szCs w:val="24"/>
          <w:highlight w:val="none"/>
        </w:rPr>
      </w:pPr>
      <w:r>
        <w:rPr>
          <w:rFonts w:hint="eastAsia" w:ascii="宋体" w:hAnsi="宋体" w:cs="宋体"/>
          <w:strike/>
          <w:sz w:val="24"/>
          <w:szCs w:val="24"/>
          <w:highlight w:val="none"/>
        </w:rPr>
        <w:t>42.4.2若进入第二阶段投标人中所有投标报价均大于等于最高投标限价*D%（D的取值范围为[94,100],由招标人自主确定）的（具体金额为：</w:t>
      </w:r>
      <w:r>
        <w:rPr>
          <w:rFonts w:hint="eastAsia" w:ascii="宋体" w:hAnsi="宋体" w:cs="宋体"/>
          <w:strike/>
          <w:sz w:val="24"/>
          <w:szCs w:val="24"/>
          <w:highlight w:val="none"/>
          <w:u w:val="single"/>
        </w:rPr>
        <w:t xml:space="preserve">      </w:t>
      </w:r>
      <w:r>
        <w:rPr>
          <w:rFonts w:hint="eastAsia" w:ascii="宋体" w:hAnsi="宋体" w:cs="宋体"/>
          <w:strike/>
          <w:sz w:val="24"/>
          <w:szCs w:val="24"/>
          <w:highlight w:val="none"/>
        </w:rPr>
        <w:t>元），则本项目招标失败，由招标人依法重新招标。</w:t>
      </w:r>
    </w:p>
    <w:p w14:paraId="7A3D025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42.4.3投标文件经济标的评分</w:t>
      </w:r>
    </w:p>
    <w:p w14:paraId="118F3E3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42.4.3.1按方法</w:t>
      </w:r>
      <w:r>
        <w:rPr>
          <w:rFonts w:hint="eastAsia" w:ascii="宋体" w:hAnsi="宋体" w:cs="宋体"/>
          <w:sz w:val="24"/>
          <w:szCs w:val="24"/>
          <w:highlight w:val="none"/>
          <w:u w:val="single"/>
        </w:rPr>
        <w:t xml:space="preserve">    </w:t>
      </w:r>
      <w:r>
        <w:rPr>
          <w:rFonts w:hint="eastAsia" w:ascii="宋体" w:hAnsi="宋体" w:cs="宋体"/>
          <w:sz w:val="24"/>
          <w:szCs w:val="24"/>
          <w:highlight w:val="none"/>
        </w:rPr>
        <w:t>计算评标参考价：</w:t>
      </w:r>
    </w:p>
    <w:p w14:paraId="3F527476">
      <w:pPr>
        <w:widowControl/>
        <w:spacing w:line="360" w:lineRule="auto"/>
        <w:ind w:firstLine="482" w:firstLineChars="200"/>
        <w:rPr>
          <w:rFonts w:ascii="宋体" w:hAnsi="宋体" w:cs="宋体"/>
          <w:b/>
          <w:bCs/>
          <w:kern w:val="0"/>
          <w:sz w:val="24"/>
          <w:szCs w:val="24"/>
          <w:highlight w:val="none"/>
        </w:rPr>
      </w:pPr>
      <w:r>
        <w:rPr>
          <w:rFonts w:hint="eastAsia" w:ascii="宋体" w:hAnsi="宋体" w:cs="宋体"/>
          <w:b/>
          <w:bCs/>
          <w:kern w:val="0"/>
          <w:sz w:val="24"/>
          <w:szCs w:val="24"/>
          <w:highlight w:val="none"/>
        </w:rPr>
        <w:t>方法一：加权平均法</w:t>
      </w:r>
    </w:p>
    <w:p w14:paraId="594A9A5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技术标或技术标加诚信得分或第一阶段入围得分（具体由招标人自定）前N名（N≥5，具体由招标人自定）的经济报价加权平均，计算评标参考价。公式如下：</w:t>
      </w:r>
    </w:p>
    <w:p w14:paraId="1E102D1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评标参考价=Σ（投标人的投标报价*报价权重）。</w:t>
      </w:r>
    </w:p>
    <w:p w14:paraId="6D9F70C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其中：报价权重的计算方法为：将N名投标人按技术分由高至低进行排序，第一名投标人的权重为（</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QUOTE </w:instrText>
      </w:r>
      <w:r>
        <w:rPr>
          <w:rFonts w:hint="eastAsia" w:ascii="宋体" w:hAnsi="宋体" w:cs="宋体"/>
          <w:sz w:val="24"/>
          <w:szCs w:val="24"/>
          <w:highlight w:val="none"/>
        </w:rPr>
        <w:drawing>
          <wp:inline distT="0" distB="0" distL="0" distR="0">
            <wp:extent cx="381000" cy="447675"/>
            <wp:effectExtent l="0" t="0" r="0" b="0"/>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z w:val="24"/>
          <w:szCs w:val="24"/>
          <w:highlight w:val="none"/>
        </w:rPr>
        <w:fldChar w:fldCharType="separate"/>
      </w:r>
      <w:r>
        <w:rPr>
          <w:rFonts w:hint="eastAsia" w:ascii="宋体" w:hAnsi="宋体" w:cs="宋体"/>
          <w:sz w:val="24"/>
          <w:szCs w:val="24"/>
          <w:highlight w:val="none"/>
        </w:rPr>
        <w:drawing>
          <wp:inline distT="0" distB="0" distL="0" distR="0">
            <wp:extent cx="381000" cy="447675"/>
            <wp:effectExtent l="0" t="0" r="0" b="889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z w:val="24"/>
          <w:szCs w:val="24"/>
          <w:highlight w:val="none"/>
        </w:rPr>
        <w:fldChar w:fldCharType="end"/>
      </w:r>
      <w:r>
        <w:rPr>
          <w:rFonts w:hint="eastAsia" w:ascii="宋体" w:hAnsi="宋体" w:cs="宋体"/>
          <w:sz w:val="24"/>
          <w:szCs w:val="24"/>
          <w:highlight w:val="none"/>
        </w:rPr>
        <w:t>），第二名投标人的权重为（</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QUOTE </w:instrText>
      </w:r>
      <w:r>
        <w:rPr>
          <w:rFonts w:hint="eastAsia" w:ascii="宋体" w:hAnsi="宋体" w:cs="宋体"/>
          <w:position w:val="-23"/>
          <w:sz w:val="24"/>
          <w:szCs w:val="24"/>
          <w:highlight w:val="none"/>
        </w:rPr>
        <w:drawing>
          <wp:inline distT="0" distB="0" distL="0" distR="0">
            <wp:extent cx="323850" cy="400050"/>
            <wp:effectExtent l="0" t="0" r="0"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 w:val="24"/>
          <w:szCs w:val="24"/>
          <w:highlight w:val="none"/>
        </w:rPr>
        <w:fldChar w:fldCharType="separate"/>
      </w:r>
      <w:r>
        <w:rPr>
          <w:rFonts w:hint="eastAsia" w:ascii="宋体" w:hAnsi="宋体" w:cs="宋体"/>
          <w:position w:val="-23"/>
          <w:sz w:val="24"/>
          <w:szCs w:val="24"/>
          <w:highlight w:val="none"/>
        </w:rPr>
        <w:drawing>
          <wp:inline distT="0" distB="0" distL="0" distR="0">
            <wp:extent cx="323850" cy="400050"/>
            <wp:effectExtent l="0" t="0" r="0" b="0"/>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 w:val="24"/>
          <w:szCs w:val="24"/>
          <w:highlight w:val="none"/>
        </w:rPr>
        <w:fldChar w:fldCharType="end"/>
      </w:r>
      <w:r>
        <w:rPr>
          <w:rFonts w:hint="eastAsia" w:ascii="宋体" w:hAnsi="宋体" w:cs="宋体"/>
          <w:sz w:val="24"/>
          <w:szCs w:val="24"/>
          <w:highlight w:val="none"/>
        </w:rPr>
        <w:t>），以此类推，最后一名投标人的权重为（</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QUOTE </w:instrText>
      </w:r>
      <w:r>
        <w:rPr>
          <w:rFonts w:hint="eastAsia" w:ascii="宋体" w:hAnsi="宋体" w:cs="宋体"/>
          <w:position w:val="-23"/>
          <w:sz w:val="24"/>
          <w:szCs w:val="24"/>
          <w:highlight w:val="none"/>
        </w:rPr>
        <w:drawing>
          <wp:inline distT="0" distB="0" distL="0" distR="0">
            <wp:extent cx="323850" cy="400050"/>
            <wp:effectExtent l="0" t="0" r="0" b="0"/>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 w:val="24"/>
          <w:szCs w:val="24"/>
          <w:highlight w:val="none"/>
        </w:rPr>
        <w:fldChar w:fldCharType="separate"/>
      </w:r>
      <w:r>
        <w:rPr>
          <w:rFonts w:hint="eastAsia" w:ascii="宋体" w:hAnsi="宋体" w:cs="宋体"/>
          <w:position w:val="-23"/>
          <w:sz w:val="24"/>
          <w:szCs w:val="24"/>
          <w:highlight w:val="none"/>
        </w:rPr>
        <w:drawing>
          <wp:inline distT="0" distB="0" distL="0" distR="0">
            <wp:extent cx="323850" cy="400050"/>
            <wp:effectExtent l="0" t="0" r="0" b="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 w:val="24"/>
          <w:szCs w:val="24"/>
          <w:highlight w:val="none"/>
        </w:rPr>
        <w:fldChar w:fldCharType="end"/>
      </w:r>
      <w:r>
        <w:rPr>
          <w:rFonts w:hint="eastAsia" w:ascii="宋体" w:hAnsi="宋体" w:cs="宋体"/>
          <w:sz w:val="24"/>
          <w:szCs w:val="24"/>
          <w:highlight w:val="none"/>
        </w:rPr>
        <w:t>）。</w:t>
      </w:r>
    </w:p>
    <w:p w14:paraId="18B64176">
      <w:pPr>
        <w:widowControl/>
        <w:spacing w:line="360" w:lineRule="auto"/>
        <w:ind w:firstLine="482" w:firstLineChars="200"/>
        <w:rPr>
          <w:rFonts w:ascii="宋体" w:hAnsi="宋体" w:cs="宋体"/>
          <w:b/>
          <w:bCs/>
          <w:kern w:val="0"/>
          <w:sz w:val="24"/>
          <w:szCs w:val="24"/>
          <w:highlight w:val="none"/>
        </w:rPr>
      </w:pPr>
      <w:r>
        <w:rPr>
          <w:rFonts w:hint="eastAsia" w:ascii="宋体" w:hAnsi="宋体" w:cs="宋体"/>
          <w:b/>
          <w:bCs/>
          <w:kern w:val="0"/>
          <w:sz w:val="24"/>
          <w:szCs w:val="24"/>
          <w:highlight w:val="none"/>
        </w:rPr>
        <w:t>方法二：区间抽取法</w:t>
      </w:r>
    </w:p>
    <w:p w14:paraId="22FA0424">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C7D9C5D">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评标参考价=（Q高-Q低）/100*Ｘ+Q低</w:t>
      </w:r>
    </w:p>
    <w:p w14:paraId="29E479F9">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Q低：为达到或超过技术标及格分数线的投标人最低报价与工程成本警示价两者中的较高值；</w:t>
      </w:r>
    </w:p>
    <w:p w14:paraId="3D28055F">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Q高：为最高投标限价</w:t>
      </w:r>
    </w:p>
    <w:p w14:paraId="4362E507">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 X:为等分点值，在开标前从[0,100]整数中随机抽取</w:t>
      </w:r>
    </w:p>
    <w:p w14:paraId="43F91D60">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rPr>
        <w:t>42.4.3.2</w:t>
      </w:r>
      <w:r>
        <w:rPr>
          <w:rFonts w:hint="eastAsia" w:ascii="宋体" w:hAnsi="宋体" w:cs="宋体"/>
          <w:sz w:val="24"/>
          <w:szCs w:val="24"/>
          <w:highlight w:val="none"/>
        </w:rPr>
        <w:t>当标价等于评标参考价时得100分，标价每高于评标参考价1%，扣1.5分，每低于评标参考价1%，扣1分，扣至0分为止，得出经济分，精确到小数点后两位。</w:t>
      </w:r>
    </w:p>
    <w:p w14:paraId="46E8D1E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42.4.3.3评标委员会按投标须知前附表第32项的规定确定排序。</w:t>
      </w:r>
    </w:p>
    <w:p w14:paraId="6CCA5A1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42.4.4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9EE50B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42.4.5经济标的算术校核。评标委员会对进行经济标有效性审查的投标文件投标报价按照就低不就高的原则进行算术校核，具体标准如下：</w:t>
      </w:r>
    </w:p>
    <w:p w14:paraId="369C213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42.4.5.1如果数字表示的金额和用文字表示的金额不一致时，应以文字表示的金额为准；</w:t>
      </w:r>
    </w:p>
    <w:p w14:paraId="1EB37B4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42.4.5.2经算术复核的投标人报价与其投标报价不一致时，按就低不就高原则确定其最终报价；</w:t>
      </w:r>
    </w:p>
    <w:p w14:paraId="668BFD2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37C604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42.4.5.4当合价、金额累加错误时，按就低不就高原则，如果累加修正值小于原累加值，则按累加修正值；如果累加修正值大于原累加值，则按原累加值；</w:t>
      </w:r>
    </w:p>
    <w:p w14:paraId="7586F8E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42.4.5.5如果投标人的有关规费、暂列金额、暂估价、绿色施工安全防护措施费等未按招标文件规定的金额填写的，由评标委员会按照招标文件规定的金额进行修正；</w:t>
      </w:r>
    </w:p>
    <w:p w14:paraId="5606D58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F3BB8A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42.4.5.7按就低不就高原则，当修正后报价小于原报价，总价按修正后报价；当修正后报价大于原报价，总价按原报价，并在签订合同时载明在结算价中扣除修正报价与原报价的差额。</w:t>
      </w:r>
    </w:p>
    <w:p w14:paraId="112883A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42.4.5.8按上述修正错误的原则及方法调整或修正投标文件的投标报价，调整后的投标报价对投标人起约束作用。如果投标人不接受修正后的报价，则取消其投标资格，并且其投标保证金也将不予退还。</w:t>
      </w:r>
    </w:p>
    <w:p w14:paraId="5A4EE64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1FE5C28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42.6评标委员会应在通过投标文件经济标有效性审查的投标人中，按步骤42.4确定的投标人第二阶段排序，推荐前3名依次为第一中标候选人至第三中标候选人,并编制评标报告。</w:t>
      </w:r>
    </w:p>
    <w:p w14:paraId="4C64BBD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42.7若通过经济标有效性审查的投标人不足三家，应当依法重新招标。（当N个标段同时招标且不允许兼中时，若有效投标人不足N+2家，应当依法重新招标）。</w:t>
      </w:r>
      <w:bookmarkEnd w:id="35"/>
      <w:bookmarkEnd w:id="36"/>
    </w:p>
    <w:p w14:paraId="4F86F82D">
      <w:pPr>
        <w:widowControl/>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br w:type="page"/>
      </w:r>
    </w:p>
    <w:p w14:paraId="07EBC4B9">
      <w:pPr>
        <w:pStyle w:val="4"/>
        <w:spacing w:before="0" w:beforeAutospacing="0" w:after="0" w:afterAutospacing="0" w:line="360" w:lineRule="auto"/>
        <w:rPr>
          <w:sz w:val="24"/>
          <w:szCs w:val="24"/>
          <w:highlight w:val="none"/>
        </w:rPr>
      </w:pPr>
      <w:bookmarkStart w:id="37" w:name="_Toc15066"/>
      <w:r>
        <w:rPr>
          <w:rFonts w:hint="eastAsia"/>
          <w:sz w:val="24"/>
          <w:szCs w:val="24"/>
          <w:highlight w:val="none"/>
        </w:rPr>
        <w:t>附表一</w:t>
      </w:r>
      <w:bookmarkEnd w:id="37"/>
    </w:p>
    <w:p w14:paraId="7AE68FAC">
      <w:pPr>
        <w:spacing w:line="360" w:lineRule="auto"/>
        <w:jc w:val="center"/>
        <w:rPr>
          <w:rFonts w:ascii="宋体" w:hAnsi="宋体" w:cs="宋体"/>
          <w:b/>
          <w:sz w:val="32"/>
          <w:szCs w:val="32"/>
          <w:highlight w:val="none"/>
        </w:rPr>
      </w:pPr>
      <w:r>
        <w:rPr>
          <w:rFonts w:hint="eastAsia" w:ascii="宋体" w:hAnsi="宋体" w:cs="宋体"/>
          <w:b/>
          <w:sz w:val="32"/>
          <w:szCs w:val="32"/>
          <w:highlight w:val="none"/>
        </w:rPr>
        <w:t>资格审查表</w:t>
      </w:r>
    </w:p>
    <w:p w14:paraId="7A22A89A">
      <w:pPr>
        <w:spacing w:line="360" w:lineRule="auto"/>
        <w:rPr>
          <w:rFonts w:ascii="宋体" w:hAnsi="宋体" w:cs="宋体"/>
          <w:sz w:val="24"/>
          <w:szCs w:val="24"/>
          <w:highlight w:val="none"/>
        </w:rPr>
      </w:pPr>
      <w:r>
        <w:rPr>
          <w:rFonts w:hint="eastAsia" w:ascii="宋体" w:hAnsi="宋体" w:cs="宋体"/>
          <w:sz w:val="24"/>
          <w:szCs w:val="24"/>
          <w:highlight w:val="none"/>
        </w:rPr>
        <w:t>工程名称：</w:t>
      </w:r>
    </w:p>
    <w:p w14:paraId="1EAB042C">
      <w:pPr>
        <w:spacing w:line="360" w:lineRule="auto"/>
        <w:rPr>
          <w:rFonts w:ascii="宋体" w:hAnsi="宋体" w:cs="宋体"/>
          <w:sz w:val="24"/>
          <w:szCs w:val="24"/>
          <w:highlight w:val="none"/>
        </w:rPr>
      </w:pPr>
      <w:r>
        <w:rPr>
          <w:rFonts w:hint="eastAsia" w:ascii="宋体" w:hAnsi="宋体" w:cs="宋体"/>
          <w:sz w:val="24"/>
          <w:szCs w:val="24"/>
          <w:highlight w:val="none"/>
        </w:rPr>
        <w:t>投标人名称：</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4444"/>
        <w:gridCol w:w="4018"/>
        <w:gridCol w:w="843"/>
      </w:tblGrid>
      <w:tr w14:paraId="3912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6" w:type="pct"/>
            <w:tcBorders>
              <w:top w:val="single" w:color="auto" w:sz="4" w:space="0"/>
              <w:left w:val="single" w:color="auto" w:sz="4" w:space="0"/>
              <w:bottom w:val="single" w:color="auto" w:sz="4" w:space="0"/>
              <w:right w:val="single" w:color="auto" w:sz="4" w:space="0"/>
            </w:tcBorders>
            <w:vAlign w:val="center"/>
          </w:tcPr>
          <w:p w14:paraId="21CBD8F0">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序号</w:t>
            </w:r>
          </w:p>
        </w:tc>
        <w:tc>
          <w:tcPr>
            <w:tcW w:w="2255" w:type="pct"/>
            <w:tcBorders>
              <w:top w:val="single" w:color="auto" w:sz="4" w:space="0"/>
              <w:left w:val="single" w:color="auto" w:sz="4" w:space="0"/>
              <w:bottom w:val="single" w:color="auto" w:sz="4" w:space="0"/>
              <w:right w:val="single" w:color="auto" w:sz="4" w:space="0"/>
            </w:tcBorders>
            <w:vAlign w:val="center"/>
          </w:tcPr>
          <w:p w14:paraId="244E3792">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审查项目</w:t>
            </w:r>
          </w:p>
        </w:tc>
        <w:tc>
          <w:tcPr>
            <w:tcW w:w="2039" w:type="pct"/>
            <w:tcBorders>
              <w:top w:val="single" w:color="auto" w:sz="4" w:space="0"/>
              <w:left w:val="single" w:color="auto" w:sz="4" w:space="0"/>
              <w:bottom w:val="single" w:color="auto" w:sz="4" w:space="0"/>
              <w:right w:val="single" w:color="auto" w:sz="4" w:space="0"/>
            </w:tcBorders>
            <w:vAlign w:val="center"/>
          </w:tcPr>
          <w:p w14:paraId="67B6A158">
            <w:pPr>
              <w:spacing w:line="360" w:lineRule="auto"/>
              <w:jc w:val="center"/>
              <w:rPr>
                <w:rFonts w:ascii="宋体" w:hAnsi="宋体" w:cs="宋体"/>
                <w:b/>
                <w:sz w:val="24"/>
                <w:szCs w:val="24"/>
                <w:highlight w:val="none"/>
              </w:rPr>
            </w:pPr>
            <w:r>
              <w:rPr>
                <w:rFonts w:hint="eastAsia" w:ascii="宋体" w:hAnsi="宋体" w:cs="宋体"/>
                <w:b/>
                <w:sz w:val="24"/>
                <w:szCs w:val="24"/>
                <w:highlight w:val="none"/>
              </w:rPr>
              <w:t>须审查的资料</w:t>
            </w:r>
          </w:p>
        </w:tc>
        <w:tc>
          <w:tcPr>
            <w:tcW w:w="428" w:type="pct"/>
            <w:tcBorders>
              <w:top w:val="single" w:color="auto" w:sz="4" w:space="0"/>
              <w:left w:val="single" w:color="auto" w:sz="4" w:space="0"/>
              <w:bottom w:val="single" w:color="auto" w:sz="4" w:space="0"/>
              <w:right w:val="single" w:color="auto" w:sz="4" w:space="0"/>
            </w:tcBorders>
            <w:vAlign w:val="center"/>
          </w:tcPr>
          <w:p w14:paraId="6458ADD8">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审查结果</w:t>
            </w:r>
          </w:p>
        </w:tc>
      </w:tr>
      <w:tr w14:paraId="60C6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14:paraId="079BB971">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2255" w:type="pct"/>
            <w:tcBorders>
              <w:top w:val="single" w:color="auto" w:sz="4" w:space="0"/>
              <w:left w:val="single" w:color="auto" w:sz="4" w:space="0"/>
              <w:bottom w:val="single" w:color="auto" w:sz="4" w:space="0"/>
              <w:right w:val="single" w:color="auto" w:sz="4" w:space="0"/>
            </w:tcBorders>
            <w:vAlign w:val="center"/>
          </w:tcPr>
          <w:p w14:paraId="7C25CF48">
            <w:pPr>
              <w:spacing w:line="360" w:lineRule="auto"/>
              <w:jc w:val="left"/>
              <w:rPr>
                <w:rFonts w:ascii="宋体" w:hAnsi="宋体" w:cs="宋体"/>
                <w:sz w:val="24"/>
                <w:szCs w:val="24"/>
                <w:highlight w:val="none"/>
              </w:rPr>
            </w:pPr>
            <w:r>
              <w:rPr>
                <w:rFonts w:hint="eastAsia" w:ascii="宋体" w:hAnsi="宋体" w:cs="宋体"/>
                <w:sz w:val="24"/>
                <w:szCs w:val="24"/>
                <w:highlight w:val="none"/>
              </w:rPr>
              <w:t>投标人参加投标的意思表达清楚，投标人代表被授权有效</w:t>
            </w:r>
          </w:p>
        </w:tc>
        <w:tc>
          <w:tcPr>
            <w:tcW w:w="2039" w:type="pct"/>
            <w:tcBorders>
              <w:top w:val="single" w:color="auto" w:sz="4" w:space="0"/>
              <w:left w:val="single" w:color="auto" w:sz="4" w:space="0"/>
              <w:bottom w:val="single" w:color="auto" w:sz="4" w:space="0"/>
              <w:right w:val="single" w:color="auto" w:sz="4" w:space="0"/>
            </w:tcBorders>
            <w:vAlign w:val="center"/>
          </w:tcPr>
          <w:p w14:paraId="518DF5F1">
            <w:pPr>
              <w:spacing w:line="360" w:lineRule="auto"/>
              <w:jc w:val="left"/>
              <w:rPr>
                <w:rFonts w:ascii="宋体" w:hAnsi="宋体" w:cs="宋体"/>
                <w:sz w:val="24"/>
                <w:szCs w:val="24"/>
                <w:highlight w:val="none"/>
              </w:rPr>
            </w:pPr>
            <w:r>
              <w:rPr>
                <w:rFonts w:hint="eastAsia" w:ascii="宋体" w:hAnsi="宋体" w:cs="宋体"/>
                <w:sz w:val="24"/>
                <w:szCs w:val="24"/>
                <w:highlight w:val="none"/>
              </w:rPr>
              <w:t>投标人声明、法定代表人证明书；委托投标的还应提供法人授权委托证明书。</w:t>
            </w:r>
          </w:p>
        </w:tc>
        <w:tc>
          <w:tcPr>
            <w:tcW w:w="428" w:type="pct"/>
            <w:tcBorders>
              <w:top w:val="single" w:color="auto" w:sz="4" w:space="0"/>
              <w:left w:val="single" w:color="auto" w:sz="4" w:space="0"/>
              <w:bottom w:val="single" w:color="auto" w:sz="4" w:space="0"/>
              <w:right w:val="single" w:color="auto" w:sz="4" w:space="0"/>
            </w:tcBorders>
            <w:vAlign w:val="center"/>
          </w:tcPr>
          <w:p w14:paraId="4E20F0E5">
            <w:pPr>
              <w:spacing w:line="360" w:lineRule="auto"/>
              <w:jc w:val="center"/>
              <w:rPr>
                <w:rFonts w:ascii="宋体" w:hAnsi="宋体" w:cs="宋体"/>
                <w:sz w:val="24"/>
                <w:szCs w:val="24"/>
                <w:highlight w:val="none"/>
              </w:rPr>
            </w:pPr>
          </w:p>
        </w:tc>
      </w:tr>
      <w:tr w14:paraId="3EB5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14:paraId="38340A53">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2255" w:type="pct"/>
            <w:tcBorders>
              <w:top w:val="single" w:color="auto" w:sz="4" w:space="0"/>
              <w:left w:val="single" w:color="auto" w:sz="4" w:space="0"/>
              <w:bottom w:val="single" w:color="auto" w:sz="4" w:space="0"/>
              <w:right w:val="single" w:color="auto" w:sz="4" w:space="0"/>
            </w:tcBorders>
            <w:vAlign w:val="center"/>
          </w:tcPr>
          <w:p w14:paraId="3F7CE147">
            <w:pPr>
              <w:spacing w:line="360" w:lineRule="auto"/>
              <w:jc w:val="left"/>
              <w:rPr>
                <w:rFonts w:ascii="宋体" w:hAnsi="宋体" w:cs="宋体"/>
                <w:sz w:val="24"/>
                <w:szCs w:val="24"/>
                <w:highlight w:val="none"/>
              </w:rPr>
            </w:pPr>
            <w:r>
              <w:rPr>
                <w:rFonts w:hint="eastAsia" w:ascii="宋体" w:hAnsi="宋体" w:cs="宋体"/>
                <w:sz w:val="24"/>
                <w:szCs w:val="24"/>
                <w:highlight w:val="none"/>
              </w:rPr>
              <w:t>投标人具有独立法人资格，按国家法律经营</w:t>
            </w:r>
          </w:p>
        </w:tc>
        <w:tc>
          <w:tcPr>
            <w:tcW w:w="2039" w:type="pct"/>
            <w:tcBorders>
              <w:top w:val="single" w:color="auto" w:sz="4" w:space="0"/>
              <w:left w:val="single" w:color="auto" w:sz="4" w:space="0"/>
              <w:bottom w:val="single" w:color="auto" w:sz="4" w:space="0"/>
              <w:right w:val="single" w:color="auto" w:sz="4" w:space="0"/>
            </w:tcBorders>
            <w:vAlign w:val="center"/>
          </w:tcPr>
          <w:p w14:paraId="34DB3371">
            <w:pPr>
              <w:spacing w:line="360" w:lineRule="auto"/>
              <w:jc w:val="left"/>
              <w:rPr>
                <w:rFonts w:ascii="宋体" w:hAnsi="宋体" w:cs="宋体"/>
                <w:sz w:val="24"/>
                <w:szCs w:val="24"/>
                <w:highlight w:val="none"/>
              </w:rPr>
            </w:pPr>
            <w:r>
              <w:rPr>
                <w:rFonts w:hint="eastAsia" w:ascii="宋体" w:hAnsi="宋体" w:cs="宋体"/>
                <w:sz w:val="24"/>
                <w:szCs w:val="24"/>
                <w:highlight w:val="none"/>
              </w:rPr>
              <w:t>营业执照在广州市住建行业信用管理平台内上传件。</w:t>
            </w:r>
          </w:p>
        </w:tc>
        <w:tc>
          <w:tcPr>
            <w:tcW w:w="428" w:type="pct"/>
            <w:tcBorders>
              <w:top w:val="single" w:color="auto" w:sz="4" w:space="0"/>
              <w:left w:val="single" w:color="auto" w:sz="4" w:space="0"/>
              <w:bottom w:val="single" w:color="auto" w:sz="4" w:space="0"/>
              <w:right w:val="single" w:color="auto" w:sz="4" w:space="0"/>
            </w:tcBorders>
            <w:vAlign w:val="center"/>
          </w:tcPr>
          <w:p w14:paraId="585136F0">
            <w:pPr>
              <w:spacing w:line="360" w:lineRule="auto"/>
              <w:jc w:val="center"/>
              <w:rPr>
                <w:rFonts w:ascii="宋体" w:hAnsi="宋体" w:cs="宋体"/>
                <w:sz w:val="24"/>
                <w:szCs w:val="24"/>
                <w:highlight w:val="none"/>
              </w:rPr>
            </w:pPr>
          </w:p>
        </w:tc>
      </w:tr>
      <w:tr w14:paraId="7423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14:paraId="532BDD4C">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2255" w:type="pct"/>
            <w:tcBorders>
              <w:top w:val="single" w:color="auto" w:sz="4" w:space="0"/>
              <w:left w:val="single" w:color="auto" w:sz="4" w:space="0"/>
              <w:bottom w:val="single" w:color="auto" w:sz="4" w:space="0"/>
              <w:right w:val="single" w:color="auto" w:sz="4" w:space="0"/>
            </w:tcBorders>
            <w:vAlign w:val="center"/>
          </w:tcPr>
          <w:p w14:paraId="54D59788">
            <w:pPr>
              <w:widowControl/>
              <w:spacing w:line="360" w:lineRule="auto"/>
              <w:jc w:val="left"/>
              <w:rPr>
                <w:rFonts w:ascii="宋体" w:hAnsi="宋体" w:cs="宋体"/>
                <w:sz w:val="24"/>
                <w:szCs w:val="24"/>
                <w:highlight w:val="none"/>
              </w:rPr>
            </w:pPr>
            <w:r>
              <w:rPr>
                <w:rFonts w:hint="eastAsia" w:ascii="宋体" w:hAnsi="宋体" w:cs="宋体"/>
                <w:sz w:val="24"/>
                <w:szCs w:val="24"/>
                <w:highlight w:val="none"/>
                <w:lang w:bidi="ar"/>
              </w:rPr>
              <w:t>投标人持有建设行政主管部门颁发的有效期内的企业资质证书及安全生产许可证</w:t>
            </w:r>
            <w:r>
              <w:rPr>
                <w:rFonts w:hint="eastAsia" w:ascii="宋体" w:hAnsi="宋体" w:cs="宋体"/>
                <w:sz w:val="24"/>
                <w:szCs w:val="24"/>
                <w:highlight w:val="none"/>
              </w:rPr>
              <w:t>；投标人资质符合公告要求</w:t>
            </w:r>
          </w:p>
        </w:tc>
        <w:tc>
          <w:tcPr>
            <w:tcW w:w="2039" w:type="pct"/>
            <w:tcBorders>
              <w:top w:val="single" w:color="auto" w:sz="4" w:space="0"/>
              <w:left w:val="single" w:color="auto" w:sz="4" w:space="0"/>
              <w:bottom w:val="single" w:color="auto" w:sz="4" w:space="0"/>
              <w:right w:val="single" w:color="auto" w:sz="4" w:space="0"/>
            </w:tcBorders>
            <w:vAlign w:val="center"/>
          </w:tcPr>
          <w:p w14:paraId="21231DF7">
            <w:pPr>
              <w:spacing w:line="360" w:lineRule="auto"/>
              <w:jc w:val="left"/>
              <w:rPr>
                <w:rFonts w:ascii="宋体" w:hAnsi="宋体" w:cs="宋体"/>
                <w:sz w:val="24"/>
                <w:szCs w:val="24"/>
                <w:highlight w:val="none"/>
              </w:rPr>
            </w:pPr>
            <w:r>
              <w:rPr>
                <w:rFonts w:hint="eastAsia" w:ascii="宋体" w:hAnsi="宋体" w:cs="宋体"/>
                <w:sz w:val="24"/>
                <w:szCs w:val="24"/>
                <w:highlight w:val="none"/>
              </w:rPr>
              <w:t>资质证书及安全生产许可证在广州市住建行业信用管理平台内上传件。</w:t>
            </w:r>
          </w:p>
        </w:tc>
        <w:tc>
          <w:tcPr>
            <w:tcW w:w="428" w:type="pct"/>
            <w:tcBorders>
              <w:top w:val="single" w:color="auto" w:sz="4" w:space="0"/>
              <w:left w:val="single" w:color="auto" w:sz="4" w:space="0"/>
              <w:bottom w:val="single" w:color="auto" w:sz="4" w:space="0"/>
              <w:right w:val="single" w:color="auto" w:sz="4" w:space="0"/>
            </w:tcBorders>
            <w:vAlign w:val="center"/>
          </w:tcPr>
          <w:p w14:paraId="5B41533D">
            <w:pPr>
              <w:spacing w:line="360" w:lineRule="auto"/>
              <w:jc w:val="center"/>
              <w:rPr>
                <w:rFonts w:ascii="宋体" w:hAnsi="宋体" w:cs="宋体"/>
                <w:sz w:val="24"/>
                <w:szCs w:val="24"/>
                <w:highlight w:val="none"/>
              </w:rPr>
            </w:pPr>
          </w:p>
        </w:tc>
      </w:tr>
      <w:tr w14:paraId="4F3A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14:paraId="02DF27B8">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2255" w:type="pct"/>
            <w:tcBorders>
              <w:top w:val="single" w:color="auto" w:sz="4" w:space="0"/>
              <w:left w:val="single" w:color="auto" w:sz="4" w:space="0"/>
              <w:bottom w:val="single" w:color="auto" w:sz="4" w:space="0"/>
              <w:right w:val="single" w:color="auto" w:sz="4" w:space="0"/>
            </w:tcBorders>
            <w:vAlign w:val="center"/>
          </w:tcPr>
          <w:p w14:paraId="46037836">
            <w:pPr>
              <w:spacing w:line="360" w:lineRule="auto"/>
              <w:jc w:val="left"/>
              <w:rPr>
                <w:rFonts w:ascii="宋体" w:hAnsi="宋体" w:cs="宋体"/>
                <w:sz w:val="24"/>
                <w:szCs w:val="24"/>
                <w:highlight w:val="none"/>
              </w:rPr>
            </w:pPr>
            <w:r>
              <w:rPr>
                <w:rFonts w:hint="eastAsia" w:ascii="宋体" w:hAnsi="宋体" w:cs="宋体"/>
                <w:sz w:val="24"/>
                <w:szCs w:val="24"/>
                <w:highlight w:val="none"/>
              </w:rPr>
              <w:t>投标人拟担任本工程项目负责人符合公告要求</w:t>
            </w:r>
          </w:p>
        </w:tc>
        <w:tc>
          <w:tcPr>
            <w:tcW w:w="2039" w:type="pct"/>
            <w:tcBorders>
              <w:top w:val="single" w:color="auto" w:sz="4" w:space="0"/>
              <w:left w:val="single" w:color="auto" w:sz="4" w:space="0"/>
              <w:bottom w:val="single" w:color="auto" w:sz="4" w:space="0"/>
              <w:right w:val="single" w:color="auto" w:sz="4" w:space="0"/>
            </w:tcBorders>
            <w:vAlign w:val="center"/>
          </w:tcPr>
          <w:p w14:paraId="0E279C92">
            <w:pPr>
              <w:spacing w:line="360" w:lineRule="auto"/>
              <w:jc w:val="left"/>
              <w:rPr>
                <w:rFonts w:ascii="宋体" w:hAnsi="宋体" w:cs="宋体"/>
                <w:sz w:val="24"/>
                <w:szCs w:val="24"/>
                <w:highlight w:val="none"/>
              </w:rPr>
            </w:pPr>
            <w:r>
              <w:rPr>
                <w:rFonts w:hint="eastAsia" w:ascii="宋体" w:hAnsi="宋体" w:cs="宋体"/>
                <w:sz w:val="24"/>
                <w:szCs w:val="24"/>
                <w:highlight w:val="none"/>
              </w:rPr>
              <w:t>有效期内的注册建造师注册证书在广州市住建行业信用平台内上传件。</w:t>
            </w:r>
          </w:p>
          <w:p w14:paraId="20AE3534">
            <w:pPr>
              <w:spacing w:line="360" w:lineRule="auto"/>
              <w:jc w:val="left"/>
              <w:rPr>
                <w:rFonts w:ascii="宋体" w:hAnsi="宋体" w:cs="宋体"/>
                <w:b/>
                <w:sz w:val="24"/>
                <w:szCs w:val="24"/>
                <w:highlight w:val="none"/>
              </w:rPr>
            </w:pPr>
            <w:r>
              <w:rPr>
                <w:rFonts w:hint="eastAsia" w:ascii="宋体" w:hAnsi="宋体" w:cs="宋体"/>
                <w:b/>
                <w:sz w:val="24"/>
                <w:szCs w:val="24"/>
                <w:highlight w:val="none"/>
              </w:rPr>
              <w:t>（注：打印建造师电子证书后，在个人签名处手写本人签名再上传广州市住建行业信用平台。）</w:t>
            </w:r>
          </w:p>
        </w:tc>
        <w:tc>
          <w:tcPr>
            <w:tcW w:w="428" w:type="pct"/>
            <w:tcBorders>
              <w:top w:val="single" w:color="auto" w:sz="4" w:space="0"/>
              <w:left w:val="single" w:color="auto" w:sz="4" w:space="0"/>
              <w:bottom w:val="single" w:color="auto" w:sz="4" w:space="0"/>
              <w:right w:val="single" w:color="auto" w:sz="4" w:space="0"/>
            </w:tcBorders>
            <w:vAlign w:val="center"/>
          </w:tcPr>
          <w:p w14:paraId="563BCD27">
            <w:pPr>
              <w:spacing w:line="360" w:lineRule="auto"/>
              <w:jc w:val="center"/>
              <w:rPr>
                <w:rFonts w:ascii="宋体" w:hAnsi="宋体" w:cs="宋体"/>
                <w:sz w:val="24"/>
                <w:szCs w:val="24"/>
                <w:highlight w:val="none"/>
              </w:rPr>
            </w:pPr>
          </w:p>
        </w:tc>
      </w:tr>
      <w:tr w14:paraId="6DE5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14:paraId="06C44F90">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2255" w:type="pct"/>
            <w:tcBorders>
              <w:top w:val="single" w:color="auto" w:sz="4" w:space="0"/>
              <w:left w:val="single" w:color="auto" w:sz="4" w:space="0"/>
              <w:bottom w:val="single" w:color="auto" w:sz="4" w:space="0"/>
              <w:right w:val="single" w:color="auto" w:sz="4" w:space="0"/>
            </w:tcBorders>
            <w:vAlign w:val="center"/>
          </w:tcPr>
          <w:p w14:paraId="342D0DBF">
            <w:pPr>
              <w:spacing w:line="360" w:lineRule="auto"/>
              <w:jc w:val="left"/>
              <w:rPr>
                <w:rFonts w:ascii="宋体" w:hAnsi="宋体" w:cs="宋体"/>
                <w:sz w:val="24"/>
                <w:szCs w:val="24"/>
                <w:highlight w:val="none"/>
              </w:rPr>
            </w:pPr>
            <w:r>
              <w:rPr>
                <w:rFonts w:hint="eastAsia" w:ascii="宋体" w:hAnsi="宋体" w:cs="宋体"/>
                <w:sz w:val="24"/>
                <w:szCs w:val="24"/>
                <w:highlight w:val="none"/>
              </w:rPr>
              <w:t>持有项目负责人安全生产考核合格证（B类）或建筑施工企业项目负责人安全生产考核合格证</w:t>
            </w:r>
          </w:p>
        </w:tc>
        <w:tc>
          <w:tcPr>
            <w:tcW w:w="2039" w:type="pct"/>
            <w:tcBorders>
              <w:top w:val="single" w:color="auto" w:sz="4" w:space="0"/>
              <w:left w:val="single" w:color="auto" w:sz="4" w:space="0"/>
              <w:bottom w:val="single" w:color="auto" w:sz="4" w:space="0"/>
              <w:right w:val="single" w:color="auto" w:sz="4" w:space="0"/>
            </w:tcBorders>
            <w:vAlign w:val="center"/>
          </w:tcPr>
          <w:p w14:paraId="3F752856">
            <w:pPr>
              <w:spacing w:line="360" w:lineRule="auto"/>
              <w:jc w:val="left"/>
              <w:rPr>
                <w:rFonts w:ascii="宋体" w:hAnsi="宋体" w:cs="宋体"/>
                <w:sz w:val="24"/>
                <w:szCs w:val="24"/>
                <w:highlight w:val="none"/>
              </w:rPr>
            </w:pPr>
            <w:r>
              <w:rPr>
                <w:rFonts w:hint="eastAsia" w:ascii="宋体" w:hAnsi="宋体" w:cs="宋体"/>
                <w:sz w:val="24"/>
                <w:szCs w:val="24"/>
                <w:highlight w:val="none"/>
              </w:rPr>
              <w:t>项目负责人安全生产考核合格证（B类）或建筑施工企业项目负责人安全生产考核合格证在广州市住建行业信用管理平台内上传件。</w:t>
            </w:r>
          </w:p>
        </w:tc>
        <w:tc>
          <w:tcPr>
            <w:tcW w:w="428" w:type="pct"/>
            <w:tcBorders>
              <w:top w:val="single" w:color="auto" w:sz="4" w:space="0"/>
              <w:left w:val="single" w:color="auto" w:sz="4" w:space="0"/>
              <w:bottom w:val="single" w:color="auto" w:sz="4" w:space="0"/>
              <w:right w:val="single" w:color="auto" w:sz="4" w:space="0"/>
            </w:tcBorders>
            <w:vAlign w:val="center"/>
          </w:tcPr>
          <w:p w14:paraId="0C993DD1">
            <w:pPr>
              <w:spacing w:line="360" w:lineRule="auto"/>
              <w:jc w:val="center"/>
              <w:rPr>
                <w:rFonts w:ascii="宋体" w:hAnsi="宋体" w:cs="宋体"/>
                <w:sz w:val="24"/>
                <w:szCs w:val="24"/>
                <w:highlight w:val="none"/>
              </w:rPr>
            </w:pPr>
          </w:p>
        </w:tc>
      </w:tr>
      <w:tr w14:paraId="6BFD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14:paraId="0D292BF9">
            <w:pPr>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2255" w:type="pct"/>
            <w:tcBorders>
              <w:top w:val="single" w:color="auto" w:sz="4" w:space="0"/>
              <w:left w:val="single" w:color="auto" w:sz="4" w:space="0"/>
              <w:bottom w:val="single" w:color="auto" w:sz="4" w:space="0"/>
              <w:right w:val="single" w:color="auto" w:sz="4" w:space="0"/>
            </w:tcBorders>
            <w:vAlign w:val="center"/>
          </w:tcPr>
          <w:p w14:paraId="7F889957">
            <w:pPr>
              <w:spacing w:line="360" w:lineRule="auto"/>
              <w:jc w:val="left"/>
              <w:rPr>
                <w:rFonts w:ascii="宋体" w:hAnsi="宋体" w:cs="宋体"/>
                <w:sz w:val="24"/>
                <w:szCs w:val="24"/>
                <w:highlight w:val="none"/>
              </w:rPr>
            </w:pPr>
            <w:r>
              <w:rPr>
                <w:rFonts w:hint="eastAsia" w:ascii="宋体" w:hAnsi="宋体" w:cs="宋体"/>
                <w:sz w:val="24"/>
                <w:szCs w:val="24"/>
                <w:highlight w:val="none"/>
              </w:rPr>
              <w:t>投标人拟担任本工程技术负责人符合公告要求</w:t>
            </w:r>
          </w:p>
        </w:tc>
        <w:tc>
          <w:tcPr>
            <w:tcW w:w="2039" w:type="pct"/>
            <w:tcBorders>
              <w:top w:val="single" w:color="auto" w:sz="4" w:space="0"/>
              <w:left w:val="single" w:color="auto" w:sz="4" w:space="0"/>
              <w:bottom w:val="single" w:color="auto" w:sz="4" w:space="0"/>
              <w:right w:val="single" w:color="auto" w:sz="4" w:space="0"/>
            </w:tcBorders>
            <w:vAlign w:val="center"/>
          </w:tcPr>
          <w:p w14:paraId="366F8D0D">
            <w:pPr>
              <w:spacing w:line="360" w:lineRule="auto"/>
              <w:jc w:val="left"/>
              <w:rPr>
                <w:rFonts w:ascii="宋体" w:hAnsi="宋体" w:cs="宋体"/>
                <w:sz w:val="24"/>
                <w:szCs w:val="24"/>
                <w:highlight w:val="none"/>
              </w:rPr>
            </w:pPr>
            <w:r>
              <w:rPr>
                <w:rFonts w:hint="eastAsia" w:ascii="宋体" w:hAnsi="宋体" w:cs="宋体"/>
                <w:sz w:val="24"/>
                <w:szCs w:val="24"/>
                <w:highlight w:val="none"/>
              </w:rPr>
              <w:t>拟委托技术负责人的职称证书扫描件。</w:t>
            </w:r>
          </w:p>
        </w:tc>
        <w:tc>
          <w:tcPr>
            <w:tcW w:w="428" w:type="pct"/>
            <w:tcBorders>
              <w:top w:val="single" w:color="auto" w:sz="4" w:space="0"/>
              <w:left w:val="single" w:color="auto" w:sz="4" w:space="0"/>
              <w:bottom w:val="single" w:color="auto" w:sz="4" w:space="0"/>
              <w:right w:val="single" w:color="auto" w:sz="4" w:space="0"/>
            </w:tcBorders>
            <w:vAlign w:val="center"/>
          </w:tcPr>
          <w:p w14:paraId="7082FBAB">
            <w:pPr>
              <w:spacing w:line="360" w:lineRule="auto"/>
              <w:jc w:val="center"/>
              <w:rPr>
                <w:rFonts w:ascii="宋体" w:hAnsi="宋体" w:cs="宋体"/>
                <w:sz w:val="24"/>
                <w:szCs w:val="24"/>
                <w:highlight w:val="none"/>
              </w:rPr>
            </w:pPr>
          </w:p>
        </w:tc>
      </w:tr>
      <w:tr w14:paraId="5E40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14:paraId="01F0A186">
            <w:pPr>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2255" w:type="pct"/>
            <w:tcBorders>
              <w:top w:val="single" w:color="auto" w:sz="4" w:space="0"/>
              <w:left w:val="single" w:color="auto" w:sz="4" w:space="0"/>
              <w:bottom w:val="single" w:color="auto" w:sz="4" w:space="0"/>
              <w:right w:val="single" w:color="auto" w:sz="4" w:space="0"/>
            </w:tcBorders>
            <w:vAlign w:val="center"/>
          </w:tcPr>
          <w:p w14:paraId="07713C78">
            <w:pPr>
              <w:spacing w:line="360" w:lineRule="auto"/>
              <w:jc w:val="left"/>
              <w:rPr>
                <w:rFonts w:ascii="宋体" w:hAnsi="宋体" w:cs="宋体"/>
                <w:sz w:val="24"/>
                <w:szCs w:val="24"/>
                <w:highlight w:val="none"/>
              </w:rPr>
            </w:pPr>
            <w:r>
              <w:rPr>
                <w:rFonts w:hint="eastAsia" w:ascii="宋体" w:hAnsi="宋体" w:cs="宋体"/>
                <w:sz w:val="24"/>
                <w:szCs w:val="24"/>
                <w:highlight w:val="none"/>
              </w:rPr>
              <w:t>专职安全员须具有安全生产考核合格证（C证）</w:t>
            </w:r>
            <w:r>
              <w:rPr>
                <w:rFonts w:hint="eastAsia" w:ascii="宋体" w:hAnsi="宋体" w:cs="宋体"/>
                <w:sz w:val="24"/>
                <w:szCs w:val="24"/>
                <w:highlight w:val="none"/>
                <w:u w:val="single"/>
              </w:rPr>
              <w:t>或建筑施工企业专职安全生产管理人员安全生产考核合格证书（C3），</w:t>
            </w:r>
            <w:r>
              <w:rPr>
                <w:rFonts w:hint="eastAsia" w:ascii="宋体" w:hAnsi="宋体" w:cs="宋体"/>
                <w:b/>
                <w:sz w:val="24"/>
                <w:szCs w:val="24"/>
                <w:highlight w:val="none"/>
                <w:u w:val="single"/>
              </w:rPr>
              <w:t>项目负责人和专职安全员不为同一人</w:t>
            </w:r>
            <w:r>
              <w:rPr>
                <w:rFonts w:hint="eastAsia" w:ascii="宋体" w:hAnsi="宋体" w:cs="宋体"/>
                <w:sz w:val="24"/>
                <w:szCs w:val="24"/>
                <w:highlight w:val="none"/>
              </w:rPr>
              <w:t>。</w:t>
            </w:r>
          </w:p>
        </w:tc>
        <w:tc>
          <w:tcPr>
            <w:tcW w:w="2039" w:type="pct"/>
            <w:tcBorders>
              <w:top w:val="single" w:color="auto" w:sz="4" w:space="0"/>
              <w:left w:val="single" w:color="auto" w:sz="4" w:space="0"/>
              <w:bottom w:val="single" w:color="auto" w:sz="4" w:space="0"/>
              <w:right w:val="single" w:color="auto" w:sz="4" w:space="0"/>
            </w:tcBorders>
            <w:vAlign w:val="center"/>
          </w:tcPr>
          <w:p w14:paraId="1E297036">
            <w:pPr>
              <w:spacing w:line="360" w:lineRule="auto"/>
              <w:jc w:val="left"/>
              <w:rPr>
                <w:rFonts w:ascii="宋体" w:hAnsi="宋体" w:cs="宋体"/>
                <w:sz w:val="24"/>
                <w:szCs w:val="24"/>
                <w:highlight w:val="none"/>
              </w:rPr>
            </w:pPr>
            <w:r>
              <w:rPr>
                <w:rFonts w:hint="eastAsia" w:ascii="宋体" w:hAnsi="宋体" w:cs="宋体"/>
                <w:sz w:val="24"/>
                <w:szCs w:val="24"/>
                <w:highlight w:val="none"/>
              </w:rPr>
              <w:t>专职安全员的安全生产考核合格证（C证）</w:t>
            </w:r>
            <w:r>
              <w:rPr>
                <w:rFonts w:hint="eastAsia" w:ascii="宋体" w:hAnsi="宋体" w:cs="宋体"/>
                <w:sz w:val="24"/>
                <w:szCs w:val="24"/>
                <w:highlight w:val="none"/>
                <w:u w:val="single"/>
              </w:rPr>
              <w:t>或建筑施工企业专职安全生产管理人员安全生产考核合格证书（C3）</w:t>
            </w:r>
            <w:r>
              <w:rPr>
                <w:rFonts w:hint="eastAsia" w:ascii="宋体" w:hAnsi="宋体" w:cs="宋体"/>
                <w:sz w:val="24"/>
                <w:szCs w:val="24"/>
                <w:highlight w:val="none"/>
              </w:rPr>
              <w:t>在广州市住建行业信用管理平台内上传件，</w:t>
            </w:r>
            <w:r>
              <w:rPr>
                <w:rFonts w:hint="eastAsia" w:ascii="宋体" w:hAnsi="宋体" w:cs="宋体"/>
                <w:b/>
                <w:sz w:val="24"/>
                <w:szCs w:val="24"/>
                <w:highlight w:val="none"/>
                <w:u w:val="single"/>
              </w:rPr>
              <w:t>项目负责人和专职安全员不为同一人</w:t>
            </w:r>
            <w:r>
              <w:rPr>
                <w:rFonts w:hint="eastAsia" w:ascii="宋体" w:hAnsi="宋体" w:cs="宋体"/>
                <w:sz w:val="24"/>
                <w:szCs w:val="24"/>
                <w:highlight w:val="none"/>
              </w:rPr>
              <w:t>。</w:t>
            </w:r>
          </w:p>
        </w:tc>
        <w:tc>
          <w:tcPr>
            <w:tcW w:w="428" w:type="pct"/>
            <w:tcBorders>
              <w:top w:val="single" w:color="auto" w:sz="4" w:space="0"/>
              <w:left w:val="single" w:color="auto" w:sz="4" w:space="0"/>
              <w:bottom w:val="single" w:color="auto" w:sz="4" w:space="0"/>
              <w:right w:val="single" w:color="auto" w:sz="4" w:space="0"/>
            </w:tcBorders>
            <w:vAlign w:val="center"/>
          </w:tcPr>
          <w:p w14:paraId="36C27CF5">
            <w:pPr>
              <w:spacing w:line="360" w:lineRule="auto"/>
              <w:jc w:val="center"/>
              <w:rPr>
                <w:rFonts w:ascii="宋体" w:hAnsi="宋体" w:cs="宋体"/>
                <w:sz w:val="24"/>
                <w:szCs w:val="24"/>
                <w:highlight w:val="none"/>
              </w:rPr>
            </w:pPr>
          </w:p>
        </w:tc>
      </w:tr>
      <w:tr w14:paraId="65F6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14:paraId="6F67D0B1">
            <w:pPr>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2255" w:type="pct"/>
            <w:tcBorders>
              <w:top w:val="single" w:color="auto" w:sz="4" w:space="0"/>
              <w:left w:val="single" w:color="auto" w:sz="4" w:space="0"/>
              <w:bottom w:val="single" w:color="auto" w:sz="4" w:space="0"/>
              <w:right w:val="single" w:color="auto" w:sz="4" w:space="0"/>
            </w:tcBorders>
            <w:vAlign w:val="center"/>
          </w:tcPr>
          <w:p w14:paraId="7CBE0B69">
            <w:pPr>
              <w:spacing w:line="360" w:lineRule="auto"/>
              <w:jc w:val="left"/>
              <w:rPr>
                <w:rFonts w:ascii="宋体" w:hAnsi="宋体" w:cs="宋体"/>
                <w:sz w:val="24"/>
                <w:szCs w:val="24"/>
                <w:highlight w:val="none"/>
              </w:rPr>
            </w:pPr>
            <w:r>
              <w:rPr>
                <w:rFonts w:hint="eastAsia" w:ascii="宋体" w:hAnsi="宋体" w:cs="宋体"/>
                <w:sz w:val="24"/>
                <w:szCs w:val="24"/>
                <w:highlight w:val="none"/>
              </w:rPr>
              <w:t>投标人提供的投标人声明符合公告要求</w:t>
            </w:r>
          </w:p>
        </w:tc>
        <w:tc>
          <w:tcPr>
            <w:tcW w:w="2039" w:type="pct"/>
            <w:tcBorders>
              <w:top w:val="single" w:color="auto" w:sz="4" w:space="0"/>
              <w:left w:val="single" w:color="auto" w:sz="4" w:space="0"/>
              <w:bottom w:val="single" w:color="auto" w:sz="4" w:space="0"/>
              <w:right w:val="single" w:color="auto" w:sz="4" w:space="0"/>
            </w:tcBorders>
            <w:vAlign w:val="center"/>
          </w:tcPr>
          <w:p w14:paraId="21C8B7C1">
            <w:pPr>
              <w:spacing w:line="360" w:lineRule="auto"/>
              <w:jc w:val="left"/>
              <w:rPr>
                <w:rFonts w:ascii="宋体" w:hAnsi="宋体" w:cs="宋体"/>
                <w:sz w:val="24"/>
                <w:szCs w:val="24"/>
                <w:highlight w:val="none"/>
              </w:rPr>
            </w:pPr>
            <w:r>
              <w:rPr>
                <w:rFonts w:hint="eastAsia" w:ascii="宋体" w:hAnsi="宋体" w:cs="宋体"/>
                <w:sz w:val="24"/>
                <w:szCs w:val="24"/>
                <w:highlight w:val="none"/>
              </w:rPr>
              <w:t>投标人声明</w:t>
            </w:r>
          </w:p>
        </w:tc>
        <w:tc>
          <w:tcPr>
            <w:tcW w:w="428" w:type="pct"/>
            <w:tcBorders>
              <w:top w:val="single" w:color="auto" w:sz="4" w:space="0"/>
              <w:left w:val="single" w:color="auto" w:sz="4" w:space="0"/>
              <w:bottom w:val="single" w:color="auto" w:sz="4" w:space="0"/>
              <w:right w:val="single" w:color="auto" w:sz="4" w:space="0"/>
            </w:tcBorders>
            <w:vAlign w:val="center"/>
          </w:tcPr>
          <w:p w14:paraId="2C3E1D4A">
            <w:pPr>
              <w:spacing w:line="360" w:lineRule="auto"/>
              <w:jc w:val="center"/>
              <w:rPr>
                <w:rFonts w:ascii="宋体" w:hAnsi="宋体" w:cs="宋体"/>
                <w:sz w:val="24"/>
                <w:szCs w:val="24"/>
                <w:highlight w:val="none"/>
              </w:rPr>
            </w:pPr>
          </w:p>
        </w:tc>
      </w:tr>
      <w:tr w14:paraId="66DC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14:paraId="37C8CC7F">
            <w:pPr>
              <w:spacing w:line="360" w:lineRule="auto"/>
              <w:jc w:val="center"/>
              <w:rPr>
                <w:rFonts w:ascii="宋体" w:hAnsi="宋体" w:cs="宋体"/>
                <w:sz w:val="24"/>
                <w:szCs w:val="24"/>
                <w:highlight w:val="none"/>
              </w:rPr>
            </w:pPr>
            <w:r>
              <w:rPr>
                <w:rFonts w:hint="eastAsia" w:ascii="宋体" w:hAnsi="宋体" w:cs="宋体"/>
                <w:sz w:val="24"/>
                <w:szCs w:val="24"/>
                <w:highlight w:val="none"/>
              </w:rPr>
              <w:t>9</w:t>
            </w:r>
          </w:p>
        </w:tc>
        <w:tc>
          <w:tcPr>
            <w:tcW w:w="2255" w:type="pct"/>
            <w:tcBorders>
              <w:top w:val="single" w:color="auto" w:sz="4" w:space="0"/>
              <w:left w:val="single" w:color="auto" w:sz="4" w:space="0"/>
              <w:bottom w:val="single" w:color="auto" w:sz="4" w:space="0"/>
              <w:right w:val="single" w:color="auto" w:sz="4" w:space="0"/>
            </w:tcBorders>
            <w:vAlign w:val="center"/>
          </w:tcPr>
          <w:p w14:paraId="2D59FFDA">
            <w:pPr>
              <w:spacing w:line="360" w:lineRule="auto"/>
              <w:jc w:val="left"/>
              <w:rPr>
                <w:rFonts w:ascii="宋体" w:hAnsi="宋体" w:cs="宋体"/>
                <w:sz w:val="24"/>
                <w:szCs w:val="24"/>
                <w:highlight w:val="none"/>
              </w:rPr>
            </w:pPr>
            <w:r>
              <w:rPr>
                <w:rFonts w:hint="eastAsia" w:ascii="宋体" w:hAnsi="宋体" w:cs="宋体"/>
                <w:sz w:val="24"/>
                <w:szCs w:val="24"/>
                <w:highlight w:val="none"/>
              </w:rPr>
              <w:t>投标人声明中签字的项目负责人和技术负责人与本项目拟派的项目负责人和技术负责人一致</w:t>
            </w:r>
          </w:p>
        </w:tc>
        <w:tc>
          <w:tcPr>
            <w:tcW w:w="2039" w:type="pct"/>
            <w:tcBorders>
              <w:top w:val="single" w:color="auto" w:sz="4" w:space="0"/>
              <w:left w:val="single" w:color="auto" w:sz="4" w:space="0"/>
              <w:bottom w:val="single" w:color="auto" w:sz="4" w:space="0"/>
              <w:right w:val="single" w:color="auto" w:sz="4" w:space="0"/>
            </w:tcBorders>
            <w:vAlign w:val="center"/>
          </w:tcPr>
          <w:p w14:paraId="70B90E42">
            <w:pPr>
              <w:spacing w:line="360" w:lineRule="auto"/>
              <w:jc w:val="left"/>
              <w:rPr>
                <w:rFonts w:ascii="宋体" w:hAnsi="宋体" w:cs="宋体"/>
                <w:sz w:val="24"/>
                <w:szCs w:val="24"/>
                <w:highlight w:val="none"/>
              </w:rPr>
            </w:pPr>
            <w:r>
              <w:rPr>
                <w:rFonts w:hint="eastAsia" w:ascii="宋体" w:hAnsi="宋体" w:cs="宋体"/>
                <w:sz w:val="24"/>
                <w:szCs w:val="24"/>
                <w:highlight w:val="none"/>
              </w:rPr>
              <w:t>网上投标时选择拟投标的项目负责人、资格审查文件中拟委派的技术负责人及投标人声明。</w:t>
            </w:r>
          </w:p>
        </w:tc>
        <w:tc>
          <w:tcPr>
            <w:tcW w:w="428" w:type="pct"/>
            <w:tcBorders>
              <w:top w:val="single" w:color="auto" w:sz="4" w:space="0"/>
              <w:left w:val="single" w:color="auto" w:sz="4" w:space="0"/>
              <w:bottom w:val="single" w:color="auto" w:sz="4" w:space="0"/>
              <w:right w:val="single" w:color="auto" w:sz="4" w:space="0"/>
            </w:tcBorders>
            <w:vAlign w:val="center"/>
          </w:tcPr>
          <w:p w14:paraId="0664DF6F">
            <w:pPr>
              <w:spacing w:line="360" w:lineRule="auto"/>
              <w:jc w:val="center"/>
              <w:rPr>
                <w:rFonts w:ascii="宋体" w:hAnsi="宋体" w:cs="宋体"/>
                <w:sz w:val="24"/>
                <w:szCs w:val="24"/>
                <w:highlight w:val="none"/>
              </w:rPr>
            </w:pPr>
          </w:p>
        </w:tc>
      </w:tr>
      <w:tr w14:paraId="65B7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14:paraId="2DF705C4">
            <w:pPr>
              <w:spacing w:line="360" w:lineRule="auto"/>
              <w:jc w:val="center"/>
              <w:rPr>
                <w:rFonts w:ascii="宋体" w:hAnsi="宋体" w:cs="宋体"/>
                <w:sz w:val="24"/>
                <w:szCs w:val="24"/>
                <w:highlight w:val="none"/>
              </w:rPr>
            </w:pPr>
            <w:r>
              <w:rPr>
                <w:rFonts w:hint="eastAsia" w:ascii="宋体" w:hAnsi="宋体" w:cs="宋体"/>
                <w:sz w:val="24"/>
                <w:szCs w:val="24"/>
                <w:highlight w:val="none"/>
              </w:rPr>
              <w:t>10</w:t>
            </w:r>
          </w:p>
        </w:tc>
        <w:tc>
          <w:tcPr>
            <w:tcW w:w="2255" w:type="pct"/>
            <w:tcBorders>
              <w:top w:val="single" w:color="auto" w:sz="4" w:space="0"/>
              <w:left w:val="single" w:color="auto" w:sz="4" w:space="0"/>
              <w:bottom w:val="single" w:color="auto" w:sz="4" w:space="0"/>
              <w:right w:val="single" w:color="auto" w:sz="4" w:space="0"/>
            </w:tcBorders>
            <w:vAlign w:val="center"/>
          </w:tcPr>
          <w:p w14:paraId="78A509E4">
            <w:pPr>
              <w:spacing w:line="360" w:lineRule="auto"/>
              <w:jc w:val="left"/>
              <w:rPr>
                <w:rFonts w:ascii="宋体" w:hAnsi="宋体" w:cs="宋体"/>
                <w:sz w:val="24"/>
                <w:szCs w:val="24"/>
                <w:highlight w:val="none"/>
              </w:rPr>
            </w:pPr>
            <w:r>
              <w:rPr>
                <w:rFonts w:hint="eastAsia" w:ascii="宋体" w:hAnsi="宋体" w:cs="宋体"/>
                <w:sz w:val="24"/>
                <w:szCs w:val="24"/>
                <w:highlight w:val="none"/>
                <w:u w:val="single"/>
              </w:rPr>
              <w:t>关于联合体投标：本项目不接受联合体投标</w:t>
            </w:r>
          </w:p>
        </w:tc>
        <w:tc>
          <w:tcPr>
            <w:tcW w:w="2039" w:type="pct"/>
            <w:tcBorders>
              <w:top w:val="single" w:color="auto" w:sz="4" w:space="0"/>
              <w:left w:val="single" w:color="auto" w:sz="4" w:space="0"/>
              <w:bottom w:val="single" w:color="auto" w:sz="4" w:space="0"/>
              <w:right w:val="single" w:color="auto" w:sz="4" w:space="0"/>
            </w:tcBorders>
            <w:vAlign w:val="center"/>
          </w:tcPr>
          <w:p w14:paraId="6E7959ED">
            <w:pPr>
              <w:spacing w:line="360" w:lineRule="auto"/>
              <w:jc w:val="left"/>
              <w:rPr>
                <w:rFonts w:ascii="宋体" w:hAnsi="宋体" w:cs="宋体"/>
                <w:sz w:val="24"/>
                <w:szCs w:val="24"/>
                <w:highlight w:val="none"/>
              </w:rPr>
            </w:pPr>
            <w:r>
              <w:rPr>
                <w:rFonts w:hint="eastAsia" w:ascii="宋体" w:hAnsi="宋体" w:cs="宋体"/>
                <w:sz w:val="24"/>
                <w:szCs w:val="24"/>
                <w:highlight w:val="none"/>
                <w:u w:val="single"/>
              </w:rPr>
              <w:t>未以联合体进行投标</w:t>
            </w:r>
          </w:p>
        </w:tc>
        <w:tc>
          <w:tcPr>
            <w:tcW w:w="428" w:type="pct"/>
            <w:tcBorders>
              <w:top w:val="single" w:color="auto" w:sz="4" w:space="0"/>
              <w:left w:val="single" w:color="auto" w:sz="4" w:space="0"/>
              <w:bottom w:val="single" w:color="auto" w:sz="4" w:space="0"/>
              <w:right w:val="single" w:color="auto" w:sz="4" w:space="0"/>
            </w:tcBorders>
            <w:vAlign w:val="center"/>
          </w:tcPr>
          <w:p w14:paraId="407BBABB">
            <w:pPr>
              <w:spacing w:line="360" w:lineRule="auto"/>
              <w:jc w:val="center"/>
              <w:rPr>
                <w:rFonts w:ascii="宋体" w:hAnsi="宋体" w:cs="宋体"/>
                <w:sz w:val="24"/>
                <w:szCs w:val="24"/>
                <w:highlight w:val="none"/>
              </w:rPr>
            </w:pPr>
          </w:p>
        </w:tc>
      </w:tr>
      <w:tr w14:paraId="78CE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14:paraId="47BD1FD0">
            <w:pPr>
              <w:spacing w:line="360" w:lineRule="auto"/>
              <w:jc w:val="center"/>
              <w:rPr>
                <w:rFonts w:ascii="宋体" w:hAnsi="宋体" w:cs="宋体"/>
                <w:sz w:val="24"/>
                <w:szCs w:val="24"/>
                <w:highlight w:val="none"/>
              </w:rPr>
            </w:pPr>
            <w:r>
              <w:rPr>
                <w:rFonts w:hint="eastAsia" w:ascii="宋体" w:hAnsi="宋体" w:cs="宋体"/>
                <w:sz w:val="24"/>
                <w:szCs w:val="24"/>
                <w:highlight w:val="none"/>
              </w:rPr>
              <w:t>11</w:t>
            </w:r>
          </w:p>
        </w:tc>
        <w:tc>
          <w:tcPr>
            <w:tcW w:w="2255" w:type="pct"/>
            <w:tcBorders>
              <w:top w:val="single" w:color="auto" w:sz="4" w:space="0"/>
              <w:left w:val="single" w:color="auto" w:sz="4" w:space="0"/>
              <w:bottom w:val="single" w:color="auto" w:sz="4" w:space="0"/>
              <w:right w:val="single" w:color="auto" w:sz="4" w:space="0"/>
            </w:tcBorders>
            <w:vAlign w:val="center"/>
          </w:tcPr>
          <w:p w14:paraId="3D7A3944">
            <w:pPr>
              <w:spacing w:line="360" w:lineRule="auto"/>
              <w:jc w:val="left"/>
              <w:rPr>
                <w:rFonts w:ascii="宋体" w:hAnsi="宋体" w:cs="宋体"/>
                <w:sz w:val="24"/>
                <w:szCs w:val="24"/>
                <w:highlight w:val="none"/>
              </w:rPr>
            </w:pPr>
            <w:r>
              <w:rPr>
                <w:rFonts w:hint="eastAsia" w:ascii="宋体" w:hAnsi="宋体" w:cs="宋体"/>
                <w:sz w:val="24"/>
                <w:szCs w:val="24"/>
                <w:highlight w:val="none"/>
              </w:rPr>
              <w:t>资格审查前，投标人须在广州市住房和城乡建设局建立企业信用档案及拟担任本工程项目负责人、专职安全员须是本企业中的在册人员</w:t>
            </w:r>
          </w:p>
        </w:tc>
        <w:tc>
          <w:tcPr>
            <w:tcW w:w="2039" w:type="pct"/>
            <w:tcBorders>
              <w:top w:val="single" w:color="auto" w:sz="4" w:space="0"/>
              <w:left w:val="single" w:color="auto" w:sz="4" w:space="0"/>
              <w:bottom w:val="single" w:color="auto" w:sz="4" w:space="0"/>
              <w:right w:val="single" w:color="auto" w:sz="4" w:space="0"/>
            </w:tcBorders>
            <w:vAlign w:val="center"/>
          </w:tcPr>
          <w:p w14:paraId="14F3C337">
            <w:pPr>
              <w:spacing w:line="360" w:lineRule="auto"/>
              <w:jc w:val="left"/>
              <w:rPr>
                <w:rFonts w:ascii="宋体" w:hAnsi="宋体" w:cs="宋体"/>
                <w:sz w:val="24"/>
                <w:szCs w:val="24"/>
                <w:highlight w:val="none"/>
              </w:rPr>
            </w:pPr>
            <w:r>
              <w:rPr>
                <w:rFonts w:hint="eastAsia" w:ascii="宋体" w:hAnsi="宋体" w:cs="宋体"/>
                <w:sz w:val="24"/>
                <w:szCs w:val="24"/>
                <w:highlight w:val="none"/>
              </w:rPr>
              <w:t>投标人在广州市住建行业信用管理平台内企业信用档案的企业和人员信息。</w:t>
            </w:r>
          </w:p>
        </w:tc>
        <w:tc>
          <w:tcPr>
            <w:tcW w:w="428" w:type="pct"/>
            <w:tcBorders>
              <w:top w:val="single" w:color="auto" w:sz="4" w:space="0"/>
              <w:left w:val="single" w:color="auto" w:sz="4" w:space="0"/>
              <w:bottom w:val="single" w:color="auto" w:sz="4" w:space="0"/>
              <w:right w:val="single" w:color="auto" w:sz="4" w:space="0"/>
            </w:tcBorders>
            <w:vAlign w:val="center"/>
          </w:tcPr>
          <w:p w14:paraId="6694E2D4">
            <w:pPr>
              <w:spacing w:line="360" w:lineRule="auto"/>
              <w:jc w:val="center"/>
              <w:rPr>
                <w:rFonts w:ascii="宋体" w:hAnsi="宋体" w:cs="宋体"/>
                <w:sz w:val="24"/>
                <w:szCs w:val="24"/>
                <w:highlight w:val="none"/>
              </w:rPr>
            </w:pPr>
          </w:p>
        </w:tc>
      </w:tr>
      <w:tr w14:paraId="33D7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14:paraId="31C0EB40">
            <w:pPr>
              <w:spacing w:line="360" w:lineRule="auto"/>
              <w:jc w:val="center"/>
              <w:rPr>
                <w:rFonts w:ascii="宋体" w:hAnsi="宋体" w:cs="宋体"/>
                <w:sz w:val="24"/>
                <w:szCs w:val="24"/>
                <w:highlight w:val="none"/>
              </w:rPr>
            </w:pPr>
            <w:r>
              <w:rPr>
                <w:rFonts w:hint="eastAsia" w:ascii="宋体" w:hAnsi="宋体" w:cs="宋体"/>
                <w:sz w:val="24"/>
                <w:szCs w:val="24"/>
                <w:highlight w:val="none"/>
              </w:rPr>
              <w:t>12</w:t>
            </w:r>
          </w:p>
        </w:tc>
        <w:tc>
          <w:tcPr>
            <w:tcW w:w="2255" w:type="pct"/>
            <w:tcBorders>
              <w:top w:val="single" w:color="auto" w:sz="4" w:space="0"/>
              <w:left w:val="single" w:color="auto" w:sz="4" w:space="0"/>
              <w:bottom w:val="single" w:color="auto" w:sz="4" w:space="0"/>
              <w:right w:val="single" w:color="auto" w:sz="4" w:space="0"/>
            </w:tcBorders>
            <w:vAlign w:val="center"/>
          </w:tcPr>
          <w:p w14:paraId="510DD555">
            <w:pPr>
              <w:spacing w:line="360" w:lineRule="auto"/>
              <w:jc w:val="left"/>
              <w:rPr>
                <w:rFonts w:ascii="宋体" w:hAnsi="宋体" w:cs="宋体"/>
                <w:sz w:val="24"/>
                <w:szCs w:val="24"/>
                <w:highlight w:val="none"/>
              </w:rPr>
            </w:pPr>
            <w:r>
              <w:rPr>
                <w:rFonts w:hint="eastAsia" w:ascii="宋体" w:hAnsi="宋体" w:cs="宋体"/>
                <w:sz w:val="24"/>
                <w:szCs w:val="24"/>
                <w:highlight w:val="none"/>
              </w:rPr>
              <w:t>投标人未出现以下情形：与其它投标人的单位负责人为同一人或者存在控股、管理关系的（按投标人提供的《投标人声明》第八条内容进行评审）。</w:t>
            </w:r>
          </w:p>
        </w:tc>
        <w:tc>
          <w:tcPr>
            <w:tcW w:w="2039" w:type="pct"/>
            <w:tcBorders>
              <w:top w:val="single" w:color="auto" w:sz="4" w:space="0"/>
              <w:left w:val="single" w:color="auto" w:sz="4" w:space="0"/>
              <w:bottom w:val="single" w:color="auto" w:sz="4" w:space="0"/>
              <w:right w:val="single" w:color="auto" w:sz="4" w:space="0"/>
            </w:tcBorders>
            <w:vAlign w:val="center"/>
          </w:tcPr>
          <w:p w14:paraId="1ABE0AFA">
            <w:pPr>
              <w:spacing w:line="360" w:lineRule="auto"/>
              <w:jc w:val="left"/>
              <w:rPr>
                <w:rFonts w:ascii="宋体" w:hAnsi="宋体" w:cs="宋体"/>
                <w:sz w:val="24"/>
                <w:szCs w:val="24"/>
                <w:highlight w:val="none"/>
              </w:rPr>
            </w:pPr>
            <w:r>
              <w:rPr>
                <w:rFonts w:hint="eastAsia" w:ascii="宋体" w:hAnsi="宋体" w:cs="宋体"/>
                <w:sz w:val="24"/>
                <w:szCs w:val="24"/>
                <w:highlight w:val="none"/>
              </w:rPr>
              <w:t>投标人声明</w:t>
            </w:r>
          </w:p>
        </w:tc>
        <w:tc>
          <w:tcPr>
            <w:tcW w:w="428" w:type="pct"/>
            <w:tcBorders>
              <w:top w:val="single" w:color="auto" w:sz="4" w:space="0"/>
              <w:left w:val="single" w:color="auto" w:sz="4" w:space="0"/>
              <w:bottom w:val="single" w:color="auto" w:sz="4" w:space="0"/>
              <w:right w:val="single" w:color="auto" w:sz="4" w:space="0"/>
            </w:tcBorders>
            <w:vAlign w:val="center"/>
          </w:tcPr>
          <w:p w14:paraId="07B7DE48">
            <w:pPr>
              <w:spacing w:line="360" w:lineRule="auto"/>
              <w:jc w:val="center"/>
              <w:rPr>
                <w:rFonts w:ascii="宋体" w:hAnsi="宋体" w:cs="宋体"/>
                <w:sz w:val="24"/>
                <w:szCs w:val="24"/>
                <w:highlight w:val="none"/>
              </w:rPr>
            </w:pPr>
          </w:p>
        </w:tc>
      </w:tr>
      <w:tr w14:paraId="59B3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 w:type="pct"/>
            <w:tcBorders>
              <w:top w:val="single" w:color="auto" w:sz="4" w:space="0"/>
              <w:left w:val="single" w:color="auto" w:sz="4" w:space="0"/>
              <w:bottom w:val="single" w:color="auto" w:sz="4" w:space="0"/>
              <w:right w:val="single" w:color="auto" w:sz="4" w:space="0"/>
            </w:tcBorders>
            <w:vAlign w:val="center"/>
          </w:tcPr>
          <w:p w14:paraId="61AF564E">
            <w:pPr>
              <w:spacing w:line="360" w:lineRule="auto"/>
              <w:jc w:val="center"/>
              <w:rPr>
                <w:rFonts w:ascii="宋体" w:hAnsi="宋体" w:cs="宋体"/>
                <w:sz w:val="24"/>
                <w:szCs w:val="24"/>
                <w:highlight w:val="none"/>
              </w:rPr>
            </w:pPr>
            <w:r>
              <w:rPr>
                <w:rFonts w:hint="eastAsia" w:ascii="宋体" w:hAnsi="宋体" w:cs="宋体"/>
                <w:sz w:val="24"/>
                <w:szCs w:val="24"/>
                <w:highlight w:val="none"/>
              </w:rPr>
              <w:t>13</w:t>
            </w:r>
          </w:p>
        </w:tc>
        <w:tc>
          <w:tcPr>
            <w:tcW w:w="2255" w:type="pct"/>
            <w:tcBorders>
              <w:top w:val="single" w:color="auto" w:sz="4" w:space="0"/>
              <w:left w:val="single" w:color="auto" w:sz="4" w:space="0"/>
              <w:bottom w:val="single" w:color="auto" w:sz="4" w:space="0"/>
              <w:right w:val="single" w:color="auto" w:sz="4" w:space="0"/>
            </w:tcBorders>
            <w:vAlign w:val="center"/>
          </w:tcPr>
          <w:p w14:paraId="1E8EC9C0">
            <w:pPr>
              <w:spacing w:line="360" w:lineRule="auto"/>
              <w:jc w:val="left"/>
              <w:rPr>
                <w:rFonts w:ascii="宋体" w:hAnsi="宋体" w:cs="宋体"/>
                <w:sz w:val="24"/>
                <w:szCs w:val="24"/>
                <w:highlight w:val="none"/>
              </w:rPr>
            </w:pPr>
            <w:r>
              <w:rPr>
                <w:rFonts w:hint="eastAsia" w:ascii="宋体" w:hAnsi="宋体" w:cs="宋体"/>
                <w:sz w:val="24"/>
                <w:szCs w:val="24"/>
                <w:highlight w:val="none"/>
              </w:rPr>
              <w:t>未被列入拖欠农民工工资失信联合惩戒对象名单；</w:t>
            </w:r>
          </w:p>
        </w:tc>
        <w:tc>
          <w:tcPr>
            <w:tcW w:w="2039" w:type="pct"/>
            <w:tcBorders>
              <w:top w:val="single" w:color="auto" w:sz="4" w:space="0"/>
              <w:left w:val="single" w:color="auto" w:sz="4" w:space="0"/>
              <w:bottom w:val="single" w:color="auto" w:sz="4" w:space="0"/>
              <w:right w:val="single" w:color="auto" w:sz="4" w:space="0"/>
            </w:tcBorders>
            <w:vAlign w:val="center"/>
          </w:tcPr>
          <w:p w14:paraId="66DE954D">
            <w:pPr>
              <w:spacing w:line="360" w:lineRule="auto"/>
              <w:jc w:val="left"/>
              <w:rPr>
                <w:rFonts w:ascii="宋体" w:hAnsi="宋体" w:cs="宋体"/>
                <w:sz w:val="24"/>
                <w:szCs w:val="24"/>
                <w:highlight w:val="none"/>
              </w:rPr>
            </w:pPr>
            <w:r>
              <w:rPr>
                <w:rFonts w:hint="eastAsia" w:ascii="宋体" w:hAnsi="宋体" w:cs="宋体"/>
                <w:sz w:val="24"/>
                <w:szCs w:val="24"/>
                <w:highlight w:val="none"/>
              </w:rPr>
              <w:t>投标人无需提供资料，按交易系统比对的结果进行评审</w:t>
            </w:r>
          </w:p>
        </w:tc>
        <w:tc>
          <w:tcPr>
            <w:tcW w:w="428" w:type="pct"/>
            <w:tcBorders>
              <w:top w:val="single" w:color="auto" w:sz="4" w:space="0"/>
              <w:left w:val="single" w:color="auto" w:sz="4" w:space="0"/>
              <w:bottom w:val="single" w:color="auto" w:sz="4" w:space="0"/>
              <w:right w:val="single" w:color="auto" w:sz="4" w:space="0"/>
            </w:tcBorders>
            <w:vAlign w:val="center"/>
          </w:tcPr>
          <w:p w14:paraId="0412A0EA">
            <w:pPr>
              <w:spacing w:line="360" w:lineRule="auto"/>
              <w:jc w:val="center"/>
              <w:rPr>
                <w:rFonts w:ascii="宋体" w:hAnsi="宋体" w:cs="宋体"/>
                <w:sz w:val="24"/>
                <w:szCs w:val="24"/>
                <w:highlight w:val="none"/>
              </w:rPr>
            </w:pPr>
          </w:p>
        </w:tc>
      </w:tr>
    </w:tbl>
    <w:p w14:paraId="64C1812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备注：</w:t>
      </w:r>
    </w:p>
    <w:p w14:paraId="6E85CFB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 xml:space="preserve">1.每一项目符合的打“○”，不符合的打“×”； </w:t>
      </w:r>
    </w:p>
    <w:p w14:paraId="1E7DE7E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2.若评委意见不一致时，则按少数服从多数的原则，作出评审结论。汇总后，出现一个“×”的结论为“不通过”。</w:t>
      </w:r>
    </w:p>
    <w:p w14:paraId="5F35ABA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312EF941">
      <w:pPr>
        <w:spacing w:line="360" w:lineRule="auto"/>
        <w:ind w:firstLine="480" w:firstLineChars="200"/>
        <w:rPr>
          <w:rFonts w:ascii="宋体" w:hAnsi="宋体" w:cs="宋体"/>
          <w:sz w:val="24"/>
          <w:szCs w:val="24"/>
          <w:highlight w:val="none"/>
        </w:rPr>
        <w:sectPr>
          <w:headerReference r:id="rId4" w:type="first"/>
          <w:footerReference r:id="rId6" w:type="first"/>
          <w:headerReference r:id="rId3" w:type="default"/>
          <w:footerReference r:id="rId5" w:type="default"/>
          <w:endnotePr>
            <w:numFmt w:val="decimal"/>
          </w:endnotePr>
          <w:pgSz w:w="11905" w:h="16838"/>
          <w:pgMar w:top="1134" w:right="1134" w:bottom="1134" w:left="1134" w:header="851" w:footer="907" w:gutter="0"/>
          <w:pgNumType w:start="1"/>
          <w:cols w:space="0" w:num="1"/>
          <w:titlePg/>
          <w:docGrid w:type="lines" w:linePitch="317" w:charSpace="0"/>
        </w:sectPr>
      </w:pPr>
    </w:p>
    <w:p w14:paraId="6EF46469">
      <w:pPr>
        <w:pStyle w:val="4"/>
        <w:spacing w:before="0" w:beforeAutospacing="0" w:after="0" w:afterAutospacing="0" w:line="360" w:lineRule="auto"/>
        <w:rPr>
          <w:sz w:val="24"/>
          <w:szCs w:val="24"/>
          <w:highlight w:val="none"/>
        </w:rPr>
      </w:pPr>
      <w:bookmarkStart w:id="38" w:name="_Toc17515"/>
      <w:r>
        <w:rPr>
          <w:rFonts w:hint="eastAsia"/>
          <w:sz w:val="24"/>
          <w:szCs w:val="24"/>
          <w:highlight w:val="none"/>
        </w:rPr>
        <w:t>附表二</w:t>
      </w:r>
      <w:bookmarkEnd w:id="38"/>
    </w:p>
    <w:p w14:paraId="30BD09D4">
      <w:pPr>
        <w:spacing w:line="360" w:lineRule="auto"/>
        <w:jc w:val="center"/>
        <w:rPr>
          <w:rFonts w:ascii="宋体" w:hAnsi="宋体" w:cs="宋体"/>
          <w:b/>
          <w:sz w:val="32"/>
          <w:szCs w:val="32"/>
          <w:highlight w:val="none"/>
        </w:rPr>
      </w:pPr>
      <w:r>
        <w:rPr>
          <w:rFonts w:hint="eastAsia" w:ascii="宋体" w:hAnsi="宋体" w:cs="宋体"/>
          <w:b/>
          <w:sz w:val="32"/>
          <w:szCs w:val="32"/>
          <w:highlight w:val="none"/>
        </w:rPr>
        <w:t>技术标有效性审查表</w:t>
      </w:r>
    </w:p>
    <w:p w14:paraId="5F2EE341">
      <w:pPr>
        <w:spacing w:line="360" w:lineRule="auto"/>
        <w:rPr>
          <w:rFonts w:ascii="宋体" w:hAnsi="宋体" w:cs="宋体"/>
          <w:sz w:val="24"/>
          <w:szCs w:val="24"/>
          <w:highlight w:val="none"/>
        </w:rPr>
      </w:pPr>
      <w:r>
        <w:rPr>
          <w:rFonts w:hint="eastAsia" w:ascii="宋体" w:hAnsi="宋体" w:cs="宋体"/>
          <w:sz w:val="24"/>
          <w:szCs w:val="24"/>
          <w:highlight w:val="none"/>
        </w:rPr>
        <w:t>工程名称：</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6822"/>
        <w:gridCol w:w="1236"/>
        <w:gridCol w:w="1236"/>
        <w:gridCol w:w="1236"/>
        <w:gridCol w:w="1236"/>
        <w:gridCol w:w="1236"/>
        <w:gridCol w:w="1237"/>
      </w:tblGrid>
      <w:tr w14:paraId="13D6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24D11B44">
            <w:pPr>
              <w:adjustRightInd w:val="0"/>
              <w:spacing w:line="360" w:lineRule="auto"/>
              <w:rPr>
                <w:rFonts w:ascii="宋体" w:hAnsi="宋体" w:cs="宋体"/>
                <w:b/>
                <w:bCs/>
                <w:sz w:val="24"/>
                <w:szCs w:val="24"/>
                <w:highlight w:val="none"/>
              </w:rPr>
            </w:pPr>
            <w:r>
              <w:rPr>
                <w:rFonts w:hint="eastAsia" w:ascii="宋体" w:hAnsi="宋体" w:cs="宋体"/>
                <w:b/>
                <w:bCs/>
                <w:sz w:val="24"/>
                <w:szCs w:val="24"/>
                <w:highlight w:val="none"/>
              </w:rPr>
              <w:t>序号</w:t>
            </w:r>
          </w:p>
        </w:tc>
        <w:tc>
          <w:tcPr>
            <w:tcW w:w="2307" w:type="pct"/>
            <w:tcBorders>
              <w:top w:val="single" w:color="auto" w:sz="4" w:space="0"/>
              <w:left w:val="single" w:color="auto" w:sz="4" w:space="0"/>
              <w:bottom w:val="single" w:color="auto" w:sz="4" w:space="0"/>
              <w:right w:val="single" w:color="auto" w:sz="4" w:space="0"/>
              <w:tl2br w:val="single" w:color="auto" w:sz="4" w:space="0"/>
            </w:tcBorders>
          </w:tcPr>
          <w:p w14:paraId="050FD3B4">
            <w:pPr>
              <w:adjustRightInd w:val="0"/>
              <w:spacing w:line="360" w:lineRule="auto"/>
              <w:rPr>
                <w:rFonts w:ascii="宋体" w:hAnsi="宋体" w:cs="宋体"/>
                <w:b/>
                <w:bCs/>
                <w:sz w:val="24"/>
                <w:szCs w:val="24"/>
                <w:highlight w:val="none"/>
              </w:rPr>
            </w:pPr>
            <w:r>
              <w:rPr>
                <w:rFonts w:hint="eastAsia" w:ascii="宋体" w:hAnsi="宋体" w:cs="宋体"/>
                <w:b/>
                <w:bCs/>
                <w:sz w:val="24"/>
                <w:szCs w:val="24"/>
                <w:highlight w:val="none"/>
              </w:rPr>
              <w:t xml:space="preserve">                        投标人</w:t>
            </w:r>
          </w:p>
          <w:p w14:paraId="4B394541">
            <w:pPr>
              <w:adjustRightInd w:val="0"/>
              <w:spacing w:line="360" w:lineRule="auto"/>
              <w:rPr>
                <w:rFonts w:ascii="宋体" w:hAnsi="宋体" w:cs="宋体"/>
                <w:b/>
                <w:bCs/>
                <w:sz w:val="24"/>
                <w:szCs w:val="24"/>
                <w:highlight w:val="none"/>
              </w:rPr>
            </w:pPr>
            <w:r>
              <w:rPr>
                <w:rFonts w:hint="eastAsia" w:ascii="宋体" w:hAnsi="宋体" w:cs="宋体"/>
                <w:b/>
                <w:bCs/>
                <w:sz w:val="24"/>
                <w:szCs w:val="24"/>
                <w:highlight w:val="none"/>
              </w:rPr>
              <w:t>评审内容</w:t>
            </w:r>
          </w:p>
        </w:tc>
        <w:tc>
          <w:tcPr>
            <w:tcW w:w="418" w:type="pct"/>
            <w:tcBorders>
              <w:top w:val="single" w:color="auto" w:sz="4" w:space="0"/>
              <w:left w:val="single" w:color="auto" w:sz="4" w:space="0"/>
              <w:bottom w:val="single" w:color="auto" w:sz="4" w:space="0"/>
              <w:right w:val="single" w:color="auto" w:sz="4" w:space="0"/>
            </w:tcBorders>
          </w:tcPr>
          <w:p w14:paraId="6F22B689">
            <w:pPr>
              <w:adjustRightInd w:val="0"/>
              <w:spacing w:line="360" w:lineRule="auto"/>
              <w:rPr>
                <w:rFonts w:ascii="宋体" w:hAnsi="宋体" w:cs="宋体"/>
                <w:b/>
                <w:bCs/>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21C1A380">
            <w:pPr>
              <w:adjustRightInd w:val="0"/>
              <w:spacing w:line="360" w:lineRule="auto"/>
              <w:rPr>
                <w:rFonts w:ascii="宋体" w:hAnsi="宋体" w:cs="宋体"/>
                <w:b/>
                <w:bCs/>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1CAA378D">
            <w:pPr>
              <w:adjustRightInd w:val="0"/>
              <w:spacing w:line="360" w:lineRule="auto"/>
              <w:rPr>
                <w:rFonts w:ascii="宋体" w:hAnsi="宋体" w:cs="宋体"/>
                <w:b/>
                <w:bCs/>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4921CBBA">
            <w:pPr>
              <w:adjustRightInd w:val="0"/>
              <w:spacing w:line="360" w:lineRule="auto"/>
              <w:rPr>
                <w:rFonts w:ascii="宋体" w:hAnsi="宋体" w:cs="宋体"/>
                <w:b/>
                <w:bCs/>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30917E8E">
            <w:pPr>
              <w:adjustRightInd w:val="0"/>
              <w:spacing w:line="360" w:lineRule="auto"/>
              <w:rPr>
                <w:rFonts w:ascii="宋体" w:hAnsi="宋体" w:cs="宋体"/>
                <w:b/>
                <w:bCs/>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58B0DB36">
            <w:pPr>
              <w:adjustRightInd w:val="0"/>
              <w:spacing w:line="360" w:lineRule="auto"/>
              <w:rPr>
                <w:rFonts w:ascii="宋体" w:hAnsi="宋体" w:cs="宋体"/>
                <w:b/>
                <w:bCs/>
                <w:sz w:val="24"/>
                <w:szCs w:val="24"/>
                <w:highlight w:val="none"/>
              </w:rPr>
            </w:pPr>
          </w:p>
        </w:tc>
      </w:tr>
      <w:tr w14:paraId="06E5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28134E48">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2307" w:type="pct"/>
            <w:tcBorders>
              <w:top w:val="single" w:color="auto" w:sz="4" w:space="0"/>
              <w:left w:val="single" w:color="auto" w:sz="4" w:space="0"/>
              <w:bottom w:val="single" w:color="auto" w:sz="4" w:space="0"/>
              <w:right w:val="single" w:color="auto" w:sz="4" w:space="0"/>
            </w:tcBorders>
            <w:vAlign w:val="center"/>
          </w:tcPr>
          <w:p w14:paraId="07AED7AF">
            <w:pPr>
              <w:adjustRightInd w:val="0"/>
              <w:spacing w:line="360" w:lineRule="auto"/>
              <w:rPr>
                <w:rFonts w:ascii="宋体" w:hAnsi="宋体" w:cs="宋体"/>
                <w:sz w:val="24"/>
                <w:szCs w:val="24"/>
                <w:highlight w:val="none"/>
              </w:rPr>
            </w:pPr>
            <w:r>
              <w:rPr>
                <w:rFonts w:hint="eastAsia" w:ascii="宋体" w:hAnsi="宋体" w:cs="宋体"/>
                <w:sz w:val="24"/>
                <w:szCs w:val="24"/>
                <w:highlight w:val="none"/>
                <w:u w:val="single"/>
              </w:rPr>
              <w:t>《广州建设工程施工招标投标书》中工期</w:t>
            </w:r>
            <w:r>
              <w:rPr>
                <w:rFonts w:hint="eastAsia" w:ascii="宋体" w:hAnsi="宋体" w:cs="宋体"/>
                <w:sz w:val="24"/>
                <w:szCs w:val="24"/>
                <w:highlight w:val="none"/>
              </w:rPr>
              <w:t>不能满足完成投标项目工期的；</w:t>
            </w:r>
          </w:p>
        </w:tc>
        <w:tc>
          <w:tcPr>
            <w:tcW w:w="418" w:type="pct"/>
            <w:tcBorders>
              <w:top w:val="single" w:color="auto" w:sz="4" w:space="0"/>
              <w:left w:val="single" w:color="auto" w:sz="4" w:space="0"/>
              <w:bottom w:val="single" w:color="auto" w:sz="4" w:space="0"/>
              <w:right w:val="single" w:color="auto" w:sz="4" w:space="0"/>
            </w:tcBorders>
          </w:tcPr>
          <w:p w14:paraId="5994F88A">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430FA72A">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4A8CD8B7">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1862B1E2">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1D4EF6EE">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7963DB67">
            <w:pPr>
              <w:adjustRightInd w:val="0"/>
              <w:spacing w:line="360" w:lineRule="auto"/>
              <w:rPr>
                <w:rFonts w:ascii="宋体" w:hAnsi="宋体" w:cs="宋体"/>
                <w:sz w:val="24"/>
                <w:szCs w:val="24"/>
                <w:highlight w:val="none"/>
              </w:rPr>
            </w:pPr>
          </w:p>
        </w:tc>
      </w:tr>
      <w:tr w14:paraId="6AFA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1A79068B">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2307" w:type="pct"/>
            <w:tcBorders>
              <w:top w:val="single" w:color="auto" w:sz="4" w:space="0"/>
              <w:left w:val="single" w:color="auto" w:sz="4" w:space="0"/>
              <w:bottom w:val="single" w:color="auto" w:sz="4" w:space="0"/>
              <w:right w:val="single" w:color="auto" w:sz="4" w:space="0"/>
            </w:tcBorders>
            <w:vAlign w:val="center"/>
          </w:tcPr>
          <w:p w14:paraId="2FFCBC31">
            <w:pPr>
              <w:adjustRightInd w:val="0"/>
              <w:spacing w:line="360" w:lineRule="auto"/>
              <w:rPr>
                <w:rFonts w:ascii="宋体" w:hAnsi="宋体" w:cs="宋体"/>
                <w:sz w:val="24"/>
                <w:szCs w:val="24"/>
                <w:highlight w:val="none"/>
              </w:rPr>
            </w:pPr>
            <w:r>
              <w:rPr>
                <w:rFonts w:hint="eastAsia" w:ascii="宋体" w:hAnsi="宋体" w:cs="宋体"/>
                <w:sz w:val="24"/>
                <w:szCs w:val="24"/>
                <w:highlight w:val="none"/>
                <w:u w:val="single"/>
              </w:rPr>
              <w:t>《广州建设工程施工招标投标书》中质量标准</w:t>
            </w:r>
            <w:r>
              <w:rPr>
                <w:rFonts w:hint="eastAsia" w:ascii="宋体" w:hAnsi="宋体" w:cs="宋体"/>
                <w:sz w:val="24"/>
                <w:szCs w:val="24"/>
                <w:highlight w:val="none"/>
              </w:rPr>
              <w:t>不符合招标文件</w:t>
            </w:r>
            <w:r>
              <w:rPr>
                <w:rFonts w:hint="eastAsia" w:ascii="宋体" w:hAnsi="宋体" w:cs="宋体"/>
                <w:sz w:val="24"/>
                <w:szCs w:val="24"/>
                <w:highlight w:val="none"/>
                <w:u w:val="single"/>
              </w:rPr>
              <w:t>要求</w:t>
            </w:r>
            <w:r>
              <w:rPr>
                <w:rFonts w:hint="eastAsia" w:ascii="宋体" w:hAnsi="宋体" w:cs="宋体"/>
                <w:sz w:val="24"/>
                <w:szCs w:val="24"/>
                <w:highlight w:val="none"/>
              </w:rPr>
              <w:t>的；</w:t>
            </w:r>
          </w:p>
        </w:tc>
        <w:tc>
          <w:tcPr>
            <w:tcW w:w="418" w:type="pct"/>
            <w:tcBorders>
              <w:top w:val="single" w:color="auto" w:sz="4" w:space="0"/>
              <w:left w:val="single" w:color="auto" w:sz="4" w:space="0"/>
              <w:bottom w:val="single" w:color="auto" w:sz="4" w:space="0"/>
              <w:right w:val="single" w:color="auto" w:sz="4" w:space="0"/>
            </w:tcBorders>
          </w:tcPr>
          <w:p w14:paraId="0DCC7866">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7833974D">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6E40524A">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34A1E1B0">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415BD9B4">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7BBBB424">
            <w:pPr>
              <w:adjustRightInd w:val="0"/>
              <w:spacing w:line="360" w:lineRule="auto"/>
              <w:rPr>
                <w:rFonts w:ascii="宋体" w:hAnsi="宋体" w:cs="宋体"/>
                <w:sz w:val="24"/>
                <w:szCs w:val="24"/>
                <w:highlight w:val="none"/>
              </w:rPr>
            </w:pPr>
          </w:p>
        </w:tc>
      </w:tr>
      <w:tr w14:paraId="103C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301FF6E4">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2307" w:type="pct"/>
            <w:tcBorders>
              <w:top w:val="single" w:color="auto" w:sz="4" w:space="0"/>
              <w:left w:val="single" w:color="auto" w:sz="4" w:space="0"/>
              <w:bottom w:val="single" w:color="auto" w:sz="4" w:space="0"/>
              <w:right w:val="single" w:color="auto" w:sz="4" w:space="0"/>
            </w:tcBorders>
            <w:vAlign w:val="center"/>
          </w:tcPr>
          <w:p w14:paraId="554F4CF0">
            <w:pPr>
              <w:adjustRightInd w:val="0"/>
              <w:spacing w:line="360" w:lineRule="auto"/>
              <w:rPr>
                <w:rFonts w:ascii="宋体" w:hAnsi="宋体" w:cs="宋体"/>
                <w:sz w:val="24"/>
                <w:szCs w:val="24"/>
                <w:highlight w:val="none"/>
              </w:rPr>
            </w:pPr>
            <w:r>
              <w:rPr>
                <w:rFonts w:hint="eastAsia" w:ascii="宋体" w:hAnsi="宋体" w:cs="宋体"/>
                <w:sz w:val="24"/>
                <w:szCs w:val="24"/>
                <w:highlight w:val="none"/>
              </w:rPr>
              <w:t>投标文件中没有有效的法定代表人证明书，或由委托代理人签署或盖章的投标文件中没有法定代表人授权书；</w:t>
            </w:r>
          </w:p>
        </w:tc>
        <w:tc>
          <w:tcPr>
            <w:tcW w:w="418" w:type="pct"/>
            <w:tcBorders>
              <w:top w:val="single" w:color="auto" w:sz="4" w:space="0"/>
              <w:left w:val="single" w:color="auto" w:sz="4" w:space="0"/>
              <w:bottom w:val="single" w:color="auto" w:sz="4" w:space="0"/>
              <w:right w:val="single" w:color="auto" w:sz="4" w:space="0"/>
            </w:tcBorders>
          </w:tcPr>
          <w:p w14:paraId="5E47714C">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75D24FD7">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204DE624">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6782B071">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1BB7D630">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76A0C1EE">
            <w:pPr>
              <w:adjustRightInd w:val="0"/>
              <w:spacing w:line="360" w:lineRule="auto"/>
              <w:rPr>
                <w:rFonts w:ascii="宋体" w:hAnsi="宋体" w:cs="宋体"/>
                <w:sz w:val="24"/>
                <w:szCs w:val="24"/>
                <w:highlight w:val="none"/>
              </w:rPr>
            </w:pPr>
          </w:p>
        </w:tc>
      </w:tr>
      <w:tr w14:paraId="41B3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06B07757">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2307" w:type="pct"/>
            <w:tcBorders>
              <w:top w:val="single" w:color="auto" w:sz="4" w:space="0"/>
              <w:left w:val="single" w:color="auto" w:sz="4" w:space="0"/>
              <w:bottom w:val="single" w:color="auto" w:sz="4" w:space="0"/>
              <w:right w:val="single" w:color="auto" w:sz="4" w:space="0"/>
            </w:tcBorders>
            <w:vAlign w:val="center"/>
          </w:tcPr>
          <w:p w14:paraId="3ADEEE1E">
            <w:pPr>
              <w:adjustRightInd w:val="0"/>
              <w:spacing w:line="360" w:lineRule="auto"/>
              <w:rPr>
                <w:rFonts w:ascii="宋体" w:hAnsi="宋体" w:cs="宋体"/>
                <w:sz w:val="24"/>
                <w:szCs w:val="24"/>
                <w:highlight w:val="none"/>
              </w:rPr>
            </w:pPr>
            <w:r>
              <w:rPr>
                <w:rFonts w:hint="eastAsia" w:ascii="宋体" w:hAnsi="宋体" w:cs="宋体"/>
                <w:sz w:val="24"/>
                <w:szCs w:val="24"/>
                <w:highlight w:val="none"/>
              </w:rPr>
              <w:t>投标文件未按规定的格式</w:t>
            </w:r>
            <w:r>
              <w:rPr>
                <w:rFonts w:hint="eastAsia" w:ascii="宋体" w:hAnsi="宋体" w:cs="宋体"/>
                <w:sz w:val="24"/>
                <w:szCs w:val="24"/>
                <w:highlight w:val="none"/>
                <w:u w:val="single"/>
              </w:rPr>
              <w:t>（指技术标格式二、格式三、格式七、格式八）</w:t>
            </w:r>
            <w:r>
              <w:rPr>
                <w:rFonts w:hint="eastAsia" w:ascii="宋体" w:hAnsi="宋体" w:cs="宋体"/>
                <w:sz w:val="24"/>
                <w:szCs w:val="24"/>
                <w:highlight w:val="none"/>
              </w:rPr>
              <w:t>填写，或关键字迹模糊、无法辨认的；</w:t>
            </w:r>
          </w:p>
        </w:tc>
        <w:tc>
          <w:tcPr>
            <w:tcW w:w="418" w:type="pct"/>
            <w:tcBorders>
              <w:top w:val="single" w:color="auto" w:sz="4" w:space="0"/>
              <w:left w:val="single" w:color="auto" w:sz="4" w:space="0"/>
              <w:bottom w:val="single" w:color="auto" w:sz="4" w:space="0"/>
              <w:right w:val="single" w:color="auto" w:sz="4" w:space="0"/>
            </w:tcBorders>
          </w:tcPr>
          <w:p w14:paraId="1561C081">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6222D2E7">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6D01D10A">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79BD66C3">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721C4A09">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42513D92">
            <w:pPr>
              <w:adjustRightInd w:val="0"/>
              <w:spacing w:line="360" w:lineRule="auto"/>
              <w:rPr>
                <w:rFonts w:ascii="宋体" w:hAnsi="宋体" w:cs="宋体"/>
                <w:sz w:val="24"/>
                <w:szCs w:val="24"/>
                <w:highlight w:val="none"/>
              </w:rPr>
            </w:pPr>
          </w:p>
        </w:tc>
      </w:tr>
      <w:tr w14:paraId="4FCF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2C8208B0">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2307" w:type="pct"/>
            <w:tcBorders>
              <w:top w:val="single" w:color="auto" w:sz="4" w:space="0"/>
              <w:left w:val="single" w:color="auto" w:sz="4" w:space="0"/>
              <w:bottom w:val="single" w:color="auto" w:sz="4" w:space="0"/>
              <w:right w:val="single" w:color="auto" w:sz="4" w:space="0"/>
            </w:tcBorders>
            <w:vAlign w:val="center"/>
          </w:tcPr>
          <w:p w14:paraId="13941C89">
            <w:pPr>
              <w:adjustRightInd w:val="0"/>
              <w:spacing w:line="360" w:lineRule="auto"/>
              <w:rPr>
                <w:rFonts w:ascii="宋体" w:hAnsi="宋体" w:cs="宋体"/>
                <w:sz w:val="24"/>
                <w:szCs w:val="24"/>
                <w:highlight w:val="none"/>
              </w:rPr>
            </w:pPr>
            <w:r>
              <w:rPr>
                <w:rFonts w:hint="eastAsia" w:ascii="宋体" w:hAnsi="宋体" w:cs="宋体"/>
                <w:sz w:val="24"/>
                <w:szCs w:val="24"/>
                <w:highlight w:val="none"/>
              </w:rPr>
              <w:t>投标人之间存在《广东省实施〈中华人民共和国招标投标法〉》第十六条所禁止的情形的；</w:t>
            </w:r>
          </w:p>
        </w:tc>
        <w:tc>
          <w:tcPr>
            <w:tcW w:w="418" w:type="pct"/>
            <w:tcBorders>
              <w:top w:val="single" w:color="auto" w:sz="4" w:space="0"/>
              <w:left w:val="single" w:color="auto" w:sz="4" w:space="0"/>
              <w:bottom w:val="single" w:color="auto" w:sz="4" w:space="0"/>
              <w:right w:val="single" w:color="auto" w:sz="4" w:space="0"/>
            </w:tcBorders>
          </w:tcPr>
          <w:p w14:paraId="34176A05">
            <w:pPr>
              <w:adjustRightInd w:val="0"/>
              <w:spacing w:line="360" w:lineRule="auto"/>
              <w:rPr>
                <w:rFonts w:ascii="宋体" w:hAnsi="宋体" w:cs="宋体"/>
                <w:sz w:val="24"/>
                <w:szCs w:val="24"/>
                <w:highlight w:val="none"/>
                <w:shd w:val="pct10" w:color="auto" w:fill="FFFFFF"/>
              </w:rPr>
            </w:pPr>
          </w:p>
        </w:tc>
        <w:tc>
          <w:tcPr>
            <w:tcW w:w="418" w:type="pct"/>
            <w:tcBorders>
              <w:top w:val="single" w:color="auto" w:sz="4" w:space="0"/>
              <w:left w:val="single" w:color="auto" w:sz="4" w:space="0"/>
              <w:bottom w:val="single" w:color="auto" w:sz="4" w:space="0"/>
              <w:right w:val="single" w:color="auto" w:sz="4" w:space="0"/>
            </w:tcBorders>
          </w:tcPr>
          <w:p w14:paraId="014B08C7">
            <w:pPr>
              <w:adjustRightInd w:val="0"/>
              <w:spacing w:line="360" w:lineRule="auto"/>
              <w:rPr>
                <w:rFonts w:ascii="宋体" w:hAnsi="宋体" w:cs="宋体"/>
                <w:sz w:val="24"/>
                <w:szCs w:val="24"/>
                <w:highlight w:val="none"/>
                <w:shd w:val="pct10" w:color="auto" w:fill="FFFFFF"/>
              </w:rPr>
            </w:pPr>
          </w:p>
        </w:tc>
        <w:tc>
          <w:tcPr>
            <w:tcW w:w="418" w:type="pct"/>
            <w:tcBorders>
              <w:top w:val="single" w:color="auto" w:sz="4" w:space="0"/>
              <w:left w:val="single" w:color="auto" w:sz="4" w:space="0"/>
              <w:bottom w:val="single" w:color="auto" w:sz="4" w:space="0"/>
              <w:right w:val="single" w:color="auto" w:sz="4" w:space="0"/>
            </w:tcBorders>
          </w:tcPr>
          <w:p w14:paraId="369C6E4B">
            <w:pPr>
              <w:adjustRightInd w:val="0"/>
              <w:spacing w:line="360" w:lineRule="auto"/>
              <w:rPr>
                <w:rFonts w:ascii="宋体" w:hAnsi="宋体" w:cs="宋体"/>
                <w:sz w:val="24"/>
                <w:szCs w:val="24"/>
                <w:highlight w:val="none"/>
                <w:shd w:val="pct10" w:color="auto" w:fill="FFFFFF"/>
              </w:rPr>
            </w:pPr>
          </w:p>
        </w:tc>
        <w:tc>
          <w:tcPr>
            <w:tcW w:w="418" w:type="pct"/>
            <w:tcBorders>
              <w:top w:val="single" w:color="auto" w:sz="4" w:space="0"/>
              <w:left w:val="single" w:color="auto" w:sz="4" w:space="0"/>
              <w:bottom w:val="single" w:color="auto" w:sz="4" w:space="0"/>
              <w:right w:val="single" w:color="auto" w:sz="4" w:space="0"/>
            </w:tcBorders>
          </w:tcPr>
          <w:p w14:paraId="2A400F56">
            <w:pPr>
              <w:adjustRightInd w:val="0"/>
              <w:spacing w:line="360" w:lineRule="auto"/>
              <w:rPr>
                <w:rFonts w:ascii="宋体" w:hAnsi="宋体" w:cs="宋体"/>
                <w:sz w:val="24"/>
                <w:szCs w:val="24"/>
                <w:highlight w:val="none"/>
                <w:shd w:val="pct10" w:color="auto" w:fill="FFFFFF"/>
              </w:rPr>
            </w:pPr>
          </w:p>
        </w:tc>
        <w:tc>
          <w:tcPr>
            <w:tcW w:w="418" w:type="pct"/>
            <w:tcBorders>
              <w:top w:val="single" w:color="auto" w:sz="4" w:space="0"/>
              <w:left w:val="single" w:color="auto" w:sz="4" w:space="0"/>
              <w:bottom w:val="single" w:color="auto" w:sz="4" w:space="0"/>
              <w:right w:val="single" w:color="auto" w:sz="4" w:space="0"/>
            </w:tcBorders>
          </w:tcPr>
          <w:p w14:paraId="76991E3F">
            <w:pPr>
              <w:adjustRightInd w:val="0"/>
              <w:spacing w:line="360" w:lineRule="auto"/>
              <w:rPr>
                <w:rFonts w:ascii="宋体" w:hAnsi="宋体" w:cs="宋体"/>
                <w:sz w:val="24"/>
                <w:szCs w:val="24"/>
                <w:highlight w:val="none"/>
                <w:shd w:val="pct10" w:color="auto" w:fill="FFFFFF"/>
              </w:rPr>
            </w:pPr>
          </w:p>
        </w:tc>
        <w:tc>
          <w:tcPr>
            <w:tcW w:w="418" w:type="pct"/>
            <w:tcBorders>
              <w:top w:val="single" w:color="auto" w:sz="4" w:space="0"/>
              <w:left w:val="single" w:color="auto" w:sz="4" w:space="0"/>
              <w:bottom w:val="single" w:color="auto" w:sz="4" w:space="0"/>
              <w:right w:val="single" w:color="auto" w:sz="4" w:space="0"/>
            </w:tcBorders>
          </w:tcPr>
          <w:p w14:paraId="6B2A4614">
            <w:pPr>
              <w:adjustRightInd w:val="0"/>
              <w:spacing w:line="360" w:lineRule="auto"/>
              <w:rPr>
                <w:rFonts w:ascii="宋体" w:hAnsi="宋体" w:cs="宋体"/>
                <w:sz w:val="24"/>
                <w:szCs w:val="24"/>
                <w:highlight w:val="none"/>
                <w:shd w:val="pct10" w:color="auto" w:fill="FFFFFF"/>
              </w:rPr>
            </w:pPr>
          </w:p>
        </w:tc>
      </w:tr>
      <w:tr w14:paraId="34D5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611803D3">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2307" w:type="pct"/>
            <w:tcBorders>
              <w:top w:val="single" w:color="auto" w:sz="4" w:space="0"/>
              <w:left w:val="single" w:color="auto" w:sz="4" w:space="0"/>
              <w:bottom w:val="single" w:color="auto" w:sz="4" w:space="0"/>
              <w:right w:val="single" w:color="auto" w:sz="4" w:space="0"/>
            </w:tcBorders>
            <w:vAlign w:val="center"/>
          </w:tcPr>
          <w:p w14:paraId="7157A8E4">
            <w:pPr>
              <w:adjustRightInd w:val="0"/>
              <w:spacing w:line="360" w:lineRule="auto"/>
              <w:rPr>
                <w:rFonts w:ascii="宋体" w:hAnsi="宋体" w:cs="宋体"/>
                <w:sz w:val="24"/>
                <w:szCs w:val="24"/>
                <w:highlight w:val="none"/>
              </w:rPr>
            </w:pPr>
            <w:r>
              <w:rPr>
                <w:rFonts w:hint="eastAsia" w:ascii="宋体" w:hAnsi="宋体" w:cs="宋体"/>
                <w:sz w:val="24"/>
                <w:szCs w:val="24"/>
                <w:highlight w:val="none"/>
              </w:rPr>
              <w:t>无《参与编制技术标投标文件人员名单》的</w:t>
            </w:r>
          </w:p>
        </w:tc>
        <w:tc>
          <w:tcPr>
            <w:tcW w:w="418" w:type="pct"/>
            <w:tcBorders>
              <w:top w:val="single" w:color="auto" w:sz="4" w:space="0"/>
              <w:left w:val="single" w:color="auto" w:sz="4" w:space="0"/>
              <w:bottom w:val="single" w:color="auto" w:sz="4" w:space="0"/>
              <w:right w:val="single" w:color="auto" w:sz="4" w:space="0"/>
            </w:tcBorders>
          </w:tcPr>
          <w:p w14:paraId="4AF71A9A">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04C475D1">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7FE88DAA">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178FC28C">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01273E38">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598A9726">
            <w:pPr>
              <w:adjustRightInd w:val="0"/>
              <w:spacing w:line="360" w:lineRule="auto"/>
              <w:rPr>
                <w:rFonts w:ascii="宋体" w:hAnsi="宋体" w:cs="宋体"/>
                <w:sz w:val="24"/>
                <w:szCs w:val="24"/>
                <w:highlight w:val="none"/>
              </w:rPr>
            </w:pPr>
          </w:p>
        </w:tc>
      </w:tr>
      <w:tr w14:paraId="7C35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3" w:type="pct"/>
            <w:tcBorders>
              <w:top w:val="single" w:color="auto" w:sz="4" w:space="0"/>
              <w:left w:val="single" w:color="auto" w:sz="4" w:space="0"/>
              <w:bottom w:val="single" w:color="auto" w:sz="4" w:space="0"/>
              <w:right w:val="single" w:color="auto" w:sz="4" w:space="0"/>
            </w:tcBorders>
            <w:vAlign w:val="center"/>
          </w:tcPr>
          <w:p w14:paraId="7D61BBF3">
            <w:pPr>
              <w:adjustRightInd w:val="0"/>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2307" w:type="pct"/>
            <w:tcBorders>
              <w:top w:val="single" w:color="auto" w:sz="4" w:space="0"/>
              <w:left w:val="single" w:color="auto" w:sz="4" w:space="0"/>
              <w:bottom w:val="single" w:color="auto" w:sz="4" w:space="0"/>
              <w:right w:val="single" w:color="auto" w:sz="4" w:space="0"/>
            </w:tcBorders>
            <w:vAlign w:val="center"/>
          </w:tcPr>
          <w:p w14:paraId="29744ADF">
            <w:pPr>
              <w:adjustRightInd w:val="0"/>
              <w:spacing w:line="360" w:lineRule="auto"/>
              <w:rPr>
                <w:rFonts w:ascii="宋体" w:hAnsi="宋体" w:cs="宋体"/>
                <w:sz w:val="24"/>
                <w:szCs w:val="24"/>
                <w:highlight w:val="none"/>
              </w:rPr>
            </w:pPr>
            <w:r>
              <w:rPr>
                <w:rFonts w:hint="eastAsia" w:ascii="宋体" w:hAnsi="宋体" w:cs="宋体"/>
                <w:kern w:val="0"/>
                <w:sz w:val="24"/>
                <w:szCs w:val="24"/>
                <w:highlight w:val="none"/>
              </w:rPr>
              <w:t>投标人与</w:t>
            </w:r>
            <w:r>
              <w:rPr>
                <w:rFonts w:hint="eastAsia" w:ascii="宋体" w:hAnsi="宋体" w:cs="宋体"/>
                <w:b/>
                <w:bCs/>
                <w:kern w:val="0"/>
                <w:sz w:val="24"/>
                <w:szCs w:val="24"/>
                <w:highlight w:val="none"/>
              </w:rPr>
              <w:t>本项目</w:t>
            </w:r>
            <w:r>
              <w:rPr>
                <w:rFonts w:hint="eastAsia" w:ascii="宋体" w:hAnsi="宋体" w:cs="宋体"/>
                <w:kern w:val="0"/>
                <w:sz w:val="24"/>
                <w:szCs w:val="24"/>
                <w:highlight w:val="none"/>
              </w:rPr>
              <w:t>其他投标人加密打包投标文件电脑机器特征码一致的（以</w:t>
            </w:r>
            <w:r>
              <w:rPr>
                <w:rFonts w:hint="eastAsia" w:ascii="宋体" w:hAnsi="宋体" w:cs="宋体"/>
                <w:sz w:val="24"/>
                <w:szCs w:val="24"/>
                <w:highlight w:val="none"/>
                <w:u w:val="single"/>
              </w:rPr>
              <w:t>广州交易集团有限公司（广州公共资源交易中心）</w:t>
            </w:r>
            <w:r>
              <w:rPr>
                <w:rFonts w:hint="eastAsia" w:ascii="宋体" w:hAnsi="宋体" w:cs="宋体"/>
                <w:kern w:val="0"/>
                <w:sz w:val="24"/>
                <w:szCs w:val="24"/>
                <w:highlight w:val="none"/>
              </w:rPr>
              <w:t>交易平台评标系统的检索信息为准）</w:t>
            </w:r>
          </w:p>
        </w:tc>
        <w:tc>
          <w:tcPr>
            <w:tcW w:w="418" w:type="pct"/>
            <w:tcBorders>
              <w:top w:val="single" w:color="auto" w:sz="4" w:space="0"/>
              <w:left w:val="single" w:color="auto" w:sz="4" w:space="0"/>
              <w:bottom w:val="single" w:color="auto" w:sz="4" w:space="0"/>
              <w:right w:val="single" w:color="auto" w:sz="4" w:space="0"/>
            </w:tcBorders>
          </w:tcPr>
          <w:p w14:paraId="6D690E92">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7260F4C4">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0C9AFB9E">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30B38BFB">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730DDCC5">
            <w:pPr>
              <w:adjustRightInd w:val="0"/>
              <w:spacing w:line="360" w:lineRule="auto"/>
              <w:rPr>
                <w:rFonts w:ascii="宋体" w:hAnsi="宋体" w:cs="宋体"/>
                <w:sz w:val="24"/>
                <w:szCs w:val="24"/>
                <w:highlight w:val="none"/>
              </w:rPr>
            </w:pPr>
          </w:p>
        </w:tc>
        <w:tc>
          <w:tcPr>
            <w:tcW w:w="418" w:type="pct"/>
            <w:tcBorders>
              <w:top w:val="single" w:color="auto" w:sz="4" w:space="0"/>
              <w:left w:val="single" w:color="auto" w:sz="4" w:space="0"/>
              <w:bottom w:val="single" w:color="auto" w:sz="4" w:space="0"/>
              <w:right w:val="single" w:color="auto" w:sz="4" w:space="0"/>
            </w:tcBorders>
          </w:tcPr>
          <w:p w14:paraId="75DB616E">
            <w:pPr>
              <w:adjustRightInd w:val="0"/>
              <w:spacing w:line="360" w:lineRule="auto"/>
              <w:rPr>
                <w:rFonts w:ascii="宋体" w:hAnsi="宋体" w:cs="宋体"/>
                <w:sz w:val="24"/>
                <w:szCs w:val="24"/>
                <w:highlight w:val="none"/>
              </w:rPr>
            </w:pPr>
          </w:p>
        </w:tc>
      </w:tr>
    </w:tbl>
    <w:p w14:paraId="3527055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w:t>
      </w:r>
    </w:p>
    <w:p w14:paraId="35045A1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1.本表使用GZZB2018-3招标文件范本，与范本内容不同之处均以下划线标明。技术标评审中，响应性、承诺性内容不应作为评分因素，可在该表中对上述内容进行符合性审查。审查标准须具备可操作性。</w:t>
      </w:r>
    </w:p>
    <w:p w14:paraId="0300A70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4B158C3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3.凡出现以上任何一项情形，结论均为无效，否则就为有效。</w:t>
      </w:r>
    </w:p>
    <w:p w14:paraId="14B1FD4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4.如对本表中某种情形的评审意见不一致时，以评标委员会过半数成员的意见作为评标委员会对该情形的认定结论。</w:t>
      </w:r>
    </w:p>
    <w:p w14:paraId="0B4EFDC4">
      <w:pPr>
        <w:pStyle w:val="4"/>
        <w:spacing w:before="0" w:beforeAutospacing="0" w:after="0" w:afterAutospacing="0" w:line="360" w:lineRule="auto"/>
        <w:rPr>
          <w:sz w:val="24"/>
          <w:szCs w:val="24"/>
          <w:highlight w:val="none"/>
        </w:rPr>
      </w:pPr>
      <w:r>
        <w:rPr>
          <w:rFonts w:hint="eastAsia"/>
          <w:highlight w:val="none"/>
        </w:rPr>
        <w:br w:type="page"/>
      </w:r>
      <w:bookmarkStart w:id="39" w:name="_Toc3069"/>
      <w:r>
        <w:rPr>
          <w:rFonts w:hint="eastAsia"/>
          <w:sz w:val="24"/>
          <w:szCs w:val="24"/>
          <w:highlight w:val="none"/>
        </w:rPr>
        <w:t>附表三</w:t>
      </w:r>
      <w:bookmarkEnd w:id="39"/>
    </w:p>
    <w:p w14:paraId="706A01AC">
      <w:pPr>
        <w:spacing w:line="360" w:lineRule="auto"/>
        <w:jc w:val="center"/>
        <w:rPr>
          <w:rFonts w:ascii="宋体" w:hAnsi="宋体" w:cs="宋体"/>
          <w:b/>
          <w:sz w:val="32"/>
          <w:szCs w:val="32"/>
          <w:highlight w:val="none"/>
        </w:rPr>
      </w:pPr>
      <w:r>
        <w:rPr>
          <w:rFonts w:hint="eastAsia" w:ascii="宋体" w:hAnsi="宋体" w:cs="宋体"/>
          <w:b/>
          <w:sz w:val="32"/>
          <w:szCs w:val="32"/>
          <w:highlight w:val="none"/>
        </w:rPr>
        <w:t>经济标有效性审查表</w:t>
      </w:r>
    </w:p>
    <w:p w14:paraId="2DCF098A">
      <w:pPr>
        <w:spacing w:line="360" w:lineRule="auto"/>
        <w:rPr>
          <w:rFonts w:ascii="宋体" w:hAnsi="宋体" w:cs="宋体"/>
          <w:sz w:val="24"/>
          <w:szCs w:val="24"/>
          <w:highlight w:val="none"/>
        </w:rPr>
      </w:pPr>
      <w:r>
        <w:rPr>
          <w:rFonts w:hint="eastAsia" w:ascii="宋体" w:hAnsi="宋体" w:cs="宋体"/>
          <w:sz w:val="24"/>
          <w:szCs w:val="24"/>
          <w:highlight w:val="none"/>
        </w:rPr>
        <w:t>工程名称：</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7124"/>
        <w:gridCol w:w="1189"/>
        <w:gridCol w:w="1189"/>
        <w:gridCol w:w="1189"/>
        <w:gridCol w:w="1189"/>
        <w:gridCol w:w="1189"/>
        <w:gridCol w:w="1190"/>
      </w:tblGrid>
      <w:tr w14:paraId="2DE4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blHeader/>
        </w:trPr>
        <w:tc>
          <w:tcPr>
            <w:tcW w:w="176" w:type="pct"/>
            <w:tcBorders>
              <w:top w:val="single" w:color="auto" w:sz="4" w:space="0"/>
              <w:left w:val="single" w:color="auto" w:sz="4" w:space="0"/>
              <w:bottom w:val="single" w:color="auto" w:sz="4" w:space="0"/>
              <w:right w:val="single" w:color="auto" w:sz="4" w:space="0"/>
            </w:tcBorders>
            <w:vAlign w:val="center"/>
          </w:tcPr>
          <w:p w14:paraId="7AADB5E4">
            <w:pPr>
              <w:spacing w:line="360" w:lineRule="auto"/>
              <w:rPr>
                <w:rFonts w:ascii="宋体" w:hAnsi="宋体" w:cs="宋体"/>
                <w:b/>
                <w:bCs/>
                <w:sz w:val="24"/>
                <w:szCs w:val="24"/>
                <w:highlight w:val="none"/>
              </w:rPr>
            </w:pPr>
            <w:r>
              <w:rPr>
                <w:rFonts w:hint="eastAsia" w:ascii="宋体" w:hAnsi="宋体" w:cs="宋体"/>
                <w:b/>
                <w:bCs/>
                <w:sz w:val="24"/>
                <w:szCs w:val="24"/>
                <w:highlight w:val="none"/>
              </w:rPr>
              <w:t>序号</w:t>
            </w:r>
          </w:p>
        </w:tc>
        <w:tc>
          <w:tcPr>
            <w:tcW w:w="2408" w:type="pct"/>
            <w:tcBorders>
              <w:top w:val="single" w:color="auto" w:sz="4" w:space="0"/>
              <w:left w:val="single" w:color="auto" w:sz="4" w:space="0"/>
              <w:bottom w:val="single" w:color="auto" w:sz="4" w:space="0"/>
              <w:right w:val="single" w:color="auto" w:sz="4" w:space="0"/>
              <w:tl2br w:val="single" w:color="auto" w:sz="4" w:space="0"/>
            </w:tcBorders>
          </w:tcPr>
          <w:p w14:paraId="7527E5F5">
            <w:pPr>
              <w:spacing w:line="360" w:lineRule="auto"/>
              <w:rPr>
                <w:rFonts w:ascii="宋体" w:hAnsi="宋体" w:cs="宋体"/>
                <w:b/>
                <w:bCs/>
                <w:sz w:val="24"/>
                <w:szCs w:val="24"/>
                <w:highlight w:val="none"/>
              </w:rPr>
            </w:pPr>
            <w:r>
              <w:rPr>
                <w:rFonts w:hint="eastAsia" w:ascii="宋体" w:hAnsi="宋体" w:cs="宋体"/>
                <w:b/>
                <w:bCs/>
                <w:sz w:val="24"/>
                <w:szCs w:val="24"/>
                <w:highlight w:val="none"/>
              </w:rPr>
              <w:t xml:space="preserve">                          投标人</w:t>
            </w:r>
          </w:p>
          <w:p w14:paraId="16ADEB35">
            <w:pPr>
              <w:spacing w:line="360" w:lineRule="auto"/>
              <w:rPr>
                <w:rFonts w:ascii="宋体" w:hAnsi="宋体" w:cs="宋体"/>
                <w:b/>
                <w:bCs/>
                <w:sz w:val="24"/>
                <w:szCs w:val="24"/>
                <w:highlight w:val="none"/>
              </w:rPr>
            </w:pPr>
            <w:r>
              <w:rPr>
                <w:rFonts w:hint="eastAsia" w:ascii="宋体" w:hAnsi="宋体" w:cs="宋体"/>
                <w:b/>
                <w:bCs/>
                <w:sz w:val="24"/>
                <w:szCs w:val="24"/>
                <w:highlight w:val="none"/>
              </w:rPr>
              <w:t>评审内容</w:t>
            </w:r>
          </w:p>
        </w:tc>
        <w:tc>
          <w:tcPr>
            <w:tcW w:w="402" w:type="pct"/>
            <w:tcBorders>
              <w:top w:val="single" w:color="auto" w:sz="4" w:space="0"/>
              <w:left w:val="single" w:color="auto" w:sz="4" w:space="0"/>
              <w:bottom w:val="single" w:color="auto" w:sz="4" w:space="0"/>
              <w:right w:val="single" w:color="auto" w:sz="4" w:space="0"/>
            </w:tcBorders>
          </w:tcPr>
          <w:p w14:paraId="292505D4">
            <w:pPr>
              <w:spacing w:line="360" w:lineRule="auto"/>
              <w:rPr>
                <w:rFonts w:ascii="宋体" w:hAnsi="宋体" w:cs="宋体"/>
                <w:b/>
                <w:bCs/>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0C5D6AFD">
            <w:pPr>
              <w:spacing w:line="360" w:lineRule="auto"/>
              <w:rPr>
                <w:rFonts w:ascii="宋体" w:hAnsi="宋体" w:cs="宋体"/>
                <w:b/>
                <w:bCs/>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76DE1EA2">
            <w:pPr>
              <w:spacing w:line="360" w:lineRule="auto"/>
              <w:rPr>
                <w:rFonts w:ascii="宋体" w:hAnsi="宋体" w:cs="宋体"/>
                <w:b/>
                <w:bCs/>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424A2BEE">
            <w:pPr>
              <w:spacing w:line="360" w:lineRule="auto"/>
              <w:rPr>
                <w:rFonts w:ascii="宋体" w:hAnsi="宋体" w:cs="宋体"/>
                <w:b/>
                <w:bCs/>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328425B3">
            <w:pPr>
              <w:spacing w:line="360" w:lineRule="auto"/>
              <w:rPr>
                <w:rFonts w:ascii="宋体" w:hAnsi="宋体" w:cs="宋体"/>
                <w:b/>
                <w:bCs/>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12A70E82">
            <w:pPr>
              <w:spacing w:line="360" w:lineRule="auto"/>
              <w:rPr>
                <w:rFonts w:ascii="宋体" w:hAnsi="宋体" w:cs="宋体"/>
                <w:b/>
                <w:bCs/>
                <w:sz w:val="24"/>
                <w:szCs w:val="24"/>
                <w:highlight w:val="none"/>
              </w:rPr>
            </w:pPr>
          </w:p>
        </w:tc>
      </w:tr>
      <w:tr w14:paraId="2E39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 w:type="pct"/>
            <w:tcBorders>
              <w:top w:val="single" w:color="auto" w:sz="4" w:space="0"/>
              <w:left w:val="single" w:color="auto" w:sz="4" w:space="0"/>
              <w:bottom w:val="single" w:color="auto" w:sz="4" w:space="0"/>
              <w:right w:val="single" w:color="auto" w:sz="4" w:space="0"/>
            </w:tcBorders>
            <w:vAlign w:val="center"/>
          </w:tcPr>
          <w:p w14:paraId="2C571A98">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2408" w:type="pct"/>
            <w:tcBorders>
              <w:top w:val="single" w:color="auto" w:sz="4" w:space="0"/>
              <w:left w:val="single" w:color="auto" w:sz="4" w:space="0"/>
              <w:bottom w:val="single" w:color="auto" w:sz="4" w:space="0"/>
              <w:right w:val="single" w:color="auto" w:sz="4" w:space="0"/>
            </w:tcBorders>
            <w:vAlign w:val="center"/>
          </w:tcPr>
          <w:p w14:paraId="24A4075F">
            <w:pPr>
              <w:spacing w:line="360" w:lineRule="auto"/>
              <w:rPr>
                <w:rFonts w:ascii="宋体" w:hAnsi="宋体" w:cs="宋体"/>
                <w:sz w:val="24"/>
                <w:szCs w:val="24"/>
                <w:highlight w:val="none"/>
              </w:rPr>
            </w:pPr>
            <w:r>
              <w:rPr>
                <w:rFonts w:hint="eastAsia" w:ascii="宋体" w:hAnsi="宋体" w:cs="宋体"/>
                <w:sz w:val="24"/>
                <w:szCs w:val="24"/>
                <w:highlight w:val="none"/>
              </w:rPr>
              <w:t>对同一招标项目出现两个或以上的投标报价，且没有申明哪个有效；</w:t>
            </w:r>
          </w:p>
        </w:tc>
        <w:tc>
          <w:tcPr>
            <w:tcW w:w="402" w:type="pct"/>
            <w:tcBorders>
              <w:top w:val="single" w:color="auto" w:sz="4" w:space="0"/>
              <w:left w:val="single" w:color="auto" w:sz="4" w:space="0"/>
              <w:bottom w:val="single" w:color="auto" w:sz="4" w:space="0"/>
              <w:right w:val="single" w:color="auto" w:sz="4" w:space="0"/>
            </w:tcBorders>
          </w:tcPr>
          <w:p w14:paraId="43BB8C4C">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0D020FB6">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23217343">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554FA961">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6C21D87C">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697AFC9D">
            <w:pPr>
              <w:spacing w:line="360" w:lineRule="auto"/>
              <w:rPr>
                <w:rFonts w:ascii="宋体" w:hAnsi="宋体" w:cs="宋体"/>
                <w:sz w:val="24"/>
                <w:szCs w:val="24"/>
                <w:highlight w:val="none"/>
              </w:rPr>
            </w:pPr>
          </w:p>
        </w:tc>
      </w:tr>
      <w:tr w14:paraId="3820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 w:type="pct"/>
            <w:tcBorders>
              <w:top w:val="single" w:color="auto" w:sz="4" w:space="0"/>
              <w:left w:val="single" w:color="auto" w:sz="4" w:space="0"/>
              <w:bottom w:val="single" w:color="auto" w:sz="4" w:space="0"/>
              <w:right w:val="single" w:color="auto" w:sz="4" w:space="0"/>
            </w:tcBorders>
            <w:vAlign w:val="center"/>
          </w:tcPr>
          <w:p w14:paraId="01ED4045">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2408" w:type="pct"/>
            <w:tcBorders>
              <w:top w:val="single" w:color="auto" w:sz="4" w:space="0"/>
              <w:left w:val="single" w:color="auto" w:sz="4" w:space="0"/>
              <w:bottom w:val="single" w:color="auto" w:sz="4" w:space="0"/>
              <w:right w:val="single" w:color="auto" w:sz="4" w:space="0"/>
            </w:tcBorders>
            <w:vAlign w:val="center"/>
          </w:tcPr>
          <w:p w14:paraId="05C75ABB">
            <w:pPr>
              <w:spacing w:line="360" w:lineRule="auto"/>
              <w:rPr>
                <w:rFonts w:ascii="宋体" w:hAnsi="宋体" w:cs="宋体"/>
                <w:sz w:val="24"/>
                <w:szCs w:val="24"/>
                <w:highlight w:val="none"/>
              </w:rPr>
            </w:pPr>
            <w:r>
              <w:rPr>
                <w:rFonts w:hint="eastAsia" w:ascii="宋体" w:hAnsi="宋体" w:cs="宋体"/>
                <w:sz w:val="24"/>
                <w:szCs w:val="24"/>
                <w:highlight w:val="none"/>
              </w:rPr>
              <w:t>投标报价高于最高投标限价的</w:t>
            </w:r>
            <w:r>
              <w:rPr>
                <w:rFonts w:hint="eastAsia" w:ascii="宋体" w:hAnsi="宋体" w:cs="宋体"/>
                <w:sz w:val="24"/>
                <w:szCs w:val="24"/>
                <w:highlight w:val="none"/>
                <w:u w:val="single"/>
              </w:rPr>
              <w:t>（以最高投标限价公布函公布的各项控制数据为准）或分部分项工程和单价措施项目清单与计价表中的综合单价超过最高投标限价中对应的综合单价的</w:t>
            </w:r>
            <w:r>
              <w:rPr>
                <w:rFonts w:hint="eastAsia" w:ascii="宋体" w:hAnsi="宋体" w:cs="宋体"/>
                <w:sz w:val="24"/>
                <w:szCs w:val="24"/>
                <w:highlight w:val="none"/>
              </w:rPr>
              <w:t>；</w:t>
            </w:r>
          </w:p>
        </w:tc>
        <w:tc>
          <w:tcPr>
            <w:tcW w:w="402" w:type="pct"/>
            <w:tcBorders>
              <w:top w:val="single" w:color="auto" w:sz="4" w:space="0"/>
              <w:left w:val="single" w:color="auto" w:sz="4" w:space="0"/>
              <w:bottom w:val="single" w:color="auto" w:sz="4" w:space="0"/>
              <w:right w:val="single" w:color="auto" w:sz="4" w:space="0"/>
            </w:tcBorders>
          </w:tcPr>
          <w:p w14:paraId="4BF06C3C">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61752263">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65B51065">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6E42EA20">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181CBBFF">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2164EE8B">
            <w:pPr>
              <w:spacing w:line="360" w:lineRule="auto"/>
              <w:rPr>
                <w:rFonts w:ascii="宋体" w:hAnsi="宋体" w:cs="宋体"/>
                <w:sz w:val="24"/>
                <w:szCs w:val="24"/>
                <w:highlight w:val="none"/>
              </w:rPr>
            </w:pPr>
          </w:p>
        </w:tc>
      </w:tr>
      <w:tr w14:paraId="38AC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 w:type="pct"/>
            <w:tcBorders>
              <w:top w:val="single" w:color="auto" w:sz="4" w:space="0"/>
              <w:left w:val="single" w:color="auto" w:sz="4" w:space="0"/>
              <w:bottom w:val="single" w:color="auto" w:sz="4" w:space="0"/>
              <w:right w:val="single" w:color="auto" w:sz="4" w:space="0"/>
            </w:tcBorders>
            <w:vAlign w:val="center"/>
          </w:tcPr>
          <w:p w14:paraId="429ABA60">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2408" w:type="pct"/>
            <w:tcBorders>
              <w:top w:val="single" w:color="auto" w:sz="4" w:space="0"/>
              <w:left w:val="single" w:color="auto" w:sz="4" w:space="0"/>
              <w:bottom w:val="single" w:color="auto" w:sz="4" w:space="0"/>
              <w:right w:val="single" w:color="auto" w:sz="4" w:space="0"/>
            </w:tcBorders>
            <w:vAlign w:val="center"/>
          </w:tcPr>
          <w:p w14:paraId="44ECBB28">
            <w:pPr>
              <w:autoSpaceDE w:val="0"/>
              <w:autoSpaceDN w:val="0"/>
              <w:adjustRightInd w:val="0"/>
              <w:spacing w:line="360" w:lineRule="auto"/>
              <w:ind w:left="-2" w:leftChars="-1"/>
              <w:jc w:val="left"/>
              <w:rPr>
                <w:rFonts w:ascii="宋体" w:hAnsi="宋体" w:cs="宋体"/>
                <w:sz w:val="24"/>
                <w:szCs w:val="24"/>
                <w:highlight w:val="none"/>
              </w:rPr>
            </w:pPr>
            <w:r>
              <w:rPr>
                <w:rFonts w:hint="eastAsia" w:ascii="宋体" w:hAnsi="宋体" w:cs="宋体"/>
                <w:sz w:val="24"/>
                <w:szCs w:val="24"/>
                <w:highlight w:val="none"/>
              </w:rPr>
              <w:t>投标报价低于成本的；</w:t>
            </w:r>
          </w:p>
        </w:tc>
        <w:tc>
          <w:tcPr>
            <w:tcW w:w="402" w:type="pct"/>
            <w:tcBorders>
              <w:top w:val="single" w:color="auto" w:sz="4" w:space="0"/>
              <w:left w:val="single" w:color="auto" w:sz="4" w:space="0"/>
              <w:bottom w:val="single" w:color="auto" w:sz="4" w:space="0"/>
              <w:right w:val="single" w:color="auto" w:sz="4" w:space="0"/>
            </w:tcBorders>
          </w:tcPr>
          <w:p w14:paraId="48D4D5E8">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281F0019">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48537841">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45391FCB">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3B8581D8">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0BD2FFCF">
            <w:pPr>
              <w:spacing w:line="360" w:lineRule="auto"/>
              <w:rPr>
                <w:rFonts w:ascii="宋体" w:hAnsi="宋体" w:cs="宋体"/>
                <w:sz w:val="24"/>
                <w:szCs w:val="24"/>
                <w:highlight w:val="none"/>
              </w:rPr>
            </w:pPr>
          </w:p>
        </w:tc>
      </w:tr>
      <w:tr w14:paraId="3A04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 w:type="pct"/>
            <w:tcBorders>
              <w:top w:val="single" w:color="auto" w:sz="4" w:space="0"/>
              <w:left w:val="single" w:color="auto" w:sz="4" w:space="0"/>
              <w:bottom w:val="single" w:color="auto" w:sz="4" w:space="0"/>
              <w:right w:val="single" w:color="auto" w:sz="4" w:space="0"/>
            </w:tcBorders>
            <w:vAlign w:val="center"/>
          </w:tcPr>
          <w:p w14:paraId="454BE448">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2408" w:type="pct"/>
            <w:tcBorders>
              <w:top w:val="single" w:color="auto" w:sz="4" w:space="0"/>
              <w:left w:val="single" w:color="auto" w:sz="4" w:space="0"/>
              <w:bottom w:val="single" w:color="auto" w:sz="4" w:space="0"/>
              <w:right w:val="single" w:color="auto" w:sz="4" w:space="0"/>
            </w:tcBorders>
            <w:vAlign w:val="center"/>
          </w:tcPr>
          <w:p w14:paraId="0B8173F4">
            <w:pPr>
              <w:spacing w:line="360" w:lineRule="auto"/>
              <w:rPr>
                <w:rFonts w:ascii="宋体" w:hAnsi="宋体" w:cs="宋体"/>
                <w:sz w:val="24"/>
                <w:szCs w:val="24"/>
                <w:highlight w:val="none"/>
              </w:rPr>
            </w:pPr>
            <w:r>
              <w:rPr>
                <w:rFonts w:hint="eastAsia" w:ascii="宋体" w:hAnsi="宋体" w:cs="宋体"/>
                <w:sz w:val="24"/>
                <w:szCs w:val="24"/>
                <w:highlight w:val="none"/>
              </w:rPr>
              <w:t>算术复核后的投标报价与原投标报价相比存在1%或以上误差的；</w:t>
            </w:r>
          </w:p>
        </w:tc>
        <w:tc>
          <w:tcPr>
            <w:tcW w:w="402" w:type="pct"/>
            <w:tcBorders>
              <w:top w:val="single" w:color="auto" w:sz="4" w:space="0"/>
              <w:left w:val="single" w:color="auto" w:sz="4" w:space="0"/>
              <w:bottom w:val="single" w:color="auto" w:sz="4" w:space="0"/>
              <w:right w:val="single" w:color="auto" w:sz="4" w:space="0"/>
            </w:tcBorders>
          </w:tcPr>
          <w:p w14:paraId="004A0A4C">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3379B0FE">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5E87E0A2">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1DC17F58">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233F1A4D">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46E0D2D0">
            <w:pPr>
              <w:spacing w:line="360" w:lineRule="auto"/>
              <w:rPr>
                <w:rFonts w:ascii="宋体" w:hAnsi="宋体" w:cs="宋体"/>
                <w:sz w:val="24"/>
                <w:szCs w:val="24"/>
                <w:highlight w:val="none"/>
              </w:rPr>
            </w:pPr>
          </w:p>
        </w:tc>
      </w:tr>
      <w:tr w14:paraId="6095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 w:type="pct"/>
            <w:tcBorders>
              <w:top w:val="single" w:color="auto" w:sz="4" w:space="0"/>
              <w:left w:val="single" w:color="auto" w:sz="4" w:space="0"/>
              <w:bottom w:val="single" w:color="auto" w:sz="4" w:space="0"/>
              <w:right w:val="single" w:color="auto" w:sz="4" w:space="0"/>
            </w:tcBorders>
            <w:vAlign w:val="center"/>
          </w:tcPr>
          <w:p w14:paraId="5566718F">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2408" w:type="pct"/>
            <w:tcBorders>
              <w:top w:val="single" w:color="auto" w:sz="4" w:space="0"/>
              <w:left w:val="single" w:color="auto" w:sz="4" w:space="0"/>
              <w:bottom w:val="single" w:color="auto" w:sz="4" w:space="0"/>
              <w:right w:val="single" w:color="auto" w:sz="4" w:space="0"/>
            </w:tcBorders>
            <w:vAlign w:val="center"/>
          </w:tcPr>
          <w:p w14:paraId="561F608D">
            <w:pPr>
              <w:spacing w:line="360" w:lineRule="auto"/>
              <w:rPr>
                <w:rFonts w:ascii="宋体" w:hAnsi="宋体" w:cs="宋体"/>
                <w:sz w:val="24"/>
                <w:szCs w:val="24"/>
                <w:highlight w:val="none"/>
              </w:rPr>
            </w:pPr>
            <w:r>
              <w:rPr>
                <w:rFonts w:hint="eastAsia" w:ascii="宋体" w:hAnsi="宋体" w:cs="宋体"/>
                <w:sz w:val="24"/>
                <w:szCs w:val="24"/>
                <w:highlight w:val="none"/>
              </w:rPr>
              <w:t>投标文件未按规定的格式</w:t>
            </w:r>
            <w:r>
              <w:rPr>
                <w:rFonts w:hint="eastAsia" w:ascii="宋体" w:hAnsi="宋体" w:cs="宋体"/>
                <w:sz w:val="24"/>
                <w:szCs w:val="24"/>
                <w:highlight w:val="none"/>
                <w:u w:val="single"/>
              </w:rPr>
              <w:t>（指经济标部分格式二、格式四、格式五）</w:t>
            </w:r>
            <w:r>
              <w:rPr>
                <w:rFonts w:hint="eastAsia" w:ascii="宋体" w:hAnsi="宋体" w:cs="宋体"/>
                <w:sz w:val="24"/>
                <w:szCs w:val="24"/>
                <w:highlight w:val="none"/>
              </w:rPr>
              <w:t>填写，或关键字迹模糊、无法辨认的；</w:t>
            </w:r>
          </w:p>
        </w:tc>
        <w:tc>
          <w:tcPr>
            <w:tcW w:w="402" w:type="pct"/>
            <w:tcBorders>
              <w:top w:val="single" w:color="auto" w:sz="4" w:space="0"/>
              <w:left w:val="single" w:color="auto" w:sz="4" w:space="0"/>
              <w:bottom w:val="single" w:color="auto" w:sz="4" w:space="0"/>
              <w:right w:val="single" w:color="auto" w:sz="4" w:space="0"/>
            </w:tcBorders>
          </w:tcPr>
          <w:p w14:paraId="0CC7E6C1">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6BEC324F">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5F52E361">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09E9E29F">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6CA7B431">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78B8B21C">
            <w:pPr>
              <w:spacing w:line="360" w:lineRule="auto"/>
              <w:rPr>
                <w:rFonts w:ascii="宋体" w:hAnsi="宋体" w:cs="宋体"/>
                <w:sz w:val="24"/>
                <w:szCs w:val="24"/>
                <w:highlight w:val="none"/>
              </w:rPr>
            </w:pPr>
          </w:p>
        </w:tc>
      </w:tr>
      <w:tr w14:paraId="0E5D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 w:type="pct"/>
            <w:tcBorders>
              <w:top w:val="single" w:color="auto" w:sz="4" w:space="0"/>
              <w:left w:val="single" w:color="auto" w:sz="4" w:space="0"/>
              <w:bottom w:val="single" w:color="auto" w:sz="4" w:space="0"/>
              <w:right w:val="single" w:color="auto" w:sz="4" w:space="0"/>
            </w:tcBorders>
            <w:vAlign w:val="center"/>
          </w:tcPr>
          <w:p w14:paraId="6F202D09">
            <w:pPr>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2408" w:type="pct"/>
            <w:tcBorders>
              <w:top w:val="single" w:color="auto" w:sz="4" w:space="0"/>
              <w:left w:val="single" w:color="auto" w:sz="4" w:space="0"/>
              <w:bottom w:val="single" w:color="auto" w:sz="4" w:space="0"/>
              <w:right w:val="single" w:color="auto" w:sz="4" w:space="0"/>
            </w:tcBorders>
            <w:vAlign w:val="center"/>
          </w:tcPr>
          <w:p w14:paraId="406C9E9E">
            <w:pPr>
              <w:spacing w:line="360" w:lineRule="auto"/>
              <w:rPr>
                <w:rFonts w:ascii="宋体" w:hAnsi="宋体" w:cs="宋体"/>
                <w:sz w:val="24"/>
                <w:szCs w:val="24"/>
                <w:highlight w:val="none"/>
              </w:rPr>
            </w:pPr>
            <w:r>
              <w:rPr>
                <w:rFonts w:hint="eastAsia" w:ascii="宋体" w:hAnsi="宋体" w:cs="宋体"/>
                <w:sz w:val="24"/>
                <w:szCs w:val="24"/>
                <w:highlight w:val="none"/>
              </w:rPr>
              <w:t>不同投标人的投标报价中分部分项工程量清单综合单价相似度达到80%及以上的（以</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交易平台评标系统的检索信息为准）</w:t>
            </w:r>
          </w:p>
        </w:tc>
        <w:tc>
          <w:tcPr>
            <w:tcW w:w="402" w:type="pct"/>
            <w:tcBorders>
              <w:top w:val="single" w:color="auto" w:sz="4" w:space="0"/>
              <w:left w:val="single" w:color="auto" w:sz="4" w:space="0"/>
              <w:bottom w:val="single" w:color="auto" w:sz="4" w:space="0"/>
              <w:right w:val="single" w:color="auto" w:sz="4" w:space="0"/>
            </w:tcBorders>
          </w:tcPr>
          <w:p w14:paraId="220DE00D">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09592599">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3C040E03">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029A621C">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77B2778D">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14A162F3">
            <w:pPr>
              <w:spacing w:line="360" w:lineRule="auto"/>
              <w:rPr>
                <w:rFonts w:ascii="宋体" w:hAnsi="宋体" w:cs="宋体"/>
                <w:sz w:val="24"/>
                <w:szCs w:val="24"/>
                <w:highlight w:val="none"/>
              </w:rPr>
            </w:pPr>
          </w:p>
        </w:tc>
      </w:tr>
      <w:tr w14:paraId="402A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 w:type="pct"/>
            <w:tcBorders>
              <w:top w:val="single" w:color="auto" w:sz="4" w:space="0"/>
              <w:left w:val="single" w:color="auto" w:sz="4" w:space="0"/>
              <w:bottom w:val="single" w:color="auto" w:sz="4" w:space="0"/>
              <w:right w:val="single" w:color="auto" w:sz="4" w:space="0"/>
            </w:tcBorders>
            <w:vAlign w:val="center"/>
          </w:tcPr>
          <w:p w14:paraId="3D78EC1D">
            <w:pPr>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2408" w:type="pct"/>
            <w:tcBorders>
              <w:top w:val="single" w:color="auto" w:sz="4" w:space="0"/>
              <w:left w:val="single" w:color="auto" w:sz="4" w:space="0"/>
              <w:bottom w:val="single" w:color="auto" w:sz="4" w:space="0"/>
              <w:right w:val="single" w:color="auto" w:sz="4" w:space="0"/>
            </w:tcBorders>
            <w:vAlign w:val="center"/>
          </w:tcPr>
          <w:p w14:paraId="6306D9B1">
            <w:pPr>
              <w:spacing w:line="360" w:lineRule="auto"/>
              <w:rPr>
                <w:rFonts w:ascii="宋体" w:hAnsi="宋体" w:cs="宋体"/>
                <w:sz w:val="24"/>
                <w:szCs w:val="24"/>
                <w:highlight w:val="none"/>
              </w:rPr>
            </w:pPr>
            <w:r>
              <w:rPr>
                <w:rFonts w:hint="eastAsia" w:ascii="宋体" w:hAnsi="宋体" w:cs="宋体"/>
                <w:sz w:val="24"/>
                <w:szCs w:val="24"/>
                <w:highlight w:val="none"/>
              </w:rPr>
              <w:t>投标人之间存在《广东省实施〈中华人民共和国招标投标法〉》第十六条所禁止的情形的；</w:t>
            </w:r>
          </w:p>
        </w:tc>
        <w:tc>
          <w:tcPr>
            <w:tcW w:w="402" w:type="pct"/>
            <w:tcBorders>
              <w:top w:val="single" w:color="auto" w:sz="4" w:space="0"/>
              <w:left w:val="single" w:color="auto" w:sz="4" w:space="0"/>
              <w:bottom w:val="single" w:color="auto" w:sz="4" w:space="0"/>
              <w:right w:val="single" w:color="auto" w:sz="4" w:space="0"/>
            </w:tcBorders>
          </w:tcPr>
          <w:p w14:paraId="18DA4E3E">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09F86C6E">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1A646B84">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197D593C">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78D501B3">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1EAF24FE">
            <w:pPr>
              <w:spacing w:line="360" w:lineRule="auto"/>
              <w:rPr>
                <w:rFonts w:ascii="宋体" w:hAnsi="宋体" w:cs="宋体"/>
                <w:sz w:val="24"/>
                <w:szCs w:val="24"/>
                <w:highlight w:val="none"/>
              </w:rPr>
            </w:pPr>
          </w:p>
        </w:tc>
      </w:tr>
      <w:tr w14:paraId="3FB7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 w:type="pct"/>
            <w:tcBorders>
              <w:top w:val="single" w:color="auto" w:sz="4" w:space="0"/>
              <w:left w:val="single" w:color="auto" w:sz="4" w:space="0"/>
              <w:bottom w:val="single" w:color="auto" w:sz="4" w:space="0"/>
              <w:right w:val="single" w:color="auto" w:sz="4" w:space="0"/>
            </w:tcBorders>
            <w:vAlign w:val="center"/>
          </w:tcPr>
          <w:p w14:paraId="49C2CE78">
            <w:pPr>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2408" w:type="pct"/>
            <w:tcBorders>
              <w:top w:val="single" w:color="auto" w:sz="4" w:space="0"/>
              <w:left w:val="single" w:color="auto" w:sz="4" w:space="0"/>
              <w:bottom w:val="single" w:color="auto" w:sz="4" w:space="0"/>
              <w:right w:val="single" w:color="auto" w:sz="4" w:space="0"/>
            </w:tcBorders>
            <w:vAlign w:val="center"/>
          </w:tcPr>
          <w:p w14:paraId="5177B03A">
            <w:pPr>
              <w:spacing w:line="360" w:lineRule="auto"/>
              <w:rPr>
                <w:rFonts w:ascii="宋体" w:hAnsi="宋体" w:cs="宋体"/>
                <w:sz w:val="24"/>
                <w:szCs w:val="24"/>
                <w:highlight w:val="none"/>
              </w:rPr>
            </w:pPr>
            <w:r>
              <w:rPr>
                <w:rFonts w:hint="eastAsia" w:ascii="宋体" w:hAnsi="宋体" w:cs="宋体"/>
                <w:sz w:val="24"/>
                <w:szCs w:val="24"/>
                <w:highlight w:val="none"/>
              </w:rPr>
              <w:t>无《参与编制经济标投标文件人员名单》的；</w:t>
            </w:r>
          </w:p>
        </w:tc>
        <w:tc>
          <w:tcPr>
            <w:tcW w:w="402" w:type="pct"/>
            <w:tcBorders>
              <w:top w:val="single" w:color="auto" w:sz="4" w:space="0"/>
              <w:left w:val="single" w:color="auto" w:sz="4" w:space="0"/>
              <w:bottom w:val="single" w:color="auto" w:sz="4" w:space="0"/>
              <w:right w:val="single" w:color="auto" w:sz="4" w:space="0"/>
            </w:tcBorders>
          </w:tcPr>
          <w:p w14:paraId="77B08AB7">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4AC69307">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3F0359D2">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7E99A4CD">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675452AB">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28F45040">
            <w:pPr>
              <w:spacing w:line="360" w:lineRule="auto"/>
              <w:rPr>
                <w:rFonts w:ascii="宋体" w:hAnsi="宋体" w:cs="宋体"/>
                <w:sz w:val="24"/>
                <w:szCs w:val="24"/>
                <w:highlight w:val="none"/>
              </w:rPr>
            </w:pPr>
          </w:p>
        </w:tc>
      </w:tr>
      <w:tr w14:paraId="564AB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6" w:type="pct"/>
            <w:tcBorders>
              <w:top w:val="single" w:color="auto" w:sz="4" w:space="0"/>
              <w:left w:val="single" w:color="auto" w:sz="4" w:space="0"/>
              <w:bottom w:val="single" w:color="auto" w:sz="4" w:space="0"/>
              <w:right w:val="single" w:color="auto" w:sz="4" w:space="0"/>
            </w:tcBorders>
            <w:vAlign w:val="center"/>
          </w:tcPr>
          <w:p w14:paraId="7B705D16">
            <w:pPr>
              <w:spacing w:line="360" w:lineRule="auto"/>
              <w:jc w:val="center"/>
              <w:rPr>
                <w:rFonts w:ascii="宋体" w:hAnsi="宋体" w:cs="宋体"/>
                <w:sz w:val="24"/>
                <w:szCs w:val="24"/>
                <w:highlight w:val="none"/>
              </w:rPr>
            </w:pPr>
            <w:r>
              <w:rPr>
                <w:rFonts w:hint="eastAsia" w:ascii="宋体" w:hAnsi="宋体" w:cs="宋体"/>
                <w:sz w:val="24"/>
                <w:szCs w:val="24"/>
                <w:highlight w:val="none"/>
              </w:rPr>
              <w:t>9</w:t>
            </w:r>
          </w:p>
        </w:tc>
        <w:tc>
          <w:tcPr>
            <w:tcW w:w="2408" w:type="pct"/>
            <w:tcBorders>
              <w:top w:val="single" w:color="auto" w:sz="4" w:space="0"/>
              <w:left w:val="single" w:color="auto" w:sz="4" w:space="0"/>
              <w:bottom w:val="single" w:color="auto" w:sz="4" w:space="0"/>
              <w:right w:val="single" w:color="auto" w:sz="4" w:space="0"/>
            </w:tcBorders>
            <w:vAlign w:val="center"/>
          </w:tcPr>
          <w:p w14:paraId="20B020A9">
            <w:pPr>
              <w:spacing w:line="360" w:lineRule="auto"/>
              <w:rPr>
                <w:rFonts w:ascii="宋体" w:hAnsi="宋体" w:cs="宋体"/>
                <w:sz w:val="24"/>
                <w:szCs w:val="24"/>
                <w:highlight w:val="none"/>
              </w:rPr>
            </w:pPr>
            <w:r>
              <w:rPr>
                <w:rFonts w:hint="eastAsia" w:ascii="宋体" w:hAnsi="宋体" w:cs="宋体"/>
                <w:sz w:val="24"/>
                <w:szCs w:val="24"/>
                <w:highlight w:val="none"/>
              </w:rPr>
              <w:t>无《对投标文件编制的承诺》</w:t>
            </w:r>
          </w:p>
        </w:tc>
        <w:tc>
          <w:tcPr>
            <w:tcW w:w="402" w:type="pct"/>
            <w:tcBorders>
              <w:top w:val="single" w:color="auto" w:sz="4" w:space="0"/>
              <w:left w:val="single" w:color="auto" w:sz="4" w:space="0"/>
              <w:bottom w:val="single" w:color="auto" w:sz="4" w:space="0"/>
              <w:right w:val="single" w:color="auto" w:sz="4" w:space="0"/>
            </w:tcBorders>
          </w:tcPr>
          <w:p w14:paraId="1FE1BD0D">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321E6467">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52FEA499">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0DFD71FA">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4F0A48FB">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589E91C2">
            <w:pPr>
              <w:spacing w:line="360" w:lineRule="auto"/>
              <w:rPr>
                <w:rFonts w:ascii="宋体" w:hAnsi="宋体" w:cs="宋体"/>
                <w:sz w:val="24"/>
                <w:szCs w:val="24"/>
                <w:highlight w:val="none"/>
              </w:rPr>
            </w:pPr>
          </w:p>
        </w:tc>
      </w:tr>
      <w:tr w14:paraId="636D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76" w:type="pct"/>
            <w:tcBorders>
              <w:top w:val="single" w:color="auto" w:sz="4" w:space="0"/>
              <w:left w:val="single" w:color="auto" w:sz="4" w:space="0"/>
              <w:bottom w:val="single" w:color="auto" w:sz="4" w:space="0"/>
              <w:right w:val="single" w:color="auto" w:sz="4" w:space="0"/>
            </w:tcBorders>
            <w:vAlign w:val="center"/>
          </w:tcPr>
          <w:p w14:paraId="0A919FF1">
            <w:pPr>
              <w:spacing w:line="360" w:lineRule="auto"/>
              <w:jc w:val="center"/>
              <w:rPr>
                <w:rFonts w:ascii="宋体" w:hAnsi="宋体" w:cs="宋体"/>
                <w:sz w:val="24"/>
                <w:szCs w:val="24"/>
                <w:highlight w:val="none"/>
              </w:rPr>
            </w:pPr>
            <w:r>
              <w:rPr>
                <w:rFonts w:hint="eastAsia" w:ascii="宋体" w:hAnsi="宋体" w:cs="宋体"/>
                <w:sz w:val="24"/>
                <w:szCs w:val="24"/>
                <w:highlight w:val="none"/>
              </w:rPr>
              <w:t>10</w:t>
            </w:r>
          </w:p>
        </w:tc>
        <w:tc>
          <w:tcPr>
            <w:tcW w:w="2408" w:type="pct"/>
            <w:tcBorders>
              <w:top w:val="single" w:color="auto" w:sz="4" w:space="0"/>
              <w:left w:val="single" w:color="auto" w:sz="4" w:space="0"/>
              <w:bottom w:val="single" w:color="auto" w:sz="4" w:space="0"/>
              <w:right w:val="single" w:color="auto" w:sz="4" w:space="0"/>
            </w:tcBorders>
            <w:vAlign w:val="center"/>
          </w:tcPr>
          <w:p w14:paraId="0FB192D5">
            <w:pPr>
              <w:spacing w:line="360" w:lineRule="auto"/>
              <w:rPr>
                <w:rFonts w:ascii="宋体" w:hAnsi="宋体" w:cs="宋体"/>
                <w:sz w:val="24"/>
                <w:szCs w:val="24"/>
                <w:highlight w:val="none"/>
              </w:rPr>
            </w:pPr>
            <w:r>
              <w:rPr>
                <w:rFonts w:hint="eastAsia" w:ascii="宋体" w:hAnsi="宋体" w:cs="宋体"/>
                <w:sz w:val="24"/>
                <w:szCs w:val="24"/>
                <w:highlight w:val="none"/>
              </w:rPr>
              <w:t>投标人与本项目其他投标人的投标文件工程量清单编制机器硬件信息一致的（以</w:t>
            </w:r>
            <w:r>
              <w:rPr>
                <w:rFonts w:hint="eastAsia" w:ascii="宋体" w:hAnsi="宋体" w:cs="宋体"/>
                <w:sz w:val="24"/>
                <w:szCs w:val="24"/>
                <w:highlight w:val="none"/>
                <w:u w:val="single"/>
              </w:rPr>
              <w:t>广州交易集团有限公司（广州公共资源交易中心）</w:t>
            </w:r>
            <w:r>
              <w:rPr>
                <w:rFonts w:hint="eastAsia" w:ascii="宋体" w:hAnsi="宋体" w:cs="宋体"/>
                <w:sz w:val="24"/>
                <w:szCs w:val="24"/>
                <w:highlight w:val="none"/>
              </w:rPr>
              <w:t>交易平台评标系统的检索信息为准）</w:t>
            </w:r>
          </w:p>
        </w:tc>
        <w:tc>
          <w:tcPr>
            <w:tcW w:w="402" w:type="pct"/>
            <w:tcBorders>
              <w:top w:val="single" w:color="auto" w:sz="4" w:space="0"/>
              <w:left w:val="single" w:color="auto" w:sz="4" w:space="0"/>
              <w:bottom w:val="single" w:color="auto" w:sz="4" w:space="0"/>
              <w:right w:val="single" w:color="auto" w:sz="4" w:space="0"/>
            </w:tcBorders>
          </w:tcPr>
          <w:p w14:paraId="2A5AA449">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725D531E">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014A947F">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252F8383">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2AD4F4FC">
            <w:pPr>
              <w:spacing w:line="360" w:lineRule="auto"/>
              <w:rPr>
                <w:rFonts w:ascii="宋体" w:hAnsi="宋体" w:cs="宋体"/>
                <w:sz w:val="24"/>
                <w:szCs w:val="24"/>
                <w:highlight w:val="none"/>
              </w:rPr>
            </w:pPr>
          </w:p>
        </w:tc>
        <w:tc>
          <w:tcPr>
            <w:tcW w:w="402" w:type="pct"/>
            <w:tcBorders>
              <w:top w:val="single" w:color="auto" w:sz="4" w:space="0"/>
              <w:left w:val="single" w:color="auto" w:sz="4" w:space="0"/>
              <w:bottom w:val="single" w:color="auto" w:sz="4" w:space="0"/>
              <w:right w:val="single" w:color="auto" w:sz="4" w:space="0"/>
            </w:tcBorders>
          </w:tcPr>
          <w:p w14:paraId="46C735F6">
            <w:pPr>
              <w:spacing w:line="360" w:lineRule="auto"/>
              <w:rPr>
                <w:rFonts w:ascii="宋体" w:hAnsi="宋体" w:cs="宋体"/>
                <w:sz w:val="24"/>
                <w:szCs w:val="24"/>
                <w:highlight w:val="none"/>
              </w:rPr>
            </w:pPr>
          </w:p>
        </w:tc>
      </w:tr>
    </w:tbl>
    <w:p w14:paraId="0A77E63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w:t>
      </w:r>
    </w:p>
    <w:p w14:paraId="34C8A3A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1.本表使用GZZB2018-3招标文件范本，与范本内容不同之处均以下划线标明。</w:t>
      </w:r>
    </w:p>
    <w:p w14:paraId="103C04C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2.凡出现以上任何一项情形，结论均为无效，否则就为有效。</w:t>
      </w:r>
    </w:p>
    <w:p w14:paraId="69912E5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3.如对本表中某种情形的评审意见不一致时，以评标委员会过半数成员的意见作为评标委员会对该情形的认定结论。</w:t>
      </w:r>
    </w:p>
    <w:p w14:paraId="01AAF7A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E25B1F5">
      <w:pPr>
        <w:pStyle w:val="34"/>
        <w:spacing w:after="0" w:line="360" w:lineRule="auto"/>
        <w:ind w:firstLine="480" w:firstLineChars="200"/>
        <w:rPr>
          <w:rFonts w:ascii="宋体" w:hAnsi="宋体" w:cs="宋体"/>
          <w:sz w:val="24"/>
          <w:szCs w:val="24"/>
          <w:highlight w:val="none"/>
        </w:rPr>
        <w:sectPr>
          <w:endnotePr>
            <w:numFmt w:val="decimal"/>
          </w:endnotePr>
          <w:pgSz w:w="16838" w:h="11905" w:orient="landscape"/>
          <w:pgMar w:top="1134" w:right="1134" w:bottom="1134" w:left="1134" w:header="851" w:footer="907" w:gutter="0"/>
          <w:cols w:space="0" w:num="1"/>
          <w:titlePg/>
          <w:docGrid w:type="lines" w:linePitch="321" w:charSpace="0"/>
        </w:sectPr>
      </w:pPr>
      <w:r>
        <w:rPr>
          <w:rFonts w:hint="eastAsia" w:ascii="宋体" w:hAnsi="宋体" w:cs="宋体"/>
          <w:sz w:val="24"/>
          <w:szCs w:val="24"/>
          <w:highlight w:val="none"/>
        </w:rPr>
        <w:t>评委签名：</w:t>
      </w:r>
    </w:p>
    <w:p w14:paraId="08102772">
      <w:pPr>
        <w:spacing w:line="360" w:lineRule="auto"/>
        <w:rPr>
          <w:sz w:val="24"/>
          <w:szCs w:val="24"/>
          <w:highlight w:val="none"/>
        </w:rPr>
      </w:pPr>
      <w:bookmarkStart w:id="40" w:name="_Toc18388"/>
      <w:bookmarkStart w:id="41" w:name="_Toc30629"/>
      <w:r>
        <w:rPr>
          <w:rFonts w:hint="eastAsia"/>
          <w:sz w:val="24"/>
          <w:szCs w:val="24"/>
          <w:highlight w:val="none"/>
        </w:rPr>
        <w:t>附表四</w:t>
      </w:r>
      <w:bookmarkEnd w:id="40"/>
      <w:bookmarkEnd w:id="41"/>
    </w:p>
    <w:p w14:paraId="6EC5FC0E">
      <w:pPr>
        <w:pStyle w:val="141"/>
        <w:spacing w:line="360" w:lineRule="auto"/>
        <w:ind w:left="1478" w:leftChars="704"/>
        <w:jc w:val="center"/>
        <w:rPr>
          <w:rFonts w:ascii="宋体" w:hAnsi="宋体" w:eastAsia="宋体" w:cs="宋体"/>
          <w:b/>
          <w:sz w:val="32"/>
          <w:szCs w:val="32"/>
          <w:highlight w:val="none"/>
        </w:rPr>
      </w:pPr>
      <w:r>
        <w:rPr>
          <w:rFonts w:hint="eastAsia" w:ascii="宋体" w:hAnsi="宋体" w:eastAsia="宋体" w:cs="宋体"/>
          <w:b/>
          <w:sz w:val="32"/>
          <w:szCs w:val="32"/>
          <w:highlight w:val="none"/>
        </w:rPr>
        <w:t>技术标详细审查评分表</w:t>
      </w:r>
    </w:p>
    <w:tbl>
      <w:tblPr>
        <w:tblStyle w:val="36"/>
        <w:tblpPr w:leftFromText="180" w:rightFromText="180" w:vertAnchor="text" w:horzAnchor="page" w:tblpX="1543" w:tblpY="6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89"/>
        <w:gridCol w:w="845"/>
        <w:gridCol w:w="820"/>
        <w:gridCol w:w="3095"/>
        <w:gridCol w:w="2761"/>
        <w:gridCol w:w="3129"/>
        <w:gridCol w:w="2115"/>
      </w:tblGrid>
      <w:tr w14:paraId="4988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tcPr>
          <w:p w14:paraId="3C639567">
            <w:pPr>
              <w:pStyle w:val="141"/>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评分项目</w:t>
            </w:r>
          </w:p>
        </w:tc>
        <w:tc>
          <w:tcPr>
            <w:tcW w:w="1734" w:type="dxa"/>
            <w:gridSpan w:val="2"/>
          </w:tcPr>
          <w:p w14:paraId="5367750C">
            <w:pPr>
              <w:pStyle w:val="141"/>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评分内容</w:t>
            </w:r>
          </w:p>
        </w:tc>
        <w:tc>
          <w:tcPr>
            <w:tcW w:w="820" w:type="dxa"/>
          </w:tcPr>
          <w:p w14:paraId="43022507">
            <w:pPr>
              <w:pStyle w:val="141"/>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分值</w:t>
            </w:r>
          </w:p>
        </w:tc>
        <w:tc>
          <w:tcPr>
            <w:tcW w:w="11100" w:type="dxa"/>
            <w:gridSpan w:val="4"/>
          </w:tcPr>
          <w:p w14:paraId="445344F3">
            <w:pPr>
              <w:pStyle w:val="141"/>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r>
      <w:tr w14:paraId="6EAD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95" w:type="dxa"/>
            <w:gridSpan w:val="4"/>
          </w:tcPr>
          <w:p w14:paraId="273BC1B8">
            <w:pPr>
              <w:pStyle w:val="141"/>
              <w:spacing w:line="360" w:lineRule="auto"/>
              <w:rPr>
                <w:rFonts w:ascii="宋体" w:hAnsi="宋体" w:eastAsia="宋体" w:cs="宋体"/>
                <w:sz w:val="24"/>
                <w:szCs w:val="24"/>
                <w:highlight w:val="none"/>
              </w:rPr>
            </w:pPr>
          </w:p>
        </w:tc>
        <w:tc>
          <w:tcPr>
            <w:tcW w:w="3095" w:type="dxa"/>
          </w:tcPr>
          <w:p w14:paraId="3A836EA2">
            <w:pPr>
              <w:pStyle w:val="141"/>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优</w:t>
            </w:r>
          </w:p>
        </w:tc>
        <w:tc>
          <w:tcPr>
            <w:tcW w:w="2761" w:type="dxa"/>
          </w:tcPr>
          <w:p w14:paraId="5F381EEE">
            <w:pPr>
              <w:pStyle w:val="141"/>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 xml:space="preserve">良 </w:t>
            </w:r>
          </w:p>
        </w:tc>
        <w:tc>
          <w:tcPr>
            <w:tcW w:w="3129" w:type="dxa"/>
          </w:tcPr>
          <w:p w14:paraId="070787C0">
            <w:pPr>
              <w:pStyle w:val="141"/>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一般</w:t>
            </w:r>
          </w:p>
        </w:tc>
        <w:tc>
          <w:tcPr>
            <w:tcW w:w="2115" w:type="dxa"/>
          </w:tcPr>
          <w:p w14:paraId="46EF8AD2">
            <w:pPr>
              <w:pStyle w:val="141"/>
              <w:spacing w:line="360" w:lineRule="auto"/>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差</w:t>
            </w:r>
          </w:p>
        </w:tc>
      </w:tr>
      <w:tr w14:paraId="1A38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vMerge w:val="restart"/>
            <w:vAlign w:val="center"/>
          </w:tcPr>
          <w:p w14:paraId="0DFC96CB">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一、施工组织设计（40分）</w:t>
            </w:r>
          </w:p>
        </w:tc>
        <w:tc>
          <w:tcPr>
            <w:tcW w:w="1734" w:type="dxa"/>
            <w:gridSpan w:val="2"/>
            <w:vAlign w:val="center"/>
          </w:tcPr>
          <w:p w14:paraId="2E31B2A7">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对工程重点、难点的分析及对策</w:t>
            </w:r>
          </w:p>
        </w:tc>
        <w:tc>
          <w:tcPr>
            <w:tcW w:w="820" w:type="dxa"/>
            <w:vAlign w:val="center"/>
          </w:tcPr>
          <w:p w14:paraId="439F8064">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shd w:val="clear" w:color="FFFFFF" w:fill="auto"/>
              </w:rPr>
              <w:t>4</w:t>
            </w:r>
          </w:p>
        </w:tc>
        <w:tc>
          <w:tcPr>
            <w:tcW w:w="3095" w:type="dxa"/>
          </w:tcPr>
          <w:p w14:paraId="590D605B">
            <w:pPr>
              <w:spacing w:line="360" w:lineRule="auto"/>
              <w:rPr>
                <w:rFonts w:ascii="宋体" w:hAnsi="宋体" w:cs="宋体"/>
                <w:kern w:val="0"/>
                <w:sz w:val="24"/>
                <w:szCs w:val="24"/>
                <w:highlight w:val="none"/>
              </w:rPr>
            </w:pPr>
            <w:r>
              <w:rPr>
                <w:rFonts w:hint="eastAsia" w:ascii="宋体" w:hAnsi="宋体" w:cs="宋体"/>
                <w:sz w:val="24"/>
                <w:szCs w:val="24"/>
                <w:highlight w:val="none"/>
              </w:rPr>
              <w:t>依据工程特点制定专项施工方案，对本项目工程重点、难点分析透彻，制定的相应对策针对性强，可行性高，得</w:t>
            </w:r>
            <w:r>
              <w:rPr>
                <w:rFonts w:hint="eastAsia" w:ascii="宋体" w:hAnsi="宋体"/>
                <w:sz w:val="24"/>
                <w:szCs w:val="24"/>
                <w:highlight w:val="none"/>
              </w:rPr>
              <w:t>[4，3]</w:t>
            </w:r>
            <w:r>
              <w:rPr>
                <w:rFonts w:hint="eastAsia" w:ascii="宋体" w:hAnsi="宋体" w:cs="宋体"/>
                <w:sz w:val="24"/>
                <w:szCs w:val="24"/>
                <w:highlight w:val="none"/>
              </w:rPr>
              <w:t>分。</w:t>
            </w:r>
          </w:p>
        </w:tc>
        <w:tc>
          <w:tcPr>
            <w:tcW w:w="2761" w:type="dxa"/>
          </w:tcPr>
          <w:p w14:paraId="71366FB4">
            <w:pPr>
              <w:spacing w:line="360" w:lineRule="auto"/>
              <w:rPr>
                <w:rFonts w:ascii="宋体" w:hAnsi="宋体" w:cs="宋体"/>
                <w:kern w:val="0"/>
                <w:sz w:val="24"/>
                <w:szCs w:val="24"/>
                <w:highlight w:val="none"/>
              </w:rPr>
            </w:pPr>
            <w:r>
              <w:rPr>
                <w:rFonts w:hint="eastAsia" w:ascii="宋体" w:hAnsi="宋体" w:cs="宋体"/>
                <w:sz w:val="24"/>
                <w:szCs w:val="24"/>
                <w:highlight w:val="none"/>
              </w:rPr>
              <w:t>依据工程特点制定专项施工方案，对本项目工程重点、难点分析较透彻，制定的相应对策针对性较强，可行性较高，得</w:t>
            </w:r>
            <w:r>
              <w:rPr>
                <w:rFonts w:hint="eastAsia" w:ascii="宋体" w:hAnsi="宋体"/>
                <w:sz w:val="24"/>
                <w:szCs w:val="24"/>
                <w:highlight w:val="none"/>
              </w:rPr>
              <w:t>(3，2]</w:t>
            </w:r>
            <w:r>
              <w:rPr>
                <w:rFonts w:hint="eastAsia" w:ascii="宋体" w:hAnsi="宋体" w:cs="宋体"/>
                <w:sz w:val="24"/>
                <w:szCs w:val="24"/>
                <w:highlight w:val="none"/>
              </w:rPr>
              <w:t>分。</w:t>
            </w:r>
          </w:p>
        </w:tc>
        <w:tc>
          <w:tcPr>
            <w:tcW w:w="3129" w:type="dxa"/>
          </w:tcPr>
          <w:p w14:paraId="506834C4">
            <w:pPr>
              <w:spacing w:line="360" w:lineRule="auto"/>
              <w:rPr>
                <w:rFonts w:ascii="宋体" w:hAnsi="宋体" w:cs="宋体"/>
                <w:kern w:val="0"/>
                <w:sz w:val="24"/>
                <w:szCs w:val="24"/>
                <w:highlight w:val="none"/>
              </w:rPr>
            </w:pPr>
            <w:r>
              <w:rPr>
                <w:rFonts w:hint="eastAsia" w:ascii="宋体" w:hAnsi="宋体" w:cs="宋体"/>
                <w:sz w:val="24"/>
                <w:szCs w:val="24"/>
                <w:highlight w:val="none"/>
              </w:rPr>
              <w:t>依据工程特点制定专项施工方案，对本项目工程重点、难点分析一般，制定的相应对策针对性一般，基本可行，得（2,1]分。</w:t>
            </w:r>
          </w:p>
        </w:tc>
        <w:tc>
          <w:tcPr>
            <w:tcW w:w="2115" w:type="dxa"/>
          </w:tcPr>
          <w:p w14:paraId="48BD1E17">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不满足前述要求者，得0分。</w:t>
            </w:r>
          </w:p>
        </w:tc>
      </w:tr>
      <w:tr w14:paraId="7D3E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vMerge w:val="continue"/>
          </w:tcPr>
          <w:p w14:paraId="7AD043FA">
            <w:pPr>
              <w:pStyle w:val="141"/>
              <w:spacing w:line="360" w:lineRule="auto"/>
              <w:rPr>
                <w:rFonts w:ascii="宋体" w:hAnsi="宋体" w:eastAsia="宋体" w:cs="宋体"/>
                <w:sz w:val="24"/>
                <w:szCs w:val="24"/>
                <w:highlight w:val="none"/>
              </w:rPr>
            </w:pPr>
          </w:p>
        </w:tc>
        <w:tc>
          <w:tcPr>
            <w:tcW w:w="1734" w:type="dxa"/>
            <w:gridSpan w:val="2"/>
            <w:vAlign w:val="center"/>
          </w:tcPr>
          <w:p w14:paraId="22CCC7A8">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施工组织方案与技术措施</w:t>
            </w:r>
          </w:p>
        </w:tc>
        <w:tc>
          <w:tcPr>
            <w:tcW w:w="820" w:type="dxa"/>
            <w:vAlign w:val="center"/>
          </w:tcPr>
          <w:p w14:paraId="251438FF">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3095" w:type="dxa"/>
          </w:tcPr>
          <w:p w14:paraId="13DB549F">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施工组织方案及施工方法先进，工程重点难点、施工关键技术工艺把握及应用准确，技术措施可以充分保障工程质量、工期和施工安全生产，得</w:t>
            </w:r>
            <w:r>
              <w:rPr>
                <w:rFonts w:hint="eastAsia" w:ascii="宋体" w:hAnsi="宋体"/>
                <w:sz w:val="24"/>
                <w:szCs w:val="24"/>
                <w:highlight w:val="none"/>
              </w:rPr>
              <w:t>[6，4]</w:t>
            </w:r>
            <w:r>
              <w:rPr>
                <w:rFonts w:hint="eastAsia" w:ascii="宋体" w:hAnsi="宋体" w:cs="宋体"/>
                <w:kern w:val="0"/>
                <w:sz w:val="24"/>
                <w:szCs w:val="24"/>
                <w:highlight w:val="none"/>
              </w:rPr>
              <w:t>分。</w:t>
            </w:r>
          </w:p>
        </w:tc>
        <w:tc>
          <w:tcPr>
            <w:tcW w:w="2761" w:type="dxa"/>
          </w:tcPr>
          <w:p w14:paraId="604A2443">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施工组织方案及施工方法较好，工程重点难点、施工关键技术工艺把握及应用较好，技术措施较能保障工程质量、工期和施工安全生产，得</w:t>
            </w:r>
            <w:r>
              <w:rPr>
                <w:rFonts w:hint="eastAsia" w:ascii="宋体" w:hAnsi="宋体"/>
                <w:sz w:val="24"/>
                <w:szCs w:val="24"/>
                <w:highlight w:val="none"/>
              </w:rPr>
              <w:t>(4，2]</w:t>
            </w:r>
            <w:r>
              <w:rPr>
                <w:rFonts w:hint="eastAsia" w:ascii="宋体" w:hAnsi="宋体" w:cs="宋体"/>
                <w:kern w:val="0"/>
                <w:sz w:val="24"/>
                <w:szCs w:val="24"/>
                <w:highlight w:val="none"/>
              </w:rPr>
              <w:t>分。</w:t>
            </w:r>
          </w:p>
        </w:tc>
        <w:tc>
          <w:tcPr>
            <w:tcW w:w="3129" w:type="dxa"/>
          </w:tcPr>
          <w:p w14:paraId="175E09A4">
            <w:pPr>
              <w:spacing w:line="360" w:lineRule="auto"/>
              <w:rPr>
                <w:rFonts w:ascii="宋体" w:hAnsi="宋体" w:cs="宋体"/>
                <w:sz w:val="24"/>
                <w:szCs w:val="24"/>
                <w:highlight w:val="none"/>
              </w:rPr>
            </w:pPr>
            <w:r>
              <w:rPr>
                <w:rFonts w:hint="eastAsia" w:ascii="宋体" w:hAnsi="宋体" w:cs="宋体"/>
                <w:sz w:val="24"/>
                <w:szCs w:val="24"/>
                <w:highlight w:val="none"/>
              </w:rPr>
              <w:t>施工组织方案或施工方法一般，工程重点难点、施工关键技术工艺把握及应用基本可行，技术措施基本能保障工程质量、工期和施工安全生产，得（2,1]分。</w:t>
            </w:r>
          </w:p>
        </w:tc>
        <w:tc>
          <w:tcPr>
            <w:tcW w:w="2115" w:type="dxa"/>
          </w:tcPr>
          <w:p w14:paraId="0DA49041">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不满足前述要求者，得0分。</w:t>
            </w:r>
          </w:p>
        </w:tc>
      </w:tr>
      <w:tr w14:paraId="59EC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vMerge w:val="continue"/>
          </w:tcPr>
          <w:p w14:paraId="6B4603BE">
            <w:pPr>
              <w:pStyle w:val="141"/>
              <w:spacing w:line="360" w:lineRule="auto"/>
              <w:rPr>
                <w:rFonts w:ascii="宋体" w:hAnsi="宋体" w:eastAsia="宋体" w:cs="宋体"/>
                <w:sz w:val="24"/>
                <w:szCs w:val="24"/>
                <w:highlight w:val="none"/>
              </w:rPr>
            </w:pPr>
          </w:p>
        </w:tc>
        <w:tc>
          <w:tcPr>
            <w:tcW w:w="1734" w:type="dxa"/>
            <w:gridSpan w:val="2"/>
            <w:vAlign w:val="center"/>
          </w:tcPr>
          <w:p w14:paraId="780A734D">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施工总进度计划</w:t>
            </w:r>
          </w:p>
        </w:tc>
        <w:tc>
          <w:tcPr>
            <w:tcW w:w="820" w:type="dxa"/>
            <w:vAlign w:val="center"/>
          </w:tcPr>
          <w:p w14:paraId="43F644BD">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3095" w:type="dxa"/>
          </w:tcPr>
          <w:p w14:paraId="59B7D290">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施工总进度计划逻辑性强、合理、可行，保证措施明确具体，得</w:t>
            </w:r>
            <w:r>
              <w:rPr>
                <w:rFonts w:hint="eastAsia" w:ascii="宋体" w:hAnsi="宋体" w:eastAsia="宋体"/>
                <w:sz w:val="24"/>
                <w:szCs w:val="24"/>
                <w:highlight w:val="none"/>
              </w:rPr>
              <w:t>[6，4]</w:t>
            </w:r>
            <w:r>
              <w:rPr>
                <w:rFonts w:hint="eastAsia" w:ascii="宋体" w:hAnsi="宋体" w:eastAsia="宋体" w:cs="宋体"/>
                <w:sz w:val="24"/>
                <w:szCs w:val="24"/>
                <w:highlight w:val="none"/>
              </w:rPr>
              <w:t>分。</w:t>
            </w:r>
          </w:p>
        </w:tc>
        <w:tc>
          <w:tcPr>
            <w:tcW w:w="2761" w:type="dxa"/>
          </w:tcPr>
          <w:p w14:paraId="7C15B839">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施工总进度计划逻辑性较强、较合理可行，有保证措施，得</w:t>
            </w:r>
            <w:r>
              <w:rPr>
                <w:rFonts w:hint="eastAsia" w:ascii="宋体" w:hAnsi="宋体" w:eastAsia="宋体"/>
                <w:sz w:val="24"/>
                <w:szCs w:val="24"/>
                <w:highlight w:val="none"/>
              </w:rPr>
              <w:t>(4，2]</w:t>
            </w:r>
            <w:r>
              <w:rPr>
                <w:rFonts w:hint="eastAsia" w:ascii="宋体" w:hAnsi="宋体" w:eastAsia="宋体" w:cs="宋体"/>
                <w:sz w:val="24"/>
                <w:szCs w:val="24"/>
                <w:highlight w:val="none"/>
              </w:rPr>
              <w:t>分。</w:t>
            </w:r>
          </w:p>
        </w:tc>
        <w:tc>
          <w:tcPr>
            <w:tcW w:w="3129" w:type="dxa"/>
          </w:tcPr>
          <w:p w14:paraId="684961B5">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施工总进度计划逻辑性一般、基本合理可行，得</w:t>
            </w:r>
            <w:r>
              <w:rPr>
                <w:rFonts w:hint="eastAsia" w:ascii="宋体" w:hAnsi="宋体" w:cs="宋体"/>
                <w:sz w:val="24"/>
                <w:szCs w:val="24"/>
                <w:highlight w:val="none"/>
              </w:rPr>
              <w:t>（2,1]</w:t>
            </w:r>
            <w:r>
              <w:rPr>
                <w:rFonts w:hint="eastAsia" w:ascii="宋体" w:hAnsi="宋体" w:cs="宋体"/>
                <w:kern w:val="0"/>
                <w:sz w:val="24"/>
                <w:szCs w:val="24"/>
                <w:highlight w:val="none"/>
              </w:rPr>
              <w:t>分。</w:t>
            </w:r>
          </w:p>
        </w:tc>
        <w:tc>
          <w:tcPr>
            <w:tcW w:w="2115" w:type="dxa"/>
          </w:tcPr>
          <w:p w14:paraId="62365875">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不满足前述要求者，得0分。</w:t>
            </w:r>
          </w:p>
        </w:tc>
      </w:tr>
      <w:tr w14:paraId="459E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vMerge w:val="continue"/>
          </w:tcPr>
          <w:p w14:paraId="606E98CC">
            <w:pPr>
              <w:pStyle w:val="141"/>
              <w:spacing w:line="360" w:lineRule="auto"/>
              <w:rPr>
                <w:rFonts w:ascii="宋体" w:hAnsi="宋体" w:eastAsia="宋体" w:cs="宋体"/>
                <w:sz w:val="24"/>
                <w:szCs w:val="24"/>
                <w:highlight w:val="none"/>
              </w:rPr>
            </w:pPr>
          </w:p>
        </w:tc>
        <w:tc>
          <w:tcPr>
            <w:tcW w:w="1734" w:type="dxa"/>
            <w:gridSpan w:val="2"/>
            <w:vAlign w:val="center"/>
          </w:tcPr>
          <w:p w14:paraId="0DE8A839">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资源供应计划</w:t>
            </w:r>
          </w:p>
        </w:tc>
        <w:tc>
          <w:tcPr>
            <w:tcW w:w="820" w:type="dxa"/>
            <w:vAlign w:val="center"/>
          </w:tcPr>
          <w:p w14:paraId="318A4B94">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3095" w:type="dxa"/>
          </w:tcPr>
          <w:p w14:paraId="21824170">
            <w:pPr>
              <w:spacing w:line="360" w:lineRule="auto"/>
              <w:rPr>
                <w:rFonts w:ascii="宋体" w:hAnsi="宋体" w:cs="宋体"/>
                <w:sz w:val="24"/>
                <w:szCs w:val="24"/>
                <w:highlight w:val="none"/>
              </w:rPr>
            </w:pPr>
            <w:r>
              <w:rPr>
                <w:rFonts w:hint="eastAsia" w:ascii="宋体" w:hAnsi="宋体" w:cs="宋体"/>
                <w:sz w:val="24"/>
                <w:szCs w:val="24"/>
                <w:highlight w:val="none"/>
              </w:rPr>
              <w:t>有劳动力需求计划及保障措施、机械设备需求计划及保障措施和材料需求计划及保障措施，措施合理、可行得</w:t>
            </w:r>
            <w:r>
              <w:rPr>
                <w:rFonts w:hint="eastAsia" w:ascii="宋体" w:hAnsi="宋体"/>
                <w:sz w:val="24"/>
                <w:szCs w:val="24"/>
                <w:highlight w:val="none"/>
              </w:rPr>
              <w:t>[6，4]</w:t>
            </w:r>
            <w:r>
              <w:rPr>
                <w:rFonts w:hint="eastAsia" w:ascii="宋体" w:hAnsi="宋体" w:cs="宋体"/>
                <w:sz w:val="24"/>
                <w:szCs w:val="24"/>
                <w:highlight w:val="none"/>
              </w:rPr>
              <w:t>分。</w:t>
            </w:r>
          </w:p>
        </w:tc>
        <w:tc>
          <w:tcPr>
            <w:tcW w:w="2761" w:type="dxa"/>
          </w:tcPr>
          <w:p w14:paraId="1D1522E8">
            <w:pPr>
              <w:spacing w:line="360" w:lineRule="auto"/>
              <w:rPr>
                <w:rFonts w:ascii="宋体" w:hAnsi="宋体" w:cs="宋体"/>
                <w:sz w:val="24"/>
                <w:szCs w:val="24"/>
                <w:highlight w:val="none"/>
              </w:rPr>
            </w:pPr>
            <w:r>
              <w:rPr>
                <w:rFonts w:hint="eastAsia" w:ascii="宋体" w:hAnsi="宋体" w:cs="宋体"/>
                <w:sz w:val="24"/>
                <w:szCs w:val="24"/>
                <w:highlight w:val="none"/>
              </w:rPr>
              <w:t>有劳动力需求计划及保障措施、机械设备需求计划及保障措施和材料需求计划及保障措施，措施较合理、可行得</w:t>
            </w:r>
            <w:r>
              <w:rPr>
                <w:rFonts w:hint="eastAsia" w:ascii="宋体" w:hAnsi="宋体"/>
                <w:sz w:val="24"/>
                <w:szCs w:val="24"/>
                <w:highlight w:val="none"/>
              </w:rPr>
              <w:t>(4，2]</w:t>
            </w:r>
            <w:r>
              <w:rPr>
                <w:rFonts w:hint="eastAsia" w:ascii="宋体" w:hAnsi="宋体" w:cs="宋体"/>
                <w:sz w:val="24"/>
                <w:szCs w:val="24"/>
                <w:highlight w:val="none"/>
              </w:rPr>
              <w:t>分。</w:t>
            </w:r>
          </w:p>
        </w:tc>
        <w:tc>
          <w:tcPr>
            <w:tcW w:w="3129" w:type="dxa"/>
          </w:tcPr>
          <w:p w14:paraId="4EE8E11E">
            <w:pPr>
              <w:spacing w:line="360" w:lineRule="auto"/>
              <w:rPr>
                <w:rFonts w:ascii="宋体" w:hAnsi="宋体" w:cs="宋体"/>
                <w:sz w:val="24"/>
                <w:szCs w:val="24"/>
                <w:highlight w:val="none"/>
              </w:rPr>
            </w:pPr>
            <w:r>
              <w:rPr>
                <w:rFonts w:hint="eastAsia" w:ascii="宋体" w:hAnsi="宋体" w:cs="宋体"/>
                <w:sz w:val="24"/>
                <w:szCs w:val="24"/>
                <w:highlight w:val="none"/>
              </w:rPr>
              <w:t>有劳动力需求计划及保障措施、机械设备需求计划及保障措施和材料需求计划及保障措施，措施基本合理、可行得（2,1]分。</w:t>
            </w:r>
          </w:p>
        </w:tc>
        <w:tc>
          <w:tcPr>
            <w:tcW w:w="2115" w:type="dxa"/>
          </w:tcPr>
          <w:p w14:paraId="571116A3">
            <w:pPr>
              <w:spacing w:line="360" w:lineRule="auto"/>
              <w:rPr>
                <w:rFonts w:ascii="宋体" w:hAnsi="宋体" w:cs="宋体"/>
                <w:sz w:val="24"/>
                <w:szCs w:val="24"/>
                <w:highlight w:val="none"/>
              </w:rPr>
            </w:pPr>
            <w:r>
              <w:rPr>
                <w:rFonts w:hint="eastAsia" w:ascii="宋体" w:hAnsi="宋体" w:cs="宋体"/>
                <w:kern w:val="0"/>
                <w:sz w:val="24"/>
                <w:szCs w:val="24"/>
                <w:highlight w:val="none"/>
              </w:rPr>
              <w:t>不满足前述要求者，得0分。</w:t>
            </w:r>
          </w:p>
        </w:tc>
      </w:tr>
      <w:tr w14:paraId="23EA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vMerge w:val="continue"/>
          </w:tcPr>
          <w:p w14:paraId="639B1DF4">
            <w:pPr>
              <w:spacing w:line="360" w:lineRule="auto"/>
              <w:rPr>
                <w:rFonts w:ascii="宋体" w:hAnsi="宋体" w:cs="宋体"/>
                <w:sz w:val="24"/>
                <w:szCs w:val="24"/>
                <w:highlight w:val="none"/>
              </w:rPr>
            </w:pPr>
          </w:p>
        </w:tc>
        <w:tc>
          <w:tcPr>
            <w:tcW w:w="1734" w:type="dxa"/>
            <w:gridSpan w:val="2"/>
            <w:vAlign w:val="center"/>
          </w:tcPr>
          <w:p w14:paraId="50D912B9">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施工质量目标</w:t>
            </w:r>
          </w:p>
        </w:tc>
        <w:tc>
          <w:tcPr>
            <w:tcW w:w="820" w:type="dxa"/>
            <w:vAlign w:val="center"/>
          </w:tcPr>
          <w:p w14:paraId="32B0316D">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3095" w:type="dxa"/>
          </w:tcPr>
          <w:p w14:paraId="2C6503DB">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有质量目标保证措施且质量目标符合招标文件要求，质量保证体系及质量事故应急预案</w:t>
            </w:r>
            <w:r>
              <w:rPr>
                <w:rFonts w:hint="eastAsia" w:ascii="宋体" w:hAnsi="宋体" w:eastAsia="宋体" w:cs="宋体"/>
                <w:kern w:val="2"/>
                <w:sz w:val="24"/>
                <w:szCs w:val="24"/>
                <w:highlight w:val="none"/>
              </w:rPr>
              <w:t>合理、可行，得</w:t>
            </w:r>
            <w:r>
              <w:rPr>
                <w:rFonts w:hint="eastAsia" w:ascii="宋体" w:hAnsi="宋体" w:eastAsia="宋体"/>
                <w:sz w:val="24"/>
                <w:szCs w:val="24"/>
                <w:highlight w:val="none"/>
              </w:rPr>
              <w:t>[6，4]</w:t>
            </w:r>
            <w:r>
              <w:rPr>
                <w:rFonts w:hint="eastAsia" w:ascii="宋体" w:hAnsi="宋体" w:eastAsia="宋体" w:cs="宋体"/>
                <w:kern w:val="2"/>
                <w:sz w:val="24"/>
                <w:szCs w:val="24"/>
                <w:highlight w:val="none"/>
              </w:rPr>
              <w:t>分。</w:t>
            </w:r>
          </w:p>
        </w:tc>
        <w:tc>
          <w:tcPr>
            <w:tcW w:w="2761" w:type="dxa"/>
          </w:tcPr>
          <w:p w14:paraId="3A51B98F">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有质量目标保证措施且质量目标符合招标文件要求，质量保证体系及质量事故应急预案较</w:t>
            </w:r>
            <w:r>
              <w:rPr>
                <w:rFonts w:hint="eastAsia" w:ascii="宋体" w:hAnsi="宋体" w:eastAsia="宋体" w:cs="宋体"/>
                <w:kern w:val="2"/>
                <w:sz w:val="24"/>
                <w:szCs w:val="24"/>
                <w:highlight w:val="none"/>
              </w:rPr>
              <w:t>合理可行，得</w:t>
            </w:r>
            <w:r>
              <w:rPr>
                <w:rFonts w:hint="eastAsia" w:ascii="宋体" w:hAnsi="宋体" w:eastAsia="宋体"/>
                <w:sz w:val="24"/>
                <w:szCs w:val="24"/>
                <w:highlight w:val="none"/>
              </w:rPr>
              <w:t>(4，2]</w:t>
            </w:r>
            <w:r>
              <w:rPr>
                <w:rFonts w:hint="eastAsia" w:ascii="宋体" w:hAnsi="宋体" w:eastAsia="宋体" w:cs="宋体"/>
                <w:kern w:val="2"/>
                <w:sz w:val="24"/>
                <w:szCs w:val="24"/>
                <w:highlight w:val="none"/>
              </w:rPr>
              <w:t>分。</w:t>
            </w:r>
          </w:p>
        </w:tc>
        <w:tc>
          <w:tcPr>
            <w:tcW w:w="3129" w:type="dxa"/>
          </w:tcPr>
          <w:p w14:paraId="6C4863FC">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有质量目标保证措施且质量目标符合招标文件要求，质量保证体系及质量事故应急预案基本</w:t>
            </w:r>
            <w:r>
              <w:rPr>
                <w:rFonts w:hint="eastAsia" w:ascii="宋体" w:hAnsi="宋体" w:eastAsia="宋体" w:cs="宋体"/>
                <w:kern w:val="2"/>
                <w:sz w:val="24"/>
                <w:szCs w:val="24"/>
                <w:highlight w:val="none"/>
              </w:rPr>
              <w:t>合理可行，得</w:t>
            </w:r>
            <w:r>
              <w:rPr>
                <w:rFonts w:hint="eastAsia" w:ascii="宋体" w:hAnsi="宋体" w:cs="宋体"/>
                <w:sz w:val="24"/>
                <w:szCs w:val="24"/>
                <w:highlight w:val="none"/>
              </w:rPr>
              <w:t>（2,1]</w:t>
            </w:r>
            <w:r>
              <w:rPr>
                <w:rFonts w:hint="eastAsia" w:ascii="宋体" w:hAnsi="宋体" w:eastAsia="宋体" w:cs="宋体"/>
                <w:kern w:val="2"/>
                <w:sz w:val="24"/>
                <w:szCs w:val="24"/>
                <w:highlight w:val="none"/>
              </w:rPr>
              <w:t>分。</w:t>
            </w:r>
          </w:p>
        </w:tc>
        <w:tc>
          <w:tcPr>
            <w:tcW w:w="2115" w:type="dxa"/>
          </w:tcPr>
          <w:p w14:paraId="3030ADDD">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不满足前述要求者，得0分。</w:t>
            </w:r>
          </w:p>
          <w:p w14:paraId="568ABFBD">
            <w:pPr>
              <w:pStyle w:val="141"/>
              <w:spacing w:line="360" w:lineRule="auto"/>
              <w:rPr>
                <w:rFonts w:ascii="宋体" w:hAnsi="宋体" w:eastAsia="宋体" w:cs="宋体"/>
                <w:sz w:val="24"/>
                <w:szCs w:val="24"/>
                <w:highlight w:val="none"/>
              </w:rPr>
            </w:pPr>
          </w:p>
        </w:tc>
      </w:tr>
      <w:tr w14:paraId="5140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vMerge w:val="continue"/>
          </w:tcPr>
          <w:p w14:paraId="7C47685D">
            <w:pPr>
              <w:pStyle w:val="141"/>
              <w:spacing w:line="360" w:lineRule="auto"/>
              <w:rPr>
                <w:rFonts w:ascii="宋体" w:hAnsi="宋体" w:eastAsia="宋体" w:cs="宋体"/>
                <w:sz w:val="24"/>
                <w:szCs w:val="24"/>
                <w:highlight w:val="none"/>
              </w:rPr>
            </w:pPr>
          </w:p>
        </w:tc>
        <w:tc>
          <w:tcPr>
            <w:tcW w:w="1734" w:type="dxa"/>
            <w:gridSpan w:val="2"/>
            <w:vAlign w:val="center"/>
          </w:tcPr>
          <w:p w14:paraId="5A7BA22F">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安全文明施工措施</w:t>
            </w:r>
          </w:p>
        </w:tc>
        <w:tc>
          <w:tcPr>
            <w:tcW w:w="820" w:type="dxa"/>
            <w:vAlign w:val="center"/>
          </w:tcPr>
          <w:p w14:paraId="5409BC37">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3095" w:type="dxa"/>
          </w:tcPr>
          <w:p w14:paraId="14866D57">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有安全文明施工目标、安全文明保障体系及安全文明施工保证措施，措施合理、可行得</w:t>
            </w:r>
            <w:r>
              <w:rPr>
                <w:rFonts w:hint="eastAsia" w:ascii="宋体" w:hAnsi="宋体" w:eastAsia="宋体"/>
                <w:sz w:val="24"/>
                <w:szCs w:val="24"/>
                <w:highlight w:val="none"/>
              </w:rPr>
              <w:t>[6，4]</w:t>
            </w:r>
            <w:r>
              <w:rPr>
                <w:rFonts w:hint="eastAsia" w:ascii="宋体" w:hAnsi="宋体" w:eastAsia="宋体" w:cs="宋体"/>
                <w:sz w:val="24"/>
                <w:szCs w:val="24"/>
                <w:highlight w:val="none"/>
              </w:rPr>
              <w:t>分。</w:t>
            </w:r>
          </w:p>
        </w:tc>
        <w:tc>
          <w:tcPr>
            <w:tcW w:w="2761" w:type="dxa"/>
          </w:tcPr>
          <w:p w14:paraId="041D508A">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有安全文明施工目标、安全文明保障体系及安全文明施工保证措施，措施较合理、可行得</w:t>
            </w:r>
            <w:r>
              <w:rPr>
                <w:rFonts w:hint="eastAsia" w:ascii="宋体" w:hAnsi="宋体" w:eastAsia="宋体"/>
                <w:sz w:val="24"/>
                <w:szCs w:val="24"/>
                <w:highlight w:val="none"/>
              </w:rPr>
              <w:t>(4，2]</w:t>
            </w:r>
            <w:r>
              <w:rPr>
                <w:rFonts w:hint="eastAsia" w:ascii="宋体" w:hAnsi="宋体" w:eastAsia="宋体" w:cs="宋体"/>
                <w:sz w:val="24"/>
                <w:szCs w:val="24"/>
                <w:highlight w:val="none"/>
              </w:rPr>
              <w:t>分。</w:t>
            </w:r>
          </w:p>
        </w:tc>
        <w:tc>
          <w:tcPr>
            <w:tcW w:w="3129" w:type="dxa"/>
          </w:tcPr>
          <w:p w14:paraId="73A77EDE">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有安全文明施工目标、安全文明保障体系及安全文明施工保证措施，措施基本合理、可行得</w:t>
            </w:r>
            <w:r>
              <w:rPr>
                <w:rFonts w:hint="eastAsia" w:ascii="宋体" w:hAnsi="宋体" w:cs="宋体"/>
                <w:sz w:val="24"/>
                <w:szCs w:val="24"/>
                <w:highlight w:val="none"/>
              </w:rPr>
              <w:t>（2,1]</w:t>
            </w:r>
            <w:r>
              <w:rPr>
                <w:rFonts w:hint="eastAsia" w:ascii="宋体" w:hAnsi="宋体" w:eastAsia="宋体" w:cs="宋体"/>
                <w:sz w:val="24"/>
                <w:szCs w:val="24"/>
                <w:highlight w:val="none"/>
              </w:rPr>
              <w:t>分。</w:t>
            </w:r>
          </w:p>
        </w:tc>
        <w:tc>
          <w:tcPr>
            <w:tcW w:w="2115" w:type="dxa"/>
          </w:tcPr>
          <w:p w14:paraId="7BBB0873">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不满足前述要求者，得0分。</w:t>
            </w:r>
          </w:p>
        </w:tc>
      </w:tr>
      <w:tr w14:paraId="21FB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vMerge w:val="continue"/>
          </w:tcPr>
          <w:p w14:paraId="248EA77C">
            <w:pPr>
              <w:pStyle w:val="141"/>
              <w:spacing w:line="360" w:lineRule="auto"/>
              <w:rPr>
                <w:rFonts w:ascii="宋体" w:hAnsi="宋体" w:eastAsia="宋体" w:cs="宋体"/>
                <w:sz w:val="24"/>
                <w:szCs w:val="24"/>
                <w:highlight w:val="none"/>
              </w:rPr>
            </w:pPr>
          </w:p>
        </w:tc>
        <w:tc>
          <w:tcPr>
            <w:tcW w:w="1734" w:type="dxa"/>
            <w:gridSpan w:val="2"/>
            <w:vAlign w:val="center"/>
          </w:tcPr>
          <w:p w14:paraId="0FBC0522">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绿色施工措施</w:t>
            </w:r>
          </w:p>
        </w:tc>
        <w:tc>
          <w:tcPr>
            <w:tcW w:w="820" w:type="dxa"/>
            <w:vAlign w:val="center"/>
          </w:tcPr>
          <w:p w14:paraId="3B1DAEF6">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6</w:t>
            </w:r>
          </w:p>
        </w:tc>
        <w:tc>
          <w:tcPr>
            <w:tcW w:w="3095" w:type="dxa"/>
          </w:tcPr>
          <w:p w14:paraId="7CCDE363">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有绿色施工保证措施，措施合理、可行得</w:t>
            </w:r>
            <w:r>
              <w:rPr>
                <w:rFonts w:hint="eastAsia" w:ascii="宋体" w:hAnsi="宋体" w:eastAsia="宋体"/>
                <w:sz w:val="24"/>
                <w:szCs w:val="24"/>
                <w:highlight w:val="none"/>
              </w:rPr>
              <w:t>[6，4]</w:t>
            </w:r>
            <w:r>
              <w:rPr>
                <w:rFonts w:hint="eastAsia" w:ascii="宋体" w:hAnsi="宋体" w:eastAsia="宋体" w:cs="宋体"/>
                <w:sz w:val="24"/>
                <w:szCs w:val="24"/>
                <w:highlight w:val="none"/>
              </w:rPr>
              <w:t>分。</w:t>
            </w:r>
          </w:p>
        </w:tc>
        <w:tc>
          <w:tcPr>
            <w:tcW w:w="2761" w:type="dxa"/>
          </w:tcPr>
          <w:p w14:paraId="01994CDF">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有绿色施工保证措施，措施较合理、可行得</w:t>
            </w:r>
            <w:r>
              <w:rPr>
                <w:rFonts w:hint="eastAsia" w:ascii="宋体" w:hAnsi="宋体" w:eastAsia="宋体"/>
                <w:sz w:val="24"/>
                <w:szCs w:val="24"/>
                <w:highlight w:val="none"/>
              </w:rPr>
              <w:t>(4，2]</w:t>
            </w:r>
            <w:r>
              <w:rPr>
                <w:rFonts w:hint="eastAsia" w:ascii="宋体" w:hAnsi="宋体" w:eastAsia="宋体" w:cs="宋体"/>
                <w:sz w:val="24"/>
                <w:szCs w:val="24"/>
                <w:highlight w:val="none"/>
              </w:rPr>
              <w:t>分。</w:t>
            </w:r>
          </w:p>
        </w:tc>
        <w:tc>
          <w:tcPr>
            <w:tcW w:w="3129" w:type="dxa"/>
          </w:tcPr>
          <w:p w14:paraId="7126BCE2">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有绿色施工保证措施，措施基本合理、可行得</w:t>
            </w:r>
            <w:r>
              <w:rPr>
                <w:rFonts w:hint="eastAsia" w:ascii="宋体" w:hAnsi="宋体" w:cs="宋体"/>
                <w:sz w:val="24"/>
                <w:szCs w:val="24"/>
                <w:highlight w:val="none"/>
              </w:rPr>
              <w:t>（2,1]</w:t>
            </w:r>
            <w:r>
              <w:rPr>
                <w:rFonts w:hint="eastAsia" w:ascii="宋体" w:hAnsi="宋体" w:eastAsia="宋体" w:cs="宋体"/>
                <w:sz w:val="24"/>
                <w:szCs w:val="24"/>
                <w:highlight w:val="none"/>
              </w:rPr>
              <w:t>分。</w:t>
            </w:r>
          </w:p>
        </w:tc>
        <w:tc>
          <w:tcPr>
            <w:tcW w:w="2115" w:type="dxa"/>
          </w:tcPr>
          <w:p w14:paraId="76291AF1">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不满足前述要求者，得0分。</w:t>
            </w:r>
          </w:p>
        </w:tc>
      </w:tr>
      <w:tr w14:paraId="40DC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blHeader/>
        </w:trPr>
        <w:tc>
          <w:tcPr>
            <w:tcW w:w="741" w:type="dxa"/>
            <w:vMerge w:val="restart"/>
            <w:vAlign w:val="center"/>
          </w:tcPr>
          <w:p w14:paraId="49EC3AB0">
            <w:pPr>
              <w:spacing w:line="360" w:lineRule="auto"/>
              <w:jc w:val="center"/>
              <w:rPr>
                <w:rFonts w:ascii="宋体" w:hAnsi="宋体" w:cs="宋体"/>
                <w:sz w:val="24"/>
                <w:szCs w:val="24"/>
                <w:highlight w:val="none"/>
              </w:rPr>
            </w:pPr>
            <w:r>
              <w:rPr>
                <w:rFonts w:hint="eastAsia" w:ascii="宋体" w:hAnsi="宋体" w:cs="宋体"/>
                <w:sz w:val="24"/>
                <w:szCs w:val="24"/>
                <w:highlight w:val="none"/>
              </w:rPr>
              <w:t>二、项目组织管理机构能力（30分）</w:t>
            </w:r>
          </w:p>
        </w:tc>
        <w:tc>
          <w:tcPr>
            <w:tcW w:w="889" w:type="dxa"/>
            <w:vMerge w:val="restart"/>
            <w:vAlign w:val="center"/>
          </w:tcPr>
          <w:p w14:paraId="06945898">
            <w:pPr>
              <w:widowControl/>
              <w:spacing w:line="360" w:lineRule="auto"/>
              <w:jc w:val="center"/>
              <w:rPr>
                <w:rFonts w:ascii="宋体" w:hAnsi="宋体" w:cs="宋体"/>
                <w:sz w:val="24"/>
                <w:szCs w:val="24"/>
                <w:highlight w:val="none"/>
              </w:rPr>
            </w:pPr>
            <w:r>
              <w:rPr>
                <w:rFonts w:hint="eastAsia" w:ascii="宋体" w:hAnsi="宋体" w:cs="宋体"/>
                <w:kern w:val="0"/>
                <w:sz w:val="24"/>
                <w:szCs w:val="24"/>
                <w:highlight w:val="none"/>
              </w:rPr>
              <w:t>项目管理机构</w:t>
            </w:r>
          </w:p>
        </w:tc>
        <w:tc>
          <w:tcPr>
            <w:tcW w:w="845" w:type="dxa"/>
            <w:vAlign w:val="center"/>
          </w:tcPr>
          <w:p w14:paraId="04176CDB">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技术负责人</w:t>
            </w:r>
          </w:p>
        </w:tc>
        <w:tc>
          <w:tcPr>
            <w:tcW w:w="820" w:type="dxa"/>
            <w:vAlign w:val="center"/>
          </w:tcPr>
          <w:p w14:paraId="11B7B26D">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11100" w:type="dxa"/>
            <w:gridSpan w:val="4"/>
          </w:tcPr>
          <w:p w14:paraId="4F44C129">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（1）从业能力：具有建筑类专业副高级或以上技术职称，得3分；</w:t>
            </w:r>
          </w:p>
          <w:p w14:paraId="1BB31943">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（2）经历：具有10年或（含10年）以上施工管理工作经验，得3分；具有5年（含5年）至10年（不含10年）施工管理工作经验，得1分；本项最多得3分。</w:t>
            </w:r>
          </w:p>
        </w:tc>
      </w:tr>
      <w:tr w14:paraId="4419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vMerge w:val="continue"/>
          </w:tcPr>
          <w:p w14:paraId="771F7917">
            <w:pPr>
              <w:spacing w:line="360" w:lineRule="auto"/>
              <w:jc w:val="center"/>
              <w:rPr>
                <w:rFonts w:ascii="宋体" w:hAnsi="宋体" w:cs="宋体"/>
                <w:sz w:val="24"/>
                <w:szCs w:val="24"/>
                <w:highlight w:val="none"/>
              </w:rPr>
            </w:pPr>
          </w:p>
        </w:tc>
        <w:tc>
          <w:tcPr>
            <w:tcW w:w="889" w:type="dxa"/>
            <w:vMerge w:val="continue"/>
            <w:vAlign w:val="center"/>
          </w:tcPr>
          <w:p w14:paraId="0D754F96">
            <w:pPr>
              <w:widowControl/>
              <w:spacing w:line="360" w:lineRule="auto"/>
              <w:jc w:val="center"/>
              <w:rPr>
                <w:rFonts w:ascii="宋体" w:hAnsi="宋体" w:cs="宋体"/>
                <w:sz w:val="24"/>
                <w:szCs w:val="24"/>
                <w:highlight w:val="none"/>
              </w:rPr>
            </w:pPr>
          </w:p>
        </w:tc>
        <w:tc>
          <w:tcPr>
            <w:tcW w:w="845" w:type="dxa"/>
            <w:vAlign w:val="center"/>
          </w:tcPr>
          <w:p w14:paraId="687AD414">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质量负责人</w:t>
            </w:r>
          </w:p>
        </w:tc>
        <w:tc>
          <w:tcPr>
            <w:tcW w:w="820" w:type="dxa"/>
            <w:vAlign w:val="center"/>
          </w:tcPr>
          <w:p w14:paraId="4B26F202">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11100" w:type="dxa"/>
            <w:gridSpan w:val="4"/>
          </w:tcPr>
          <w:p w14:paraId="301F2266">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（1）从业能力：具有建筑类专业副高级或以上技术职称，得3分；具有建筑类专业中级技术职称，得1分；本项最多得3分。</w:t>
            </w:r>
          </w:p>
          <w:p w14:paraId="35777D92">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（2）经历：具有10年或以上（含10年）施工管理工作经验，得3分；具有5年（含5年）至10年（不含10年）施工管理工作经验，得1分；本项最多得3分。</w:t>
            </w:r>
          </w:p>
        </w:tc>
      </w:tr>
      <w:tr w14:paraId="793A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vMerge w:val="continue"/>
          </w:tcPr>
          <w:p w14:paraId="102F66B2">
            <w:pPr>
              <w:spacing w:line="360" w:lineRule="auto"/>
              <w:jc w:val="center"/>
              <w:rPr>
                <w:rFonts w:ascii="宋体" w:hAnsi="宋体" w:cs="宋体"/>
                <w:sz w:val="24"/>
                <w:szCs w:val="24"/>
                <w:highlight w:val="none"/>
              </w:rPr>
            </w:pPr>
          </w:p>
        </w:tc>
        <w:tc>
          <w:tcPr>
            <w:tcW w:w="889" w:type="dxa"/>
            <w:vMerge w:val="continue"/>
            <w:vAlign w:val="center"/>
          </w:tcPr>
          <w:p w14:paraId="058365E7">
            <w:pPr>
              <w:widowControl/>
              <w:spacing w:line="360" w:lineRule="auto"/>
              <w:jc w:val="center"/>
              <w:rPr>
                <w:rFonts w:ascii="宋体" w:hAnsi="宋体" w:cs="宋体"/>
                <w:sz w:val="24"/>
                <w:szCs w:val="24"/>
                <w:highlight w:val="none"/>
              </w:rPr>
            </w:pPr>
          </w:p>
        </w:tc>
        <w:tc>
          <w:tcPr>
            <w:tcW w:w="845" w:type="dxa"/>
            <w:vAlign w:val="center"/>
          </w:tcPr>
          <w:p w14:paraId="1CE8FAFA">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安全负责人</w:t>
            </w:r>
          </w:p>
        </w:tc>
        <w:tc>
          <w:tcPr>
            <w:tcW w:w="820" w:type="dxa"/>
            <w:vAlign w:val="center"/>
          </w:tcPr>
          <w:p w14:paraId="30F11B2B">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11100" w:type="dxa"/>
            <w:gridSpan w:val="4"/>
          </w:tcPr>
          <w:p w14:paraId="2CAC0C00">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（1）从业能力：①拟委派的安全负责人具有安全工程专业或建筑类专业副高级或以上技术职称的，得2分；具有安全工程专业或建筑类专业中级或以上技术职称的，得1分。</w:t>
            </w:r>
          </w:p>
          <w:p w14:paraId="5F552B7F">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②拟委派的安全负责人具有注册安全工程师执业资格（须在有效期内）的，得1分；具有有效期内的安全生产考核合格证(A类)或建筑施工企业主要负责人安全生产考核合格证书或安全生产考核合格证(B类）或建筑施工企业项目负责人安全生产考核合格证书或安全生产考核合格证(C类)或建筑施工企业专职安全生产管理人员安全生产考核合格证书(C3)的，得0.5分。</w:t>
            </w:r>
          </w:p>
          <w:p w14:paraId="61729C9F">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本项最多得3分。</w:t>
            </w:r>
          </w:p>
          <w:p w14:paraId="04EF78C6">
            <w:pPr>
              <w:spacing w:line="360" w:lineRule="auto"/>
              <w:rPr>
                <w:rFonts w:ascii="宋体" w:hAnsi="宋体" w:cs="宋体"/>
                <w:sz w:val="24"/>
                <w:szCs w:val="24"/>
                <w:highlight w:val="none"/>
              </w:rPr>
            </w:pPr>
            <w:r>
              <w:rPr>
                <w:rFonts w:hint="eastAsia" w:ascii="宋体" w:hAnsi="宋体" w:cs="宋体"/>
                <w:sz w:val="24"/>
                <w:szCs w:val="24"/>
                <w:highlight w:val="none"/>
              </w:rPr>
              <w:t>（2）经历：具有10年或以上（含10年）施工管理工作经验，得3分；具有5年（含5年）至10年（不含10年）施工管理工作经验，得1分；本项最多得3分。</w:t>
            </w:r>
          </w:p>
          <w:p w14:paraId="71F904D1">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r>
      <w:tr w14:paraId="57E1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vMerge w:val="continue"/>
          </w:tcPr>
          <w:p w14:paraId="5ACAA008">
            <w:pPr>
              <w:spacing w:line="360" w:lineRule="auto"/>
              <w:jc w:val="center"/>
              <w:rPr>
                <w:rFonts w:ascii="宋体" w:hAnsi="宋体" w:cs="宋体"/>
                <w:sz w:val="24"/>
                <w:szCs w:val="24"/>
                <w:highlight w:val="none"/>
              </w:rPr>
            </w:pPr>
          </w:p>
        </w:tc>
        <w:tc>
          <w:tcPr>
            <w:tcW w:w="889" w:type="dxa"/>
            <w:vMerge w:val="continue"/>
            <w:vAlign w:val="center"/>
          </w:tcPr>
          <w:p w14:paraId="2A6A44E0">
            <w:pPr>
              <w:widowControl/>
              <w:spacing w:line="360" w:lineRule="auto"/>
              <w:jc w:val="center"/>
              <w:rPr>
                <w:rFonts w:ascii="宋体" w:hAnsi="宋体" w:cs="宋体"/>
                <w:sz w:val="24"/>
                <w:szCs w:val="24"/>
                <w:highlight w:val="none"/>
              </w:rPr>
            </w:pPr>
          </w:p>
        </w:tc>
        <w:tc>
          <w:tcPr>
            <w:tcW w:w="845" w:type="dxa"/>
            <w:vAlign w:val="center"/>
          </w:tcPr>
          <w:p w14:paraId="49E1036A">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造价负责人</w:t>
            </w:r>
          </w:p>
        </w:tc>
        <w:tc>
          <w:tcPr>
            <w:tcW w:w="820" w:type="dxa"/>
            <w:vAlign w:val="center"/>
          </w:tcPr>
          <w:p w14:paraId="584CE2A2">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11100" w:type="dxa"/>
            <w:gridSpan w:val="4"/>
          </w:tcPr>
          <w:p w14:paraId="189F34A0">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（1）从业能力：具有有效的注册造价工程师（或一级注册造价工程师）证书或具有工程造价类专业副高级或以上技术职称，得3分；具有工程造价类专业中级技术职称，得1分；</w:t>
            </w:r>
          </w:p>
          <w:p w14:paraId="2EB29473">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（2）经历：具有10年或以上（含10年）工程管理工作经验，得3分；具有5年（含5年）至10年（不含10年）工程管理工作经验，得1分；本项最多得3分。</w:t>
            </w:r>
          </w:p>
          <w:p w14:paraId="13F5CDB5">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注：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tc>
      </w:tr>
      <w:tr w14:paraId="1A24E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vMerge w:val="continue"/>
            <w:vAlign w:val="center"/>
          </w:tcPr>
          <w:p w14:paraId="78AC4B4F">
            <w:pPr>
              <w:spacing w:line="360" w:lineRule="auto"/>
              <w:jc w:val="center"/>
              <w:rPr>
                <w:rFonts w:ascii="宋体" w:hAnsi="宋体" w:cs="宋体"/>
                <w:sz w:val="24"/>
                <w:szCs w:val="24"/>
                <w:highlight w:val="none"/>
              </w:rPr>
            </w:pPr>
          </w:p>
        </w:tc>
        <w:tc>
          <w:tcPr>
            <w:tcW w:w="889" w:type="dxa"/>
            <w:vMerge w:val="continue"/>
            <w:vAlign w:val="center"/>
          </w:tcPr>
          <w:p w14:paraId="04D21B73">
            <w:pPr>
              <w:widowControl/>
              <w:spacing w:line="360" w:lineRule="auto"/>
              <w:jc w:val="center"/>
              <w:rPr>
                <w:rFonts w:ascii="宋体" w:hAnsi="宋体" w:cs="宋体"/>
                <w:sz w:val="24"/>
                <w:szCs w:val="24"/>
                <w:highlight w:val="none"/>
              </w:rPr>
            </w:pPr>
          </w:p>
        </w:tc>
        <w:tc>
          <w:tcPr>
            <w:tcW w:w="845" w:type="dxa"/>
            <w:vAlign w:val="center"/>
          </w:tcPr>
          <w:p w14:paraId="0B73C719">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其他专业工程师</w:t>
            </w:r>
          </w:p>
        </w:tc>
        <w:tc>
          <w:tcPr>
            <w:tcW w:w="820" w:type="dxa"/>
            <w:vAlign w:val="center"/>
          </w:tcPr>
          <w:p w14:paraId="73A9C606">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11100" w:type="dxa"/>
            <w:gridSpan w:val="4"/>
            <w:vAlign w:val="center"/>
          </w:tcPr>
          <w:p w14:paraId="531EBA02">
            <w:pPr>
              <w:spacing w:line="360" w:lineRule="auto"/>
              <w:rPr>
                <w:rFonts w:ascii="宋体" w:hAnsi="宋体" w:cs="宋体"/>
                <w:sz w:val="24"/>
                <w:szCs w:val="24"/>
                <w:highlight w:val="none"/>
              </w:rPr>
            </w:pPr>
            <w:r>
              <w:rPr>
                <w:rFonts w:hint="eastAsia" w:ascii="宋体" w:hAnsi="宋体" w:cs="宋体"/>
                <w:sz w:val="24"/>
                <w:szCs w:val="24"/>
                <w:highlight w:val="none"/>
              </w:rPr>
              <w:t>（1）装修专业工程师：具有建筑装饰施工专业副高级或以上技术职称，得3分；具有建筑装饰施工专业中级技术职称，得1分；本项最多得3分。</w:t>
            </w:r>
          </w:p>
          <w:p w14:paraId="5CD2B2DF">
            <w:pPr>
              <w:spacing w:line="360" w:lineRule="auto"/>
              <w:rPr>
                <w:rFonts w:ascii="宋体" w:hAnsi="宋体" w:cs="宋体"/>
                <w:sz w:val="24"/>
                <w:szCs w:val="24"/>
                <w:highlight w:val="none"/>
              </w:rPr>
            </w:pPr>
            <w:r>
              <w:rPr>
                <w:rFonts w:hint="eastAsia" w:ascii="宋体" w:hAnsi="宋体" w:cs="宋体"/>
                <w:sz w:val="24"/>
                <w:szCs w:val="24"/>
                <w:highlight w:val="none"/>
              </w:rPr>
              <w:t>（2）给水排水专业工程师：具有给水排水专业副高级或以上技术职称，得3分；具有给水排水专业中级技术职称，得1分；本项最多得3分。</w:t>
            </w:r>
          </w:p>
        </w:tc>
      </w:tr>
      <w:tr w14:paraId="5788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95" w:type="dxa"/>
            <w:gridSpan w:val="4"/>
            <w:vAlign w:val="center"/>
          </w:tcPr>
          <w:p w14:paraId="15D21409">
            <w:pPr>
              <w:widowControl/>
              <w:spacing w:line="360" w:lineRule="auto"/>
              <w:jc w:val="center"/>
              <w:rPr>
                <w:rFonts w:ascii="宋体" w:hAnsi="宋体" w:cs="宋体"/>
                <w:sz w:val="24"/>
                <w:szCs w:val="24"/>
                <w:highlight w:val="none"/>
              </w:rPr>
            </w:pPr>
          </w:p>
        </w:tc>
        <w:tc>
          <w:tcPr>
            <w:tcW w:w="11100" w:type="dxa"/>
            <w:gridSpan w:val="4"/>
            <w:vAlign w:val="center"/>
          </w:tcPr>
          <w:p w14:paraId="37574F06">
            <w:pPr>
              <w:pStyle w:val="141"/>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注：①上述人员须提供身份证、毕业证书（大学专科（或以上）学历）及投标截止前一个月（2024年9月）有效社保证明，且须按相应要求提供职称证（若证书无法明确为相应专业，则需同时提供职称证书发证单位出具的证明材料，否则投标人需承担评委认定职称专业不符合评审标准的风险）、有效期内的注册证及有效期内的安全生产考核合格证（B类）或安全生产考核合格证（C类）或建筑施工企业项目负责人安全生产考核合格证书或建筑施工企业专职安全生产管理人员安全生产考核合格证书（C3），所有资料为扫描件并加盖投标人电子公章；</w:t>
            </w:r>
          </w:p>
          <w:p w14:paraId="2B7F6409">
            <w:pPr>
              <w:spacing w:line="360" w:lineRule="auto"/>
              <w:rPr>
                <w:rFonts w:ascii="宋体" w:hAnsi="宋体" w:cs="宋体"/>
                <w:sz w:val="24"/>
                <w:szCs w:val="24"/>
                <w:highlight w:val="none"/>
              </w:rPr>
            </w:pPr>
            <w:r>
              <w:rPr>
                <w:rFonts w:hint="eastAsia" w:ascii="宋体" w:hAnsi="宋体" w:cs="宋体"/>
                <w:sz w:val="24"/>
                <w:szCs w:val="24"/>
                <w:highlight w:val="none"/>
              </w:rPr>
              <w:t>②工作经验年限从毕业证书的核发时间（大学专科（或以上）学历）起计；</w:t>
            </w:r>
          </w:p>
          <w:p w14:paraId="512D725A">
            <w:pPr>
              <w:adjustRightInd w:val="0"/>
              <w:snapToGrid w:val="0"/>
              <w:spacing w:line="360" w:lineRule="auto"/>
              <w:rPr>
                <w:rFonts w:ascii="宋体" w:hAnsi="宋体" w:cs="宋体"/>
                <w:kern w:val="0"/>
                <w:sz w:val="24"/>
                <w:szCs w:val="24"/>
                <w:highlight w:val="none"/>
              </w:rPr>
            </w:pPr>
            <w:r>
              <w:rPr>
                <w:rFonts w:hint="eastAsia" w:ascii="宋体" w:hAnsi="宋体" w:cs="宋体"/>
                <w:sz w:val="24"/>
                <w:szCs w:val="24"/>
                <w:highlight w:val="none"/>
              </w:rPr>
              <w:t>③技术负责人、质量负责人、安全负责人、造价负责人、其他专业工程师不得兼任，且安全负责人不能同时兼任专职安全员。</w:t>
            </w:r>
          </w:p>
        </w:tc>
      </w:tr>
      <w:tr w14:paraId="6B240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vMerge w:val="restart"/>
            <w:vAlign w:val="center"/>
          </w:tcPr>
          <w:p w14:paraId="3706BA25">
            <w:pPr>
              <w:spacing w:line="360" w:lineRule="auto"/>
              <w:jc w:val="center"/>
              <w:rPr>
                <w:rFonts w:ascii="宋体" w:hAnsi="宋体" w:cs="宋体"/>
                <w:b/>
                <w:sz w:val="24"/>
                <w:szCs w:val="24"/>
                <w:highlight w:val="none"/>
              </w:rPr>
            </w:pPr>
            <w:r>
              <w:rPr>
                <w:rFonts w:hint="eastAsia" w:ascii="宋体" w:hAnsi="宋体" w:cs="宋体"/>
                <w:sz w:val="24"/>
                <w:szCs w:val="24"/>
                <w:highlight w:val="none"/>
              </w:rPr>
              <w:t>三、企业资信（30分）</w:t>
            </w:r>
          </w:p>
        </w:tc>
        <w:tc>
          <w:tcPr>
            <w:tcW w:w="1734" w:type="dxa"/>
            <w:gridSpan w:val="2"/>
            <w:vAlign w:val="center"/>
          </w:tcPr>
          <w:p w14:paraId="181FF6FC">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企业类似工程业绩</w:t>
            </w:r>
          </w:p>
        </w:tc>
        <w:tc>
          <w:tcPr>
            <w:tcW w:w="820" w:type="dxa"/>
            <w:vAlign w:val="center"/>
          </w:tcPr>
          <w:p w14:paraId="1D52D759">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10</w:t>
            </w:r>
          </w:p>
        </w:tc>
        <w:tc>
          <w:tcPr>
            <w:tcW w:w="11100" w:type="dxa"/>
            <w:gridSpan w:val="4"/>
          </w:tcPr>
          <w:p w14:paraId="0E1C34D9">
            <w:pPr>
              <w:pStyle w:val="141"/>
              <w:spacing w:line="360" w:lineRule="auto"/>
              <w:jc w:val="left"/>
              <w:rPr>
                <w:rFonts w:ascii="宋体" w:hAnsi="宋体" w:eastAsia="宋体" w:cs="宋体"/>
                <w:sz w:val="24"/>
                <w:szCs w:val="24"/>
                <w:highlight w:val="none"/>
              </w:rPr>
            </w:pPr>
            <w:r>
              <w:rPr>
                <w:rFonts w:hint="eastAsia" w:ascii="宋体" w:hAnsi="宋体" w:eastAsia="宋体" w:cs="宋体"/>
                <w:sz w:val="24"/>
                <w:szCs w:val="24"/>
                <w:highlight w:val="none"/>
              </w:rPr>
              <w:t>投标人自2021年1月1日至今完成过质量合格的且工程造价金额大于或等于700万元的建筑工程施工总承包或工程总承包施工部分业绩，每完成过1项的得5分；本项最多得10分。</w:t>
            </w:r>
          </w:p>
        </w:tc>
      </w:tr>
      <w:tr w14:paraId="64AA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vMerge w:val="continue"/>
          </w:tcPr>
          <w:p w14:paraId="6167CB00">
            <w:pPr>
              <w:pStyle w:val="141"/>
              <w:spacing w:line="360" w:lineRule="auto"/>
              <w:rPr>
                <w:rFonts w:ascii="宋体" w:hAnsi="宋体" w:eastAsia="宋体" w:cs="宋体"/>
                <w:sz w:val="24"/>
                <w:szCs w:val="24"/>
                <w:highlight w:val="none"/>
              </w:rPr>
            </w:pPr>
          </w:p>
        </w:tc>
        <w:tc>
          <w:tcPr>
            <w:tcW w:w="1734" w:type="dxa"/>
            <w:gridSpan w:val="2"/>
            <w:vAlign w:val="center"/>
          </w:tcPr>
          <w:p w14:paraId="65E3B71C">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企业工程项目获奖情况</w:t>
            </w:r>
          </w:p>
        </w:tc>
        <w:tc>
          <w:tcPr>
            <w:tcW w:w="820" w:type="dxa"/>
            <w:vAlign w:val="center"/>
          </w:tcPr>
          <w:p w14:paraId="6BF48D87">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10</w:t>
            </w:r>
          </w:p>
        </w:tc>
        <w:tc>
          <w:tcPr>
            <w:tcW w:w="11100" w:type="dxa"/>
            <w:gridSpan w:val="4"/>
          </w:tcPr>
          <w:p w14:paraId="1FE66483">
            <w:pPr>
              <w:spacing w:line="360" w:lineRule="auto"/>
              <w:rPr>
                <w:rFonts w:ascii="宋体" w:hAnsi="宋体" w:cs="宋体"/>
                <w:sz w:val="24"/>
                <w:szCs w:val="24"/>
                <w:highlight w:val="none"/>
              </w:rPr>
            </w:pPr>
            <w:r>
              <w:rPr>
                <w:rFonts w:hint="eastAsia" w:ascii="宋体" w:hAnsi="宋体" w:cs="宋体"/>
                <w:sz w:val="24"/>
                <w:szCs w:val="24"/>
                <w:highlight w:val="none"/>
              </w:rPr>
              <w:t>投标人自2021年1月1日至今获得建筑工程的奖项，获得国家级的每项得</w:t>
            </w:r>
            <w:r>
              <w:rPr>
                <w:rFonts w:hint="eastAsia" w:ascii="宋体" w:hAnsi="宋体" w:cs="宋体"/>
                <w:sz w:val="24"/>
                <w:szCs w:val="24"/>
                <w:highlight w:val="none"/>
                <w:lang w:val="en-US" w:eastAsia="zh-CN"/>
              </w:rPr>
              <w:t>10</w:t>
            </w:r>
            <w:r>
              <w:rPr>
                <w:rFonts w:hint="eastAsia" w:ascii="宋体" w:hAnsi="宋体" w:cs="宋体"/>
                <w:sz w:val="24"/>
                <w:szCs w:val="24"/>
                <w:highlight w:val="none"/>
              </w:rPr>
              <w:t>分，获得省级（含直辖市）的每项得</w:t>
            </w:r>
            <w:r>
              <w:rPr>
                <w:rFonts w:hint="eastAsia" w:ascii="宋体" w:hAnsi="宋体" w:cs="宋体"/>
                <w:sz w:val="24"/>
                <w:szCs w:val="24"/>
                <w:highlight w:val="none"/>
                <w:lang w:val="en-US" w:eastAsia="zh-CN"/>
              </w:rPr>
              <w:t>5</w:t>
            </w:r>
            <w:r>
              <w:rPr>
                <w:rFonts w:hint="eastAsia" w:ascii="宋体" w:hAnsi="宋体" w:cs="宋体"/>
                <w:sz w:val="24"/>
                <w:szCs w:val="24"/>
                <w:highlight w:val="none"/>
              </w:rPr>
              <w:t>分，获得市级（含副省级）的每项得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分，本项最多得10分。</w:t>
            </w:r>
          </w:p>
        </w:tc>
      </w:tr>
      <w:tr w14:paraId="3BB8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vMerge w:val="continue"/>
          </w:tcPr>
          <w:p w14:paraId="05D9582D">
            <w:pPr>
              <w:spacing w:line="360" w:lineRule="auto"/>
              <w:rPr>
                <w:rFonts w:ascii="宋体" w:hAnsi="宋体" w:cs="宋体"/>
                <w:sz w:val="24"/>
                <w:szCs w:val="24"/>
                <w:highlight w:val="none"/>
              </w:rPr>
            </w:pPr>
          </w:p>
        </w:tc>
        <w:tc>
          <w:tcPr>
            <w:tcW w:w="1734" w:type="dxa"/>
            <w:gridSpan w:val="2"/>
            <w:vAlign w:val="center"/>
          </w:tcPr>
          <w:p w14:paraId="7E185823">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企业工程研发能力</w:t>
            </w:r>
          </w:p>
        </w:tc>
        <w:tc>
          <w:tcPr>
            <w:tcW w:w="820" w:type="dxa"/>
            <w:vAlign w:val="center"/>
          </w:tcPr>
          <w:p w14:paraId="06FA33D9">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11100" w:type="dxa"/>
            <w:gridSpan w:val="4"/>
          </w:tcPr>
          <w:p w14:paraId="47A3CC7F">
            <w:pPr>
              <w:spacing w:line="360" w:lineRule="auto"/>
              <w:rPr>
                <w:rFonts w:ascii="宋体" w:hAnsi="宋体" w:cs="宋体"/>
                <w:sz w:val="24"/>
                <w:szCs w:val="24"/>
                <w:highlight w:val="none"/>
              </w:rPr>
            </w:pPr>
            <w:r>
              <w:rPr>
                <w:rFonts w:hint="eastAsia" w:ascii="宋体" w:hAnsi="宋体" w:cs="宋体"/>
                <w:sz w:val="24"/>
                <w:szCs w:val="24"/>
                <w:highlight w:val="none"/>
              </w:rPr>
              <w:t>投标人自2021年1月1日至今，获得过工程建设类的实用新型</w:t>
            </w:r>
            <w:r>
              <w:rPr>
                <w:rFonts w:hint="eastAsia" w:ascii="宋体" w:hAnsi="宋体" w:cs="宋体"/>
                <w:sz w:val="24"/>
                <w:szCs w:val="24"/>
                <w:highlight w:val="none"/>
                <w:lang w:val="en-US" w:eastAsia="zh-CN"/>
              </w:rPr>
              <w:t>或</w:t>
            </w:r>
            <w:r>
              <w:rPr>
                <w:rFonts w:hint="eastAsia" w:ascii="宋体" w:hAnsi="宋体" w:cs="宋体"/>
                <w:sz w:val="24"/>
                <w:szCs w:val="24"/>
                <w:highlight w:val="none"/>
              </w:rPr>
              <w:t>发明专利证书：</w:t>
            </w:r>
          </w:p>
          <w:p w14:paraId="71E8F49B">
            <w:pPr>
              <w:spacing w:line="360" w:lineRule="auto"/>
              <w:rPr>
                <w:rFonts w:ascii="宋体" w:hAnsi="宋体" w:cs="宋体"/>
                <w:sz w:val="24"/>
                <w:szCs w:val="24"/>
                <w:highlight w:val="none"/>
              </w:rPr>
            </w:pPr>
            <w:r>
              <w:rPr>
                <w:rFonts w:hint="eastAsia" w:ascii="宋体" w:hAnsi="宋体" w:cs="宋体"/>
                <w:sz w:val="24"/>
                <w:szCs w:val="24"/>
                <w:highlight w:val="none"/>
              </w:rPr>
              <w:t>（1）获得20项或以上的，得5分；</w:t>
            </w:r>
          </w:p>
          <w:p w14:paraId="10FCE1A9">
            <w:pPr>
              <w:spacing w:line="360" w:lineRule="auto"/>
              <w:rPr>
                <w:rFonts w:ascii="宋体" w:hAnsi="宋体" w:cs="宋体"/>
                <w:sz w:val="24"/>
                <w:szCs w:val="24"/>
                <w:highlight w:val="none"/>
              </w:rPr>
            </w:pPr>
            <w:r>
              <w:rPr>
                <w:rFonts w:hint="eastAsia" w:ascii="宋体" w:hAnsi="宋体" w:cs="宋体"/>
                <w:sz w:val="24"/>
                <w:szCs w:val="24"/>
                <w:highlight w:val="none"/>
              </w:rPr>
              <w:t>（2）获得在15项～19项之间的，得2.5分；</w:t>
            </w:r>
          </w:p>
          <w:p w14:paraId="5069D3E7">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（3）获得在10项～14项之间的，得1分</w:t>
            </w:r>
            <w:r>
              <w:rPr>
                <w:rFonts w:hint="eastAsia" w:ascii="宋体" w:hAnsi="宋体" w:cs="宋体"/>
                <w:sz w:val="24"/>
                <w:szCs w:val="24"/>
                <w:highlight w:val="none"/>
                <w:lang w:eastAsia="zh-CN"/>
              </w:rPr>
              <w:t>；</w:t>
            </w:r>
          </w:p>
          <w:p w14:paraId="55DB124A">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）获得在1项～9项之间的，得0.5分。</w:t>
            </w:r>
          </w:p>
          <w:p w14:paraId="06F33803">
            <w:pPr>
              <w:spacing w:line="360" w:lineRule="auto"/>
              <w:rPr>
                <w:rFonts w:ascii="宋体" w:hAnsi="宋体" w:cs="宋体"/>
                <w:sz w:val="24"/>
                <w:szCs w:val="24"/>
                <w:highlight w:val="none"/>
              </w:rPr>
            </w:pPr>
            <w:r>
              <w:rPr>
                <w:rFonts w:hint="eastAsia" w:ascii="宋体" w:hAnsi="宋体" w:cs="宋体"/>
                <w:sz w:val="24"/>
                <w:szCs w:val="24"/>
                <w:highlight w:val="none"/>
              </w:rPr>
              <w:t>其余不得分，本项最高得5分。</w:t>
            </w:r>
          </w:p>
        </w:tc>
      </w:tr>
      <w:tr w14:paraId="769B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1" w:type="dxa"/>
            <w:vMerge w:val="continue"/>
          </w:tcPr>
          <w:p w14:paraId="2FDC5259">
            <w:pPr>
              <w:spacing w:line="360" w:lineRule="auto"/>
              <w:rPr>
                <w:rFonts w:ascii="宋体" w:hAnsi="宋体" w:cs="宋体"/>
                <w:sz w:val="24"/>
                <w:szCs w:val="24"/>
                <w:highlight w:val="none"/>
              </w:rPr>
            </w:pPr>
          </w:p>
        </w:tc>
        <w:tc>
          <w:tcPr>
            <w:tcW w:w="1734" w:type="dxa"/>
            <w:gridSpan w:val="2"/>
            <w:vAlign w:val="center"/>
          </w:tcPr>
          <w:p w14:paraId="324FF9B9">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第三方评价</w:t>
            </w:r>
          </w:p>
        </w:tc>
        <w:tc>
          <w:tcPr>
            <w:tcW w:w="820" w:type="dxa"/>
            <w:vAlign w:val="center"/>
          </w:tcPr>
          <w:p w14:paraId="412BFC6F">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5</w:t>
            </w:r>
          </w:p>
        </w:tc>
        <w:tc>
          <w:tcPr>
            <w:tcW w:w="11100" w:type="dxa"/>
            <w:gridSpan w:val="4"/>
          </w:tcPr>
          <w:p w14:paraId="4F7FFA13">
            <w:pPr>
              <w:spacing w:line="360" w:lineRule="auto"/>
              <w:rPr>
                <w:rFonts w:ascii="宋体" w:hAnsi="宋体" w:cs="宋体"/>
                <w:sz w:val="24"/>
                <w:szCs w:val="24"/>
                <w:highlight w:val="none"/>
              </w:rPr>
            </w:pPr>
            <w:r>
              <w:rPr>
                <w:rFonts w:hint="eastAsia" w:ascii="宋体" w:hAnsi="宋体" w:cs="宋体"/>
                <w:sz w:val="24"/>
                <w:szCs w:val="24"/>
                <w:highlight w:val="none"/>
              </w:rPr>
              <w:t>投标人至今（必须含2023年）获得税务机关评定为“纳税信用A级纳税人”称号</w:t>
            </w:r>
          </w:p>
          <w:p w14:paraId="7BA99D3D">
            <w:pPr>
              <w:spacing w:line="360" w:lineRule="auto"/>
              <w:rPr>
                <w:rFonts w:ascii="宋体" w:hAnsi="宋体" w:cs="宋体"/>
                <w:sz w:val="24"/>
                <w:szCs w:val="24"/>
                <w:highlight w:val="none"/>
              </w:rPr>
            </w:pPr>
            <w:r>
              <w:rPr>
                <w:rFonts w:hint="eastAsia" w:ascii="宋体" w:hAnsi="宋体" w:cs="宋体"/>
                <w:sz w:val="24"/>
                <w:szCs w:val="24"/>
                <w:highlight w:val="none"/>
              </w:rPr>
              <w:t>（1）连续5个年度或以上被评为纳税信用A级纳税人称号的得5分；</w:t>
            </w:r>
          </w:p>
          <w:p w14:paraId="35023468">
            <w:pPr>
              <w:spacing w:line="360" w:lineRule="auto"/>
              <w:rPr>
                <w:rFonts w:ascii="宋体" w:hAnsi="宋体" w:cs="宋体"/>
                <w:sz w:val="24"/>
                <w:szCs w:val="24"/>
                <w:highlight w:val="none"/>
              </w:rPr>
            </w:pPr>
            <w:r>
              <w:rPr>
                <w:rFonts w:hint="eastAsia" w:ascii="宋体" w:hAnsi="宋体" w:cs="宋体"/>
                <w:sz w:val="24"/>
                <w:szCs w:val="24"/>
                <w:highlight w:val="none"/>
              </w:rPr>
              <w:t>（2）连续4个年度被评为纳税信用A级纳税人称号的得2.5分；</w:t>
            </w:r>
          </w:p>
          <w:p w14:paraId="30A14E60">
            <w:pPr>
              <w:spacing w:line="360" w:lineRule="auto"/>
              <w:rPr>
                <w:rFonts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val="en-US" w:eastAsia="zh-CN"/>
              </w:rPr>
              <w:t>连续</w:t>
            </w:r>
            <w:r>
              <w:rPr>
                <w:rFonts w:hint="eastAsia" w:ascii="宋体" w:hAnsi="宋体" w:cs="宋体"/>
                <w:sz w:val="24"/>
                <w:szCs w:val="24"/>
                <w:highlight w:val="none"/>
              </w:rPr>
              <w:t>3个年度被评为纳税信用A级纳税人称号的得1分；</w:t>
            </w:r>
          </w:p>
          <w:p w14:paraId="6C689E0B">
            <w:pPr>
              <w:spacing w:line="360" w:lineRule="auto"/>
              <w:rPr>
                <w:rFonts w:hint="eastAsia" w:ascii="宋体" w:hAnsi="宋体" w:cs="宋体"/>
                <w:sz w:val="24"/>
                <w:szCs w:val="24"/>
                <w:highlight w:val="none"/>
              </w:rPr>
            </w:pPr>
            <w:r>
              <w:rPr>
                <w:rFonts w:hint="eastAsia" w:ascii="宋体" w:hAnsi="宋体" w:cs="宋体"/>
                <w:sz w:val="24"/>
                <w:szCs w:val="24"/>
                <w:highlight w:val="none"/>
              </w:rPr>
              <w:t>（4）连续1-2个年度被评为纳税信用A级纳税人称号的得0.5分。</w:t>
            </w:r>
          </w:p>
          <w:p w14:paraId="3748957D">
            <w:pPr>
              <w:spacing w:line="360" w:lineRule="auto"/>
              <w:rPr>
                <w:rFonts w:ascii="宋体" w:hAnsi="宋体" w:cs="宋体"/>
                <w:sz w:val="24"/>
                <w:szCs w:val="24"/>
                <w:highlight w:val="none"/>
              </w:rPr>
            </w:pPr>
            <w:r>
              <w:rPr>
                <w:rFonts w:hint="eastAsia" w:ascii="宋体" w:hAnsi="宋体" w:cs="宋体"/>
                <w:sz w:val="24"/>
                <w:szCs w:val="24"/>
                <w:highlight w:val="none"/>
              </w:rPr>
              <w:t>无或其他不得分。</w:t>
            </w:r>
          </w:p>
        </w:tc>
      </w:tr>
      <w:tr w14:paraId="5A00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75" w:type="dxa"/>
            <w:gridSpan w:val="3"/>
            <w:vAlign w:val="center"/>
          </w:tcPr>
          <w:p w14:paraId="4BD72783">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合计（一+二+三）</w:t>
            </w:r>
          </w:p>
        </w:tc>
        <w:tc>
          <w:tcPr>
            <w:tcW w:w="820" w:type="dxa"/>
            <w:vAlign w:val="center"/>
          </w:tcPr>
          <w:p w14:paraId="1813A8D4">
            <w:pPr>
              <w:pStyle w:val="141"/>
              <w:spacing w:line="36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100</w:t>
            </w:r>
          </w:p>
        </w:tc>
        <w:tc>
          <w:tcPr>
            <w:tcW w:w="11100" w:type="dxa"/>
            <w:gridSpan w:val="4"/>
            <w:vAlign w:val="center"/>
          </w:tcPr>
          <w:p w14:paraId="4540977F">
            <w:pPr>
              <w:pStyle w:val="141"/>
              <w:spacing w:line="360" w:lineRule="auto"/>
              <w:jc w:val="center"/>
              <w:rPr>
                <w:rFonts w:ascii="宋体" w:hAnsi="宋体" w:eastAsia="宋体" w:cs="宋体"/>
                <w:sz w:val="24"/>
                <w:szCs w:val="24"/>
                <w:highlight w:val="none"/>
              </w:rPr>
            </w:pPr>
          </w:p>
        </w:tc>
      </w:tr>
    </w:tbl>
    <w:p w14:paraId="66C9723C">
      <w:pPr>
        <w:pStyle w:val="141"/>
        <w:spacing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备注</w:t>
      </w:r>
      <w:r>
        <w:rPr>
          <w:rFonts w:hint="eastAsia" w:ascii="宋体" w:hAnsi="宋体" w:eastAsia="宋体" w:cs="宋体"/>
          <w:sz w:val="24"/>
          <w:szCs w:val="24"/>
          <w:highlight w:val="none"/>
        </w:rPr>
        <w:t>：</w:t>
      </w:r>
    </w:p>
    <w:p w14:paraId="59305C4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评委对业绩认定意见不一致时，由评委讨论业绩认定标准；经讨论后标准仍不一致时，则按少数服从多数处理。按少数服从多数仍不能形成一致意见时，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2F522DD9">
      <w:pPr>
        <w:pStyle w:val="141"/>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w:t>
      </w:r>
      <w:bookmarkStart w:id="42" w:name="_Hlk97049913"/>
      <w:r>
        <w:rPr>
          <w:rFonts w:hint="eastAsia" w:ascii="宋体" w:hAnsi="宋体" w:eastAsia="宋体" w:cs="宋体"/>
          <w:b/>
          <w:bCs/>
          <w:sz w:val="24"/>
          <w:szCs w:val="24"/>
          <w:highlight w:val="none"/>
        </w:rPr>
        <w:t>.企业类似工程业绩：</w:t>
      </w:r>
    </w:p>
    <w:p w14:paraId="7EB5ADED">
      <w:pPr>
        <w:pStyle w:val="141"/>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①投标人需同时提供中标通知书或免招标的相关证明、施工合同或工程总承包合同、竣工验收报告或竣工验收证明（至少具有建设单位、设计、施工和监理单位盖章）扫描件。</w:t>
      </w:r>
    </w:p>
    <w:p w14:paraId="1ADE63F9">
      <w:pPr>
        <w:pStyle w:val="141"/>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②金额以中标通知书（其中工程总承包业绩以施工费中标金额）为准，中标通知书上没有金额的，以施工合同或工程总承包合同（不含补充合同，其中工程总承包业绩以施工费合同金额）为准。</w:t>
      </w:r>
    </w:p>
    <w:p w14:paraId="60ADF922">
      <w:pPr>
        <w:pStyle w:val="141"/>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③完成时间以竣工验收文件为准。验收文件至少具有建设单位、设计、施工和监理单位盖章。</w:t>
      </w:r>
    </w:p>
    <w:p w14:paraId="0D3B779A">
      <w:pPr>
        <w:pStyle w:val="141"/>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如以上资料不能证明业绩规模的技术指标（指金额）的，须另提供可证明业绩技术指标的其他资料。</w:t>
      </w:r>
    </w:p>
    <w:bookmarkEnd w:id="42"/>
    <w:p w14:paraId="3D681827">
      <w:pPr>
        <w:pStyle w:val="141"/>
        <w:spacing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3.企业工程项目获奖情况：</w:t>
      </w:r>
    </w:p>
    <w:p w14:paraId="5D735566">
      <w:pPr>
        <w:pStyle w:val="141"/>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w:t>
      </w:r>
      <w:bookmarkStart w:id="43" w:name="_Hlk150104747"/>
      <w:r>
        <w:rPr>
          <w:rFonts w:hint="eastAsia" w:ascii="宋体" w:hAnsi="宋体" w:eastAsia="宋体" w:cs="宋体"/>
          <w:sz w:val="24"/>
          <w:szCs w:val="24"/>
          <w:highlight w:val="none"/>
        </w:rPr>
        <w:t>建筑工程</w:t>
      </w:r>
      <w:bookmarkEnd w:id="43"/>
      <w:r>
        <w:rPr>
          <w:rFonts w:hint="eastAsia" w:ascii="宋体" w:hAnsi="宋体" w:eastAsia="宋体" w:cs="宋体"/>
          <w:sz w:val="24"/>
          <w:szCs w:val="24"/>
          <w:highlight w:val="none"/>
        </w:rPr>
        <w:t>项目：</w:t>
      </w:r>
    </w:p>
    <w:p w14:paraId="2CA023F7">
      <w:pPr>
        <w:pStyle w:val="141"/>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①只评质量奖项，不包含技术创新、QC成果、科技进步及技术应用类、安全文明类等非质量奖项，时间以发证日期为准。其中国家级奖项包括：中国建设工程鲁班奖、国家优质工程金奖、国家优质工程奖、中国土木工程詹天佑奖、中国建筑工程装饰奖</w:t>
      </w:r>
      <w:r>
        <w:rPr>
          <w:rFonts w:hint="eastAsia" w:ascii="宋体" w:hAnsi="宋体" w:eastAsia="宋体" w:cs="宋体"/>
          <w:sz w:val="24"/>
          <w:szCs w:val="24"/>
          <w:highlight w:val="none"/>
          <w:lang w:eastAsia="zh-CN"/>
        </w:rPr>
        <w:t>（不含幕墙类和设计类的获奖）</w:t>
      </w:r>
      <w:r>
        <w:rPr>
          <w:rFonts w:hint="eastAsia" w:ascii="宋体" w:hAnsi="宋体" w:eastAsia="宋体" w:cs="宋体"/>
          <w:sz w:val="24"/>
          <w:szCs w:val="24"/>
          <w:highlight w:val="none"/>
        </w:rPr>
        <w:t>；省级（含直辖市）或市级（含副省级）奖项是指由省级（含直辖市）或市级（含副省级）建设行政主管部门或行业协会颁发的工程质量类奖项。同一项目按最高级别奖项只计一次得分。不符合条件的奖项不计分。</w:t>
      </w:r>
    </w:p>
    <w:p w14:paraId="16908284">
      <w:pPr>
        <w:pStyle w:val="141"/>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②投标人须提供奖项证书扫描件，时间以发证时间为准。不符合上述条件或不提供获奖证书的不予计分。</w:t>
      </w:r>
    </w:p>
    <w:p w14:paraId="40EBB5E1">
      <w:pPr>
        <w:pStyle w:val="141"/>
        <w:spacing w:line="360" w:lineRule="auto"/>
        <w:ind w:firstLine="482" w:firstLineChars="200"/>
        <w:rPr>
          <w:rFonts w:ascii="宋体" w:hAnsi="宋体" w:eastAsia="宋体" w:cs="宋体"/>
          <w:b/>
          <w:bCs/>
          <w:sz w:val="24"/>
          <w:szCs w:val="24"/>
          <w:highlight w:val="none"/>
        </w:rPr>
      </w:pPr>
      <w:r>
        <w:rPr>
          <w:rFonts w:hint="eastAsia" w:ascii="宋体" w:hAnsi="宋体" w:eastAsia="宋体" w:cs="宋体"/>
          <w:b/>
          <w:bCs/>
          <w:sz w:val="24"/>
          <w:szCs w:val="24"/>
          <w:highlight w:val="none"/>
        </w:rPr>
        <w:t>4.企业工程研发能力：</w:t>
      </w:r>
    </w:p>
    <w:p w14:paraId="2DAD4DDC">
      <w:pPr>
        <w:pStyle w:val="141"/>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专利”以国家知识产权局网站（https://www.cnipa.gov.cn/，“政务服务－－专利审查信息查询”）中可查询的专利为准。投标人须提交可反映企业专利类型为“实用新型”或“发明专利”、专利号的查询页面截图及专利证书扫描件，时间以授权公告日为准。</w:t>
      </w:r>
    </w:p>
    <w:p w14:paraId="6C90B195">
      <w:pPr>
        <w:pStyle w:val="141"/>
        <w:spacing w:line="360" w:lineRule="auto"/>
        <w:ind w:firstLine="482" w:firstLineChars="200"/>
        <w:rPr>
          <w:rFonts w:ascii="宋体" w:hAnsi="宋体" w:eastAsia="宋体" w:cs="宋体"/>
          <w:b/>
          <w:bCs/>
          <w:sz w:val="24"/>
          <w:szCs w:val="24"/>
          <w:highlight w:val="none"/>
        </w:rPr>
      </w:pPr>
      <w:r>
        <w:rPr>
          <w:rFonts w:ascii="宋体" w:hAnsi="宋体" w:eastAsia="宋体" w:cs="宋体"/>
          <w:b/>
          <w:bCs/>
          <w:sz w:val="24"/>
          <w:szCs w:val="24"/>
          <w:highlight w:val="none"/>
        </w:rPr>
        <w:t>5.</w:t>
      </w:r>
      <w:r>
        <w:rPr>
          <w:rFonts w:hint="eastAsia" w:ascii="宋体" w:hAnsi="宋体" w:eastAsia="宋体" w:cs="宋体"/>
          <w:b/>
          <w:bCs/>
          <w:sz w:val="24"/>
          <w:szCs w:val="24"/>
          <w:highlight w:val="none"/>
        </w:rPr>
        <w:t>第三方评价：</w:t>
      </w:r>
    </w:p>
    <w:p w14:paraId="05F997F8">
      <w:pPr>
        <w:pStyle w:val="141"/>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纳税信用A级纳税人”须提供国家税务总局官网（http://www.chinatax.gov.cn/）“纳税信用A级纳税人名单公布栏”查询结果网页截图或其省级（含直辖市）税务局官网“纳税信用A级纳税人名单公布栏”查询结果网页截图。时间以国家税务总局或其省级（含直辖市）税务局网站纳税信用信息查询结果的网页截图公布的评价年度为准，上述资料显示的纳税人全称须与投标人名称一致，否则不得分。不满足上述要求或无提交上述资料不得分。</w:t>
      </w:r>
    </w:p>
    <w:p w14:paraId="5347BBDE">
      <w:pPr>
        <w:pStyle w:val="141"/>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6.</w:t>
      </w:r>
      <w:r>
        <w:rPr>
          <w:rFonts w:hint="eastAsia" w:ascii="宋体" w:hAnsi="宋体" w:eastAsia="宋体" w:cs="宋体"/>
          <w:sz w:val="24"/>
          <w:szCs w:val="24"/>
          <w:highlight w:val="none"/>
        </w:rPr>
        <w:t>本表按百分制评分，所有评委每个分项的分数汇总后的算术平均值为投标人的最终得分。分数出现小数点，保留小数点后两位小数，第三位小数四舍五入,若投标人满足多个档次的，按最高档计分一次，不累计。</w:t>
      </w:r>
    </w:p>
    <w:p w14:paraId="01FF0506">
      <w:pPr>
        <w:pStyle w:val="141"/>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7.</w:t>
      </w:r>
      <w:r>
        <w:rPr>
          <w:rFonts w:hint="eastAsia" w:ascii="宋体" w:hAnsi="宋体" w:eastAsia="宋体" w:cs="宋体"/>
          <w:sz w:val="24"/>
          <w:szCs w:val="24"/>
          <w:highlight w:val="none"/>
        </w:rPr>
        <w:t>项目管理机构人员不得兼任。</w:t>
      </w:r>
    </w:p>
    <w:p w14:paraId="2F7074B2">
      <w:pPr>
        <w:pStyle w:val="141"/>
        <w:spacing w:line="360" w:lineRule="auto"/>
        <w:ind w:firstLine="480" w:firstLineChars="200"/>
        <w:rPr>
          <w:rFonts w:ascii="宋体" w:hAnsi="宋体" w:eastAsia="宋体" w:cs="宋体"/>
          <w:sz w:val="24"/>
          <w:szCs w:val="24"/>
          <w:highlight w:val="none"/>
        </w:rPr>
      </w:pPr>
      <w:r>
        <w:rPr>
          <w:rFonts w:ascii="宋体" w:hAnsi="宋体" w:eastAsia="宋体" w:cs="宋体"/>
          <w:sz w:val="24"/>
          <w:szCs w:val="24"/>
          <w:highlight w:val="none"/>
        </w:rPr>
        <w:t>8.</w:t>
      </w:r>
      <w:r>
        <w:rPr>
          <w:rFonts w:hint="eastAsia" w:ascii="宋体" w:hAnsi="宋体" w:eastAsia="宋体" w:cs="宋体"/>
          <w:sz w:val="24"/>
          <w:szCs w:val="24"/>
          <w:highlight w:val="none"/>
        </w:rPr>
        <w:t>除了项目组织管理机构能力可计算投标人的分公司（不具备独立法人）或投标人的分支机构（不具备独立法人）外，评分表内其他评分项目只计算投标人自身（不计算投标人的母公司、子公司、分公司和分支机构），否则不得分。</w:t>
      </w:r>
    </w:p>
    <w:p w14:paraId="0839AF61">
      <w:pPr>
        <w:pStyle w:val="141"/>
        <w:spacing w:line="360" w:lineRule="auto"/>
        <w:ind w:firstLine="480" w:firstLineChars="200"/>
        <w:rPr>
          <w:rFonts w:ascii="宋体" w:hAnsi="宋体" w:eastAsia="宋体" w:cs="宋体"/>
          <w:sz w:val="24"/>
          <w:szCs w:val="24"/>
          <w:highlight w:val="none"/>
          <w:u w:val="single"/>
        </w:rPr>
      </w:pPr>
      <w:r>
        <w:rPr>
          <w:rFonts w:ascii="宋体" w:hAnsi="宋体" w:eastAsia="宋体" w:cs="宋体"/>
          <w:sz w:val="24"/>
          <w:szCs w:val="24"/>
          <w:highlight w:val="none"/>
          <w:u w:val="single"/>
        </w:rPr>
        <w:t>9.</w:t>
      </w:r>
      <w:r>
        <w:rPr>
          <w:rFonts w:hint="eastAsia" w:ascii="宋体" w:hAnsi="宋体" w:eastAsia="宋体" w:cs="宋体"/>
          <w:sz w:val="24"/>
          <w:szCs w:val="24"/>
          <w:highlight w:val="none"/>
          <w:u w:val="single"/>
        </w:rPr>
        <w:t>投标人提供的网页信息截图或证明材料扫描件内容必须清晰可辨，如因网页信息截图或证明材料扫描件内容模糊导致评标时无法判断的，后果由投标人自负。</w:t>
      </w:r>
    </w:p>
    <w:p w14:paraId="2809D722">
      <w:pPr>
        <w:rPr>
          <w:sz w:val="24"/>
          <w:szCs w:val="24"/>
          <w:highlight w:val="none"/>
        </w:rPr>
      </w:pPr>
      <w:r>
        <w:rPr>
          <w:rFonts w:hint="eastAsia"/>
          <w:sz w:val="24"/>
          <w:szCs w:val="24"/>
          <w:highlight w:val="none"/>
        </w:rPr>
        <w:br w:type="page"/>
      </w:r>
    </w:p>
    <w:p w14:paraId="1C8F045A">
      <w:pPr>
        <w:spacing w:line="360" w:lineRule="auto"/>
        <w:rPr>
          <w:sz w:val="24"/>
          <w:szCs w:val="24"/>
          <w:highlight w:val="none"/>
        </w:rPr>
      </w:pPr>
      <w:r>
        <w:rPr>
          <w:rFonts w:hint="eastAsia"/>
          <w:sz w:val="24"/>
          <w:szCs w:val="24"/>
          <w:highlight w:val="none"/>
        </w:rPr>
        <w:t>附表五（适用于加权平均法）</w:t>
      </w:r>
    </w:p>
    <w:p w14:paraId="35A6B1BC">
      <w:pPr>
        <w:spacing w:line="360" w:lineRule="auto"/>
        <w:jc w:val="center"/>
        <w:rPr>
          <w:b/>
          <w:sz w:val="32"/>
          <w:szCs w:val="32"/>
          <w:highlight w:val="none"/>
        </w:rPr>
      </w:pPr>
      <w:r>
        <w:rPr>
          <w:rFonts w:hint="eastAsia"/>
          <w:b/>
          <w:sz w:val="32"/>
          <w:szCs w:val="32"/>
          <w:highlight w:val="none"/>
        </w:rPr>
        <w:t>经济标评分表</w:t>
      </w:r>
    </w:p>
    <w:p w14:paraId="56FD463F">
      <w:pPr>
        <w:rPr>
          <w:szCs w:val="21"/>
          <w:highlight w:val="none"/>
        </w:rPr>
      </w:pPr>
      <w:r>
        <w:rPr>
          <w:rFonts w:hint="eastAsia"/>
          <w:szCs w:val="21"/>
          <w:highlight w:val="none"/>
        </w:rPr>
        <w:t>工程名称：</w:t>
      </w:r>
    </w:p>
    <w:tbl>
      <w:tblPr>
        <w:tblStyle w:val="3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1017"/>
        <w:gridCol w:w="12"/>
        <w:gridCol w:w="1042"/>
        <w:gridCol w:w="1041"/>
        <w:gridCol w:w="1041"/>
        <w:gridCol w:w="1041"/>
        <w:gridCol w:w="1041"/>
        <w:gridCol w:w="1041"/>
        <w:gridCol w:w="1041"/>
        <w:gridCol w:w="1041"/>
        <w:gridCol w:w="1041"/>
        <w:gridCol w:w="1041"/>
        <w:gridCol w:w="1041"/>
      </w:tblGrid>
      <w:tr w14:paraId="1AF5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9" w:type="dxa"/>
            <w:tcBorders>
              <w:top w:val="single" w:color="auto" w:sz="4" w:space="0"/>
              <w:left w:val="single" w:color="auto" w:sz="4" w:space="0"/>
              <w:bottom w:val="single" w:color="auto" w:sz="4" w:space="0"/>
              <w:right w:val="single" w:color="auto" w:sz="4" w:space="0"/>
            </w:tcBorders>
            <w:vAlign w:val="center"/>
          </w:tcPr>
          <w:p w14:paraId="4D7CCDA1">
            <w:pPr>
              <w:spacing w:line="360" w:lineRule="auto"/>
              <w:rPr>
                <w:rFonts w:ascii="宋体" w:hAnsi="宋体" w:cs="宋体"/>
                <w:sz w:val="24"/>
                <w:szCs w:val="24"/>
                <w:highlight w:val="none"/>
              </w:rPr>
            </w:pPr>
            <w:r>
              <w:rPr>
                <w:rFonts w:hint="eastAsia" w:ascii="宋体" w:hAnsi="宋体" w:cs="宋体"/>
                <w:sz w:val="24"/>
                <w:szCs w:val="24"/>
                <w:highlight w:val="none"/>
              </w:rPr>
              <w:t>投标人名称</w:t>
            </w:r>
          </w:p>
        </w:tc>
        <w:tc>
          <w:tcPr>
            <w:tcW w:w="1029" w:type="dxa"/>
            <w:gridSpan w:val="2"/>
            <w:tcBorders>
              <w:top w:val="single" w:color="auto" w:sz="4" w:space="0"/>
              <w:left w:val="single" w:color="auto" w:sz="4" w:space="0"/>
              <w:bottom w:val="single" w:color="auto" w:sz="4" w:space="0"/>
              <w:right w:val="single" w:color="auto" w:sz="4" w:space="0"/>
            </w:tcBorders>
            <w:vAlign w:val="center"/>
          </w:tcPr>
          <w:p w14:paraId="47E98529">
            <w:pPr>
              <w:spacing w:line="360" w:lineRule="auto"/>
              <w:rPr>
                <w:rFonts w:ascii="宋体" w:hAnsi="宋体" w:cs="宋体"/>
                <w:strike/>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64A65068">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B678FCE">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F04AC80">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15A7C18">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7579D80">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7423036">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14052FF">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BBCD024">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5899DD6">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B7913C0">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EF79401">
            <w:pPr>
              <w:spacing w:line="360" w:lineRule="auto"/>
              <w:rPr>
                <w:rFonts w:ascii="宋体" w:hAnsi="宋体" w:cs="宋体"/>
                <w:strike/>
                <w:sz w:val="24"/>
                <w:szCs w:val="24"/>
                <w:highlight w:val="none"/>
              </w:rPr>
            </w:pPr>
          </w:p>
        </w:tc>
      </w:tr>
      <w:tr w14:paraId="4D21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9" w:type="dxa"/>
            <w:tcBorders>
              <w:top w:val="single" w:color="auto" w:sz="4" w:space="0"/>
              <w:left w:val="single" w:color="auto" w:sz="4" w:space="0"/>
              <w:bottom w:val="single" w:color="auto" w:sz="4" w:space="0"/>
              <w:right w:val="single" w:color="auto" w:sz="4" w:space="0"/>
            </w:tcBorders>
            <w:vAlign w:val="center"/>
          </w:tcPr>
          <w:p w14:paraId="5D757E9A">
            <w:pPr>
              <w:spacing w:line="360" w:lineRule="auto"/>
              <w:rPr>
                <w:rFonts w:ascii="宋体" w:hAnsi="宋体" w:cs="宋体"/>
                <w:sz w:val="24"/>
                <w:szCs w:val="24"/>
                <w:highlight w:val="none"/>
              </w:rPr>
            </w:pPr>
            <w:r>
              <w:rPr>
                <w:rFonts w:hint="eastAsia" w:ascii="宋体" w:hAnsi="宋体" w:cs="宋体"/>
                <w:sz w:val="24"/>
                <w:szCs w:val="24"/>
                <w:highlight w:val="none"/>
              </w:rPr>
              <w:t>投标报价PT（元）</w:t>
            </w:r>
          </w:p>
        </w:tc>
        <w:tc>
          <w:tcPr>
            <w:tcW w:w="1029" w:type="dxa"/>
            <w:gridSpan w:val="2"/>
            <w:tcBorders>
              <w:top w:val="single" w:color="auto" w:sz="4" w:space="0"/>
              <w:left w:val="single" w:color="auto" w:sz="4" w:space="0"/>
              <w:bottom w:val="single" w:color="auto" w:sz="4" w:space="0"/>
              <w:right w:val="single" w:color="auto" w:sz="4" w:space="0"/>
            </w:tcBorders>
            <w:vAlign w:val="center"/>
          </w:tcPr>
          <w:p w14:paraId="7F86BC9F">
            <w:pPr>
              <w:spacing w:line="360" w:lineRule="auto"/>
              <w:rPr>
                <w:rFonts w:ascii="宋体" w:hAnsi="宋体" w:cs="宋体"/>
                <w:strike/>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6EFF286E">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DBEE9CA">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01BBE87">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3691A35">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21F42F0">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457C94D">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6D28031">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48C9CE3">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16B7613">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29D86ED">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04E0BA4">
            <w:pPr>
              <w:spacing w:line="360" w:lineRule="auto"/>
              <w:rPr>
                <w:rFonts w:ascii="宋体" w:hAnsi="宋体" w:cs="宋体"/>
                <w:strike/>
                <w:sz w:val="24"/>
                <w:szCs w:val="24"/>
                <w:highlight w:val="none"/>
              </w:rPr>
            </w:pPr>
          </w:p>
        </w:tc>
      </w:tr>
      <w:tr w14:paraId="771C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9" w:type="dxa"/>
            <w:tcBorders>
              <w:top w:val="single" w:color="auto" w:sz="4" w:space="0"/>
              <w:left w:val="single" w:color="auto" w:sz="4" w:space="0"/>
              <w:bottom w:val="single" w:color="auto" w:sz="4" w:space="0"/>
              <w:right w:val="single" w:color="auto" w:sz="4" w:space="0"/>
            </w:tcBorders>
            <w:vAlign w:val="center"/>
          </w:tcPr>
          <w:p w14:paraId="10E274C1">
            <w:pPr>
              <w:spacing w:line="360" w:lineRule="auto"/>
              <w:rPr>
                <w:rFonts w:ascii="宋体" w:hAnsi="宋体" w:cs="宋体"/>
                <w:sz w:val="24"/>
                <w:szCs w:val="24"/>
                <w:highlight w:val="none"/>
              </w:rPr>
            </w:pPr>
            <w:r>
              <w:rPr>
                <w:rFonts w:hint="eastAsia" w:ascii="宋体" w:hAnsi="宋体" w:cs="宋体"/>
                <w:sz w:val="24"/>
                <w:szCs w:val="24"/>
                <w:highlight w:val="none"/>
              </w:rPr>
              <w:t>报价权重</w:t>
            </w:r>
          </w:p>
        </w:tc>
        <w:tc>
          <w:tcPr>
            <w:tcW w:w="1017" w:type="dxa"/>
            <w:tcBorders>
              <w:top w:val="single" w:color="auto" w:sz="4" w:space="0"/>
              <w:left w:val="single" w:color="auto" w:sz="4" w:space="0"/>
              <w:bottom w:val="single" w:color="auto" w:sz="4" w:space="0"/>
              <w:right w:val="single" w:color="auto" w:sz="4" w:space="0"/>
            </w:tcBorders>
            <w:vAlign w:val="center"/>
          </w:tcPr>
          <w:p w14:paraId="5AA5C4DD">
            <w:pPr>
              <w:spacing w:line="360" w:lineRule="auto"/>
              <w:rPr>
                <w:rFonts w:ascii="宋体" w:hAnsi="宋体" w:cs="宋体"/>
                <w:strike/>
                <w:sz w:val="24"/>
                <w:szCs w:val="24"/>
                <w:highlight w:val="none"/>
              </w:rPr>
            </w:pPr>
          </w:p>
        </w:tc>
        <w:tc>
          <w:tcPr>
            <w:tcW w:w="1054" w:type="dxa"/>
            <w:gridSpan w:val="2"/>
            <w:tcBorders>
              <w:top w:val="single" w:color="auto" w:sz="4" w:space="0"/>
              <w:left w:val="single" w:color="auto" w:sz="4" w:space="0"/>
              <w:bottom w:val="single" w:color="auto" w:sz="4" w:space="0"/>
              <w:right w:val="single" w:color="auto" w:sz="4" w:space="0"/>
            </w:tcBorders>
            <w:vAlign w:val="center"/>
          </w:tcPr>
          <w:p w14:paraId="247E2755">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6B7A194">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DBE5900">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A690B40">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AE15D36">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2C1949E">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76F4D7C">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3FC70F4">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686117C">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059C1E1">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E6F83B7">
            <w:pPr>
              <w:spacing w:line="360" w:lineRule="auto"/>
              <w:rPr>
                <w:rFonts w:ascii="宋体" w:hAnsi="宋体" w:cs="宋体"/>
                <w:strike/>
                <w:sz w:val="24"/>
                <w:szCs w:val="24"/>
                <w:highlight w:val="none"/>
              </w:rPr>
            </w:pPr>
          </w:p>
        </w:tc>
      </w:tr>
      <w:tr w14:paraId="55E1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9" w:type="dxa"/>
            <w:tcBorders>
              <w:top w:val="single" w:color="auto" w:sz="4" w:space="0"/>
              <w:left w:val="single" w:color="auto" w:sz="4" w:space="0"/>
              <w:bottom w:val="single" w:color="auto" w:sz="4" w:space="0"/>
              <w:right w:val="single" w:color="auto" w:sz="4" w:space="0"/>
            </w:tcBorders>
            <w:vAlign w:val="center"/>
          </w:tcPr>
          <w:p w14:paraId="2E7F499E">
            <w:pPr>
              <w:spacing w:line="360" w:lineRule="auto"/>
              <w:rPr>
                <w:rFonts w:ascii="宋体" w:hAnsi="宋体" w:cs="宋体"/>
                <w:sz w:val="24"/>
                <w:szCs w:val="24"/>
                <w:highlight w:val="none"/>
              </w:rPr>
            </w:pPr>
            <w:r>
              <w:rPr>
                <w:rFonts w:hint="eastAsia" w:ascii="宋体" w:hAnsi="宋体" w:cs="宋体"/>
                <w:sz w:val="24"/>
                <w:szCs w:val="24"/>
                <w:highlight w:val="none"/>
              </w:rPr>
              <w:t>评标参考价PC（元）</w:t>
            </w:r>
          </w:p>
        </w:tc>
        <w:tc>
          <w:tcPr>
            <w:tcW w:w="12481" w:type="dxa"/>
            <w:gridSpan w:val="13"/>
            <w:tcBorders>
              <w:top w:val="single" w:color="auto" w:sz="4" w:space="0"/>
              <w:left w:val="single" w:color="auto" w:sz="4" w:space="0"/>
              <w:bottom w:val="single" w:color="auto" w:sz="4" w:space="0"/>
              <w:right w:val="single" w:color="auto" w:sz="4" w:space="0"/>
            </w:tcBorders>
            <w:vAlign w:val="center"/>
          </w:tcPr>
          <w:p w14:paraId="64381095">
            <w:pPr>
              <w:spacing w:line="360" w:lineRule="auto"/>
              <w:rPr>
                <w:rFonts w:ascii="宋体" w:hAnsi="宋体" w:cs="宋体"/>
                <w:strike/>
                <w:sz w:val="24"/>
                <w:szCs w:val="24"/>
                <w:highlight w:val="none"/>
              </w:rPr>
            </w:pPr>
          </w:p>
        </w:tc>
      </w:tr>
      <w:tr w14:paraId="6F53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9" w:type="dxa"/>
            <w:tcBorders>
              <w:top w:val="single" w:color="auto" w:sz="4" w:space="0"/>
              <w:left w:val="single" w:color="auto" w:sz="4" w:space="0"/>
              <w:bottom w:val="single" w:color="auto" w:sz="4" w:space="0"/>
              <w:right w:val="single" w:color="auto" w:sz="4" w:space="0"/>
            </w:tcBorders>
            <w:vAlign w:val="center"/>
          </w:tcPr>
          <w:p w14:paraId="35562F6E">
            <w:pPr>
              <w:spacing w:line="360" w:lineRule="auto"/>
              <w:rPr>
                <w:rFonts w:ascii="宋体" w:hAnsi="宋体" w:cs="宋体"/>
                <w:sz w:val="24"/>
                <w:szCs w:val="24"/>
                <w:highlight w:val="none"/>
              </w:rPr>
            </w:pPr>
            <w:r>
              <w:rPr>
                <w:rFonts w:hint="eastAsia" w:ascii="宋体" w:hAnsi="宋体" w:cs="宋体"/>
                <w:sz w:val="24"/>
                <w:szCs w:val="24"/>
                <w:highlight w:val="none"/>
              </w:rPr>
              <w:t>偏差（（PT-PC）/PC）（%）</w:t>
            </w:r>
          </w:p>
        </w:tc>
        <w:tc>
          <w:tcPr>
            <w:tcW w:w="1029" w:type="dxa"/>
            <w:gridSpan w:val="2"/>
            <w:tcBorders>
              <w:top w:val="single" w:color="auto" w:sz="4" w:space="0"/>
              <w:left w:val="single" w:color="auto" w:sz="4" w:space="0"/>
              <w:bottom w:val="single" w:color="auto" w:sz="4" w:space="0"/>
              <w:right w:val="single" w:color="auto" w:sz="4" w:space="0"/>
            </w:tcBorders>
            <w:vAlign w:val="center"/>
          </w:tcPr>
          <w:p w14:paraId="46664C8D">
            <w:pPr>
              <w:spacing w:line="360" w:lineRule="auto"/>
              <w:rPr>
                <w:rFonts w:ascii="宋体" w:hAnsi="宋体" w:cs="宋体"/>
                <w:strike/>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5D93A2E6">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3DD3E0E">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9A25329">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35D2EF3">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8DEFF0F">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DEBDA09">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C186136">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E563B91">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D3819B1">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C3E8A6B">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6511306">
            <w:pPr>
              <w:spacing w:line="360" w:lineRule="auto"/>
              <w:rPr>
                <w:rFonts w:ascii="宋体" w:hAnsi="宋体" w:cs="宋体"/>
                <w:strike/>
                <w:sz w:val="24"/>
                <w:szCs w:val="24"/>
                <w:highlight w:val="none"/>
              </w:rPr>
            </w:pPr>
          </w:p>
        </w:tc>
      </w:tr>
      <w:tr w14:paraId="107A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9" w:type="dxa"/>
            <w:tcBorders>
              <w:top w:val="single" w:color="auto" w:sz="4" w:space="0"/>
              <w:left w:val="single" w:color="auto" w:sz="4" w:space="0"/>
              <w:bottom w:val="single" w:color="auto" w:sz="4" w:space="0"/>
              <w:right w:val="single" w:color="auto" w:sz="4" w:space="0"/>
            </w:tcBorders>
            <w:vAlign w:val="center"/>
          </w:tcPr>
          <w:p w14:paraId="74445EA1">
            <w:pPr>
              <w:spacing w:line="360" w:lineRule="auto"/>
              <w:rPr>
                <w:rFonts w:ascii="宋体" w:hAnsi="宋体" w:cs="宋体"/>
                <w:sz w:val="24"/>
                <w:szCs w:val="24"/>
                <w:highlight w:val="none"/>
              </w:rPr>
            </w:pPr>
            <w:r>
              <w:rPr>
                <w:rFonts w:hint="eastAsia" w:ascii="宋体" w:hAnsi="宋体" w:cs="宋体"/>
                <w:sz w:val="24"/>
                <w:szCs w:val="24"/>
                <w:highlight w:val="none"/>
              </w:rPr>
              <w:t>减分（A）</w:t>
            </w:r>
          </w:p>
        </w:tc>
        <w:tc>
          <w:tcPr>
            <w:tcW w:w="1029" w:type="dxa"/>
            <w:gridSpan w:val="2"/>
            <w:tcBorders>
              <w:top w:val="single" w:color="auto" w:sz="4" w:space="0"/>
              <w:left w:val="single" w:color="auto" w:sz="4" w:space="0"/>
              <w:bottom w:val="single" w:color="auto" w:sz="4" w:space="0"/>
              <w:right w:val="single" w:color="auto" w:sz="4" w:space="0"/>
            </w:tcBorders>
            <w:vAlign w:val="center"/>
          </w:tcPr>
          <w:p w14:paraId="7DEF2DD0">
            <w:pPr>
              <w:spacing w:line="360" w:lineRule="auto"/>
              <w:rPr>
                <w:rFonts w:ascii="宋体" w:hAnsi="宋体" w:cs="宋体"/>
                <w:strike/>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5BBD70FB">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DA44718">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2482B7F">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5B9A7CA">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E66C593">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7B68665">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04EC369">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8AB4A25">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E482D5C">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200D393">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4C18E3D">
            <w:pPr>
              <w:spacing w:line="360" w:lineRule="auto"/>
              <w:rPr>
                <w:rFonts w:ascii="宋体" w:hAnsi="宋体" w:cs="宋体"/>
                <w:strike/>
                <w:sz w:val="24"/>
                <w:szCs w:val="24"/>
                <w:highlight w:val="none"/>
              </w:rPr>
            </w:pPr>
          </w:p>
        </w:tc>
      </w:tr>
      <w:tr w14:paraId="7120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9" w:type="dxa"/>
            <w:tcBorders>
              <w:top w:val="single" w:color="auto" w:sz="4" w:space="0"/>
              <w:left w:val="single" w:color="auto" w:sz="4" w:space="0"/>
              <w:bottom w:val="single" w:color="auto" w:sz="4" w:space="0"/>
              <w:right w:val="single" w:color="auto" w:sz="4" w:space="0"/>
            </w:tcBorders>
            <w:vAlign w:val="center"/>
          </w:tcPr>
          <w:p w14:paraId="45A162CE">
            <w:pPr>
              <w:spacing w:line="360" w:lineRule="auto"/>
              <w:rPr>
                <w:rFonts w:ascii="宋体" w:hAnsi="宋体" w:cs="宋体"/>
                <w:sz w:val="24"/>
                <w:szCs w:val="24"/>
                <w:highlight w:val="none"/>
              </w:rPr>
            </w:pPr>
            <w:r>
              <w:rPr>
                <w:rFonts w:hint="eastAsia" w:ascii="宋体" w:hAnsi="宋体" w:cs="宋体"/>
                <w:sz w:val="24"/>
                <w:szCs w:val="24"/>
                <w:highlight w:val="none"/>
              </w:rPr>
              <w:t>得分(I=100-A)</w:t>
            </w:r>
          </w:p>
        </w:tc>
        <w:tc>
          <w:tcPr>
            <w:tcW w:w="1029" w:type="dxa"/>
            <w:gridSpan w:val="2"/>
            <w:tcBorders>
              <w:top w:val="single" w:color="auto" w:sz="4" w:space="0"/>
              <w:left w:val="single" w:color="auto" w:sz="4" w:space="0"/>
              <w:bottom w:val="single" w:color="auto" w:sz="4" w:space="0"/>
              <w:right w:val="single" w:color="auto" w:sz="4" w:space="0"/>
            </w:tcBorders>
            <w:vAlign w:val="center"/>
          </w:tcPr>
          <w:p w14:paraId="5B586508">
            <w:pPr>
              <w:spacing w:line="360" w:lineRule="auto"/>
              <w:rPr>
                <w:rFonts w:ascii="宋体" w:hAnsi="宋体" w:cs="宋体"/>
                <w:strike/>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6928C8D5">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CAD86EB">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81DC2A9">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8C18656">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34B933E">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55C910E">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B35B6A0">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6AC11BC">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2312BA5">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3642452">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3D22D4A">
            <w:pPr>
              <w:spacing w:line="360" w:lineRule="auto"/>
              <w:rPr>
                <w:rFonts w:ascii="宋体" w:hAnsi="宋体" w:cs="宋体"/>
                <w:strike/>
                <w:sz w:val="24"/>
                <w:szCs w:val="24"/>
                <w:highlight w:val="none"/>
              </w:rPr>
            </w:pPr>
          </w:p>
        </w:tc>
      </w:tr>
      <w:tr w14:paraId="3280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9" w:type="dxa"/>
            <w:tcBorders>
              <w:top w:val="single" w:color="auto" w:sz="4" w:space="0"/>
              <w:left w:val="single" w:color="auto" w:sz="4" w:space="0"/>
              <w:bottom w:val="single" w:color="auto" w:sz="4" w:space="0"/>
              <w:right w:val="single" w:color="auto" w:sz="4" w:space="0"/>
            </w:tcBorders>
            <w:vAlign w:val="center"/>
          </w:tcPr>
          <w:p w14:paraId="7D1E025E">
            <w:pPr>
              <w:spacing w:line="360" w:lineRule="auto"/>
              <w:rPr>
                <w:rFonts w:ascii="宋体" w:hAnsi="宋体" w:cs="宋体"/>
                <w:sz w:val="24"/>
                <w:szCs w:val="24"/>
                <w:highlight w:val="none"/>
              </w:rPr>
            </w:pPr>
            <w:r>
              <w:rPr>
                <w:rFonts w:hint="eastAsia" w:ascii="宋体" w:hAnsi="宋体" w:cs="宋体"/>
                <w:sz w:val="24"/>
                <w:szCs w:val="24"/>
                <w:highlight w:val="none"/>
              </w:rPr>
              <w:t>得分排名次序</w:t>
            </w:r>
          </w:p>
        </w:tc>
        <w:tc>
          <w:tcPr>
            <w:tcW w:w="1029" w:type="dxa"/>
            <w:gridSpan w:val="2"/>
            <w:tcBorders>
              <w:top w:val="single" w:color="auto" w:sz="4" w:space="0"/>
              <w:left w:val="single" w:color="auto" w:sz="4" w:space="0"/>
              <w:bottom w:val="single" w:color="auto" w:sz="4" w:space="0"/>
              <w:right w:val="single" w:color="auto" w:sz="4" w:space="0"/>
            </w:tcBorders>
            <w:vAlign w:val="center"/>
          </w:tcPr>
          <w:p w14:paraId="034DDDD8">
            <w:pPr>
              <w:spacing w:line="360" w:lineRule="auto"/>
              <w:rPr>
                <w:rFonts w:ascii="宋体" w:hAnsi="宋体" w:cs="宋体"/>
                <w:strike/>
                <w:sz w:val="24"/>
                <w:szCs w:val="24"/>
                <w:highlight w:val="none"/>
              </w:rPr>
            </w:pPr>
          </w:p>
        </w:tc>
        <w:tc>
          <w:tcPr>
            <w:tcW w:w="1042" w:type="dxa"/>
            <w:tcBorders>
              <w:top w:val="single" w:color="auto" w:sz="4" w:space="0"/>
              <w:left w:val="single" w:color="auto" w:sz="4" w:space="0"/>
              <w:bottom w:val="single" w:color="auto" w:sz="4" w:space="0"/>
              <w:right w:val="single" w:color="auto" w:sz="4" w:space="0"/>
            </w:tcBorders>
            <w:vAlign w:val="center"/>
          </w:tcPr>
          <w:p w14:paraId="5D444729">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F6AE9BC">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39582BF">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9C5D517">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58CCF4A">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75F90E24">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EA0671F">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AA10DC5">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F99FBA2">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157511D">
            <w:pPr>
              <w:spacing w:line="360" w:lineRule="auto"/>
              <w:rPr>
                <w:rFonts w:ascii="宋体" w:hAnsi="宋体" w:cs="宋体"/>
                <w:strike/>
                <w:sz w:val="24"/>
                <w:szCs w:val="24"/>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4DCFA884">
            <w:pPr>
              <w:spacing w:line="360" w:lineRule="auto"/>
              <w:rPr>
                <w:rFonts w:ascii="宋体" w:hAnsi="宋体" w:cs="宋体"/>
                <w:strike/>
                <w:sz w:val="24"/>
                <w:szCs w:val="24"/>
                <w:highlight w:val="none"/>
              </w:rPr>
            </w:pPr>
          </w:p>
        </w:tc>
      </w:tr>
    </w:tbl>
    <w:p w14:paraId="0CB105EA">
      <w:pPr>
        <w:spacing w:line="360" w:lineRule="auto"/>
        <w:rPr>
          <w:sz w:val="24"/>
          <w:szCs w:val="24"/>
          <w:highlight w:val="none"/>
        </w:rPr>
      </w:pPr>
      <w:r>
        <w:rPr>
          <w:rFonts w:hint="eastAsia"/>
          <w:sz w:val="24"/>
          <w:szCs w:val="24"/>
          <w:highlight w:val="none"/>
        </w:rPr>
        <w:t>评委签名：</w:t>
      </w:r>
    </w:p>
    <w:p w14:paraId="7E3C9136">
      <w:pPr>
        <w:rPr>
          <w:sz w:val="24"/>
          <w:szCs w:val="24"/>
          <w:highlight w:val="none"/>
        </w:rPr>
      </w:pPr>
      <w:r>
        <w:rPr>
          <w:rFonts w:hint="eastAsia"/>
          <w:sz w:val="24"/>
          <w:szCs w:val="24"/>
          <w:highlight w:val="none"/>
        </w:rPr>
        <w:br w:type="page"/>
      </w:r>
    </w:p>
    <w:p w14:paraId="749BAF16">
      <w:pPr>
        <w:pStyle w:val="4"/>
        <w:spacing w:before="0" w:beforeAutospacing="0" w:after="0" w:afterAutospacing="0" w:line="360" w:lineRule="auto"/>
        <w:rPr>
          <w:sz w:val="24"/>
          <w:szCs w:val="24"/>
          <w:highlight w:val="none"/>
        </w:rPr>
      </w:pPr>
      <w:r>
        <w:rPr>
          <w:rFonts w:hint="eastAsia"/>
          <w:sz w:val="24"/>
          <w:szCs w:val="24"/>
          <w:highlight w:val="none"/>
        </w:rPr>
        <w:t>附表六</w:t>
      </w:r>
    </w:p>
    <w:p w14:paraId="1398E38B">
      <w:pPr>
        <w:spacing w:line="360" w:lineRule="auto"/>
        <w:jc w:val="center"/>
        <w:rPr>
          <w:rFonts w:ascii="宋体" w:hAnsi="宋体" w:cs="宋体"/>
          <w:b/>
          <w:sz w:val="32"/>
          <w:szCs w:val="32"/>
          <w:highlight w:val="none"/>
        </w:rPr>
      </w:pPr>
      <w:r>
        <w:rPr>
          <w:rFonts w:hint="eastAsia" w:ascii="宋体" w:hAnsi="宋体" w:cs="宋体"/>
          <w:b/>
          <w:sz w:val="32"/>
          <w:szCs w:val="32"/>
          <w:highlight w:val="none"/>
        </w:rPr>
        <w:t>算术复核表</w:t>
      </w:r>
    </w:p>
    <w:p w14:paraId="6B5E0B68">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工程名称：                                           投标人：                                                  单位：元</w:t>
      </w:r>
    </w:p>
    <w:tbl>
      <w:tblPr>
        <w:tblStyle w:val="36"/>
        <w:tblW w:w="4998" w:type="pct"/>
        <w:tblInd w:w="0" w:type="dxa"/>
        <w:tblLayout w:type="autofit"/>
        <w:tblCellMar>
          <w:top w:w="0" w:type="dxa"/>
          <w:left w:w="108" w:type="dxa"/>
          <w:bottom w:w="0" w:type="dxa"/>
          <w:right w:w="108" w:type="dxa"/>
        </w:tblCellMar>
      </w:tblPr>
      <w:tblGrid>
        <w:gridCol w:w="585"/>
        <w:gridCol w:w="4421"/>
        <w:gridCol w:w="1540"/>
        <w:gridCol w:w="1514"/>
        <w:gridCol w:w="1910"/>
        <w:gridCol w:w="1408"/>
        <w:gridCol w:w="3402"/>
      </w:tblGrid>
      <w:tr w14:paraId="54DBD301">
        <w:tblPrEx>
          <w:tblCellMar>
            <w:top w:w="0" w:type="dxa"/>
            <w:left w:w="108" w:type="dxa"/>
            <w:bottom w:w="0" w:type="dxa"/>
            <w:right w:w="108" w:type="dxa"/>
          </w:tblCellMar>
        </w:tblPrEx>
        <w:trPr>
          <w:trHeight w:val="705" w:hRule="atLeast"/>
        </w:trPr>
        <w:tc>
          <w:tcPr>
            <w:tcW w:w="217" w:type="pct"/>
            <w:tcBorders>
              <w:top w:val="single" w:color="auto" w:sz="4" w:space="0"/>
              <w:left w:val="single" w:color="auto" w:sz="4" w:space="0"/>
              <w:bottom w:val="single" w:color="auto" w:sz="4" w:space="0"/>
              <w:right w:val="single" w:color="auto" w:sz="4" w:space="0"/>
            </w:tcBorders>
            <w:vAlign w:val="center"/>
          </w:tcPr>
          <w:p w14:paraId="11E892AA">
            <w:pPr>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编号</w:t>
            </w:r>
          </w:p>
        </w:tc>
        <w:tc>
          <w:tcPr>
            <w:tcW w:w="1514" w:type="pct"/>
            <w:tcBorders>
              <w:top w:val="single" w:color="auto" w:sz="4" w:space="0"/>
              <w:left w:val="nil"/>
              <w:bottom w:val="single" w:color="auto" w:sz="4" w:space="0"/>
              <w:right w:val="single" w:color="auto" w:sz="4" w:space="0"/>
            </w:tcBorders>
            <w:vAlign w:val="center"/>
          </w:tcPr>
          <w:p w14:paraId="224F3D3B">
            <w:pPr>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算术校核项目</w:t>
            </w:r>
          </w:p>
        </w:tc>
        <w:tc>
          <w:tcPr>
            <w:tcW w:w="540" w:type="pct"/>
            <w:tcBorders>
              <w:top w:val="single" w:color="auto" w:sz="4" w:space="0"/>
              <w:left w:val="nil"/>
              <w:bottom w:val="single" w:color="auto" w:sz="4" w:space="0"/>
              <w:right w:val="single" w:color="auto" w:sz="4" w:space="0"/>
            </w:tcBorders>
            <w:vAlign w:val="center"/>
          </w:tcPr>
          <w:p w14:paraId="54ECC01F">
            <w:pPr>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修正前投标</w:t>
            </w:r>
          </w:p>
          <w:p w14:paraId="19934E3D">
            <w:pPr>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报价A</w:t>
            </w:r>
          </w:p>
        </w:tc>
        <w:tc>
          <w:tcPr>
            <w:tcW w:w="531" w:type="pct"/>
            <w:tcBorders>
              <w:top w:val="single" w:color="auto" w:sz="4" w:space="0"/>
              <w:left w:val="nil"/>
              <w:bottom w:val="single" w:color="auto" w:sz="4" w:space="0"/>
              <w:right w:val="single" w:color="auto" w:sz="4" w:space="0"/>
            </w:tcBorders>
            <w:vAlign w:val="center"/>
          </w:tcPr>
          <w:p w14:paraId="432D3FFE">
            <w:pPr>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修正后投标</w:t>
            </w:r>
          </w:p>
          <w:p w14:paraId="39FCD834">
            <w:pPr>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报价B</w:t>
            </w:r>
          </w:p>
        </w:tc>
        <w:tc>
          <w:tcPr>
            <w:tcW w:w="531" w:type="pct"/>
            <w:tcBorders>
              <w:top w:val="single" w:color="auto" w:sz="4" w:space="0"/>
              <w:left w:val="nil"/>
              <w:bottom w:val="single" w:color="auto" w:sz="4" w:space="0"/>
              <w:right w:val="single" w:color="auto" w:sz="4" w:space="0"/>
            </w:tcBorders>
            <w:vAlign w:val="center"/>
          </w:tcPr>
          <w:p w14:paraId="33FF1011">
            <w:pPr>
              <w:spacing w:line="360" w:lineRule="auto"/>
              <w:rPr>
                <w:rFonts w:ascii="宋体" w:hAnsi="宋体" w:cs="宋体"/>
                <w:b/>
                <w:bCs/>
                <w:sz w:val="24"/>
                <w:szCs w:val="24"/>
                <w:highlight w:val="none"/>
              </w:rPr>
            </w:pPr>
            <w:r>
              <w:rPr>
                <w:rFonts w:hint="eastAsia" w:ascii="宋体" w:hAnsi="宋体" w:cs="宋体"/>
                <w:b/>
                <w:bCs/>
                <w:kern w:val="0"/>
                <w:sz w:val="24"/>
                <w:szCs w:val="24"/>
                <w:highlight w:val="none"/>
              </w:rPr>
              <w:t>修正率</w:t>
            </w:r>
          </w:p>
          <w:p w14:paraId="5B183976">
            <w:pPr>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r=|A-B|/A*100%</w:t>
            </w:r>
          </w:p>
        </w:tc>
        <w:tc>
          <w:tcPr>
            <w:tcW w:w="495" w:type="pct"/>
            <w:tcBorders>
              <w:top w:val="single" w:color="auto" w:sz="4" w:space="0"/>
              <w:left w:val="nil"/>
              <w:bottom w:val="single" w:color="auto" w:sz="4" w:space="0"/>
              <w:right w:val="single" w:color="auto" w:sz="4" w:space="0"/>
            </w:tcBorders>
            <w:vAlign w:val="center"/>
          </w:tcPr>
          <w:p w14:paraId="4B61432D">
            <w:pPr>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经评审的最终投标报价</w:t>
            </w:r>
          </w:p>
        </w:tc>
        <w:tc>
          <w:tcPr>
            <w:tcW w:w="1169" w:type="pct"/>
            <w:tcBorders>
              <w:top w:val="single" w:color="auto" w:sz="4" w:space="0"/>
              <w:left w:val="nil"/>
              <w:bottom w:val="single" w:color="auto" w:sz="4" w:space="0"/>
              <w:right w:val="single" w:color="auto" w:sz="4" w:space="0"/>
            </w:tcBorders>
            <w:vAlign w:val="center"/>
          </w:tcPr>
          <w:p w14:paraId="6D5AF0FC">
            <w:pPr>
              <w:spacing w:line="360" w:lineRule="auto"/>
              <w:rPr>
                <w:rFonts w:ascii="宋体" w:hAnsi="宋体" w:cs="宋体"/>
                <w:b/>
                <w:bCs/>
                <w:kern w:val="0"/>
                <w:sz w:val="24"/>
                <w:szCs w:val="24"/>
                <w:highlight w:val="none"/>
              </w:rPr>
            </w:pPr>
            <w:r>
              <w:rPr>
                <w:rFonts w:hint="eastAsia" w:ascii="宋体" w:hAnsi="宋体" w:cs="宋体"/>
                <w:b/>
                <w:bCs/>
                <w:kern w:val="0"/>
                <w:sz w:val="24"/>
                <w:szCs w:val="24"/>
                <w:highlight w:val="none"/>
              </w:rPr>
              <w:t>当B&gt;A时，修正后报价与原报价的差额；当B≤A时，R=0</w:t>
            </w:r>
          </w:p>
        </w:tc>
      </w:tr>
      <w:tr w14:paraId="4D9A8E42">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103AB717">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1</w:t>
            </w:r>
          </w:p>
        </w:tc>
        <w:tc>
          <w:tcPr>
            <w:tcW w:w="1514" w:type="pct"/>
            <w:tcBorders>
              <w:top w:val="nil"/>
              <w:left w:val="nil"/>
              <w:bottom w:val="single" w:color="auto" w:sz="4" w:space="0"/>
              <w:right w:val="single" w:color="auto" w:sz="4" w:space="0"/>
            </w:tcBorders>
            <w:vAlign w:val="center"/>
          </w:tcPr>
          <w:p w14:paraId="378EAC25">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[单位工程1]</w:t>
            </w:r>
          </w:p>
        </w:tc>
        <w:tc>
          <w:tcPr>
            <w:tcW w:w="540" w:type="pct"/>
            <w:tcBorders>
              <w:top w:val="nil"/>
              <w:left w:val="nil"/>
              <w:bottom w:val="single" w:color="auto" w:sz="4" w:space="0"/>
              <w:right w:val="single" w:color="auto" w:sz="4" w:space="0"/>
            </w:tcBorders>
            <w:vAlign w:val="center"/>
          </w:tcPr>
          <w:p w14:paraId="776EE985">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531" w:type="pct"/>
            <w:tcBorders>
              <w:top w:val="nil"/>
              <w:left w:val="nil"/>
              <w:bottom w:val="single" w:color="auto" w:sz="4" w:space="0"/>
              <w:right w:val="single" w:color="auto" w:sz="4" w:space="0"/>
            </w:tcBorders>
            <w:vAlign w:val="center"/>
          </w:tcPr>
          <w:p w14:paraId="75018A99">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531" w:type="pct"/>
            <w:tcBorders>
              <w:top w:val="nil"/>
              <w:left w:val="nil"/>
              <w:bottom w:val="single" w:color="auto" w:sz="4" w:space="0"/>
              <w:right w:val="single" w:color="auto" w:sz="4" w:space="0"/>
            </w:tcBorders>
            <w:vAlign w:val="center"/>
          </w:tcPr>
          <w:p w14:paraId="572F1660">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495" w:type="pct"/>
            <w:tcBorders>
              <w:top w:val="nil"/>
              <w:left w:val="nil"/>
              <w:bottom w:val="single" w:color="auto" w:sz="4" w:space="0"/>
              <w:right w:val="single" w:color="auto" w:sz="4" w:space="0"/>
            </w:tcBorders>
            <w:vAlign w:val="center"/>
          </w:tcPr>
          <w:p w14:paraId="447A5863">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1169" w:type="pct"/>
            <w:tcBorders>
              <w:top w:val="single" w:color="auto" w:sz="4" w:space="0"/>
              <w:left w:val="nil"/>
              <w:bottom w:val="single" w:color="auto" w:sz="4" w:space="0"/>
              <w:right w:val="single" w:color="auto" w:sz="4" w:space="0"/>
            </w:tcBorders>
            <w:vAlign w:val="center"/>
          </w:tcPr>
          <w:p w14:paraId="249D9CF1">
            <w:pPr>
              <w:spacing w:line="360" w:lineRule="auto"/>
              <w:rPr>
                <w:rFonts w:ascii="宋体" w:hAnsi="宋体" w:cs="宋体"/>
                <w:kern w:val="0"/>
                <w:sz w:val="24"/>
                <w:szCs w:val="24"/>
                <w:highlight w:val="none"/>
              </w:rPr>
            </w:pPr>
          </w:p>
        </w:tc>
      </w:tr>
      <w:tr w14:paraId="4999A333">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3D506978">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2</w:t>
            </w:r>
          </w:p>
        </w:tc>
        <w:tc>
          <w:tcPr>
            <w:tcW w:w="1514" w:type="pct"/>
            <w:tcBorders>
              <w:top w:val="nil"/>
              <w:left w:val="nil"/>
              <w:bottom w:val="single" w:color="auto" w:sz="4" w:space="0"/>
              <w:right w:val="single" w:color="auto" w:sz="4" w:space="0"/>
            </w:tcBorders>
            <w:vAlign w:val="center"/>
          </w:tcPr>
          <w:p w14:paraId="50EB0539">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[单位工程2]</w:t>
            </w:r>
          </w:p>
        </w:tc>
        <w:tc>
          <w:tcPr>
            <w:tcW w:w="540" w:type="pct"/>
            <w:tcBorders>
              <w:top w:val="nil"/>
              <w:left w:val="nil"/>
              <w:bottom w:val="single" w:color="auto" w:sz="4" w:space="0"/>
              <w:right w:val="single" w:color="auto" w:sz="4" w:space="0"/>
            </w:tcBorders>
            <w:vAlign w:val="center"/>
          </w:tcPr>
          <w:p w14:paraId="6334335F">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531" w:type="pct"/>
            <w:tcBorders>
              <w:top w:val="nil"/>
              <w:left w:val="nil"/>
              <w:bottom w:val="single" w:color="auto" w:sz="4" w:space="0"/>
              <w:right w:val="single" w:color="auto" w:sz="4" w:space="0"/>
            </w:tcBorders>
            <w:vAlign w:val="center"/>
          </w:tcPr>
          <w:p w14:paraId="64A3B148">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531" w:type="pct"/>
            <w:tcBorders>
              <w:top w:val="nil"/>
              <w:left w:val="nil"/>
              <w:bottom w:val="single" w:color="auto" w:sz="4" w:space="0"/>
              <w:right w:val="single" w:color="auto" w:sz="4" w:space="0"/>
            </w:tcBorders>
            <w:vAlign w:val="center"/>
          </w:tcPr>
          <w:p w14:paraId="76D4F4F7">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495" w:type="pct"/>
            <w:tcBorders>
              <w:top w:val="nil"/>
              <w:left w:val="nil"/>
              <w:bottom w:val="single" w:color="auto" w:sz="4" w:space="0"/>
              <w:right w:val="single" w:color="auto" w:sz="4" w:space="0"/>
            </w:tcBorders>
            <w:vAlign w:val="center"/>
          </w:tcPr>
          <w:p w14:paraId="62C69174">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1169" w:type="pct"/>
            <w:tcBorders>
              <w:top w:val="single" w:color="auto" w:sz="4" w:space="0"/>
              <w:left w:val="nil"/>
              <w:bottom w:val="single" w:color="auto" w:sz="4" w:space="0"/>
              <w:right w:val="single" w:color="auto" w:sz="4" w:space="0"/>
            </w:tcBorders>
            <w:vAlign w:val="center"/>
          </w:tcPr>
          <w:p w14:paraId="76C6F45E">
            <w:pPr>
              <w:spacing w:line="360" w:lineRule="auto"/>
              <w:rPr>
                <w:rFonts w:ascii="宋体" w:hAnsi="宋体" w:cs="宋体"/>
                <w:kern w:val="0"/>
                <w:sz w:val="24"/>
                <w:szCs w:val="24"/>
                <w:highlight w:val="none"/>
              </w:rPr>
            </w:pPr>
          </w:p>
        </w:tc>
      </w:tr>
      <w:tr w14:paraId="38834B3C">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2616A87B">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w:t>
            </w:r>
          </w:p>
        </w:tc>
        <w:tc>
          <w:tcPr>
            <w:tcW w:w="1514" w:type="pct"/>
            <w:tcBorders>
              <w:top w:val="nil"/>
              <w:left w:val="nil"/>
              <w:bottom w:val="single" w:color="auto" w:sz="4" w:space="0"/>
              <w:right w:val="single" w:color="auto" w:sz="4" w:space="0"/>
            </w:tcBorders>
            <w:vAlign w:val="center"/>
          </w:tcPr>
          <w:p w14:paraId="4E4A3F10">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w:t>
            </w:r>
          </w:p>
        </w:tc>
        <w:tc>
          <w:tcPr>
            <w:tcW w:w="540" w:type="pct"/>
            <w:tcBorders>
              <w:top w:val="nil"/>
              <w:left w:val="nil"/>
              <w:bottom w:val="single" w:color="auto" w:sz="4" w:space="0"/>
              <w:right w:val="single" w:color="auto" w:sz="4" w:space="0"/>
            </w:tcBorders>
            <w:vAlign w:val="center"/>
          </w:tcPr>
          <w:p w14:paraId="1162347D">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531" w:type="pct"/>
            <w:tcBorders>
              <w:top w:val="nil"/>
              <w:left w:val="nil"/>
              <w:bottom w:val="single" w:color="auto" w:sz="4" w:space="0"/>
              <w:right w:val="single" w:color="auto" w:sz="4" w:space="0"/>
            </w:tcBorders>
            <w:vAlign w:val="center"/>
          </w:tcPr>
          <w:p w14:paraId="7F84538F">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531" w:type="pct"/>
            <w:tcBorders>
              <w:top w:val="nil"/>
              <w:left w:val="nil"/>
              <w:bottom w:val="single" w:color="auto" w:sz="4" w:space="0"/>
              <w:right w:val="single" w:color="auto" w:sz="4" w:space="0"/>
            </w:tcBorders>
            <w:vAlign w:val="center"/>
          </w:tcPr>
          <w:p w14:paraId="12867EFA">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495" w:type="pct"/>
            <w:tcBorders>
              <w:top w:val="nil"/>
              <w:left w:val="nil"/>
              <w:bottom w:val="single" w:color="auto" w:sz="4" w:space="0"/>
              <w:right w:val="single" w:color="auto" w:sz="4" w:space="0"/>
            </w:tcBorders>
            <w:vAlign w:val="center"/>
          </w:tcPr>
          <w:p w14:paraId="4CC1F132">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1169" w:type="pct"/>
            <w:tcBorders>
              <w:top w:val="single" w:color="auto" w:sz="4" w:space="0"/>
              <w:left w:val="nil"/>
              <w:bottom w:val="single" w:color="auto" w:sz="4" w:space="0"/>
              <w:right w:val="single" w:color="auto" w:sz="4" w:space="0"/>
            </w:tcBorders>
            <w:vAlign w:val="center"/>
          </w:tcPr>
          <w:p w14:paraId="474EE3BB">
            <w:pPr>
              <w:spacing w:line="360" w:lineRule="auto"/>
              <w:rPr>
                <w:rFonts w:ascii="宋体" w:hAnsi="宋体" w:cs="宋体"/>
                <w:kern w:val="0"/>
                <w:sz w:val="24"/>
                <w:szCs w:val="24"/>
                <w:highlight w:val="none"/>
              </w:rPr>
            </w:pPr>
          </w:p>
        </w:tc>
      </w:tr>
      <w:tr w14:paraId="5410D8D2">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1FEA0F85">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w:t>
            </w:r>
          </w:p>
        </w:tc>
        <w:tc>
          <w:tcPr>
            <w:tcW w:w="1514" w:type="pct"/>
            <w:tcBorders>
              <w:top w:val="nil"/>
              <w:left w:val="nil"/>
              <w:bottom w:val="single" w:color="auto" w:sz="4" w:space="0"/>
              <w:right w:val="single" w:color="auto" w:sz="4" w:space="0"/>
            </w:tcBorders>
            <w:vAlign w:val="center"/>
          </w:tcPr>
          <w:p w14:paraId="7162292C">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w:t>
            </w:r>
          </w:p>
        </w:tc>
        <w:tc>
          <w:tcPr>
            <w:tcW w:w="540" w:type="pct"/>
            <w:tcBorders>
              <w:top w:val="nil"/>
              <w:left w:val="nil"/>
              <w:bottom w:val="single" w:color="auto" w:sz="4" w:space="0"/>
              <w:right w:val="single" w:color="auto" w:sz="4" w:space="0"/>
            </w:tcBorders>
            <w:vAlign w:val="center"/>
          </w:tcPr>
          <w:p w14:paraId="5DD25E3D">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531" w:type="pct"/>
            <w:tcBorders>
              <w:top w:val="nil"/>
              <w:left w:val="nil"/>
              <w:bottom w:val="single" w:color="auto" w:sz="4" w:space="0"/>
              <w:right w:val="single" w:color="auto" w:sz="4" w:space="0"/>
            </w:tcBorders>
            <w:vAlign w:val="center"/>
          </w:tcPr>
          <w:p w14:paraId="6A7641AB">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531" w:type="pct"/>
            <w:tcBorders>
              <w:top w:val="nil"/>
              <w:left w:val="nil"/>
              <w:bottom w:val="single" w:color="auto" w:sz="4" w:space="0"/>
              <w:right w:val="single" w:color="auto" w:sz="4" w:space="0"/>
            </w:tcBorders>
            <w:vAlign w:val="center"/>
          </w:tcPr>
          <w:p w14:paraId="55C23275">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495" w:type="pct"/>
            <w:tcBorders>
              <w:top w:val="nil"/>
              <w:left w:val="nil"/>
              <w:bottom w:val="single" w:color="auto" w:sz="4" w:space="0"/>
              <w:right w:val="single" w:color="auto" w:sz="4" w:space="0"/>
            </w:tcBorders>
            <w:vAlign w:val="center"/>
          </w:tcPr>
          <w:p w14:paraId="16169D94">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1169" w:type="pct"/>
            <w:tcBorders>
              <w:top w:val="single" w:color="auto" w:sz="4" w:space="0"/>
              <w:left w:val="nil"/>
              <w:bottom w:val="single" w:color="auto" w:sz="4" w:space="0"/>
              <w:right w:val="single" w:color="auto" w:sz="4" w:space="0"/>
            </w:tcBorders>
            <w:vAlign w:val="center"/>
          </w:tcPr>
          <w:p w14:paraId="7CA7FFE4">
            <w:pPr>
              <w:spacing w:line="360" w:lineRule="auto"/>
              <w:rPr>
                <w:rFonts w:ascii="宋体" w:hAnsi="宋体" w:cs="宋体"/>
                <w:kern w:val="0"/>
                <w:sz w:val="24"/>
                <w:szCs w:val="24"/>
                <w:highlight w:val="none"/>
              </w:rPr>
            </w:pPr>
          </w:p>
        </w:tc>
      </w:tr>
      <w:tr w14:paraId="128C0758">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255AC808">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w:t>
            </w:r>
          </w:p>
        </w:tc>
        <w:tc>
          <w:tcPr>
            <w:tcW w:w="1514" w:type="pct"/>
            <w:tcBorders>
              <w:top w:val="nil"/>
              <w:left w:val="nil"/>
              <w:bottom w:val="single" w:color="auto" w:sz="4" w:space="0"/>
              <w:right w:val="single" w:color="auto" w:sz="4" w:space="0"/>
            </w:tcBorders>
            <w:vAlign w:val="center"/>
          </w:tcPr>
          <w:p w14:paraId="26B8A948">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w:t>
            </w:r>
          </w:p>
        </w:tc>
        <w:tc>
          <w:tcPr>
            <w:tcW w:w="540" w:type="pct"/>
            <w:tcBorders>
              <w:top w:val="nil"/>
              <w:left w:val="nil"/>
              <w:bottom w:val="single" w:color="auto" w:sz="4" w:space="0"/>
              <w:right w:val="single" w:color="auto" w:sz="4" w:space="0"/>
            </w:tcBorders>
            <w:vAlign w:val="center"/>
          </w:tcPr>
          <w:p w14:paraId="154308D9">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531" w:type="pct"/>
            <w:tcBorders>
              <w:top w:val="nil"/>
              <w:left w:val="nil"/>
              <w:bottom w:val="single" w:color="auto" w:sz="4" w:space="0"/>
              <w:right w:val="single" w:color="auto" w:sz="4" w:space="0"/>
            </w:tcBorders>
            <w:vAlign w:val="center"/>
          </w:tcPr>
          <w:p w14:paraId="47B73091">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531" w:type="pct"/>
            <w:tcBorders>
              <w:top w:val="nil"/>
              <w:left w:val="nil"/>
              <w:bottom w:val="single" w:color="auto" w:sz="4" w:space="0"/>
              <w:right w:val="single" w:color="auto" w:sz="4" w:space="0"/>
            </w:tcBorders>
            <w:vAlign w:val="center"/>
          </w:tcPr>
          <w:p w14:paraId="59CF0C4E">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495" w:type="pct"/>
            <w:tcBorders>
              <w:top w:val="nil"/>
              <w:left w:val="nil"/>
              <w:bottom w:val="single" w:color="auto" w:sz="4" w:space="0"/>
              <w:right w:val="single" w:color="auto" w:sz="4" w:space="0"/>
            </w:tcBorders>
            <w:vAlign w:val="center"/>
          </w:tcPr>
          <w:p w14:paraId="7718002C">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1169" w:type="pct"/>
            <w:tcBorders>
              <w:top w:val="single" w:color="auto" w:sz="4" w:space="0"/>
              <w:left w:val="nil"/>
              <w:bottom w:val="single" w:color="auto" w:sz="4" w:space="0"/>
              <w:right w:val="single" w:color="auto" w:sz="4" w:space="0"/>
            </w:tcBorders>
            <w:vAlign w:val="center"/>
          </w:tcPr>
          <w:p w14:paraId="6ECB9124">
            <w:pPr>
              <w:spacing w:line="360" w:lineRule="auto"/>
              <w:rPr>
                <w:rFonts w:ascii="宋体" w:hAnsi="宋体" w:cs="宋体"/>
                <w:kern w:val="0"/>
                <w:sz w:val="24"/>
                <w:szCs w:val="24"/>
                <w:highlight w:val="none"/>
              </w:rPr>
            </w:pPr>
          </w:p>
        </w:tc>
      </w:tr>
      <w:tr w14:paraId="474C7984">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210278C9">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n</w:t>
            </w:r>
          </w:p>
        </w:tc>
        <w:tc>
          <w:tcPr>
            <w:tcW w:w="1514" w:type="pct"/>
            <w:tcBorders>
              <w:top w:val="nil"/>
              <w:left w:val="nil"/>
              <w:bottom w:val="single" w:color="auto" w:sz="4" w:space="0"/>
              <w:right w:val="single" w:color="auto" w:sz="4" w:space="0"/>
            </w:tcBorders>
            <w:vAlign w:val="center"/>
          </w:tcPr>
          <w:p w14:paraId="76E08B3C">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[单位工程n]</w:t>
            </w:r>
          </w:p>
        </w:tc>
        <w:tc>
          <w:tcPr>
            <w:tcW w:w="540" w:type="pct"/>
            <w:tcBorders>
              <w:top w:val="nil"/>
              <w:left w:val="nil"/>
              <w:bottom w:val="single" w:color="auto" w:sz="4" w:space="0"/>
              <w:right w:val="single" w:color="auto" w:sz="4" w:space="0"/>
            </w:tcBorders>
            <w:vAlign w:val="center"/>
          </w:tcPr>
          <w:p w14:paraId="1F4A834C">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531" w:type="pct"/>
            <w:tcBorders>
              <w:top w:val="nil"/>
              <w:left w:val="nil"/>
              <w:bottom w:val="single" w:color="auto" w:sz="4" w:space="0"/>
              <w:right w:val="single" w:color="auto" w:sz="4" w:space="0"/>
            </w:tcBorders>
            <w:vAlign w:val="center"/>
          </w:tcPr>
          <w:p w14:paraId="089BAFE3">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531" w:type="pct"/>
            <w:tcBorders>
              <w:top w:val="nil"/>
              <w:left w:val="nil"/>
              <w:bottom w:val="single" w:color="auto" w:sz="4" w:space="0"/>
              <w:right w:val="single" w:color="auto" w:sz="4" w:space="0"/>
            </w:tcBorders>
            <w:vAlign w:val="center"/>
          </w:tcPr>
          <w:p w14:paraId="57B7508F">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495" w:type="pct"/>
            <w:tcBorders>
              <w:top w:val="nil"/>
              <w:left w:val="nil"/>
              <w:bottom w:val="single" w:color="auto" w:sz="4" w:space="0"/>
              <w:right w:val="single" w:color="auto" w:sz="4" w:space="0"/>
            </w:tcBorders>
            <w:vAlign w:val="center"/>
          </w:tcPr>
          <w:p w14:paraId="2E9A6786">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1169" w:type="pct"/>
            <w:tcBorders>
              <w:top w:val="single" w:color="auto" w:sz="4" w:space="0"/>
              <w:left w:val="nil"/>
              <w:bottom w:val="single" w:color="auto" w:sz="4" w:space="0"/>
              <w:right w:val="single" w:color="auto" w:sz="4" w:space="0"/>
            </w:tcBorders>
            <w:vAlign w:val="center"/>
          </w:tcPr>
          <w:p w14:paraId="748256E5">
            <w:pPr>
              <w:spacing w:line="360" w:lineRule="auto"/>
              <w:rPr>
                <w:rFonts w:ascii="宋体" w:hAnsi="宋体" w:cs="宋体"/>
                <w:kern w:val="0"/>
                <w:sz w:val="24"/>
                <w:szCs w:val="24"/>
                <w:highlight w:val="none"/>
              </w:rPr>
            </w:pPr>
          </w:p>
        </w:tc>
      </w:tr>
      <w:tr w14:paraId="7464BAE6">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14:paraId="5BDE8D33">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w:t>
            </w:r>
          </w:p>
        </w:tc>
        <w:tc>
          <w:tcPr>
            <w:tcW w:w="1514" w:type="pct"/>
            <w:tcBorders>
              <w:top w:val="nil"/>
              <w:left w:val="nil"/>
              <w:bottom w:val="single" w:color="auto" w:sz="4" w:space="0"/>
              <w:right w:val="single" w:color="auto" w:sz="4" w:space="0"/>
            </w:tcBorders>
            <w:vAlign w:val="center"/>
          </w:tcPr>
          <w:p w14:paraId="03DBCBFA">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投标总报价</w:t>
            </w:r>
          </w:p>
        </w:tc>
        <w:tc>
          <w:tcPr>
            <w:tcW w:w="540" w:type="pct"/>
            <w:tcBorders>
              <w:top w:val="nil"/>
              <w:left w:val="nil"/>
              <w:bottom w:val="single" w:color="auto" w:sz="4" w:space="0"/>
              <w:right w:val="single" w:color="auto" w:sz="4" w:space="0"/>
            </w:tcBorders>
            <w:vAlign w:val="center"/>
          </w:tcPr>
          <w:p w14:paraId="222CDF42">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531" w:type="pct"/>
            <w:tcBorders>
              <w:top w:val="nil"/>
              <w:left w:val="nil"/>
              <w:bottom w:val="single" w:color="auto" w:sz="4" w:space="0"/>
              <w:right w:val="single" w:color="auto" w:sz="4" w:space="0"/>
            </w:tcBorders>
            <w:vAlign w:val="center"/>
          </w:tcPr>
          <w:p w14:paraId="2E7DAB9D">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531" w:type="pct"/>
            <w:tcBorders>
              <w:top w:val="nil"/>
              <w:left w:val="nil"/>
              <w:bottom w:val="single" w:color="auto" w:sz="4" w:space="0"/>
              <w:right w:val="single" w:color="auto" w:sz="4" w:space="0"/>
              <w:tr2bl w:val="single" w:color="auto" w:sz="4" w:space="0"/>
            </w:tcBorders>
            <w:vAlign w:val="center"/>
          </w:tcPr>
          <w:p w14:paraId="262D6833">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495" w:type="pct"/>
            <w:tcBorders>
              <w:top w:val="nil"/>
              <w:left w:val="nil"/>
              <w:bottom w:val="single" w:color="auto" w:sz="4" w:space="0"/>
              <w:right w:val="single" w:color="auto" w:sz="4" w:space="0"/>
            </w:tcBorders>
            <w:vAlign w:val="center"/>
          </w:tcPr>
          <w:p w14:paraId="37032EEA">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　</w:t>
            </w:r>
          </w:p>
        </w:tc>
        <w:tc>
          <w:tcPr>
            <w:tcW w:w="1169" w:type="pct"/>
            <w:tcBorders>
              <w:top w:val="single" w:color="auto" w:sz="4" w:space="0"/>
              <w:left w:val="nil"/>
              <w:bottom w:val="single" w:color="auto" w:sz="4" w:space="0"/>
              <w:right w:val="single" w:color="auto" w:sz="4" w:space="0"/>
            </w:tcBorders>
            <w:vAlign w:val="center"/>
          </w:tcPr>
          <w:p w14:paraId="102B9E4D">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∑A=A</w:t>
            </w:r>
            <w:r>
              <w:rPr>
                <w:rFonts w:hint="eastAsia" w:ascii="宋体" w:hAnsi="宋体" w:cs="宋体"/>
                <w:kern w:val="0"/>
                <w:sz w:val="24"/>
                <w:szCs w:val="24"/>
                <w:highlight w:val="none"/>
                <w:vertAlign w:val="subscript"/>
              </w:rPr>
              <w:t>1</w:t>
            </w:r>
            <w:r>
              <w:rPr>
                <w:rFonts w:hint="eastAsia" w:ascii="宋体" w:hAnsi="宋体" w:cs="宋体"/>
                <w:kern w:val="0"/>
                <w:sz w:val="24"/>
                <w:szCs w:val="24"/>
                <w:highlight w:val="none"/>
              </w:rPr>
              <w:t>+A</w:t>
            </w:r>
            <w:r>
              <w:rPr>
                <w:rFonts w:hint="eastAsia" w:ascii="宋体" w:hAnsi="宋体" w:cs="宋体"/>
                <w:kern w:val="0"/>
                <w:sz w:val="24"/>
                <w:szCs w:val="24"/>
                <w:highlight w:val="none"/>
                <w:vertAlign w:val="subscript"/>
              </w:rPr>
              <w:t>2</w:t>
            </w:r>
            <w:r>
              <w:rPr>
                <w:rFonts w:hint="eastAsia" w:ascii="宋体" w:hAnsi="宋体" w:cs="宋体"/>
                <w:kern w:val="0"/>
                <w:sz w:val="24"/>
                <w:szCs w:val="24"/>
                <w:highlight w:val="none"/>
              </w:rPr>
              <w:t>+…An；∑B=B</w:t>
            </w:r>
            <w:r>
              <w:rPr>
                <w:rFonts w:hint="eastAsia" w:ascii="宋体" w:hAnsi="宋体" w:cs="宋体"/>
                <w:kern w:val="0"/>
                <w:sz w:val="24"/>
                <w:szCs w:val="24"/>
                <w:highlight w:val="none"/>
                <w:vertAlign w:val="subscript"/>
              </w:rPr>
              <w:t>1</w:t>
            </w:r>
            <w:r>
              <w:rPr>
                <w:rFonts w:hint="eastAsia" w:ascii="宋体" w:hAnsi="宋体" w:cs="宋体"/>
                <w:kern w:val="0"/>
                <w:sz w:val="24"/>
                <w:szCs w:val="24"/>
                <w:highlight w:val="none"/>
              </w:rPr>
              <w:t>+B</w:t>
            </w:r>
            <w:r>
              <w:rPr>
                <w:rFonts w:hint="eastAsia" w:ascii="宋体" w:hAnsi="宋体" w:cs="宋体"/>
                <w:kern w:val="0"/>
                <w:sz w:val="24"/>
                <w:szCs w:val="24"/>
                <w:highlight w:val="none"/>
                <w:vertAlign w:val="subscript"/>
              </w:rPr>
              <w:t>2</w:t>
            </w:r>
            <w:r>
              <w:rPr>
                <w:rFonts w:hint="eastAsia" w:ascii="宋体" w:hAnsi="宋体" w:cs="宋体"/>
                <w:kern w:val="0"/>
                <w:sz w:val="24"/>
                <w:szCs w:val="24"/>
                <w:highlight w:val="none"/>
              </w:rPr>
              <w:t>+…Bn</w:t>
            </w:r>
          </w:p>
        </w:tc>
      </w:tr>
    </w:tbl>
    <w:p w14:paraId="5762FBF8">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修正原则：</w:t>
      </w:r>
      <w:r>
        <w:rPr>
          <w:rFonts w:hint="eastAsia" w:ascii="宋体" w:hAnsi="宋体" w:cs="宋体"/>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0B694106">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rPr>
        <w:t>评委签名：                                                                    日期：</w:t>
      </w:r>
    </w:p>
    <w:p w14:paraId="5FF0342E">
      <w:pPr>
        <w:rPr>
          <w:rFonts w:ascii="宋体" w:hAnsi="宋体" w:cs="宋体"/>
          <w:highlight w:val="none"/>
        </w:rPr>
      </w:pPr>
      <w:r>
        <w:rPr>
          <w:rFonts w:hint="eastAsia" w:ascii="宋体" w:hAnsi="宋体" w:cs="宋体"/>
          <w:highlight w:val="none"/>
        </w:rPr>
        <w:br w:type="page"/>
      </w:r>
    </w:p>
    <w:p w14:paraId="1D0EC0F9">
      <w:pPr>
        <w:spacing w:line="360" w:lineRule="auto"/>
        <w:jc w:val="center"/>
        <w:rPr>
          <w:rFonts w:ascii="宋体" w:hAnsi="宋体" w:cs="宋体"/>
          <w:b/>
          <w:sz w:val="32"/>
          <w:szCs w:val="32"/>
          <w:highlight w:val="none"/>
        </w:rPr>
      </w:pPr>
      <w:r>
        <w:rPr>
          <w:rFonts w:hint="eastAsia" w:ascii="宋体" w:hAnsi="宋体" w:cs="宋体"/>
          <w:b/>
          <w:sz w:val="32"/>
          <w:szCs w:val="32"/>
          <w:highlight w:val="none"/>
        </w:rPr>
        <w:t>算术复核表</w:t>
      </w:r>
    </w:p>
    <w:p w14:paraId="5A0DD863">
      <w:pPr>
        <w:spacing w:line="360" w:lineRule="auto"/>
        <w:jc w:val="left"/>
        <w:rPr>
          <w:rFonts w:ascii="宋体" w:hAnsi="宋体" w:cs="宋体"/>
          <w:bCs/>
          <w:sz w:val="24"/>
          <w:szCs w:val="24"/>
          <w:highlight w:val="none"/>
        </w:rPr>
      </w:pPr>
      <w:r>
        <w:rPr>
          <w:rFonts w:hint="eastAsia" w:ascii="宋体" w:hAnsi="宋体" w:cs="宋体"/>
          <w:bCs/>
          <w:sz w:val="24"/>
          <w:szCs w:val="24"/>
          <w:highlight w:val="none"/>
        </w:rPr>
        <w:t>工程名称：</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4482"/>
        <w:gridCol w:w="2429"/>
        <w:gridCol w:w="3234"/>
        <w:gridCol w:w="3571"/>
      </w:tblGrid>
      <w:tr w14:paraId="26A9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60333630">
            <w:pPr>
              <w:spacing w:line="360" w:lineRule="auto"/>
              <w:rPr>
                <w:rFonts w:ascii="宋体" w:hAnsi="宋体" w:cs="宋体"/>
                <w:b/>
                <w:sz w:val="24"/>
                <w:szCs w:val="24"/>
                <w:highlight w:val="none"/>
              </w:rPr>
            </w:pPr>
            <w:r>
              <w:rPr>
                <w:rFonts w:hint="eastAsia" w:ascii="宋体" w:hAnsi="宋体" w:cs="宋体"/>
                <w:b/>
                <w:sz w:val="24"/>
                <w:szCs w:val="24"/>
                <w:highlight w:val="none"/>
              </w:rPr>
              <w:t>编号</w:t>
            </w:r>
          </w:p>
        </w:tc>
        <w:tc>
          <w:tcPr>
            <w:tcW w:w="1515" w:type="pct"/>
            <w:tcBorders>
              <w:top w:val="single" w:color="auto" w:sz="4" w:space="0"/>
              <w:left w:val="single" w:color="auto" w:sz="4" w:space="0"/>
              <w:bottom w:val="single" w:color="auto" w:sz="4" w:space="0"/>
              <w:right w:val="single" w:color="auto" w:sz="4" w:space="0"/>
            </w:tcBorders>
          </w:tcPr>
          <w:p w14:paraId="27B2C2AE">
            <w:pPr>
              <w:spacing w:line="360" w:lineRule="auto"/>
              <w:rPr>
                <w:rFonts w:ascii="宋体" w:hAnsi="宋体" w:cs="宋体"/>
                <w:b/>
                <w:sz w:val="24"/>
                <w:szCs w:val="24"/>
                <w:highlight w:val="none"/>
              </w:rPr>
            </w:pPr>
            <w:r>
              <w:rPr>
                <w:rFonts w:hint="eastAsia" w:ascii="宋体" w:hAnsi="宋体" w:cs="宋体"/>
                <w:b/>
                <w:sz w:val="24"/>
                <w:szCs w:val="24"/>
                <w:highlight w:val="none"/>
              </w:rPr>
              <w:t>投标人名称</w:t>
            </w:r>
          </w:p>
        </w:tc>
        <w:tc>
          <w:tcPr>
            <w:tcW w:w="821" w:type="pct"/>
            <w:tcBorders>
              <w:top w:val="single" w:color="auto" w:sz="4" w:space="0"/>
              <w:left w:val="single" w:color="auto" w:sz="4" w:space="0"/>
              <w:bottom w:val="single" w:color="auto" w:sz="4" w:space="0"/>
              <w:right w:val="single" w:color="auto" w:sz="4" w:space="0"/>
            </w:tcBorders>
          </w:tcPr>
          <w:p w14:paraId="0FE34EA0">
            <w:pPr>
              <w:spacing w:line="360" w:lineRule="auto"/>
              <w:rPr>
                <w:rFonts w:ascii="宋体" w:hAnsi="宋体" w:cs="宋体"/>
                <w:b/>
                <w:sz w:val="24"/>
                <w:szCs w:val="24"/>
                <w:highlight w:val="none"/>
              </w:rPr>
            </w:pPr>
            <w:r>
              <w:rPr>
                <w:rFonts w:hint="eastAsia" w:ascii="宋体" w:hAnsi="宋体" w:cs="宋体"/>
                <w:b/>
                <w:sz w:val="24"/>
                <w:szCs w:val="24"/>
                <w:highlight w:val="none"/>
              </w:rPr>
              <w:t>原投标报价（A）</w:t>
            </w:r>
          </w:p>
        </w:tc>
        <w:tc>
          <w:tcPr>
            <w:tcW w:w="1093" w:type="pct"/>
            <w:tcBorders>
              <w:top w:val="single" w:color="auto" w:sz="4" w:space="0"/>
              <w:left w:val="single" w:color="auto" w:sz="4" w:space="0"/>
              <w:bottom w:val="single" w:color="auto" w:sz="4" w:space="0"/>
              <w:right w:val="single" w:color="auto" w:sz="4" w:space="0"/>
            </w:tcBorders>
          </w:tcPr>
          <w:p w14:paraId="1E4C198F">
            <w:pPr>
              <w:spacing w:line="360" w:lineRule="auto"/>
              <w:rPr>
                <w:rFonts w:ascii="宋体" w:hAnsi="宋体" w:cs="宋体"/>
                <w:b/>
                <w:sz w:val="24"/>
                <w:szCs w:val="24"/>
                <w:highlight w:val="none"/>
              </w:rPr>
            </w:pPr>
            <w:r>
              <w:rPr>
                <w:rFonts w:hint="eastAsia" w:ascii="宋体" w:hAnsi="宋体" w:cs="宋体"/>
                <w:b/>
                <w:sz w:val="24"/>
                <w:szCs w:val="24"/>
                <w:highlight w:val="none"/>
              </w:rPr>
              <w:t>算数复核后投标报价（B）</w:t>
            </w:r>
          </w:p>
        </w:tc>
        <w:tc>
          <w:tcPr>
            <w:tcW w:w="1207" w:type="pct"/>
            <w:tcBorders>
              <w:top w:val="single" w:color="auto" w:sz="4" w:space="0"/>
              <w:left w:val="single" w:color="auto" w:sz="4" w:space="0"/>
              <w:bottom w:val="single" w:color="auto" w:sz="4" w:space="0"/>
              <w:right w:val="single" w:color="auto" w:sz="4" w:space="0"/>
            </w:tcBorders>
          </w:tcPr>
          <w:p w14:paraId="687D36B9">
            <w:pPr>
              <w:spacing w:line="360" w:lineRule="auto"/>
              <w:rPr>
                <w:rFonts w:ascii="宋体" w:hAnsi="宋体" w:cs="宋体"/>
                <w:b/>
                <w:sz w:val="24"/>
                <w:szCs w:val="24"/>
                <w:highlight w:val="none"/>
              </w:rPr>
            </w:pPr>
            <w:r>
              <w:rPr>
                <w:rFonts w:hint="eastAsia" w:ascii="宋体" w:hAnsi="宋体" w:cs="宋体"/>
                <w:b/>
                <w:sz w:val="24"/>
                <w:szCs w:val="24"/>
                <w:highlight w:val="none"/>
              </w:rPr>
              <w:t>误差率（r=|A-B|/A*100%）</w:t>
            </w:r>
          </w:p>
        </w:tc>
      </w:tr>
      <w:tr w14:paraId="67BF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46BF6905">
            <w:pPr>
              <w:spacing w:line="360" w:lineRule="auto"/>
              <w:rPr>
                <w:rFonts w:ascii="宋体" w:hAnsi="宋体" w:cs="宋体"/>
                <w:sz w:val="24"/>
                <w:szCs w:val="24"/>
                <w:highlight w:val="none"/>
              </w:rPr>
            </w:pPr>
          </w:p>
        </w:tc>
        <w:tc>
          <w:tcPr>
            <w:tcW w:w="1515" w:type="pct"/>
            <w:tcBorders>
              <w:top w:val="single" w:color="auto" w:sz="4" w:space="0"/>
              <w:left w:val="single" w:color="auto" w:sz="4" w:space="0"/>
              <w:bottom w:val="single" w:color="auto" w:sz="4" w:space="0"/>
              <w:right w:val="single" w:color="auto" w:sz="4" w:space="0"/>
            </w:tcBorders>
          </w:tcPr>
          <w:p w14:paraId="382CB48A">
            <w:pPr>
              <w:spacing w:line="360" w:lineRule="auto"/>
              <w:rPr>
                <w:rFonts w:ascii="宋体" w:hAnsi="宋体" w:cs="宋体"/>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tcPr>
          <w:p w14:paraId="2616F62A">
            <w:pPr>
              <w:spacing w:line="360" w:lineRule="auto"/>
              <w:rPr>
                <w:rFonts w:ascii="宋体" w:hAnsi="宋体" w:cs="宋体"/>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tcPr>
          <w:p w14:paraId="59EE6F8A">
            <w:pPr>
              <w:spacing w:line="360" w:lineRule="auto"/>
              <w:rPr>
                <w:rFonts w:ascii="宋体" w:hAnsi="宋体" w:cs="宋体"/>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tcPr>
          <w:p w14:paraId="2B39E982">
            <w:pPr>
              <w:spacing w:line="360" w:lineRule="auto"/>
              <w:rPr>
                <w:rFonts w:ascii="宋体" w:hAnsi="宋体" w:cs="宋体"/>
                <w:sz w:val="24"/>
                <w:szCs w:val="24"/>
                <w:highlight w:val="none"/>
              </w:rPr>
            </w:pPr>
          </w:p>
        </w:tc>
      </w:tr>
      <w:tr w14:paraId="7FA3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4B0E8E2B">
            <w:pPr>
              <w:spacing w:line="360" w:lineRule="auto"/>
              <w:rPr>
                <w:rFonts w:ascii="宋体" w:hAnsi="宋体" w:cs="宋体"/>
                <w:sz w:val="24"/>
                <w:szCs w:val="24"/>
                <w:highlight w:val="none"/>
              </w:rPr>
            </w:pPr>
          </w:p>
        </w:tc>
        <w:tc>
          <w:tcPr>
            <w:tcW w:w="1515" w:type="pct"/>
            <w:tcBorders>
              <w:top w:val="single" w:color="auto" w:sz="4" w:space="0"/>
              <w:left w:val="single" w:color="auto" w:sz="4" w:space="0"/>
              <w:bottom w:val="single" w:color="auto" w:sz="4" w:space="0"/>
              <w:right w:val="single" w:color="auto" w:sz="4" w:space="0"/>
            </w:tcBorders>
          </w:tcPr>
          <w:p w14:paraId="0870D1CE">
            <w:pPr>
              <w:spacing w:line="360" w:lineRule="auto"/>
              <w:rPr>
                <w:rFonts w:ascii="宋体" w:hAnsi="宋体" w:cs="宋体"/>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tcPr>
          <w:p w14:paraId="6B2D7891">
            <w:pPr>
              <w:spacing w:line="360" w:lineRule="auto"/>
              <w:rPr>
                <w:rFonts w:ascii="宋体" w:hAnsi="宋体" w:cs="宋体"/>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tcPr>
          <w:p w14:paraId="4A773D60">
            <w:pPr>
              <w:spacing w:line="360" w:lineRule="auto"/>
              <w:rPr>
                <w:rFonts w:ascii="宋体" w:hAnsi="宋体" w:cs="宋体"/>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tcPr>
          <w:p w14:paraId="5B7A5886">
            <w:pPr>
              <w:spacing w:line="360" w:lineRule="auto"/>
              <w:rPr>
                <w:rFonts w:ascii="宋体" w:hAnsi="宋体" w:cs="宋体"/>
                <w:sz w:val="24"/>
                <w:szCs w:val="24"/>
                <w:highlight w:val="none"/>
              </w:rPr>
            </w:pPr>
          </w:p>
        </w:tc>
      </w:tr>
      <w:tr w14:paraId="36B7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2C26B7CD">
            <w:pPr>
              <w:spacing w:line="360" w:lineRule="auto"/>
              <w:rPr>
                <w:rFonts w:ascii="宋体" w:hAnsi="宋体" w:cs="宋体"/>
                <w:sz w:val="24"/>
                <w:szCs w:val="24"/>
                <w:highlight w:val="none"/>
              </w:rPr>
            </w:pPr>
          </w:p>
        </w:tc>
        <w:tc>
          <w:tcPr>
            <w:tcW w:w="1515" w:type="pct"/>
            <w:tcBorders>
              <w:top w:val="single" w:color="auto" w:sz="4" w:space="0"/>
              <w:left w:val="single" w:color="auto" w:sz="4" w:space="0"/>
              <w:bottom w:val="single" w:color="auto" w:sz="4" w:space="0"/>
              <w:right w:val="single" w:color="auto" w:sz="4" w:space="0"/>
            </w:tcBorders>
          </w:tcPr>
          <w:p w14:paraId="64660C8F">
            <w:pPr>
              <w:spacing w:line="360" w:lineRule="auto"/>
              <w:rPr>
                <w:rFonts w:ascii="宋体" w:hAnsi="宋体" w:cs="宋体"/>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tcPr>
          <w:p w14:paraId="39FCC907">
            <w:pPr>
              <w:spacing w:line="360" w:lineRule="auto"/>
              <w:rPr>
                <w:rFonts w:ascii="宋体" w:hAnsi="宋体" w:cs="宋体"/>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tcPr>
          <w:p w14:paraId="31B8EDC8">
            <w:pPr>
              <w:spacing w:line="360" w:lineRule="auto"/>
              <w:rPr>
                <w:rFonts w:ascii="宋体" w:hAnsi="宋体" w:cs="宋体"/>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tcPr>
          <w:p w14:paraId="1E86DC23">
            <w:pPr>
              <w:spacing w:line="360" w:lineRule="auto"/>
              <w:rPr>
                <w:rFonts w:ascii="宋体" w:hAnsi="宋体" w:cs="宋体"/>
                <w:sz w:val="24"/>
                <w:szCs w:val="24"/>
                <w:highlight w:val="none"/>
              </w:rPr>
            </w:pPr>
          </w:p>
        </w:tc>
      </w:tr>
      <w:tr w14:paraId="78A0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49FE6B01">
            <w:pPr>
              <w:spacing w:line="360" w:lineRule="auto"/>
              <w:rPr>
                <w:rFonts w:ascii="宋体" w:hAnsi="宋体" w:cs="宋体"/>
                <w:sz w:val="24"/>
                <w:szCs w:val="24"/>
                <w:highlight w:val="none"/>
              </w:rPr>
            </w:pPr>
          </w:p>
        </w:tc>
        <w:tc>
          <w:tcPr>
            <w:tcW w:w="1515" w:type="pct"/>
            <w:tcBorders>
              <w:top w:val="single" w:color="auto" w:sz="4" w:space="0"/>
              <w:left w:val="single" w:color="auto" w:sz="4" w:space="0"/>
              <w:bottom w:val="single" w:color="auto" w:sz="4" w:space="0"/>
              <w:right w:val="single" w:color="auto" w:sz="4" w:space="0"/>
            </w:tcBorders>
          </w:tcPr>
          <w:p w14:paraId="405BD384">
            <w:pPr>
              <w:spacing w:line="360" w:lineRule="auto"/>
              <w:rPr>
                <w:rFonts w:ascii="宋体" w:hAnsi="宋体" w:cs="宋体"/>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tcPr>
          <w:p w14:paraId="1DCE33BD">
            <w:pPr>
              <w:spacing w:line="360" w:lineRule="auto"/>
              <w:rPr>
                <w:rFonts w:ascii="宋体" w:hAnsi="宋体" w:cs="宋体"/>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tcPr>
          <w:p w14:paraId="0AA3A9C3">
            <w:pPr>
              <w:spacing w:line="360" w:lineRule="auto"/>
              <w:rPr>
                <w:rFonts w:ascii="宋体" w:hAnsi="宋体" w:cs="宋体"/>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tcPr>
          <w:p w14:paraId="43B457FC">
            <w:pPr>
              <w:spacing w:line="360" w:lineRule="auto"/>
              <w:rPr>
                <w:rFonts w:ascii="宋体" w:hAnsi="宋体" w:cs="宋体"/>
                <w:sz w:val="24"/>
                <w:szCs w:val="24"/>
                <w:highlight w:val="none"/>
              </w:rPr>
            </w:pPr>
          </w:p>
        </w:tc>
      </w:tr>
      <w:tr w14:paraId="3094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355B02BE">
            <w:pPr>
              <w:spacing w:line="360" w:lineRule="auto"/>
              <w:rPr>
                <w:rFonts w:ascii="宋体" w:hAnsi="宋体" w:cs="宋体"/>
                <w:sz w:val="24"/>
                <w:szCs w:val="24"/>
                <w:highlight w:val="none"/>
              </w:rPr>
            </w:pPr>
          </w:p>
        </w:tc>
        <w:tc>
          <w:tcPr>
            <w:tcW w:w="1515" w:type="pct"/>
            <w:tcBorders>
              <w:top w:val="single" w:color="auto" w:sz="4" w:space="0"/>
              <w:left w:val="single" w:color="auto" w:sz="4" w:space="0"/>
              <w:bottom w:val="single" w:color="auto" w:sz="4" w:space="0"/>
              <w:right w:val="single" w:color="auto" w:sz="4" w:space="0"/>
            </w:tcBorders>
          </w:tcPr>
          <w:p w14:paraId="7F84FC60">
            <w:pPr>
              <w:spacing w:line="360" w:lineRule="auto"/>
              <w:rPr>
                <w:rFonts w:ascii="宋体" w:hAnsi="宋体" w:cs="宋体"/>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tcPr>
          <w:p w14:paraId="2BD2E869">
            <w:pPr>
              <w:spacing w:line="360" w:lineRule="auto"/>
              <w:rPr>
                <w:rFonts w:ascii="宋体" w:hAnsi="宋体" w:cs="宋体"/>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tcPr>
          <w:p w14:paraId="552ACF99">
            <w:pPr>
              <w:spacing w:line="360" w:lineRule="auto"/>
              <w:rPr>
                <w:rFonts w:ascii="宋体" w:hAnsi="宋体" w:cs="宋体"/>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tcPr>
          <w:p w14:paraId="666AF70C">
            <w:pPr>
              <w:spacing w:line="360" w:lineRule="auto"/>
              <w:rPr>
                <w:rFonts w:ascii="宋体" w:hAnsi="宋体" w:cs="宋体"/>
                <w:sz w:val="24"/>
                <w:szCs w:val="24"/>
                <w:highlight w:val="none"/>
              </w:rPr>
            </w:pPr>
          </w:p>
        </w:tc>
      </w:tr>
      <w:tr w14:paraId="143C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4AE84A97">
            <w:pPr>
              <w:spacing w:line="360" w:lineRule="auto"/>
              <w:rPr>
                <w:rFonts w:ascii="宋体" w:hAnsi="宋体" w:cs="宋体"/>
                <w:sz w:val="24"/>
                <w:szCs w:val="24"/>
                <w:highlight w:val="none"/>
              </w:rPr>
            </w:pPr>
          </w:p>
        </w:tc>
        <w:tc>
          <w:tcPr>
            <w:tcW w:w="1515" w:type="pct"/>
            <w:tcBorders>
              <w:top w:val="single" w:color="auto" w:sz="4" w:space="0"/>
              <w:left w:val="single" w:color="auto" w:sz="4" w:space="0"/>
              <w:bottom w:val="single" w:color="auto" w:sz="4" w:space="0"/>
              <w:right w:val="single" w:color="auto" w:sz="4" w:space="0"/>
            </w:tcBorders>
          </w:tcPr>
          <w:p w14:paraId="4C826696">
            <w:pPr>
              <w:spacing w:line="360" w:lineRule="auto"/>
              <w:rPr>
                <w:rFonts w:ascii="宋体" w:hAnsi="宋体" w:cs="宋体"/>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tcPr>
          <w:p w14:paraId="41A65944">
            <w:pPr>
              <w:spacing w:line="360" w:lineRule="auto"/>
              <w:rPr>
                <w:rFonts w:ascii="宋体" w:hAnsi="宋体" w:cs="宋体"/>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tcPr>
          <w:p w14:paraId="25BB5833">
            <w:pPr>
              <w:spacing w:line="360" w:lineRule="auto"/>
              <w:rPr>
                <w:rFonts w:ascii="宋体" w:hAnsi="宋体" w:cs="宋体"/>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tcPr>
          <w:p w14:paraId="1F3375D8">
            <w:pPr>
              <w:spacing w:line="360" w:lineRule="auto"/>
              <w:rPr>
                <w:rFonts w:ascii="宋体" w:hAnsi="宋体" w:cs="宋体"/>
                <w:sz w:val="24"/>
                <w:szCs w:val="24"/>
                <w:highlight w:val="none"/>
              </w:rPr>
            </w:pPr>
          </w:p>
        </w:tc>
      </w:tr>
      <w:tr w14:paraId="7D8E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75D4FD71">
            <w:pPr>
              <w:spacing w:line="360" w:lineRule="auto"/>
              <w:rPr>
                <w:rFonts w:ascii="宋体" w:hAnsi="宋体" w:cs="宋体"/>
                <w:sz w:val="24"/>
                <w:szCs w:val="24"/>
                <w:highlight w:val="none"/>
              </w:rPr>
            </w:pPr>
          </w:p>
        </w:tc>
        <w:tc>
          <w:tcPr>
            <w:tcW w:w="1515" w:type="pct"/>
            <w:tcBorders>
              <w:top w:val="single" w:color="auto" w:sz="4" w:space="0"/>
              <w:left w:val="single" w:color="auto" w:sz="4" w:space="0"/>
              <w:bottom w:val="single" w:color="auto" w:sz="4" w:space="0"/>
              <w:right w:val="single" w:color="auto" w:sz="4" w:space="0"/>
            </w:tcBorders>
          </w:tcPr>
          <w:p w14:paraId="070BCA05">
            <w:pPr>
              <w:spacing w:line="360" w:lineRule="auto"/>
              <w:rPr>
                <w:rFonts w:ascii="宋体" w:hAnsi="宋体" w:cs="宋体"/>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tcPr>
          <w:p w14:paraId="6A51DFEE">
            <w:pPr>
              <w:spacing w:line="360" w:lineRule="auto"/>
              <w:rPr>
                <w:rFonts w:ascii="宋体" w:hAnsi="宋体" w:cs="宋体"/>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tcPr>
          <w:p w14:paraId="62089D8D">
            <w:pPr>
              <w:spacing w:line="360" w:lineRule="auto"/>
              <w:rPr>
                <w:rFonts w:ascii="宋体" w:hAnsi="宋体" w:cs="宋体"/>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tcPr>
          <w:p w14:paraId="7F91203B">
            <w:pPr>
              <w:spacing w:line="360" w:lineRule="auto"/>
              <w:rPr>
                <w:rFonts w:ascii="宋体" w:hAnsi="宋体" w:cs="宋体"/>
                <w:sz w:val="24"/>
                <w:szCs w:val="24"/>
                <w:highlight w:val="none"/>
              </w:rPr>
            </w:pPr>
          </w:p>
        </w:tc>
      </w:tr>
      <w:tr w14:paraId="7F89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14:paraId="5E0C1479">
            <w:pPr>
              <w:spacing w:line="360" w:lineRule="auto"/>
              <w:rPr>
                <w:rFonts w:ascii="宋体" w:hAnsi="宋体" w:cs="宋体"/>
                <w:sz w:val="24"/>
                <w:szCs w:val="24"/>
                <w:highlight w:val="none"/>
              </w:rPr>
            </w:pPr>
          </w:p>
        </w:tc>
        <w:tc>
          <w:tcPr>
            <w:tcW w:w="1515" w:type="pct"/>
            <w:tcBorders>
              <w:top w:val="single" w:color="auto" w:sz="4" w:space="0"/>
              <w:left w:val="single" w:color="auto" w:sz="4" w:space="0"/>
              <w:bottom w:val="single" w:color="auto" w:sz="4" w:space="0"/>
              <w:right w:val="single" w:color="auto" w:sz="4" w:space="0"/>
            </w:tcBorders>
          </w:tcPr>
          <w:p w14:paraId="107A5BF9">
            <w:pPr>
              <w:spacing w:line="360" w:lineRule="auto"/>
              <w:rPr>
                <w:rFonts w:ascii="宋体" w:hAnsi="宋体" w:cs="宋体"/>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tcPr>
          <w:p w14:paraId="41271628">
            <w:pPr>
              <w:spacing w:line="360" w:lineRule="auto"/>
              <w:rPr>
                <w:rFonts w:ascii="宋体" w:hAnsi="宋体" w:cs="宋体"/>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tcPr>
          <w:p w14:paraId="1389C6F0">
            <w:pPr>
              <w:spacing w:line="360" w:lineRule="auto"/>
              <w:rPr>
                <w:rFonts w:ascii="宋体" w:hAnsi="宋体" w:cs="宋体"/>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tcPr>
          <w:p w14:paraId="27A1A6D4">
            <w:pPr>
              <w:spacing w:line="360" w:lineRule="auto"/>
              <w:rPr>
                <w:rFonts w:ascii="宋体" w:hAnsi="宋体" w:cs="宋体"/>
                <w:sz w:val="24"/>
                <w:szCs w:val="24"/>
                <w:highlight w:val="none"/>
              </w:rPr>
            </w:pPr>
          </w:p>
        </w:tc>
      </w:tr>
    </w:tbl>
    <w:p w14:paraId="643D19A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评委签名：</w:t>
      </w:r>
    </w:p>
    <w:p w14:paraId="170F3D65">
      <w:pPr>
        <w:pStyle w:val="6"/>
        <w:rPr>
          <w:rFonts w:ascii="宋体" w:hAnsi="宋体" w:cs="宋体"/>
          <w:highlight w:val="none"/>
        </w:rPr>
      </w:pPr>
    </w:p>
    <w:p w14:paraId="1B59AE9C">
      <w:pPr>
        <w:spacing w:line="360" w:lineRule="auto"/>
        <w:jc w:val="center"/>
        <w:rPr>
          <w:rFonts w:ascii="宋体" w:hAnsi="宋体" w:cs="宋体"/>
          <w:szCs w:val="21"/>
          <w:highlight w:val="none"/>
        </w:rPr>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6838" w:h="11905" w:orient="landscape"/>
          <w:pgMar w:top="1134" w:right="1134" w:bottom="1134" w:left="1134" w:header="851" w:footer="907" w:gutter="0"/>
          <w:cols w:space="0" w:num="1"/>
          <w:titlePg/>
          <w:docGrid w:type="lines" w:linePitch="321" w:charSpace="0"/>
        </w:sectPr>
      </w:pPr>
    </w:p>
    <w:p w14:paraId="77AB5B7C">
      <w:pPr>
        <w:pStyle w:val="4"/>
        <w:spacing w:before="0" w:beforeAutospacing="0" w:after="0" w:afterAutospacing="0" w:line="360" w:lineRule="auto"/>
        <w:rPr>
          <w:sz w:val="24"/>
          <w:szCs w:val="24"/>
          <w:highlight w:val="none"/>
        </w:rPr>
      </w:pPr>
      <w:bookmarkStart w:id="44" w:name="_Toc11264"/>
      <w:bookmarkStart w:id="45" w:name="_Toc2272566"/>
      <w:r>
        <w:rPr>
          <w:rFonts w:hint="eastAsia"/>
          <w:sz w:val="24"/>
          <w:szCs w:val="24"/>
          <w:highlight w:val="none"/>
        </w:rPr>
        <w:t>附表七</w:t>
      </w:r>
    </w:p>
    <w:p w14:paraId="03E18E73">
      <w:pPr>
        <w:spacing w:line="360" w:lineRule="auto"/>
        <w:jc w:val="center"/>
        <w:rPr>
          <w:rFonts w:ascii="宋体" w:hAnsi="宋体" w:cs="宋体"/>
          <w:b/>
          <w:sz w:val="32"/>
          <w:szCs w:val="32"/>
          <w:highlight w:val="none"/>
        </w:rPr>
      </w:pPr>
      <w:r>
        <w:rPr>
          <w:rFonts w:hint="eastAsia" w:ascii="宋体" w:hAnsi="宋体" w:cs="宋体"/>
          <w:b/>
          <w:sz w:val="32"/>
          <w:szCs w:val="32"/>
          <w:highlight w:val="none"/>
        </w:rPr>
        <w:t>定标因素表（定标阶段用表）</w:t>
      </w:r>
    </w:p>
    <w:p w14:paraId="7F22828D">
      <w:pPr>
        <w:spacing w:line="360" w:lineRule="auto"/>
        <w:jc w:val="left"/>
        <w:rPr>
          <w:rFonts w:ascii="宋体" w:hAnsi="宋体" w:cs="宋体"/>
          <w:sz w:val="24"/>
          <w:szCs w:val="24"/>
          <w:highlight w:val="none"/>
        </w:rPr>
      </w:pPr>
      <w:r>
        <w:rPr>
          <w:rFonts w:hint="eastAsia" w:ascii="宋体" w:hAnsi="宋体" w:cs="宋体"/>
          <w:sz w:val="24"/>
          <w:szCs w:val="24"/>
          <w:highlight w:val="none"/>
        </w:rPr>
        <w:t>工程名称：</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1750"/>
        <w:gridCol w:w="7110"/>
      </w:tblGrid>
      <w:tr w14:paraId="1DAEC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69F764F0">
            <w:pPr>
              <w:spacing w:line="360" w:lineRule="auto"/>
              <w:jc w:val="center"/>
              <w:rPr>
                <w:rFonts w:ascii="宋体" w:hAnsi="宋体" w:cs="宋体"/>
                <w:sz w:val="24"/>
                <w:szCs w:val="24"/>
                <w:highlight w:val="none"/>
              </w:rPr>
            </w:pPr>
            <w:r>
              <w:rPr>
                <w:rFonts w:hint="eastAsia" w:ascii="宋体" w:hAnsi="宋体" w:cs="宋体"/>
                <w:b/>
                <w:kern w:val="0"/>
                <w:sz w:val="24"/>
                <w:szCs w:val="24"/>
                <w:highlight w:val="none"/>
              </w:rPr>
              <w:br w:type="page"/>
            </w:r>
            <w:r>
              <w:rPr>
                <w:rFonts w:hint="eastAsia" w:ascii="宋体" w:hAnsi="宋体" w:cs="宋体"/>
                <w:sz w:val="24"/>
                <w:szCs w:val="24"/>
                <w:highlight w:val="none"/>
              </w:rPr>
              <w:t>序号</w:t>
            </w:r>
          </w:p>
        </w:tc>
        <w:tc>
          <w:tcPr>
            <w:tcW w:w="888" w:type="pct"/>
            <w:tcBorders>
              <w:top w:val="single" w:color="auto" w:sz="4" w:space="0"/>
              <w:left w:val="single" w:color="auto" w:sz="4" w:space="0"/>
              <w:bottom w:val="single" w:color="auto" w:sz="4" w:space="0"/>
              <w:right w:val="single" w:color="auto" w:sz="4" w:space="0"/>
            </w:tcBorders>
            <w:vAlign w:val="center"/>
          </w:tcPr>
          <w:p w14:paraId="52E845FE">
            <w:pPr>
              <w:spacing w:line="360" w:lineRule="auto"/>
              <w:jc w:val="center"/>
              <w:rPr>
                <w:rFonts w:ascii="宋体" w:hAnsi="宋体" w:cs="宋体"/>
                <w:sz w:val="24"/>
                <w:szCs w:val="24"/>
                <w:highlight w:val="none"/>
              </w:rPr>
            </w:pPr>
            <w:r>
              <w:rPr>
                <w:rFonts w:hint="eastAsia" w:ascii="宋体" w:hAnsi="宋体" w:cs="宋体"/>
                <w:sz w:val="24"/>
                <w:szCs w:val="24"/>
                <w:highlight w:val="none"/>
              </w:rPr>
              <w:t>评价项目</w:t>
            </w:r>
          </w:p>
        </w:tc>
        <w:tc>
          <w:tcPr>
            <w:tcW w:w="3607" w:type="pct"/>
            <w:tcBorders>
              <w:top w:val="single" w:color="auto" w:sz="4" w:space="0"/>
              <w:left w:val="single" w:color="auto" w:sz="4" w:space="0"/>
              <w:bottom w:val="single" w:color="auto" w:sz="4" w:space="0"/>
              <w:right w:val="single" w:color="auto" w:sz="4" w:space="0"/>
            </w:tcBorders>
            <w:vAlign w:val="center"/>
          </w:tcPr>
          <w:p w14:paraId="33D21650">
            <w:pPr>
              <w:spacing w:line="360" w:lineRule="auto"/>
              <w:jc w:val="center"/>
              <w:rPr>
                <w:rFonts w:ascii="宋体" w:hAnsi="宋体" w:cs="宋体"/>
                <w:sz w:val="24"/>
                <w:szCs w:val="24"/>
                <w:highlight w:val="none"/>
              </w:rPr>
            </w:pPr>
            <w:r>
              <w:rPr>
                <w:rFonts w:hint="eastAsia" w:ascii="宋体" w:hAnsi="宋体" w:cs="宋体"/>
                <w:sz w:val="24"/>
                <w:szCs w:val="24"/>
                <w:highlight w:val="none"/>
              </w:rPr>
              <w:t>定标评价的内容</w:t>
            </w:r>
          </w:p>
        </w:tc>
      </w:tr>
      <w:tr w14:paraId="3EE1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559245F4">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888" w:type="pct"/>
            <w:tcBorders>
              <w:top w:val="single" w:color="auto" w:sz="4" w:space="0"/>
              <w:left w:val="single" w:color="auto" w:sz="4" w:space="0"/>
              <w:bottom w:val="single" w:color="auto" w:sz="4" w:space="0"/>
              <w:right w:val="single" w:color="auto" w:sz="4" w:space="0"/>
            </w:tcBorders>
            <w:vAlign w:val="center"/>
          </w:tcPr>
          <w:p w14:paraId="679284C5">
            <w:pPr>
              <w:spacing w:line="360" w:lineRule="auto"/>
              <w:jc w:val="center"/>
              <w:rPr>
                <w:rFonts w:ascii="宋体" w:hAnsi="宋体" w:cs="宋体"/>
                <w:sz w:val="24"/>
                <w:szCs w:val="24"/>
                <w:highlight w:val="none"/>
              </w:rPr>
            </w:pPr>
            <w:r>
              <w:rPr>
                <w:rFonts w:hint="eastAsia" w:ascii="宋体" w:hAnsi="宋体" w:cs="宋体"/>
                <w:sz w:val="24"/>
                <w:szCs w:val="24"/>
                <w:highlight w:val="none"/>
              </w:rPr>
              <w:t>方案因素</w:t>
            </w:r>
          </w:p>
        </w:tc>
        <w:tc>
          <w:tcPr>
            <w:tcW w:w="3607" w:type="pct"/>
            <w:tcBorders>
              <w:top w:val="single" w:color="auto" w:sz="4" w:space="0"/>
              <w:left w:val="single" w:color="auto" w:sz="4" w:space="0"/>
              <w:bottom w:val="single" w:color="auto" w:sz="4" w:space="0"/>
              <w:right w:val="single" w:color="auto" w:sz="4" w:space="0"/>
            </w:tcBorders>
            <w:vAlign w:val="center"/>
          </w:tcPr>
          <w:p w14:paraId="7AFC5F51">
            <w:pPr>
              <w:spacing w:line="360" w:lineRule="auto"/>
              <w:jc w:val="left"/>
              <w:rPr>
                <w:rFonts w:ascii="宋体" w:hAnsi="宋体" w:cs="宋体"/>
                <w:sz w:val="24"/>
                <w:szCs w:val="24"/>
                <w:highlight w:val="none"/>
              </w:rPr>
            </w:pPr>
            <w:r>
              <w:rPr>
                <w:rFonts w:hint="eastAsia" w:ascii="宋体" w:hAnsi="宋体" w:cs="宋体"/>
                <w:sz w:val="24"/>
                <w:szCs w:val="24"/>
                <w:highlight w:val="none"/>
              </w:rPr>
              <w:t>定标委员会对合格的中标候选人的方案进行评审，方案包括：安全控制措施、质量控制措施、绿色节能控制措施、进度控制措施等，鼓励将建筑业科技创新应用在项目中。</w:t>
            </w:r>
          </w:p>
        </w:tc>
      </w:tr>
      <w:tr w14:paraId="19B5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503" w:type="pct"/>
            <w:tcBorders>
              <w:top w:val="single" w:color="auto" w:sz="4" w:space="0"/>
              <w:left w:val="single" w:color="auto" w:sz="4" w:space="0"/>
              <w:bottom w:val="single" w:color="auto" w:sz="4" w:space="0"/>
              <w:right w:val="single" w:color="auto" w:sz="4" w:space="0"/>
            </w:tcBorders>
            <w:vAlign w:val="center"/>
          </w:tcPr>
          <w:p w14:paraId="6FD99638">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888" w:type="pct"/>
            <w:tcBorders>
              <w:top w:val="single" w:color="auto" w:sz="4" w:space="0"/>
              <w:left w:val="single" w:color="auto" w:sz="4" w:space="0"/>
              <w:bottom w:val="single" w:color="auto" w:sz="4" w:space="0"/>
              <w:right w:val="single" w:color="auto" w:sz="4" w:space="0"/>
            </w:tcBorders>
            <w:vAlign w:val="center"/>
          </w:tcPr>
          <w:p w14:paraId="0964CCBF">
            <w:pPr>
              <w:spacing w:line="360" w:lineRule="auto"/>
              <w:jc w:val="center"/>
              <w:rPr>
                <w:rFonts w:ascii="宋体" w:hAnsi="宋体" w:cs="宋体"/>
                <w:sz w:val="24"/>
                <w:szCs w:val="24"/>
                <w:highlight w:val="none"/>
              </w:rPr>
            </w:pPr>
            <w:r>
              <w:rPr>
                <w:rFonts w:hint="eastAsia" w:ascii="宋体" w:hAnsi="宋体" w:cs="宋体"/>
                <w:sz w:val="24"/>
                <w:szCs w:val="24"/>
                <w:highlight w:val="none"/>
              </w:rPr>
              <w:t>价格因素</w:t>
            </w:r>
          </w:p>
        </w:tc>
        <w:tc>
          <w:tcPr>
            <w:tcW w:w="3607" w:type="pct"/>
            <w:tcBorders>
              <w:top w:val="single" w:color="auto" w:sz="4" w:space="0"/>
              <w:left w:val="single" w:color="auto" w:sz="4" w:space="0"/>
              <w:bottom w:val="single" w:color="auto" w:sz="4" w:space="0"/>
              <w:right w:val="single" w:color="auto" w:sz="4" w:space="0"/>
            </w:tcBorders>
            <w:vAlign w:val="center"/>
          </w:tcPr>
          <w:p w14:paraId="7B0F6C29">
            <w:pPr>
              <w:spacing w:line="360" w:lineRule="auto"/>
              <w:rPr>
                <w:rFonts w:ascii="宋体" w:hAnsi="宋体" w:cs="宋体"/>
                <w:sz w:val="24"/>
                <w:szCs w:val="24"/>
                <w:highlight w:val="none"/>
              </w:rPr>
            </w:pPr>
            <w:r>
              <w:rPr>
                <w:rFonts w:hint="eastAsia" w:ascii="宋体" w:hAnsi="宋体" w:cs="宋体"/>
                <w:sz w:val="24"/>
                <w:szCs w:val="24"/>
                <w:highlight w:val="none"/>
              </w:rPr>
              <w:t>定标委员会对各合格的中标候选人的投标报价进行横向对比。</w:t>
            </w:r>
          </w:p>
        </w:tc>
      </w:tr>
    </w:tbl>
    <w:p w14:paraId="5FC7DD7A">
      <w:pPr>
        <w:spacing w:line="360" w:lineRule="auto"/>
        <w:rPr>
          <w:rFonts w:ascii="宋体" w:hAnsi="宋体" w:cs="宋体"/>
          <w:sz w:val="24"/>
          <w:szCs w:val="24"/>
          <w:highlight w:val="none"/>
        </w:rPr>
      </w:pPr>
    </w:p>
    <w:p w14:paraId="1188865D">
      <w:pPr>
        <w:rPr>
          <w:rFonts w:ascii="宋体" w:hAnsi="宋体" w:cs="宋体"/>
          <w:sz w:val="24"/>
          <w:szCs w:val="24"/>
          <w:highlight w:val="none"/>
        </w:rPr>
      </w:pPr>
      <w:r>
        <w:rPr>
          <w:rFonts w:hint="eastAsia" w:ascii="宋体" w:hAnsi="宋体" w:cs="宋体"/>
          <w:sz w:val="24"/>
          <w:szCs w:val="24"/>
          <w:highlight w:val="none"/>
        </w:rPr>
        <w:br w:type="page"/>
      </w:r>
    </w:p>
    <w:p w14:paraId="3D97469F">
      <w:pPr>
        <w:pStyle w:val="4"/>
        <w:spacing w:before="0" w:beforeAutospacing="0" w:after="0" w:afterAutospacing="0" w:line="360" w:lineRule="auto"/>
        <w:rPr>
          <w:rFonts w:hint="eastAsia" w:eastAsia="宋体"/>
          <w:sz w:val="24"/>
          <w:szCs w:val="24"/>
          <w:highlight w:val="none"/>
          <w:lang w:eastAsia="zh-CN"/>
        </w:rPr>
      </w:pPr>
      <w:r>
        <w:rPr>
          <w:rFonts w:hint="eastAsia"/>
          <w:sz w:val="24"/>
          <w:szCs w:val="24"/>
          <w:highlight w:val="none"/>
        </w:rPr>
        <w:t>附表八</w:t>
      </w:r>
      <w:r>
        <w:rPr>
          <w:rFonts w:hint="eastAsia"/>
          <w:sz w:val="24"/>
          <w:szCs w:val="24"/>
          <w:highlight w:val="none"/>
          <w:lang w:val="en-US" w:eastAsia="zh-CN"/>
        </w:rPr>
        <w:t>-</w:t>
      </w:r>
      <w:r>
        <w:rPr>
          <w:rFonts w:hint="eastAsia"/>
          <w:sz w:val="24"/>
          <w:szCs w:val="24"/>
          <w:highlight w:val="none"/>
          <w:lang w:eastAsia="zh-CN"/>
        </w:rPr>
        <w:t>（</w:t>
      </w:r>
      <w:r>
        <w:rPr>
          <w:rFonts w:hint="eastAsia"/>
          <w:sz w:val="24"/>
          <w:szCs w:val="24"/>
          <w:highlight w:val="none"/>
          <w:lang w:val="en-US" w:eastAsia="zh-CN"/>
        </w:rPr>
        <w:t>一</w:t>
      </w:r>
      <w:r>
        <w:rPr>
          <w:rFonts w:hint="eastAsia"/>
          <w:sz w:val="24"/>
          <w:szCs w:val="24"/>
          <w:highlight w:val="none"/>
          <w:lang w:eastAsia="zh-CN"/>
        </w:rPr>
        <w:t>）</w:t>
      </w:r>
    </w:p>
    <w:p w14:paraId="25EFD550">
      <w:pPr>
        <w:jc w:val="center"/>
        <w:rPr>
          <w:rFonts w:hint="eastAsia" w:ascii="仿宋_GB2312" w:hAnsi="宋体" w:eastAsia="仿宋_GB2312"/>
          <w:sz w:val="24"/>
          <w:szCs w:val="24"/>
          <w:highlight w:val="none"/>
        </w:rPr>
      </w:pPr>
      <w:r>
        <w:rPr>
          <w:rFonts w:hint="eastAsia" w:ascii="仿宋_GB2312" w:hAnsi="宋体" w:eastAsia="仿宋_GB2312"/>
          <w:b/>
          <w:bCs/>
          <w:sz w:val="32"/>
          <w:szCs w:val="24"/>
          <w:highlight w:val="none"/>
        </w:rPr>
        <w:t>定标阶段各中标候选人评语</w:t>
      </w:r>
    </w:p>
    <w:p w14:paraId="2FFDB635">
      <w:pPr>
        <w:rPr>
          <w:rFonts w:ascii="宋体" w:hAnsi="宋体" w:eastAsia="宋体"/>
          <w:szCs w:val="24"/>
          <w:highlight w:val="none"/>
        </w:rPr>
      </w:pPr>
      <w:r>
        <w:rPr>
          <w:rFonts w:hint="eastAsia" w:ascii="宋体" w:hAnsi="宋体" w:eastAsia="宋体"/>
          <w:szCs w:val="24"/>
          <w:highlight w:val="none"/>
        </w:rPr>
        <w:t>工程名称：</w:t>
      </w:r>
    </w:p>
    <w:tbl>
      <w:tblPr>
        <w:tblStyle w:val="3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0"/>
        <w:gridCol w:w="5011"/>
      </w:tblGrid>
      <w:tr w14:paraId="6738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456" w:type="pct"/>
            <w:tcBorders>
              <w:top w:val="single" w:color="auto" w:sz="4" w:space="0"/>
              <w:left w:val="single" w:color="auto" w:sz="4" w:space="0"/>
              <w:bottom w:val="single" w:color="auto" w:sz="4" w:space="0"/>
              <w:right w:val="single" w:color="auto" w:sz="4" w:space="0"/>
            </w:tcBorders>
            <w:noWrap w:val="0"/>
            <w:vAlign w:val="center"/>
          </w:tcPr>
          <w:p w14:paraId="07C58CEF">
            <w:pPr>
              <w:jc w:val="center"/>
              <w:rPr>
                <w:rFonts w:ascii="宋体" w:hAnsi="宋体" w:eastAsia="宋体"/>
                <w:b/>
                <w:szCs w:val="24"/>
                <w:highlight w:val="none"/>
              </w:rPr>
            </w:pPr>
            <w:r>
              <w:rPr>
                <w:rFonts w:hint="eastAsia" w:ascii="宋体" w:hAnsi="宋体" w:eastAsia="宋体"/>
                <w:b/>
                <w:szCs w:val="24"/>
                <w:highlight w:val="none"/>
              </w:rPr>
              <w:t>中标候选人</w:t>
            </w:r>
            <w:r>
              <w:rPr>
                <w:rFonts w:ascii="宋体" w:hAnsi="宋体" w:eastAsia="宋体"/>
                <w:b/>
                <w:szCs w:val="24"/>
                <w:highlight w:val="none"/>
              </w:rPr>
              <w:t>名称</w:t>
            </w:r>
          </w:p>
        </w:tc>
        <w:tc>
          <w:tcPr>
            <w:tcW w:w="2543" w:type="pct"/>
            <w:tcBorders>
              <w:top w:val="single" w:color="auto" w:sz="4" w:space="0"/>
              <w:left w:val="single" w:color="auto" w:sz="4" w:space="0"/>
              <w:bottom w:val="single" w:color="auto" w:sz="4" w:space="0"/>
              <w:right w:val="single" w:color="auto" w:sz="4" w:space="0"/>
            </w:tcBorders>
            <w:noWrap w:val="0"/>
            <w:vAlign w:val="center"/>
          </w:tcPr>
          <w:p w14:paraId="5FD200F8">
            <w:pPr>
              <w:jc w:val="center"/>
              <w:rPr>
                <w:rFonts w:ascii="宋体" w:hAnsi="宋体" w:eastAsia="宋体"/>
                <w:b/>
                <w:szCs w:val="24"/>
                <w:highlight w:val="none"/>
              </w:rPr>
            </w:pPr>
            <w:r>
              <w:rPr>
                <w:rFonts w:hint="eastAsia" w:ascii="宋体" w:hAnsi="宋体" w:eastAsia="宋体"/>
                <w:b/>
                <w:szCs w:val="24"/>
                <w:highlight w:val="none"/>
              </w:rPr>
              <w:t>评    语</w:t>
            </w:r>
          </w:p>
        </w:tc>
      </w:tr>
      <w:tr w14:paraId="612A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456" w:type="pct"/>
            <w:tcBorders>
              <w:top w:val="single" w:color="auto" w:sz="4" w:space="0"/>
              <w:left w:val="single" w:color="auto" w:sz="4" w:space="0"/>
              <w:bottom w:val="single" w:color="auto" w:sz="4" w:space="0"/>
              <w:right w:val="single" w:color="auto" w:sz="4" w:space="0"/>
            </w:tcBorders>
            <w:noWrap w:val="0"/>
            <w:vAlign w:val="center"/>
          </w:tcPr>
          <w:p w14:paraId="37425097">
            <w:pPr>
              <w:rPr>
                <w:rFonts w:ascii="宋体" w:hAnsi="宋体" w:eastAsia="宋体"/>
                <w:szCs w:val="24"/>
                <w:highlight w:val="none"/>
                <w:u w:val="single"/>
              </w:rPr>
            </w:pPr>
          </w:p>
        </w:tc>
        <w:tc>
          <w:tcPr>
            <w:tcW w:w="2543" w:type="pct"/>
            <w:tcBorders>
              <w:top w:val="single" w:color="auto" w:sz="4" w:space="0"/>
              <w:left w:val="single" w:color="auto" w:sz="4" w:space="0"/>
              <w:bottom w:val="single" w:color="auto" w:sz="4" w:space="0"/>
              <w:right w:val="single" w:color="auto" w:sz="4" w:space="0"/>
            </w:tcBorders>
            <w:noWrap w:val="0"/>
            <w:vAlign w:val="center"/>
          </w:tcPr>
          <w:p w14:paraId="2F051F5E">
            <w:pPr>
              <w:rPr>
                <w:rFonts w:ascii="宋体" w:hAnsi="宋体" w:eastAsia="宋体"/>
                <w:szCs w:val="24"/>
                <w:highlight w:val="none"/>
                <w:u w:val="single"/>
              </w:rPr>
            </w:pPr>
          </w:p>
        </w:tc>
      </w:tr>
      <w:tr w14:paraId="7C47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456" w:type="pct"/>
            <w:tcBorders>
              <w:top w:val="single" w:color="auto" w:sz="4" w:space="0"/>
              <w:left w:val="single" w:color="auto" w:sz="4" w:space="0"/>
              <w:bottom w:val="single" w:color="auto" w:sz="4" w:space="0"/>
              <w:right w:val="single" w:color="auto" w:sz="4" w:space="0"/>
            </w:tcBorders>
            <w:noWrap w:val="0"/>
            <w:vAlign w:val="center"/>
          </w:tcPr>
          <w:p w14:paraId="46197E0E">
            <w:pPr>
              <w:rPr>
                <w:rFonts w:ascii="宋体" w:hAnsi="宋体" w:eastAsia="宋体"/>
                <w:szCs w:val="24"/>
                <w:highlight w:val="none"/>
                <w:u w:val="single"/>
              </w:rPr>
            </w:pPr>
          </w:p>
        </w:tc>
        <w:tc>
          <w:tcPr>
            <w:tcW w:w="2543" w:type="pct"/>
            <w:tcBorders>
              <w:top w:val="single" w:color="auto" w:sz="4" w:space="0"/>
              <w:left w:val="single" w:color="auto" w:sz="4" w:space="0"/>
              <w:bottom w:val="single" w:color="auto" w:sz="4" w:space="0"/>
              <w:right w:val="single" w:color="auto" w:sz="4" w:space="0"/>
            </w:tcBorders>
            <w:noWrap w:val="0"/>
            <w:vAlign w:val="center"/>
          </w:tcPr>
          <w:p w14:paraId="3B8C0C7B">
            <w:pPr>
              <w:rPr>
                <w:rFonts w:ascii="宋体" w:hAnsi="宋体" w:eastAsia="宋体"/>
                <w:szCs w:val="24"/>
                <w:highlight w:val="none"/>
                <w:u w:val="single"/>
              </w:rPr>
            </w:pPr>
          </w:p>
        </w:tc>
      </w:tr>
      <w:tr w14:paraId="5268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456" w:type="pct"/>
            <w:tcBorders>
              <w:top w:val="single" w:color="auto" w:sz="4" w:space="0"/>
              <w:left w:val="single" w:color="auto" w:sz="4" w:space="0"/>
              <w:bottom w:val="single" w:color="auto" w:sz="4" w:space="0"/>
              <w:right w:val="single" w:color="auto" w:sz="4" w:space="0"/>
            </w:tcBorders>
            <w:noWrap w:val="0"/>
            <w:vAlign w:val="center"/>
          </w:tcPr>
          <w:p w14:paraId="2AAF528D">
            <w:pPr>
              <w:rPr>
                <w:rFonts w:ascii="宋体" w:hAnsi="宋体" w:eastAsia="宋体"/>
                <w:szCs w:val="24"/>
                <w:highlight w:val="none"/>
                <w:u w:val="single"/>
              </w:rPr>
            </w:pPr>
          </w:p>
        </w:tc>
        <w:tc>
          <w:tcPr>
            <w:tcW w:w="2543" w:type="pct"/>
            <w:tcBorders>
              <w:top w:val="single" w:color="auto" w:sz="4" w:space="0"/>
              <w:left w:val="single" w:color="auto" w:sz="4" w:space="0"/>
              <w:bottom w:val="single" w:color="auto" w:sz="4" w:space="0"/>
              <w:right w:val="single" w:color="auto" w:sz="4" w:space="0"/>
            </w:tcBorders>
            <w:noWrap w:val="0"/>
            <w:vAlign w:val="center"/>
          </w:tcPr>
          <w:p w14:paraId="69EFF8CA">
            <w:pPr>
              <w:rPr>
                <w:rFonts w:ascii="宋体" w:hAnsi="宋体" w:eastAsia="宋体"/>
                <w:szCs w:val="24"/>
                <w:highlight w:val="none"/>
                <w:u w:val="single"/>
              </w:rPr>
            </w:pPr>
          </w:p>
        </w:tc>
      </w:tr>
      <w:tr w14:paraId="319D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456" w:type="pct"/>
            <w:tcBorders>
              <w:top w:val="single" w:color="auto" w:sz="4" w:space="0"/>
              <w:left w:val="single" w:color="auto" w:sz="4" w:space="0"/>
              <w:bottom w:val="single" w:color="auto" w:sz="4" w:space="0"/>
              <w:right w:val="single" w:color="auto" w:sz="4" w:space="0"/>
            </w:tcBorders>
            <w:noWrap w:val="0"/>
            <w:vAlign w:val="center"/>
          </w:tcPr>
          <w:p w14:paraId="3B50DF2D">
            <w:pPr>
              <w:rPr>
                <w:rFonts w:ascii="宋体" w:hAnsi="宋体" w:eastAsia="宋体"/>
                <w:szCs w:val="24"/>
                <w:highlight w:val="none"/>
                <w:u w:val="single"/>
              </w:rPr>
            </w:pPr>
          </w:p>
        </w:tc>
        <w:tc>
          <w:tcPr>
            <w:tcW w:w="2543" w:type="pct"/>
            <w:tcBorders>
              <w:top w:val="single" w:color="auto" w:sz="4" w:space="0"/>
              <w:left w:val="single" w:color="auto" w:sz="4" w:space="0"/>
              <w:bottom w:val="single" w:color="auto" w:sz="4" w:space="0"/>
              <w:right w:val="single" w:color="auto" w:sz="4" w:space="0"/>
            </w:tcBorders>
            <w:noWrap w:val="0"/>
            <w:vAlign w:val="center"/>
          </w:tcPr>
          <w:p w14:paraId="660285AE">
            <w:pPr>
              <w:rPr>
                <w:rFonts w:ascii="宋体" w:hAnsi="宋体" w:eastAsia="宋体"/>
                <w:szCs w:val="24"/>
                <w:highlight w:val="none"/>
                <w:u w:val="single"/>
              </w:rPr>
            </w:pPr>
          </w:p>
        </w:tc>
      </w:tr>
      <w:tr w14:paraId="44B2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456" w:type="pct"/>
            <w:tcBorders>
              <w:top w:val="single" w:color="auto" w:sz="4" w:space="0"/>
              <w:left w:val="single" w:color="auto" w:sz="4" w:space="0"/>
              <w:bottom w:val="single" w:color="auto" w:sz="4" w:space="0"/>
              <w:right w:val="single" w:color="auto" w:sz="4" w:space="0"/>
            </w:tcBorders>
            <w:noWrap w:val="0"/>
            <w:vAlign w:val="center"/>
          </w:tcPr>
          <w:p w14:paraId="7D0ADA5B">
            <w:pPr>
              <w:rPr>
                <w:rFonts w:ascii="宋体" w:hAnsi="宋体" w:eastAsia="宋体"/>
                <w:szCs w:val="24"/>
                <w:highlight w:val="none"/>
                <w:u w:val="single"/>
              </w:rPr>
            </w:pPr>
          </w:p>
        </w:tc>
        <w:tc>
          <w:tcPr>
            <w:tcW w:w="2543" w:type="pct"/>
            <w:tcBorders>
              <w:top w:val="single" w:color="auto" w:sz="4" w:space="0"/>
              <w:left w:val="single" w:color="auto" w:sz="4" w:space="0"/>
              <w:bottom w:val="single" w:color="auto" w:sz="4" w:space="0"/>
              <w:right w:val="single" w:color="auto" w:sz="4" w:space="0"/>
            </w:tcBorders>
            <w:noWrap w:val="0"/>
            <w:vAlign w:val="center"/>
          </w:tcPr>
          <w:p w14:paraId="0CA0F98F">
            <w:pPr>
              <w:rPr>
                <w:rFonts w:ascii="宋体" w:hAnsi="宋体" w:eastAsia="宋体"/>
                <w:szCs w:val="24"/>
                <w:highlight w:val="none"/>
                <w:u w:val="single"/>
              </w:rPr>
            </w:pPr>
          </w:p>
        </w:tc>
      </w:tr>
      <w:tr w14:paraId="51FC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456" w:type="pct"/>
            <w:tcBorders>
              <w:top w:val="single" w:color="auto" w:sz="4" w:space="0"/>
              <w:left w:val="single" w:color="auto" w:sz="4" w:space="0"/>
              <w:bottom w:val="single" w:color="auto" w:sz="4" w:space="0"/>
              <w:right w:val="single" w:color="auto" w:sz="4" w:space="0"/>
            </w:tcBorders>
            <w:noWrap w:val="0"/>
            <w:vAlign w:val="center"/>
          </w:tcPr>
          <w:p w14:paraId="70929300">
            <w:pPr>
              <w:rPr>
                <w:rFonts w:ascii="宋体" w:hAnsi="宋体" w:eastAsia="宋体"/>
                <w:szCs w:val="24"/>
                <w:highlight w:val="none"/>
                <w:u w:val="single"/>
              </w:rPr>
            </w:pPr>
          </w:p>
        </w:tc>
        <w:tc>
          <w:tcPr>
            <w:tcW w:w="2543" w:type="pct"/>
            <w:tcBorders>
              <w:top w:val="single" w:color="auto" w:sz="4" w:space="0"/>
              <w:left w:val="single" w:color="auto" w:sz="4" w:space="0"/>
              <w:bottom w:val="single" w:color="auto" w:sz="4" w:space="0"/>
              <w:right w:val="single" w:color="auto" w:sz="4" w:space="0"/>
            </w:tcBorders>
            <w:noWrap w:val="0"/>
            <w:vAlign w:val="center"/>
          </w:tcPr>
          <w:p w14:paraId="124749FE">
            <w:pPr>
              <w:rPr>
                <w:rFonts w:ascii="宋体" w:hAnsi="宋体" w:eastAsia="宋体"/>
                <w:szCs w:val="24"/>
                <w:highlight w:val="none"/>
                <w:u w:val="single"/>
              </w:rPr>
            </w:pPr>
          </w:p>
        </w:tc>
      </w:tr>
      <w:tr w14:paraId="2084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456" w:type="pct"/>
            <w:tcBorders>
              <w:top w:val="single" w:color="auto" w:sz="4" w:space="0"/>
              <w:left w:val="single" w:color="auto" w:sz="4" w:space="0"/>
              <w:bottom w:val="single" w:color="auto" w:sz="4" w:space="0"/>
              <w:right w:val="single" w:color="auto" w:sz="4" w:space="0"/>
            </w:tcBorders>
            <w:noWrap w:val="0"/>
            <w:vAlign w:val="center"/>
          </w:tcPr>
          <w:p w14:paraId="14CC175D">
            <w:pPr>
              <w:rPr>
                <w:rFonts w:ascii="宋体" w:hAnsi="宋体" w:eastAsia="宋体"/>
                <w:szCs w:val="24"/>
                <w:highlight w:val="none"/>
                <w:u w:val="single"/>
              </w:rPr>
            </w:pPr>
          </w:p>
        </w:tc>
        <w:tc>
          <w:tcPr>
            <w:tcW w:w="2543" w:type="pct"/>
            <w:tcBorders>
              <w:top w:val="single" w:color="auto" w:sz="4" w:space="0"/>
              <w:left w:val="single" w:color="auto" w:sz="4" w:space="0"/>
              <w:bottom w:val="single" w:color="auto" w:sz="4" w:space="0"/>
              <w:right w:val="single" w:color="auto" w:sz="4" w:space="0"/>
            </w:tcBorders>
            <w:noWrap w:val="0"/>
            <w:vAlign w:val="center"/>
          </w:tcPr>
          <w:p w14:paraId="00A8ED68">
            <w:pPr>
              <w:rPr>
                <w:rFonts w:ascii="宋体" w:hAnsi="宋体" w:eastAsia="宋体"/>
                <w:szCs w:val="24"/>
                <w:highlight w:val="none"/>
                <w:u w:val="single"/>
              </w:rPr>
            </w:pPr>
          </w:p>
        </w:tc>
      </w:tr>
      <w:tr w14:paraId="0C98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456" w:type="pct"/>
            <w:tcBorders>
              <w:top w:val="single" w:color="auto" w:sz="4" w:space="0"/>
              <w:left w:val="single" w:color="auto" w:sz="4" w:space="0"/>
              <w:bottom w:val="single" w:color="auto" w:sz="4" w:space="0"/>
              <w:right w:val="single" w:color="auto" w:sz="4" w:space="0"/>
            </w:tcBorders>
            <w:noWrap w:val="0"/>
            <w:vAlign w:val="center"/>
          </w:tcPr>
          <w:p w14:paraId="196CF1ED">
            <w:pPr>
              <w:rPr>
                <w:rFonts w:ascii="宋体" w:hAnsi="宋体" w:eastAsia="宋体"/>
                <w:szCs w:val="24"/>
                <w:highlight w:val="none"/>
                <w:u w:val="single"/>
              </w:rPr>
            </w:pPr>
          </w:p>
        </w:tc>
        <w:tc>
          <w:tcPr>
            <w:tcW w:w="2543" w:type="pct"/>
            <w:tcBorders>
              <w:top w:val="single" w:color="auto" w:sz="4" w:space="0"/>
              <w:left w:val="single" w:color="auto" w:sz="4" w:space="0"/>
              <w:bottom w:val="single" w:color="auto" w:sz="4" w:space="0"/>
              <w:right w:val="single" w:color="auto" w:sz="4" w:space="0"/>
            </w:tcBorders>
            <w:noWrap w:val="0"/>
            <w:vAlign w:val="center"/>
          </w:tcPr>
          <w:p w14:paraId="0FF8B105">
            <w:pPr>
              <w:rPr>
                <w:rFonts w:ascii="宋体" w:hAnsi="宋体" w:eastAsia="宋体"/>
                <w:szCs w:val="24"/>
                <w:highlight w:val="none"/>
                <w:u w:val="single"/>
              </w:rPr>
            </w:pPr>
          </w:p>
        </w:tc>
      </w:tr>
    </w:tbl>
    <w:p w14:paraId="582E7E0C">
      <w:pPr>
        <w:adjustRightInd w:val="0"/>
        <w:snapToGrid w:val="0"/>
        <w:spacing w:line="360" w:lineRule="auto"/>
        <w:ind w:right="624" w:rightChars="297" w:firstLine="420" w:firstLineChars="200"/>
        <w:jc w:val="left"/>
        <w:rPr>
          <w:rFonts w:ascii="宋体" w:hAnsi="宋体" w:eastAsia="宋体" w:cs="宋体"/>
          <w:b/>
          <w:bCs/>
          <w:kern w:val="0"/>
          <w:sz w:val="28"/>
          <w:szCs w:val="28"/>
          <w:highlight w:val="none"/>
        </w:rPr>
      </w:pPr>
      <w:r>
        <w:rPr>
          <w:rFonts w:hint="eastAsia" w:ascii="宋体" w:hAnsi="宋体" w:eastAsia="宋体"/>
          <w:szCs w:val="24"/>
          <w:highlight w:val="none"/>
        </w:rPr>
        <w:t xml:space="preserve">定标委员签名：                </w:t>
      </w:r>
      <w:r>
        <w:rPr>
          <w:rFonts w:hint="eastAsia" w:ascii="宋体" w:hAnsi="宋体" w:eastAsia="宋体"/>
          <w:szCs w:val="24"/>
          <w:highlight w:val="none"/>
          <w:lang w:val="en-US" w:eastAsia="zh-CN"/>
        </w:rPr>
        <w:t xml:space="preserve">    </w:t>
      </w:r>
      <w:r>
        <w:rPr>
          <w:rFonts w:hint="eastAsia" w:ascii="宋体" w:hAnsi="宋体" w:eastAsia="宋体"/>
          <w:szCs w:val="24"/>
          <w:highlight w:val="none"/>
        </w:rPr>
        <w:t xml:space="preserve">               日期：2024年  月  日</w:t>
      </w:r>
    </w:p>
    <w:p w14:paraId="69377733">
      <w:pPr>
        <w:adjustRightInd w:val="0"/>
        <w:snapToGrid w:val="0"/>
        <w:spacing w:line="360" w:lineRule="auto"/>
        <w:ind w:right="-84" w:rightChars="-40"/>
        <w:rPr>
          <w:rFonts w:ascii="宋体" w:hAnsi="宋体" w:eastAsia="宋体" w:cs="宋体"/>
          <w:b/>
          <w:kern w:val="0"/>
          <w:szCs w:val="24"/>
          <w:highlight w:val="none"/>
          <w:u w:val="single"/>
        </w:rPr>
      </w:pPr>
    </w:p>
    <w:p w14:paraId="2EAB9E61">
      <w:pPr>
        <w:spacing w:line="240" w:lineRule="auto"/>
        <w:rPr>
          <w:rFonts w:hint="eastAsia" w:ascii="宋体" w:hAnsi="宋体" w:cs="宋体"/>
          <w:sz w:val="24"/>
          <w:szCs w:val="24"/>
          <w:highlight w:val="none"/>
        </w:rPr>
      </w:pPr>
      <w:r>
        <w:rPr>
          <w:rFonts w:hint="eastAsia" w:ascii="宋体" w:hAnsi="宋体" w:eastAsia="宋体" w:cs="宋体"/>
          <w:b/>
          <w:kern w:val="0"/>
          <w:sz w:val="21"/>
          <w:szCs w:val="21"/>
          <w:highlight w:val="none"/>
          <w:u w:val="single"/>
          <w:lang w:val="en-US" w:eastAsia="zh-CN" w:bidi="ar-SA"/>
        </w:rPr>
        <w:t>注：由定标委员会各成员依据</w:t>
      </w:r>
      <w:r>
        <w:rPr>
          <w:rFonts w:ascii="宋体" w:hAnsi="宋体" w:eastAsia="宋体" w:cs="宋体"/>
          <w:b/>
          <w:kern w:val="0"/>
          <w:sz w:val="21"/>
          <w:szCs w:val="21"/>
          <w:highlight w:val="none"/>
          <w:u w:val="single"/>
          <w:lang w:val="en-US" w:eastAsia="zh-CN" w:bidi="ar-SA"/>
        </w:rPr>
        <w:t>招标文件中列出的各定标因素，</w:t>
      </w:r>
      <w:r>
        <w:rPr>
          <w:rFonts w:hint="eastAsia" w:ascii="宋体" w:hAnsi="宋体" w:eastAsia="宋体" w:cs="宋体"/>
          <w:b/>
          <w:kern w:val="0"/>
          <w:sz w:val="21"/>
          <w:szCs w:val="21"/>
          <w:highlight w:val="none"/>
          <w:u w:val="single"/>
          <w:lang w:val="en-US" w:eastAsia="zh-CN" w:bidi="ar-SA"/>
        </w:rPr>
        <w:t>给予进入定标环节的各中标候选人客观</w:t>
      </w:r>
      <w:r>
        <w:rPr>
          <w:rFonts w:ascii="宋体" w:hAnsi="宋体" w:eastAsia="宋体" w:cs="宋体"/>
          <w:b/>
          <w:kern w:val="0"/>
          <w:sz w:val="21"/>
          <w:szCs w:val="21"/>
          <w:highlight w:val="none"/>
          <w:u w:val="single"/>
          <w:lang w:val="en-US" w:eastAsia="zh-CN" w:bidi="ar-SA"/>
        </w:rPr>
        <w:t>实际的评语</w:t>
      </w:r>
      <w:r>
        <w:rPr>
          <w:rFonts w:hint="eastAsia" w:ascii="宋体" w:hAnsi="宋体" w:eastAsia="宋体" w:cs="宋体"/>
          <w:b/>
          <w:kern w:val="0"/>
          <w:sz w:val="21"/>
          <w:szCs w:val="21"/>
          <w:highlight w:val="none"/>
          <w:u w:val="single"/>
          <w:lang w:val="en-US" w:eastAsia="zh-CN" w:bidi="ar-SA"/>
        </w:rPr>
        <w:t>，</w:t>
      </w:r>
      <w:r>
        <w:rPr>
          <w:rFonts w:ascii="宋体" w:hAnsi="宋体" w:eastAsia="宋体" w:cs="宋体"/>
          <w:b/>
          <w:kern w:val="0"/>
          <w:sz w:val="21"/>
          <w:szCs w:val="21"/>
          <w:highlight w:val="none"/>
          <w:u w:val="single"/>
          <w:lang w:val="en-US" w:eastAsia="zh-CN" w:bidi="ar-SA"/>
        </w:rPr>
        <w:t>并作为投票依据。</w:t>
      </w:r>
      <w:r>
        <w:rPr>
          <w:rFonts w:hint="eastAsia" w:ascii="宋体" w:hAnsi="宋体" w:cs="宋体"/>
          <w:sz w:val="24"/>
          <w:szCs w:val="24"/>
          <w:highlight w:val="none"/>
        </w:rPr>
        <w:br w:type="page"/>
      </w:r>
    </w:p>
    <w:p w14:paraId="25EEB811">
      <w:pPr>
        <w:spacing w:line="360" w:lineRule="auto"/>
        <w:rPr>
          <w:rFonts w:hint="eastAsia"/>
          <w:sz w:val="24"/>
          <w:szCs w:val="24"/>
          <w:highlight w:val="none"/>
          <w:lang w:eastAsia="zh-CN"/>
        </w:rPr>
      </w:pPr>
      <w:r>
        <w:rPr>
          <w:rFonts w:hint="eastAsia"/>
          <w:sz w:val="24"/>
          <w:szCs w:val="24"/>
          <w:highlight w:val="none"/>
        </w:rPr>
        <w:t>附表八</w:t>
      </w:r>
      <w:r>
        <w:rPr>
          <w:rFonts w:hint="eastAsia"/>
          <w:sz w:val="24"/>
          <w:szCs w:val="24"/>
          <w:highlight w:val="none"/>
          <w:lang w:val="en-US" w:eastAsia="zh-CN"/>
        </w:rPr>
        <w:t>-</w:t>
      </w:r>
      <w:r>
        <w:rPr>
          <w:rFonts w:hint="eastAsia"/>
          <w:sz w:val="24"/>
          <w:szCs w:val="24"/>
          <w:highlight w:val="none"/>
          <w:lang w:eastAsia="zh-CN"/>
        </w:rPr>
        <w:t>（</w:t>
      </w:r>
      <w:r>
        <w:rPr>
          <w:rFonts w:hint="eastAsia"/>
          <w:sz w:val="24"/>
          <w:szCs w:val="24"/>
          <w:highlight w:val="none"/>
          <w:lang w:val="en-US" w:eastAsia="zh-CN"/>
        </w:rPr>
        <w:t>二</w:t>
      </w:r>
      <w:r>
        <w:rPr>
          <w:rFonts w:hint="eastAsia"/>
          <w:sz w:val="24"/>
          <w:szCs w:val="24"/>
          <w:highlight w:val="none"/>
          <w:lang w:eastAsia="zh-CN"/>
        </w:rPr>
        <w:t>）</w:t>
      </w:r>
    </w:p>
    <w:p w14:paraId="6F7D1B60">
      <w:pPr>
        <w:spacing w:line="360" w:lineRule="auto"/>
        <w:rPr>
          <w:rFonts w:ascii="宋体" w:hAnsi="宋体" w:cs="宋体"/>
          <w:sz w:val="24"/>
          <w:szCs w:val="24"/>
          <w:highlight w:val="none"/>
        </w:rPr>
      </w:pPr>
    </w:p>
    <w:p w14:paraId="2D901502">
      <w:pPr>
        <w:spacing w:line="360" w:lineRule="auto"/>
        <w:jc w:val="center"/>
        <w:rPr>
          <w:rFonts w:ascii="宋体" w:hAnsi="宋体" w:cs="宋体"/>
          <w:b/>
          <w:sz w:val="32"/>
          <w:szCs w:val="32"/>
          <w:highlight w:val="none"/>
        </w:rPr>
      </w:pPr>
      <w:r>
        <w:rPr>
          <w:rFonts w:hint="eastAsia" w:ascii="宋体" w:hAnsi="宋体" w:cs="宋体"/>
          <w:b/>
          <w:sz w:val="32"/>
          <w:szCs w:val="32"/>
          <w:highlight w:val="none"/>
        </w:rPr>
        <w:t>定标选票</w:t>
      </w:r>
    </w:p>
    <w:p w14:paraId="0B82AD32">
      <w:pPr>
        <w:spacing w:line="360" w:lineRule="auto"/>
        <w:rPr>
          <w:rFonts w:ascii="宋体" w:hAnsi="宋体" w:cs="宋体"/>
          <w:sz w:val="24"/>
          <w:szCs w:val="24"/>
          <w:highlight w:val="none"/>
        </w:rPr>
      </w:pPr>
      <w:r>
        <w:rPr>
          <w:rFonts w:hint="eastAsia" w:ascii="宋体" w:hAnsi="宋体" w:cs="宋体"/>
          <w:sz w:val="24"/>
          <w:szCs w:val="24"/>
          <w:highlight w:val="none"/>
        </w:rPr>
        <w:t>项目名称：</w:t>
      </w:r>
    </w:p>
    <w:tbl>
      <w:tblPr>
        <w:tblStyle w:val="3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7"/>
        <w:gridCol w:w="1590"/>
      </w:tblGrid>
      <w:tr w14:paraId="59DC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92" w:type="pct"/>
            <w:vAlign w:val="center"/>
          </w:tcPr>
          <w:p w14:paraId="2F3B04DF">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支持的中标候选人名称</w:t>
            </w:r>
          </w:p>
        </w:tc>
        <w:tc>
          <w:tcPr>
            <w:tcW w:w="807" w:type="pct"/>
            <w:vAlign w:val="center"/>
          </w:tcPr>
          <w:p w14:paraId="7B39220E">
            <w:pPr>
              <w:spacing w:line="360" w:lineRule="auto"/>
              <w:jc w:val="center"/>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备注</w:t>
            </w:r>
          </w:p>
        </w:tc>
      </w:tr>
      <w:tr w14:paraId="6178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1" w:hRule="atLeast"/>
          <w:jc w:val="center"/>
        </w:trPr>
        <w:tc>
          <w:tcPr>
            <w:tcW w:w="4192" w:type="pct"/>
            <w:vAlign w:val="center"/>
          </w:tcPr>
          <w:p w14:paraId="78EF333F">
            <w:pPr>
              <w:spacing w:line="360" w:lineRule="auto"/>
              <w:jc w:val="center"/>
              <w:rPr>
                <w:rFonts w:ascii="宋体" w:hAnsi="宋体" w:cs="宋体"/>
                <w:sz w:val="24"/>
                <w:szCs w:val="24"/>
                <w:highlight w:val="none"/>
              </w:rPr>
            </w:pPr>
          </w:p>
        </w:tc>
        <w:tc>
          <w:tcPr>
            <w:tcW w:w="807" w:type="pct"/>
            <w:vAlign w:val="center"/>
          </w:tcPr>
          <w:p w14:paraId="0B8DFEE9">
            <w:pPr>
              <w:spacing w:line="360" w:lineRule="auto"/>
              <w:rPr>
                <w:rFonts w:ascii="宋体" w:hAnsi="宋体" w:cs="宋体"/>
                <w:sz w:val="24"/>
                <w:szCs w:val="24"/>
                <w:highlight w:val="none"/>
              </w:rPr>
            </w:pPr>
          </w:p>
        </w:tc>
      </w:tr>
    </w:tbl>
    <w:p w14:paraId="77ABB5B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正式投票规则：</w:t>
      </w:r>
    </w:p>
    <w:p w14:paraId="1167624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w:t>
      </w:r>
      <w:r>
        <w:rPr>
          <w:rFonts w:hint="eastAsia" w:ascii="宋体" w:hAnsi="宋体" w:cs="宋体"/>
          <w:sz w:val="24"/>
          <w:szCs w:val="24"/>
          <w:highlight w:val="none"/>
        </w:rPr>
        <w:t>以上表格用于正式投票，投票时须注明支持的</w:t>
      </w:r>
      <w:r>
        <w:rPr>
          <w:rFonts w:hint="eastAsia" w:ascii="宋体" w:hAnsi="宋体" w:cs="宋体"/>
          <w:b/>
          <w:bCs/>
          <w:sz w:val="24"/>
          <w:szCs w:val="24"/>
          <w:highlight w:val="none"/>
        </w:rPr>
        <w:t>中标候选人</w:t>
      </w:r>
      <w:r>
        <w:rPr>
          <w:rFonts w:hint="eastAsia" w:ascii="宋体" w:hAnsi="宋体" w:cs="宋体"/>
          <w:sz w:val="24"/>
          <w:szCs w:val="24"/>
          <w:highlight w:val="none"/>
        </w:rPr>
        <w:t>及支持理由。</w:t>
      </w:r>
    </w:p>
    <w:p w14:paraId="4632498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w:t>
      </w:r>
      <w:r>
        <w:rPr>
          <w:rFonts w:hint="eastAsia" w:ascii="宋体" w:hAnsi="宋体" w:cs="宋体"/>
          <w:sz w:val="24"/>
          <w:szCs w:val="24"/>
          <w:highlight w:val="none"/>
        </w:rPr>
        <w:t>投票结束后，点票人员对投票人数、票数和每票应选方案总数加以核对和统计，作废的选票不得统计，并向定标委员会报告。</w:t>
      </w:r>
    </w:p>
    <w:p w14:paraId="123BDD6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w:t>
      </w:r>
      <w:r>
        <w:rPr>
          <w:rFonts w:ascii="宋体" w:hAnsi="宋体" w:cs="宋体"/>
          <w:sz w:val="24"/>
          <w:szCs w:val="24"/>
          <w:highlight w:val="none"/>
        </w:rPr>
        <w:t>.</w:t>
      </w:r>
      <w:r>
        <w:rPr>
          <w:rFonts w:hint="eastAsia" w:ascii="宋体" w:hAnsi="宋体" w:cs="宋体"/>
          <w:sz w:val="24"/>
          <w:szCs w:val="24"/>
          <w:highlight w:val="none"/>
        </w:rPr>
        <w:t>定标委员会成员应当独立投票，自投票开始至最终排名统计结果公布期间，任何人不得非法干预、影响投票过程，不得透露、协商、改变投票结果，不得使用通信联络工具。</w:t>
      </w:r>
    </w:p>
    <w:p w14:paraId="1DA93041">
      <w:pPr>
        <w:spacing w:line="360" w:lineRule="auto"/>
        <w:rPr>
          <w:rFonts w:ascii="宋体" w:hAnsi="宋体" w:cs="宋体"/>
          <w:sz w:val="24"/>
          <w:szCs w:val="24"/>
          <w:highlight w:val="none"/>
        </w:rPr>
      </w:pPr>
      <w:r>
        <w:rPr>
          <w:rFonts w:hint="eastAsia" w:ascii="宋体" w:hAnsi="宋体" w:cs="宋体"/>
          <w:sz w:val="24"/>
          <w:szCs w:val="24"/>
          <w:highlight w:val="none"/>
        </w:rPr>
        <w:t>定标委员签名：</w:t>
      </w:r>
    </w:p>
    <w:p w14:paraId="7EACE8CE">
      <w:pPr>
        <w:spacing w:line="360" w:lineRule="auto"/>
        <w:jc w:val="right"/>
        <w:rPr>
          <w:rFonts w:ascii="宋体" w:hAnsi="宋体" w:cs="宋体"/>
          <w:sz w:val="24"/>
          <w:szCs w:val="24"/>
          <w:highlight w:val="none"/>
        </w:rPr>
      </w:pPr>
      <w:r>
        <w:rPr>
          <w:rFonts w:hint="eastAsia" w:ascii="宋体" w:hAnsi="宋体" w:cs="宋体"/>
          <w:sz w:val="24"/>
          <w:szCs w:val="24"/>
          <w:highlight w:val="none"/>
        </w:rPr>
        <w:t>日期：2024年  月  日</w:t>
      </w:r>
    </w:p>
    <w:p w14:paraId="4A6C13B5">
      <w:pPr>
        <w:rPr>
          <w:rFonts w:ascii="宋体" w:hAnsi="宋体" w:cs="宋体"/>
          <w:sz w:val="24"/>
          <w:szCs w:val="24"/>
          <w:highlight w:val="none"/>
        </w:rPr>
      </w:pPr>
      <w:r>
        <w:rPr>
          <w:rFonts w:hint="eastAsia" w:ascii="宋体" w:hAnsi="宋体" w:cs="宋体"/>
          <w:sz w:val="24"/>
          <w:szCs w:val="24"/>
          <w:highlight w:val="none"/>
        </w:rPr>
        <w:br w:type="page"/>
      </w:r>
    </w:p>
    <w:p w14:paraId="2F3CDDBF">
      <w:pPr>
        <w:pStyle w:val="4"/>
        <w:spacing w:before="0" w:beforeAutospacing="0" w:after="0" w:afterAutospacing="0" w:line="360" w:lineRule="auto"/>
        <w:rPr>
          <w:sz w:val="24"/>
          <w:szCs w:val="24"/>
          <w:highlight w:val="none"/>
        </w:rPr>
      </w:pPr>
      <w:r>
        <w:rPr>
          <w:rFonts w:hint="eastAsia"/>
          <w:sz w:val="24"/>
          <w:szCs w:val="24"/>
          <w:highlight w:val="none"/>
        </w:rPr>
        <w:t>附表九</w:t>
      </w:r>
    </w:p>
    <w:p w14:paraId="4D13BDCE">
      <w:pPr>
        <w:spacing w:line="360" w:lineRule="auto"/>
        <w:jc w:val="center"/>
        <w:rPr>
          <w:rFonts w:ascii="宋体" w:hAnsi="宋体" w:cs="宋体"/>
          <w:b/>
          <w:sz w:val="32"/>
          <w:szCs w:val="32"/>
          <w:highlight w:val="none"/>
        </w:rPr>
      </w:pPr>
      <w:r>
        <w:rPr>
          <w:rFonts w:hint="eastAsia" w:ascii="宋体" w:hAnsi="宋体" w:cs="宋体"/>
          <w:b/>
          <w:sz w:val="32"/>
          <w:szCs w:val="32"/>
          <w:highlight w:val="none"/>
        </w:rPr>
        <w:t>投票汇总表格（定标阶段）</w:t>
      </w:r>
    </w:p>
    <w:p w14:paraId="09656460">
      <w:pPr>
        <w:spacing w:line="360" w:lineRule="auto"/>
        <w:jc w:val="left"/>
        <w:rPr>
          <w:rFonts w:ascii="宋体" w:hAnsi="宋体" w:cs="宋体"/>
          <w:sz w:val="24"/>
          <w:szCs w:val="24"/>
          <w:highlight w:val="none"/>
        </w:rPr>
      </w:pPr>
      <w:r>
        <w:rPr>
          <w:rFonts w:hint="eastAsia" w:ascii="宋体" w:hAnsi="宋体" w:cs="宋体"/>
          <w:sz w:val="24"/>
          <w:szCs w:val="24"/>
          <w:highlight w:val="none"/>
        </w:rPr>
        <w:t>工程名称：</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5608"/>
        <w:gridCol w:w="2471"/>
      </w:tblGrid>
      <w:tr w14:paraId="4923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8" w:type="pct"/>
            <w:vMerge w:val="restart"/>
            <w:tcBorders>
              <w:top w:val="single" w:color="auto" w:sz="4" w:space="0"/>
              <w:left w:val="single" w:color="auto" w:sz="4" w:space="0"/>
              <w:bottom w:val="single" w:color="auto" w:sz="4" w:space="0"/>
              <w:right w:val="single" w:color="auto" w:sz="4" w:space="0"/>
            </w:tcBorders>
            <w:vAlign w:val="center"/>
          </w:tcPr>
          <w:p w14:paraId="11C876DE">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2846" w:type="pct"/>
            <w:vMerge w:val="restart"/>
            <w:tcBorders>
              <w:top w:val="single" w:color="auto" w:sz="4" w:space="0"/>
              <w:left w:val="single" w:color="auto" w:sz="4" w:space="0"/>
              <w:right w:val="single" w:color="auto" w:sz="4" w:space="0"/>
            </w:tcBorders>
            <w:vAlign w:val="center"/>
          </w:tcPr>
          <w:p w14:paraId="5284DAC5">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中标候选人名称</w:t>
            </w:r>
          </w:p>
        </w:tc>
        <w:tc>
          <w:tcPr>
            <w:tcW w:w="1254" w:type="pct"/>
            <w:vMerge w:val="restart"/>
            <w:tcBorders>
              <w:top w:val="single" w:color="auto" w:sz="4" w:space="0"/>
              <w:left w:val="single" w:color="auto" w:sz="4" w:space="0"/>
              <w:bottom w:val="single" w:color="auto" w:sz="4" w:space="0"/>
              <w:right w:val="single" w:color="auto" w:sz="4" w:space="0"/>
            </w:tcBorders>
            <w:vAlign w:val="center"/>
          </w:tcPr>
          <w:p w14:paraId="4DC99347">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得票数</w:t>
            </w:r>
          </w:p>
        </w:tc>
      </w:tr>
      <w:tr w14:paraId="366C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8" w:type="pct"/>
            <w:vMerge w:val="continue"/>
            <w:tcBorders>
              <w:top w:val="single" w:color="auto" w:sz="4" w:space="0"/>
              <w:left w:val="single" w:color="auto" w:sz="4" w:space="0"/>
              <w:bottom w:val="single" w:color="auto" w:sz="4" w:space="0"/>
              <w:right w:val="single" w:color="auto" w:sz="4" w:space="0"/>
            </w:tcBorders>
            <w:vAlign w:val="center"/>
          </w:tcPr>
          <w:p w14:paraId="02E9D6CD">
            <w:pPr>
              <w:widowControl/>
              <w:spacing w:line="360" w:lineRule="auto"/>
              <w:jc w:val="center"/>
              <w:rPr>
                <w:rFonts w:ascii="宋体" w:hAnsi="宋体" w:cs="宋体"/>
                <w:sz w:val="24"/>
                <w:szCs w:val="24"/>
                <w:highlight w:val="none"/>
              </w:rPr>
            </w:pPr>
          </w:p>
        </w:tc>
        <w:tc>
          <w:tcPr>
            <w:tcW w:w="2846" w:type="pct"/>
            <w:vMerge w:val="continue"/>
            <w:tcBorders>
              <w:left w:val="single" w:color="auto" w:sz="4" w:space="0"/>
              <w:bottom w:val="single" w:color="auto" w:sz="4" w:space="0"/>
              <w:right w:val="single" w:color="auto" w:sz="4" w:space="0"/>
            </w:tcBorders>
          </w:tcPr>
          <w:p w14:paraId="5FE227B3">
            <w:pPr>
              <w:widowControl/>
              <w:spacing w:line="360" w:lineRule="auto"/>
              <w:jc w:val="center"/>
              <w:rPr>
                <w:rFonts w:ascii="宋体" w:hAnsi="宋体" w:cs="宋体"/>
                <w:sz w:val="24"/>
                <w:szCs w:val="24"/>
                <w:highlight w:val="none"/>
              </w:rPr>
            </w:pPr>
          </w:p>
        </w:tc>
        <w:tc>
          <w:tcPr>
            <w:tcW w:w="1254" w:type="pct"/>
            <w:vMerge w:val="continue"/>
            <w:tcBorders>
              <w:top w:val="single" w:color="auto" w:sz="4" w:space="0"/>
              <w:left w:val="single" w:color="auto" w:sz="4" w:space="0"/>
              <w:bottom w:val="single" w:color="auto" w:sz="4" w:space="0"/>
              <w:right w:val="single" w:color="auto" w:sz="4" w:space="0"/>
            </w:tcBorders>
            <w:vAlign w:val="center"/>
          </w:tcPr>
          <w:p w14:paraId="0219E4D6">
            <w:pPr>
              <w:widowControl/>
              <w:spacing w:line="360" w:lineRule="auto"/>
              <w:jc w:val="center"/>
              <w:rPr>
                <w:rFonts w:ascii="宋体" w:hAnsi="宋体" w:cs="宋体"/>
                <w:sz w:val="24"/>
                <w:szCs w:val="24"/>
                <w:highlight w:val="none"/>
              </w:rPr>
            </w:pPr>
          </w:p>
        </w:tc>
      </w:tr>
      <w:tr w14:paraId="7F25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98" w:type="pct"/>
            <w:tcBorders>
              <w:top w:val="single" w:color="auto" w:sz="4" w:space="0"/>
              <w:left w:val="single" w:color="auto" w:sz="4" w:space="0"/>
              <w:bottom w:val="single" w:color="auto" w:sz="4" w:space="0"/>
              <w:right w:val="single" w:color="auto" w:sz="4" w:space="0"/>
            </w:tcBorders>
            <w:vAlign w:val="center"/>
          </w:tcPr>
          <w:p w14:paraId="7E27F78F">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2846" w:type="pct"/>
            <w:tcBorders>
              <w:top w:val="single" w:color="auto" w:sz="4" w:space="0"/>
              <w:left w:val="single" w:color="auto" w:sz="4" w:space="0"/>
              <w:bottom w:val="single" w:color="auto" w:sz="4" w:space="0"/>
              <w:right w:val="single" w:color="auto" w:sz="4" w:space="0"/>
            </w:tcBorders>
            <w:vAlign w:val="center"/>
          </w:tcPr>
          <w:p w14:paraId="5E512973">
            <w:pPr>
              <w:spacing w:line="360" w:lineRule="auto"/>
              <w:jc w:val="center"/>
              <w:rPr>
                <w:rFonts w:ascii="宋体" w:hAnsi="宋体" w:cs="宋体"/>
                <w:sz w:val="24"/>
                <w:szCs w:val="24"/>
                <w:highlight w:val="none"/>
              </w:rPr>
            </w:pPr>
          </w:p>
        </w:tc>
        <w:tc>
          <w:tcPr>
            <w:tcW w:w="1254" w:type="pct"/>
            <w:tcBorders>
              <w:top w:val="single" w:color="auto" w:sz="4" w:space="0"/>
              <w:left w:val="single" w:color="auto" w:sz="4" w:space="0"/>
              <w:bottom w:val="single" w:color="auto" w:sz="4" w:space="0"/>
              <w:right w:val="single" w:color="auto" w:sz="4" w:space="0"/>
            </w:tcBorders>
            <w:vAlign w:val="center"/>
          </w:tcPr>
          <w:p w14:paraId="6AB00E65">
            <w:pPr>
              <w:spacing w:line="360" w:lineRule="auto"/>
              <w:jc w:val="center"/>
              <w:rPr>
                <w:rFonts w:ascii="宋体" w:hAnsi="宋体" w:cs="宋体"/>
                <w:sz w:val="24"/>
                <w:szCs w:val="24"/>
                <w:highlight w:val="none"/>
              </w:rPr>
            </w:pPr>
          </w:p>
        </w:tc>
      </w:tr>
      <w:tr w14:paraId="6B726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98" w:type="pct"/>
            <w:tcBorders>
              <w:top w:val="single" w:color="auto" w:sz="4" w:space="0"/>
              <w:left w:val="single" w:color="auto" w:sz="4" w:space="0"/>
              <w:bottom w:val="single" w:color="auto" w:sz="4" w:space="0"/>
              <w:right w:val="single" w:color="auto" w:sz="4" w:space="0"/>
            </w:tcBorders>
            <w:vAlign w:val="center"/>
          </w:tcPr>
          <w:p w14:paraId="50862C10">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2846" w:type="pct"/>
            <w:tcBorders>
              <w:top w:val="single" w:color="auto" w:sz="4" w:space="0"/>
              <w:left w:val="single" w:color="auto" w:sz="4" w:space="0"/>
              <w:bottom w:val="single" w:color="auto" w:sz="4" w:space="0"/>
              <w:right w:val="single" w:color="auto" w:sz="4" w:space="0"/>
            </w:tcBorders>
            <w:vAlign w:val="center"/>
          </w:tcPr>
          <w:p w14:paraId="4655464B">
            <w:pPr>
              <w:spacing w:line="360" w:lineRule="auto"/>
              <w:jc w:val="center"/>
              <w:rPr>
                <w:rFonts w:ascii="宋体" w:hAnsi="宋体" w:cs="宋体"/>
                <w:sz w:val="24"/>
                <w:szCs w:val="24"/>
                <w:highlight w:val="none"/>
              </w:rPr>
            </w:pPr>
          </w:p>
        </w:tc>
        <w:tc>
          <w:tcPr>
            <w:tcW w:w="1254" w:type="pct"/>
            <w:tcBorders>
              <w:top w:val="single" w:color="auto" w:sz="4" w:space="0"/>
              <w:left w:val="single" w:color="auto" w:sz="4" w:space="0"/>
              <w:bottom w:val="single" w:color="auto" w:sz="4" w:space="0"/>
              <w:right w:val="single" w:color="auto" w:sz="4" w:space="0"/>
            </w:tcBorders>
            <w:vAlign w:val="center"/>
          </w:tcPr>
          <w:p w14:paraId="507674FA">
            <w:pPr>
              <w:spacing w:line="360" w:lineRule="auto"/>
              <w:jc w:val="center"/>
              <w:rPr>
                <w:rFonts w:ascii="宋体" w:hAnsi="宋体" w:cs="宋体"/>
                <w:sz w:val="24"/>
                <w:szCs w:val="24"/>
                <w:highlight w:val="none"/>
              </w:rPr>
            </w:pPr>
          </w:p>
        </w:tc>
      </w:tr>
      <w:tr w14:paraId="7E6F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98" w:type="pct"/>
            <w:tcBorders>
              <w:top w:val="single" w:color="auto" w:sz="4" w:space="0"/>
              <w:left w:val="single" w:color="auto" w:sz="4" w:space="0"/>
              <w:bottom w:val="single" w:color="auto" w:sz="4" w:space="0"/>
              <w:right w:val="single" w:color="auto" w:sz="4" w:space="0"/>
            </w:tcBorders>
            <w:vAlign w:val="center"/>
          </w:tcPr>
          <w:p w14:paraId="1F6B5AA8">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2846" w:type="pct"/>
            <w:tcBorders>
              <w:top w:val="single" w:color="auto" w:sz="4" w:space="0"/>
              <w:left w:val="single" w:color="auto" w:sz="4" w:space="0"/>
              <w:bottom w:val="single" w:color="auto" w:sz="4" w:space="0"/>
              <w:right w:val="single" w:color="auto" w:sz="4" w:space="0"/>
            </w:tcBorders>
            <w:vAlign w:val="center"/>
          </w:tcPr>
          <w:p w14:paraId="7481A995">
            <w:pPr>
              <w:spacing w:line="360" w:lineRule="auto"/>
              <w:jc w:val="center"/>
              <w:rPr>
                <w:rFonts w:ascii="宋体" w:hAnsi="宋体" w:cs="宋体"/>
                <w:sz w:val="24"/>
                <w:szCs w:val="24"/>
                <w:highlight w:val="none"/>
              </w:rPr>
            </w:pPr>
          </w:p>
        </w:tc>
        <w:tc>
          <w:tcPr>
            <w:tcW w:w="1254" w:type="pct"/>
            <w:tcBorders>
              <w:top w:val="single" w:color="auto" w:sz="4" w:space="0"/>
              <w:left w:val="single" w:color="auto" w:sz="4" w:space="0"/>
              <w:bottom w:val="single" w:color="auto" w:sz="4" w:space="0"/>
              <w:right w:val="single" w:color="auto" w:sz="4" w:space="0"/>
            </w:tcBorders>
            <w:vAlign w:val="center"/>
          </w:tcPr>
          <w:p w14:paraId="2D53AF11">
            <w:pPr>
              <w:spacing w:line="360" w:lineRule="auto"/>
              <w:jc w:val="center"/>
              <w:rPr>
                <w:rFonts w:ascii="宋体" w:hAnsi="宋体" w:cs="宋体"/>
                <w:sz w:val="24"/>
                <w:szCs w:val="24"/>
                <w:highlight w:val="none"/>
              </w:rPr>
            </w:pPr>
          </w:p>
        </w:tc>
      </w:tr>
      <w:tr w14:paraId="07D3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98" w:type="pct"/>
            <w:tcBorders>
              <w:top w:val="single" w:color="auto" w:sz="4" w:space="0"/>
              <w:left w:val="single" w:color="auto" w:sz="4" w:space="0"/>
              <w:bottom w:val="single" w:color="auto" w:sz="4" w:space="0"/>
              <w:right w:val="single" w:color="auto" w:sz="4" w:space="0"/>
            </w:tcBorders>
            <w:vAlign w:val="center"/>
          </w:tcPr>
          <w:p w14:paraId="2826E656">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2846" w:type="pct"/>
            <w:tcBorders>
              <w:top w:val="single" w:color="auto" w:sz="4" w:space="0"/>
              <w:left w:val="single" w:color="auto" w:sz="4" w:space="0"/>
              <w:bottom w:val="single" w:color="auto" w:sz="4" w:space="0"/>
              <w:right w:val="single" w:color="auto" w:sz="4" w:space="0"/>
            </w:tcBorders>
            <w:vAlign w:val="center"/>
          </w:tcPr>
          <w:p w14:paraId="775F2A69">
            <w:pPr>
              <w:spacing w:line="360" w:lineRule="auto"/>
              <w:jc w:val="center"/>
              <w:rPr>
                <w:rFonts w:ascii="宋体" w:hAnsi="宋体" w:cs="宋体"/>
                <w:sz w:val="24"/>
                <w:szCs w:val="24"/>
                <w:highlight w:val="none"/>
              </w:rPr>
            </w:pPr>
          </w:p>
        </w:tc>
        <w:tc>
          <w:tcPr>
            <w:tcW w:w="1254" w:type="pct"/>
            <w:tcBorders>
              <w:top w:val="single" w:color="auto" w:sz="4" w:space="0"/>
              <w:left w:val="single" w:color="auto" w:sz="4" w:space="0"/>
              <w:bottom w:val="single" w:color="auto" w:sz="4" w:space="0"/>
              <w:right w:val="single" w:color="auto" w:sz="4" w:space="0"/>
            </w:tcBorders>
            <w:vAlign w:val="center"/>
          </w:tcPr>
          <w:p w14:paraId="18EAEEB1">
            <w:pPr>
              <w:spacing w:line="360" w:lineRule="auto"/>
              <w:jc w:val="center"/>
              <w:rPr>
                <w:rFonts w:ascii="宋体" w:hAnsi="宋体" w:cs="宋体"/>
                <w:sz w:val="24"/>
                <w:szCs w:val="24"/>
                <w:highlight w:val="none"/>
              </w:rPr>
            </w:pPr>
          </w:p>
        </w:tc>
      </w:tr>
      <w:tr w14:paraId="6CF5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98" w:type="pct"/>
            <w:tcBorders>
              <w:top w:val="single" w:color="auto" w:sz="4" w:space="0"/>
              <w:left w:val="single" w:color="auto" w:sz="4" w:space="0"/>
              <w:bottom w:val="single" w:color="auto" w:sz="4" w:space="0"/>
              <w:right w:val="single" w:color="auto" w:sz="4" w:space="0"/>
            </w:tcBorders>
            <w:vAlign w:val="center"/>
          </w:tcPr>
          <w:p w14:paraId="5E0E4258">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2846" w:type="pct"/>
            <w:tcBorders>
              <w:top w:val="single" w:color="auto" w:sz="4" w:space="0"/>
              <w:left w:val="single" w:color="auto" w:sz="4" w:space="0"/>
              <w:bottom w:val="single" w:color="auto" w:sz="4" w:space="0"/>
              <w:right w:val="single" w:color="auto" w:sz="4" w:space="0"/>
            </w:tcBorders>
            <w:vAlign w:val="center"/>
          </w:tcPr>
          <w:p w14:paraId="641414BD">
            <w:pPr>
              <w:spacing w:line="360" w:lineRule="auto"/>
              <w:jc w:val="center"/>
              <w:rPr>
                <w:rFonts w:ascii="宋体" w:hAnsi="宋体" w:cs="宋体"/>
                <w:sz w:val="24"/>
                <w:szCs w:val="24"/>
                <w:highlight w:val="none"/>
              </w:rPr>
            </w:pPr>
          </w:p>
        </w:tc>
        <w:tc>
          <w:tcPr>
            <w:tcW w:w="1254" w:type="pct"/>
            <w:tcBorders>
              <w:top w:val="single" w:color="auto" w:sz="4" w:space="0"/>
              <w:left w:val="single" w:color="auto" w:sz="4" w:space="0"/>
              <w:bottom w:val="single" w:color="auto" w:sz="4" w:space="0"/>
              <w:right w:val="single" w:color="auto" w:sz="4" w:space="0"/>
            </w:tcBorders>
            <w:vAlign w:val="center"/>
          </w:tcPr>
          <w:p w14:paraId="716C90A4">
            <w:pPr>
              <w:spacing w:line="360" w:lineRule="auto"/>
              <w:jc w:val="center"/>
              <w:rPr>
                <w:rFonts w:ascii="宋体" w:hAnsi="宋体" w:cs="宋体"/>
                <w:sz w:val="24"/>
                <w:szCs w:val="24"/>
                <w:highlight w:val="none"/>
              </w:rPr>
            </w:pPr>
          </w:p>
        </w:tc>
      </w:tr>
      <w:tr w14:paraId="3D4E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98" w:type="pct"/>
            <w:tcBorders>
              <w:top w:val="single" w:color="auto" w:sz="4" w:space="0"/>
              <w:left w:val="single" w:color="auto" w:sz="4" w:space="0"/>
              <w:bottom w:val="single" w:color="auto" w:sz="4" w:space="0"/>
              <w:right w:val="single" w:color="auto" w:sz="4" w:space="0"/>
            </w:tcBorders>
            <w:vAlign w:val="center"/>
          </w:tcPr>
          <w:p w14:paraId="2E86D48B">
            <w:pPr>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2846" w:type="pct"/>
            <w:tcBorders>
              <w:top w:val="single" w:color="auto" w:sz="4" w:space="0"/>
              <w:left w:val="single" w:color="auto" w:sz="4" w:space="0"/>
              <w:bottom w:val="single" w:color="auto" w:sz="4" w:space="0"/>
              <w:right w:val="single" w:color="auto" w:sz="4" w:space="0"/>
            </w:tcBorders>
            <w:vAlign w:val="center"/>
          </w:tcPr>
          <w:p w14:paraId="0594B509">
            <w:pPr>
              <w:spacing w:line="360" w:lineRule="auto"/>
              <w:jc w:val="center"/>
              <w:rPr>
                <w:rFonts w:ascii="宋体" w:hAnsi="宋体" w:cs="宋体"/>
                <w:sz w:val="24"/>
                <w:szCs w:val="24"/>
                <w:highlight w:val="none"/>
              </w:rPr>
            </w:pPr>
          </w:p>
        </w:tc>
        <w:tc>
          <w:tcPr>
            <w:tcW w:w="1254" w:type="pct"/>
            <w:tcBorders>
              <w:top w:val="single" w:color="auto" w:sz="4" w:space="0"/>
              <w:left w:val="single" w:color="auto" w:sz="4" w:space="0"/>
              <w:bottom w:val="single" w:color="auto" w:sz="4" w:space="0"/>
              <w:right w:val="single" w:color="auto" w:sz="4" w:space="0"/>
            </w:tcBorders>
            <w:vAlign w:val="center"/>
          </w:tcPr>
          <w:p w14:paraId="34F1DA42">
            <w:pPr>
              <w:spacing w:line="360" w:lineRule="auto"/>
              <w:jc w:val="center"/>
              <w:rPr>
                <w:rFonts w:ascii="宋体" w:hAnsi="宋体" w:cs="宋体"/>
                <w:sz w:val="24"/>
                <w:szCs w:val="24"/>
                <w:highlight w:val="none"/>
              </w:rPr>
            </w:pPr>
          </w:p>
        </w:tc>
      </w:tr>
      <w:tr w14:paraId="05D7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98" w:type="pct"/>
            <w:tcBorders>
              <w:top w:val="single" w:color="auto" w:sz="4" w:space="0"/>
              <w:left w:val="single" w:color="auto" w:sz="4" w:space="0"/>
              <w:bottom w:val="single" w:color="auto" w:sz="4" w:space="0"/>
              <w:right w:val="single" w:color="auto" w:sz="4" w:space="0"/>
            </w:tcBorders>
            <w:vAlign w:val="center"/>
          </w:tcPr>
          <w:p w14:paraId="19052E95">
            <w:pPr>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2846" w:type="pct"/>
            <w:tcBorders>
              <w:top w:val="single" w:color="auto" w:sz="4" w:space="0"/>
              <w:left w:val="single" w:color="auto" w:sz="4" w:space="0"/>
              <w:bottom w:val="single" w:color="auto" w:sz="4" w:space="0"/>
              <w:right w:val="single" w:color="auto" w:sz="4" w:space="0"/>
            </w:tcBorders>
            <w:vAlign w:val="center"/>
          </w:tcPr>
          <w:p w14:paraId="76D8CA31">
            <w:pPr>
              <w:spacing w:line="360" w:lineRule="auto"/>
              <w:jc w:val="center"/>
              <w:rPr>
                <w:rFonts w:ascii="宋体" w:hAnsi="宋体" w:cs="宋体"/>
                <w:sz w:val="24"/>
                <w:szCs w:val="24"/>
                <w:highlight w:val="none"/>
              </w:rPr>
            </w:pPr>
          </w:p>
        </w:tc>
        <w:tc>
          <w:tcPr>
            <w:tcW w:w="1254" w:type="pct"/>
            <w:tcBorders>
              <w:top w:val="single" w:color="auto" w:sz="4" w:space="0"/>
              <w:left w:val="single" w:color="auto" w:sz="4" w:space="0"/>
              <w:bottom w:val="single" w:color="auto" w:sz="4" w:space="0"/>
              <w:right w:val="single" w:color="auto" w:sz="4" w:space="0"/>
            </w:tcBorders>
            <w:vAlign w:val="center"/>
          </w:tcPr>
          <w:p w14:paraId="75D19F40">
            <w:pPr>
              <w:spacing w:line="360" w:lineRule="auto"/>
              <w:jc w:val="center"/>
              <w:rPr>
                <w:rFonts w:ascii="宋体" w:hAnsi="宋体" w:cs="宋体"/>
                <w:sz w:val="24"/>
                <w:szCs w:val="24"/>
                <w:highlight w:val="none"/>
              </w:rPr>
            </w:pPr>
          </w:p>
        </w:tc>
      </w:tr>
    </w:tbl>
    <w:p w14:paraId="31656982">
      <w:pPr>
        <w:spacing w:line="360" w:lineRule="auto"/>
        <w:jc w:val="left"/>
        <w:rPr>
          <w:rFonts w:ascii="宋体" w:hAnsi="宋体" w:cs="宋体"/>
          <w:sz w:val="24"/>
          <w:szCs w:val="24"/>
          <w:highlight w:val="none"/>
        </w:rPr>
      </w:pPr>
      <w:r>
        <w:rPr>
          <w:rFonts w:hint="eastAsia" w:ascii="宋体" w:hAnsi="宋体" w:cs="宋体"/>
          <w:sz w:val="24"/>
          <w:szCs w:val="24"/>
          <w:highlight w:val="none"/>
        </w:rPr>
        <w:t>定标委员会全体成员签名：</w:t>
      </w:r>
    </w:p>
    <w:p w14:paraId="1A8D80E3">
      <w:pPr>
        <w:spacing w:line="360" w:lineRule="auto"/>
        <w:jc w:val="right"/>
        <w:rPr>
          <w:rFonts w:ascii="宋体" w:hAnsi="宋体" w:cs="宋体"/>
          <w:sz w:val="24"/>
          <w:szCs w:val="24"/>
          <w:highlight w:val="none"/>
        </w:rPr>
      </w:pPr>
      <w:r>
        <w:rPr>
          <w:rFonts w:hint="eastAsia" w:ascii="宋体" w:hAnsi="宋体" w:cs="宋体"/>
          <w:sz w:val="24"/>
          <w:szCs w:val="24"/>
          <w:highlight w:val="none"/>
        </w:rPr>
        <w:t>日    期：       年    月    日</w:t>
      </w:r>
    </w:p>
    <w:p w14:paraId="41964414">
      <w:pPr>
        <w:spacing w:line="360" w:lineRule="auto"/>
        <w:rPr>
          <w:rFonts w:ascii="宋体" w:hAnsi="宋体" w:cs="宋体"/>
          <w:kern w:val="0"/>
          <w:sz w:val="24"/>
          <w:szCs w:val="24"/>
          <w:highlight w:val="none"/>
        </w:rPr>
      </w:pPr>
      <w:r>
        <w:rPr>
          <w:rFonts w:hint="eastAsia" w:ascii="宋体" w:hAnsi="宋体" w:cs="宋体"/>
          <w:szCs w:val="21"/>
          <w:highlight w:val="none"/>
        </w:rPr>
        <w:br w:type="page"/>
      </w:r>
      <w:r>
        <w:rPr>
          <w:rFonts w:hint="eastAsia" w:ascii="宋体" w:hAnsi="宋体" w:cs="宋体"/>
          <w:kern w:val="0"/>
          <w:sz w:val="24"/>
          <w:szCs w:val="24"/>
          <w:highlight w:val="none"/>
        </w:rPr>
        <w:t>附表十</w:t>
      </w:r>
    </w:p>
    <w:p w14:paraId="3CBE9546">
      <w:pPr>
        <w:spacing w:line="360" w:lineRule="auto"/>
        <w:jc w:val="center"/>
        <w:rPr>
          <w:rFonts w:ascii="宋体" w:hAnsi="宋体" w:cs="宋体"/>
          <w:b/>
          <w:sz w:val="32"/>
          <w:szCs w:val="32"/>
          <w:highlight w:val="none"/>
        </w:rPr>
      </w:pPr>
      <w:r>
        <w:rPr>
          <w:rFonts w:hint="eastAsia" w:ascii="宋体" w:hAnsi="宋体" w:cs="宋体"/>
          <w:b/>
          <w:sz w:val="32"/>
          <w:szCs w:val="32"/>
          <w:highlight w:val="none"/>
        </w:rPr>
        <w:t>附加票定标选票表</w:t>
      </w:r>
    </w:p>
    <w:p w14:paraId="76716862">
      <w:pPr>
        <w:spacing w:line="360" w:lineRule="auto"/>
        <w:jc w:val="center"/>
        <w:rPr>
          <w:rFonts w:ascii="宋体" w:hAnsi="宋体" w:cs="宋体"/>
          <w:b/>
          <w:sz w:val="32"/>
          <w:szCs w:val="32"/>
          <w:highlight w:val="none"/>
        </w:rPr>
      </w:pPr>
      <w:r>
        <w:rPr>
          <w:rFonts w:hint="eastAsia" w:ascii="宋体" w:hAnsi="宋体" w:cs="宋体"/>
          <w:b/>
          <w:sz w:val="32"/>
          <w:szCs w:val="32"/>
          <w:highlight w:val="none"/>
        </w:rPr>
        <w:t>（定标阶段－票数相同时定标委员会个人用表）</w:t>
      </w:r>
    </w:p>
    <w:p w14:paraId="77BE5C27">
      <w:pPr>
        <w:adjustRightInd w:val="0"/>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工程名称：</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1"/>
        <w:gridCol w:w="2298"/>
        <w:gridCol w:w="2300"/>
        <w:gridCol w:w="2300"/>
      </w:tblGrid>
      <w:tr w14:paraId="09DD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498" w:type="pct"/>
            <w:tcBorders>
              <w:top w:val="single" w:color="auto" w:sz="4" w:space="0"/>
              <w:left w:val="single" w:color="auto" w:sz="4" w:space="0"/>
              <w:bottom w:val="single" w:color="auto" w:sz="4" w:space="0"/>
              <w:right w:val="single" w:color="auto" w:sz="4" w:space="0"/>
            </w:tcBorders>
            <w:vAlign w:val="center"/>
          </w:tcPr>
          <w:p w14:paraId="5CE23B61">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支持的中标候选人名称</w:t>
            </w:r>
          </w:p>
        </w:tc>
        <w:tc>
          <w:tcPr>
            <w:tcW w:w="1166" w:type="pct"/>
            <w:tcBorders>
              <w:top w:val="single" w:color="auto" w:sz="4" w:space="0"/>
              <w:left w:val="single" w:color="auto" w:sz="4" w:space="0"/>
              <w:bottom w:val="single" w:color="auto" w:sz="4" w:space="0"/>
              <w:right w:val="single" w:color="auto" w:sz="4" w:space="0"/>
            </w:tcBorders>
            <w:vAlign w:val="center"/>
          </w:tcPr>
          <w:p w14:paraId="6E0CD1C6">
            <w:pPr>
              <w:spacing w:line="360" w:lineRule="auto"/>
              <w:jc w:val="center"/>
              <w:rPr>
                <w:rFonts w:ascii="宋体" w:hAnsi="宋体" w:cs="宋体"/>
                <w:kern w:val="0"/>
                <w:sz w:val="24"/>
                <w:szCs w:val="24"/>
                <w:highlight w:val="none"/>
              </w:rPr>
            </w:pPr>
          </w:p>
        </w:tc>
        <w:tc>
          <w:tcPr>
            <w:tcW w:w="1167" w:type="pct"/>
            <w:tcBorders>
              <w:top w:val="single" w:color="auto" w:sz="4" w:space="0"/>
              <w:left w:val="single" w:color="auto" w:sz="4" w:space="0"/>
              <w:bottom w:val="single" w:color="auto" w:sz="4" w:space="0"/>
              <w:right w:val="single" w:color="auto" w:sz="4" w:space="0"/>
            </w:tcBorders>
            <w:vAlign w:val="center"/>
          </w:tcPr>
          <w:p w14:paraId="7CD89B74">
            <w:pPr>
              <w:spacing w:line="360" w:lineRule="auto"/>
              <w:jc w:val="center"/>
              <w:rPr>
                <w:rFonts w:ascii="宋体" w:hAnsi="宋体" w:cs="宋体"/>
                <w:kern w:val="0"/>
                <w:sz w:val="24"/>
                <w:szCs w:val="24"/>
                <w:highlight w:val="none"/>
              </w:rPr>
            </w:pPr>
          </w:p>
        </w:tc>
        <w:tc>
          <w:tcPr>
            <w:tcW w:w="1167" w:type="pct"/>
            <w:tcBorders>
              <w:top w:val="single" w:color="auto" w:sz="4" w:space="0"/>
              <w:left w:val="single" w:color="auto" w:sz="4" w:space="0"/>
              <w:bottom w:val="single" w:color="auto" w:sz="4" w:space="0"/>
              <w:right w:val="single" w:color="auto" w:sz="4" w:space="0"/>
            </w:tcBorders>
            <w:vAlign w:val="center"/>
          </w:tcPr>
          <w:p w14:paraId="1CD09B2B">
            <w:pPr>
              <w:spacing w:line="360" w:lineRule="auto"/>
              <w:jc w:val="center"/>
              <w:rPr>
                <w:rFonts w:ascii="宋体" w:hAnsi="宋体" w:cs="宋体"/>
                <w:kern w:val="0"/>
                <w:sz w:val="24"/>
                <w:szCs w:val="24"/>
                <w:highlight w:val="none"/>
              </w:rPr>
            </w:pPr>
          </w:p>
        </w:tc>
      </w:tr>
      <w:tr w14:paraId="476B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498" w:type="pct"/>
            <w:tcBorders>
              <w:top w:val="single" w:color="auto" w:sz="4" w:space="0"/>
              <w:left w:val="single" w:color="auto" w:sz="4" w:space="0"/>
              <w:bottom w:val="single" w:color="auto" w:sz="4" w:space="0"/>
              <w:right w:val="single" w:color="auto" w:sz="4" w:space="0"/>
            </w:tcBorders>
            <w:vAlign w:val="center"/>
          </w:tcPr>
          <w:p w14:paraId="0FDE3335">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票决意见</w:t>
            </w:r>
          </w:p>
        </w:tc>
        <w:tc>
          <w:tcPr>
            <w:tcW w:w="1166" w:type="pct"/>
            <w:tcBorders>
              <w:top w:val="single" w:color="auto" w:sz="4" w:space="0"/>
              <w:left w:val="single" w:color="auto" w:sz="4" w:space="0"/>
              <w:bottom w:val="single" w:color="auto" w:sz="4" w:space="0"/>
              <w:right w:val="single" w:color="auto" w:sz="4" w:space="0"/>
            </w:tcBorders>
            <w:vAlign w:val="center"/>
          </w:tcPr>
          <w:p w14:paraId="5A5F2030">
            <w:pPr>
              <w:spacing w:line="360" w:lineRule="auto"/>
              <w:jc w:val="center"/>
              <w:rPr>
                <w:rFonts w:ascii="宋体" w:hAnsi="宋体" w:cs="宋体"/>
                <w:kern w:val="0"/>
                <w:sz w:val="24"/>
                <w:szCs w:val="24"/>
                <w:highlight w:val="none"/>
              </w:rPr>
            </w:pPr>
          </w:p>
        </w:tc>
        <w:tc>
          <w:tcPr>
            <w:tcW w:w="1167" w:type="pct"/>
            <w:tcBorders>
              <w:top w:val="single" w:color="auto" w:sz="4" w:space="0"/>
              <w:left w:val="single" w:color="auto" w:sz="4" w:space="0"/>
              <w:bottom w:val="single" w:color="auto" w:sz="4" w:space="0"/>
              <w:right w:val="single" w:color="auto" w:sz="4" w:space="0"/>
            </w:tcBorders>
            <w:vAlign w:val="center"/>
          </w:tcPr>
          <w:p w14:paraId="0E62CA86">
            <w:pPr>
              <w:spacing w:line="360" w:lineRule="auto"/>
              <w:jc w:val="center"/>
              <w:rPr>
                <w:rFonts w:ascii="宋体" w:hAnsi="宋体" w:cs="宋体"/>
                <w:kern w:val="0"/>
                <w:sz w:val="24"/>
                <w:szCs w:val="24"/>
                <w:highlight w:val="none"/>
              </w:rPr>
            </w:pPr>
          </w:p>
        </w:tc>
        <w:tc>
          <w:tcPr>
            <w:tcW w:w="1167" w:type="pct"/>
            <w:tcBorders>
              <w:top w:val="single" w:color="auto" w:sz="4" w:space="0"/>
              <w:left w:val="single" w:color="auto" w:sz="4" w:space="0"/>
              <w:bottom w:val="single" w:color="auto" w:sz="4" w:space="0"/>
              <w:right w:val="single" w:color="auto" w:sz="4" w:space="0"/>
            </w:tcBorders>
            <w:vAlign w:val="center"/>
          </w:tcPr>
          <w:p w14:paraId="7F003E88">
            <w:pPr>
              <w:spacing w:line="360" w:lineRule="auto"/>
              <w:jc w:val="center"/>
              <w:rPr>
                <w:rFonts w:ascii="宋体" w:hAnsi="宋体" w:cs="宋体"/>
                <w:kern w:val="0"/>
                <w:sz w:val="24"/>
                <w:szCs w:val="24"/>
                <w:highlight w:val="none"/>
              </w:rPr>
            </w:pPr>
          </w:p>
        </w:tc>
      </w:tr>
    </w:tbl>
    <w:p w14:paraId="12BDB0B2">
      <w:pPr>
        <w:spacing w:line="360" w:lineRule="auto"/>
        <w:rPr>
          <w:rFonts w:ascii="宋体" w:hAnsi="宋体" w:cs="宋体"/>
          <w:sz w:val="24"/>
          <w:szCs w:val="24"/>
          <w:highlight w:val="none"/>
        </w:rPr>
      </w:pPr>
      <w:r>
        <w:rPr>
          <w:rFonts w:hint="eastAsia" w:ascii="宋体" w:hAnsi="宋体" w:cs="宋体"/>
          <w:sz w:val="24"/>
          <w:szCs w:val="24"/>
          <w:highlight w:val="none"/>
        </w:rPr>
        <w:t>定标委员会成员签名：</w:t>
      </w:r>
    </w:p>
    <w:p w14:paraId="12304547">
      <w:pPr>
        <w:spacing w:line="360" w:lineRule="auto"/>
        <w:ind w:right="-2"/>
        <w:jc w:val="right"/>
        <w:rPr>
          <w:rFonts w:ascii="宋体" w:hAnsi="宋体" w:cs="宋体"/>
          <w:sz w:val="24"/>
          <w:szCs w:val="24"/>
          <w:highlight w:val="none"/>
        </w:rPr>
      </w:pPr>
      <w:r>
        <w:rPr>
          <w:rFonts w:hint="eastAsia" w:ascii="宋体" w:hAnsi="宋体" w:cs="宋体"/>
          <w:sz w:val="24"/>
          <w:szCs w:val="24"/>
          <w:highlight w:val="none"/>
        </w:rPr>
        <w:t>日期：     年   月   日</w:t>
      </w:r>
    </w:p>
    <w:p w14:paraId="60DE7980">
      <w:pPr>
        <w:spacing w:line="360" w:lineRule="auto"/>
        <w:rPr>
          <w:rFonts w:ascii="宋体" w:hAnsi="宋体" w:cs="宋体"/>
          <w:sz w:val="24"/>
          <w:szCs w:val="24"/>
          <w:highlight w:val="none"/>
        </w:rPr>
      </w:pPr>
    </w:p>
    <w:p w14:paraId="51E812FE">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注：</w:t>
      </w:r>
    </w:p>
    <w:p w14:paraId="4F2D7EE7">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1.本表用于投票出现票数相同的情况。</w:t>
      </w:r>
    </w:p>
    <w:p w14:paraId="1F6A3B96">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由定标委员会成员进行附加投票，票决意见分别为“投票”或“不投票”，各定标委员会成员只有1票表决权（即只能对其中一名中标候选人“投票”），票决意见为“投票”的，用“○”表示；票决意见为“不投票”，用“×”表示。</w:t>
      </w:r>
    </w:p>
    <w:p w14:paraId="497CB0E6">
      <w:pPr>
        <w:spacing w:line="360" w:lineRule="auto"/>
        <w:rPr>
          <w:rFonts w:ascii="宋体" w:hAnsi="宋体" w:cs="宋体"/>
          <w:kern w:val="0"/>
          <w:sz w:val="24"/>
          <w:szCs w:val="24"/>
          <w:highlight w:val="none"/>
        </w:rPr>
      </w:pPr>
      <w:r>
        <w:rPr>
          <w:rFonts w:hint="eastAsia" w:ascii="宋体" w:hAnsi="宋体" w:cs="宋体"/>
          <w:bCs/>
          <w:szCs w:val="21"/>
          <w:highlight w:val="none"/>
        </w:rPr>
        <w:br w:type="page"/>
      </w:r>
      <w:r>
        <w:rPr>
          <w:rFonts w:hint="eastAsia" w:ascii="宋体" w:hAnsi="宋体" w:cs="宋体"/>
          <w:kern w:val="0"/>
          <w:sz w:val="24"/>
          <w:szCs w:val="24"/>
          <w:highlight w:val="none"/>
        </w:rPr>
        <w:t>附表十一</w:t>
      </w:r>
    </w:p>
    <w:p w14:paraId="4F9B455D">
      <w:pPr>
        <w:spacing w:line="360" w:lineRule="auto"/>
        <w:rPr>
          <w:rFonts w:ascii="宋体" w:hAnsi="宋体" w:cs="宋体"/>
          <w:sz w:val="24"/>
          <w:szCs w:val="24"/>
          <w:highlight w:val="none"/>
        </w:rPr>
      </w:pPr>
      <w:r>
        <w:rPr>
          <w:rFonts w:hint="eastAsia" w:ascii="宋体" w:hAnsi="宋体" w:cs="宋体"/>
          <w:sz w:val="24"/>
          <w:szCs w:val="24"/>
          <w:highlight w:val="none"/>
        </w:rPr>
        <w:t>（本页发给定标委员会成员，本轮投票结束时收回）</w:t>
      </w:r>
    </w:p>
    <w:p w14:paraId="12C0EA83">
      <w:pPr>
        <w:spacing w:line="360" w:lineRule="auto"/>
        <w:jc w:val="center"/>
        <w:rPr>
          <w:rFonts w:ascii="宋体" w:hAnsi="宋体" w:cs="宋体"/>
          <w:b/>
          <w:sz w:val="32"/>
          <w:szCs w:val="32"/>
          <w:highlight w:val="none"/>
        </w:rPr>
      </w:pPr>
      <w:r>
        <w:rPr>
          <w:rFonts w:hint="eastAsia" w:ascii="宋体" w:hAnsi="宋体" w:cs="宋体"/>
          <w:b/>
          <w:sz w:val="32"/>
          <w:szCs w:val="32"/>
          <w:highlight w:val="none"/>
        </w:rPr>
        <w:t>附加票定标选票表汇总表</w:t>
      </w:r>
    </w:p>
    <w:p w14:paraId="0DF16262">
      <w:pPr>
        <w:spacing w:line="360" w:lineRule="auto"/>
        <w:jc w:val="center"/>
        <w:rPr>
          <w:rFonts w:ascii="宋体" w:hAnsi="宋体" w:cs="宋体"/>
          <w:b/>
          <w:sz w:val="32"/>
          <w:szCs w:val="32"/>
          <w:highlight w:val="none"/>
        </w:rPr>
      </w:pPr>
      <w:r>
        <w:rPr>
          <w:rFonts w:hint="eastAsia" w:ascii="宋体" w:hAnsi="宋体" w:cs="宋体"/>
          <w:b/>
          <w:sz w:val="32"/>
          <w:szCs w:val="32"/>
          <w:highlight w:val="none"/>
        </w:rPr>
        <w:t>（定标阶段－票数相同时定标委员会汇总用表）</w:t>
      </w:r>
    </w:p>
    <w:p w14:paraId="00580553">
      <w:pPr>
        <w:adjustRightInd w:val="0"/>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工程名称：</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6112"/>
        <w:gridCol w:w="2108"/>
      </w:tblGrid>
      <w:tr w14:paraId="36C1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7" w:type="pct"/>
            <w:tcBorders>
              <w:top w:val="single" w:color="auto" w:sz="4" w:space="0"/>
              <w:left w:val="single" w:color="auto" w:sz="4" w:space="0"/>
              <w:bottom w:val="single" w:color="auto" w:sz="4" w:space="0"/>
              <w:right w:val="single" w:color="auto" w:sz="4" w:space="0"/>
            </w:tcBorders>
            <w:vAlign w:val="center"/>
          </w:tcPr>
          <w:p w14:paraId="4BD0EBB6">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3102" w:type="pct"/>
            <w:tcBorders>
              <w:top w:val="single" w:color="auto" w:sz="4" w:space="0"/>
              <w:left w:val="single" w:color="auto" w:sz="4" w:space="0"/>
              <w:bottom w:val="single" w:color="auto" w:sz="4" w:space="0"/>
              <w:right w:val="single" w:color="auto" w:sz="4" w:space="0"/>
            </w:tcBorders>
            <w:vAlign w:val="center"/>
          </w:tcPr>
          <w:p w14:paraId="28EF858E">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中标候选人名称</w:t>
            </w:r>
          </w:p>
        </w:tc>
        <w:tc>
          <w:tcPr>
            <w:tcW w:w="1070" w:type="pct"/>
            <w:tcBorders>
              <w:top w:val="single" w:color="auto" w:sz="4" w:space="0"/>
              <w:left w:val="single" w:color="auto" w:sz="4" w:space="0"/>
              <w:bottom w:val="single" w:color="auto" w:sz="4" w:space="0"/>
              <w:right w:val="single" w:color="auto" w:sz="4" w:space="0"/>
            </w:tcBorders>
            <w:vAlign w:val="center"/>
          </w:tcPr>
          <w:p w14:paraId="07E351AF">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得票数</w:t>
            </w:r>
          </w:p>
        </w:tc>
      </w:tr>
      <w:tr w14:paraId="0F7A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27" w:type="pct"/>
            <w:tcBorders>
              <w:top w:val="single" w:color="auto" w:sz="4" w:space="0"/>
              <w:left w:val="single" w:color="auto" w:sz="4" w:space="0"/>
              <w:bottom w:val="single" w:color="auto" w:sz="4" w:space="0"/>
              <w:right w:val="single" w:color="auto" w:sz="4" w:space="0"/>
            </w:tcBorders>
            <w:vAlign w:val="center"/>
          </w:tcPr>
          <w:p w14:paraId="35041B3D">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3102" w:type="pct"/>
            <w:tcBorders>
              <w:top w:val="single" w:color="auto" w:sz="4" w:space="0"/>
              <w:left w:val="single" w:color="auto" w:sz="4" w:space="0"/>
              <w:bottom w:val="single" w:color="auto" w:sz="4" w:space="0"/>
              <w:right w:val="single" w:color="auto" w:sz="4" w:space="0"/>
            </w:tcBorders>
            <w:vAlign w:val="center"/>
          </w:tcPr>
          <w:p w14:paraId="7995B71E">
            <w:pPr>
              <w:spacing w:line="360" w:lineRule="auto"/>
              <w:jc w:val="center"/>
              <w:rPr>
                <w:rFonts w:ascii="宋体" w:hAnsi="宋体" w:cs="宋体"/>
                <w:sz w:val="24"/>
                <w:szCs w:val="24"/>
                <w:highlight w:val="none"/>
              </w:rPr>
            </w:pPr>
          </w:p>
        </w:tc>
        <w:tc>
          <w:tcPr>
            <w:tcW w:w="1070" w:type="pct"/>
            <w:tcBorders>
              <w:top w:val="single" w:color="auto" w:sz="4" w:space="0"/>
              <w:left w:val="single" w:color="auto" w:sz="4" w:space="0"/>
              <w:bottom w:val="single" w:color="auto" w:sz="4" w:space="0"/>
              <w:right w:val="single" w:color="auto" w:sz="4" w:space="0"/>
            </w:tcBorders>
            <w:vAlign w:val="center"/>
          </w:tcPr>
          <w:p w14:paraId="7F9EF06E">
            <w:pPr>
              <w:spacing w:line="360" w:lineRule="auto"/>
              <w:jc w:val="center"/>
              <w:rPr>
                <w:rFonts w:ascii="宋体" w:hAnsi="宋体" w:cs="宋体"/>
                <w:sz w:val="24"/>
                <w:szCs w:val="24"/>
                <w:highlight w:val="none"/>
              </w:rPr>
            </w:pPr>
          </w:p>
        </w:tc>
      </w:tr>
      <w:tr w14:paraId="6FEC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27" w:type="pct"/>
            <w:tcBorders>
              <w:top w:val="single" w:color="auto" w:sz="4" w:space="0"/>
              <w:left w:val="single" w:color="auto" w:sz="4" w:space="0"/>
              <w:bottom w:val="single" w:color="auto" w:sz="4" w:space="0"/>
              <w:right w:val="single" w:color="auto" w:sz="4" w:space="0"/>
            </w:tcBorders>
            <w:vAlign w:val="center"/>
          </w:tcPr>
          <w:p w14:paraId="723C8135">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3102" w:type="pct"/>
            <w:tcBorders>
              <w:top w:val="single" w:color="auto" w:sz="4" w:space="0"/>
              <w:left w:val="single" w:color="auto" w:sz="4" w:space="0"/>
              <w:bottom w:val="single" w:color="auto" w:sz="4" w:space="0"/>
              <w:right w:val="single" w:color="auto" w:sz="4" w:space="0"/>
            </w:tcBorders>
            <w:vAlign w:val="center"/>
          </w:tcPr>
          <w:p w14:paraId="1635B79B">
            <w:pPr>
              <w:spacing w:line="360" w:lineRule="auto"/>
              <w:jc w:val="center"/>
              <w:rPr>
                <w:rFonts w:ascii="宋体" w:hAnsi="宋体" w:cs="宋体"/>
                <w:sz w:val="24"/>
                <w:szCs w:val="24"/>
                <w:highlight w:val="none"/>
              </w:rPr>
            </w:pPr>
          </w:p>
        </w:tc>
        <w:tc>
          <w:tcPr>
            <w:tcW w:w="1070" w:type="pct"/>
            <w:tcBorders>
              <w:top w:val="single" w:color="auto" w:sz="4" w:space="0"/>
              <w:left w:val="single" w:color="auto" w:sz="4" w:space="0"/>
              <w:bottom w:val="single" w:color="auto" w:sz="4" w:space="0"/>
              <w:right w:val="single" w:color="auto" w:sz="4" w:space="0"/>
            </w:tcBorders>
            <w:vAlign w:val="center"/>
          </w:tcPr>
          <w:p w14:paraId="25D177C6">
            <w:pPr>
              <w:spacing w:line="360" w:lineRule="auto"/>
              <w:jc w:val="center"/>
              <w:rPr>
                <w:rFonts w:ascii="宋体" w:hAnsi="宋体" w:cs="宋体"/>
                <w:sz w:val="24"/>
                <w:szCs w:val="24"/>
                <w:highlight w:val="none"/>
              </w:rPr>
            </w:pPr>
          </w:p>
        </w:tc>
      </w:tr>
      <w:tr w14:paraId="68F6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27" w:type="pct"/>
            <w:tcBorders>
              <w:top w:val="single" w:color="auto" w:sz="4" w:space="0"/>
              <w:left w:val="single" w:color="auto" w:sz="4" w:space="0"/>
              <w:bottom w:val="single" w:color="auto" w:sz="4" w:space="0"/>
              <w:right w:val="single" w:color="auto" w:sz="4" w:space="0"/>
            </w:tcBorders>
            <w:vAlign w:val="center"/>
          </w:tcPr>
          <w:p w14:paraId="6395F1D2">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3102" w:type="pct"/>
            <w:tcBorders>
              <w:top w:val="single" w:color="auto" w:sz="4" w:space="0"/>
              <w:left w:val="single" w:color="auto" w:sz="4" w:space="0"/>
              <w:bottom w:val="single" w:color="auto" w:sz="4" w:space="0"/>
              <w:right w:val="single" w:color="auto" w:sz="4" w:space="0"/>
            </w:tcBorders>
            <w:vAlign w:val="center"/>
          </w:tcPr>
          <w:p w14:paraId="0A6AF828">
            <w:pPr>
              <w:spacing w:line="360" w:lineRule="auto"/>
              <w:jc w:val="center"/>
              <w:rPr>
                <w:rFonts w:ascii="宋体" w:hAnsi="宋体" w:cs="宋体"/>
                <w:sz w:val="24"/>
                <w:szCs w:val="24"/>
                <w:highlight w:val="none"/>
              </w:rPr>
            </w:pPr>
          </w:p>
        </w:tc>
        <w:tc>
          <w:tcPr>
            <w:tcW w:w="1070" w:type="pct"/>
            <w:tcBorders>
              <w:top w:val="single" w:color="auto" w:sz="4" w:space="0"/>
              <w:left w:val="single" w:color="auto" w:sz="4" w:space="0"/>
              <w:bottom w:val="single" w:color="auto" w:sz="4" w:space="0"/>
              <w:right w:val="single" w:color="auto" w:sz="4" w:space="0"/>
            </w:tcBorders>
            <w:vAlign w:val="center"/>
          </w:tcPr>
          <w:p w14:paraId="44BEDB77">
            <w:pPr>
              <w:spacing w:line="360" w:lineRule="auto"/>
              <w:jc w:val="center"/>
              <w:rPr>
                <w:rFonts w:ascii="宋体" w:hAnsi="宋体" w:cs="宋体"/>
                <w:sz w:val="24"/>
                <w:szCs w:val="24"/>
                <w:highlight w:val="none"/>
              </w:rPr>
            </w:pPr>
          </w:p>
        </w:tc>
      </w:tr>
      <w:tr w14:paraId="52C5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27" w:type="pct"/>
            <w:tcBorders>
              <w:top w:val="single" w:color="auto" w:sz="4" w:space="0"/>
              <w:left w:val="single" w:color="auto" w:sz="4" w:space="0"/>
              <w:bottom w:val="single" w:color="auto" w:sz="4" w:space="0"/>
              <w:right w:val="single" w:color="auto" w:sz="4" w:space="0"/>
            </w:tcBorders>
            <w:vAlign w:val="center"/>
          </w:tcPr>
          <w:p w14:paraId="4A5902F8">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3102" w:type="pct"/>
            <w:tcBorders>
              <w:top w:val="single" w:color="auto" w:sz="4" w:space="0"/>
              <w:left w:val="single" w:color="auto" w:sz="4" w:space="0"/>
              <w:bottom w:val="single" w:color="auto" w:sz="4" w:space="0"/>
              <w:right w:val="single" w:color="auto" w:sz="4" w:space="0"/>
            </w:tcBorders>
            <w:vAlign w:val="center"/>
          </w:tcPr>
          <w:p w14:paraId="53D3BCE2">
            <w:pPr>
              <w:spacing w:line="360" w:lineRule="auto"/>
              <w:jc w:val="center"/>
              <w:rPr>
                <w:rFonts w:ascii="宋体" w:hAnsi="宋体" w:cs="宋体"/>
                <w:sz w:val="24"/>
                <w:szCs w:val="24"/>
                <w:highlight w:val="none"/>
              </w:rPr>
            </w:pPr>
          </w:p>
        </w:tc>
        <w:tc>
          <w:tcPr>
            <w:tcW w:w="1070" w:type="pct"/>
            <w:tcBorders>
              <w:top w:val="single" w:color="auto" w:sz="4" w:space="0"/>
              <w:left w:val="single" w:color="auto" w:sz="4" w:space="0"/>
              <w:bottom w:val="single" w:color="auto" w:sz="4" w:space="0"/>
              <w:right w:val="single" w:color="auto" w:sz="4" w:space="0"/>
            </w:tcBorders>
            <w:vAlign w:val="center"/>
          </w:tcPr>
          <w:p w14:paraId="7D020D4E">
            <w:pPr>
              <w:spacing w:line="360" w:lineRule="auto"/>
              <w:jc w:val="center"/>
              <w:rPr>
                <w:rFonts w:ascii="宋体" w:hAnsi="宋体" w:cs="宋体"/>
                <w:sz w:val="24"/>
                <w:szCs w:val="24"/>
                <w:highlight w:val="none"/>
              </w:rPr>
            </w:pPr>
          </w:p>
        </w:tc>
      </w:tr>
      <w:tr w14:paraId="4F2D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27" w:type="pct"/>
            <w:tcBorders>
              <w:top w:val="single" w:color="auto" w:sz="4" w:space="0"/>
              <w:left w:val="single" w:color="auto" w:sz="4" w:space="0"/>
              <w:bottom w:val="single" w:color="auto" w:sz="4" w:space="0"/>
              <w:right w:val="single" w:color="auto" w:sz="4" w:space="0"/>
            </w:tcBorders>
            <w:vAlign w:val="center"/>
          </w:tcPr>
          <w:p w14:paraId="77834680">
            <w:pPr>
              <w:spacing w:line="360" w:lineRule="auto"/>
              <w:jc w:val="center"/>
              <w:rPr>
                <w:rFonts w:ascii="宋体" w:hAnsi="宋体" w:cs="宋体"/>
                <w:sz w:val="24"/>
                <w:szCs w:val="24"/>
                <w:highlight w:val="none"/>
              </w:rPr>
            </w:pPr>
            <w:r>
              <w:rPr>
                <w:rFonts w:hint="eastAsia" w:ascii="宋体" w:hAnsi="宋体" w:cs="宋体"/>
                <w:sz w:val="24"/>
                <w:szCs w:val="24"/>
                <w:highlight w:val="none"/>
              </w:rPr>
              <w:t>……</w:t>
            </w:r>
          </w:p>
        </w:tc>
        <w:tc>
          <w:tcPr>
            <w:tcW w:w="3102" w:type="pct"/>
            <w:tcBorders>
              <w:top w:val="single" w:color="auto" w:sz="4" w:space="0"/>
              <w:left w:val="single" w:color="auto" w:sz="4" w:space="0"/>
              <w:bottom w:val="single" w:color="auto" w:sz="4" w:space="0"/>
              <w:right w:val="single" w:color="auto" w:sz="4" w:space="0"/>
            </w:tcBorders>
            <w:vAlign w:val="center"/>
          </w:tcPr>
          <w:p w14:paraId="0234A087">
            <w:pPr>
              <w:spacing w:line="360" w:lineRule="auto"/>
              <w:jc w:val="center"/>
              <w:rPr>
                <w:rFonts w:ascii="宋体" w:hAnsi="宋体" w:cs="宋体"/>
                <w:sz w:val="24"/>
                <w:szCs w:val="24"/>
                <w:highlight w:val="none"/>
              </w:rPr>
            </w:pPr>
          </w:p>
        </w:tc>
        <w:tc>
          <w:tcPr>
            <w:tcW w:w="1070" w:type="pct"/>
            <w:tcBorders>
              <w:top w:val="single" w:color="auto" w:sz="4" w:space="0"/>
              <w:left w:val="single" w:color="auto" w:sz="4" w:space="0"/>
              <w:bottom w:val="single" w:color="auto" w:sz="4" w:space="0"/>
              <w:right w:val="single" w:color="auto" w:sz="4" w:space="0"/>
            </w:tcBorders>
            <w:vAlign w:val="center"/>
          </w:tcPr>
          <w:p w14:paraId="37FF109E">
            <w:pPr>
              <w:spacing w:line="360" w:lineRule="auto"/>
              <w:jc w:val="center"/>
              <w:rPr>
                <w:rFonts w:ascii="宋体" w:hAnsi="宋体" w:cs="宋体"/>
                <w:sz w:val="24"/>
                <w:szCs w:val="24"/>
                <w:highlight w:val="none"/>
              </w:rPr>
            </w:pPr>
          </w:p>
        </w:tc>
      </w:tr>
    </w:tbl>
    <w:p w14:paraId="18BDD03E">
      <w:pPr>
        <w:spacing w:line="360" w:lineRule="auto"/>
        <w:rPr>
          <w:rFonts w:ascii="宋体" w:hAnsi="宋体" w:cs="宋体"/>
          <w:sz w:val="24"/>
          <w:szCs w:val="24"/>
          <w:highlight w:val="none"/>
        </w:rPr>
      </w:pPr>
      <w:r>
        <w:rPr>
          <w:rFonts w:hint="eastAsia" w:ascii="宋体" w:hAnsi="宋体" w:cs="宋体"/>
          <w:sz w:val="24"/>
          <w:szCs w:val="24"/>
          <w:highlight w:val="none"/>
        </w:rPr>
        <w:t>定标委员会全体成员签名：</w:t>
      </w:r>
    </w:p>
    <w:p w14:paraId="44EAAA2C">
      <w:pPr>
        <w:spacing w:line="360" w:lineRule="auto"/>
        <w:jc w:val="right"/>
        <w:rPr>
          <w:rFonts w:ascii="宋体" w:hAnsi="宋体" w:cs="宋体"/>
          <w:sz w:val="24"/>
          <w:szCs w:val="24"/>
          <w:highlight w:val="none"/>
        </w:rPr>
      </w:pPr>
      <w:r>
        <w:rPr>
          <w:rFonts w:hint="eastAsia" w:ascii="宋体" w:hAnsi="宋体" w:cs="宋体"/>
          <w:sz w:val="24"/>
          <w:szCs w:val="24"/>
          <w:highlight w:val="none"/>
        </w:rPr>
        <w:t>日期：     年   月   日</w:t>
      </w:r>
    </w:p>
    <w:p w14:paraId="798F370B">
      <w:pPr>
        <w:spacing w:line="360" w:lineRule="auto"/>
        <w:rPr>
          <w:rFonts w:ascii="宋体" w:hAnsi="宋体" w:cs="宋体"/>
          <w:kern w:val="0"/>
          <w:sz w:val="24"/>
          <w:szCs w:val="24"/>
          <w:highlight w:val="none"/>
        </w:rPr>
      </w:pPr>
      <w:r>
        <w:rPr>
          <w:rFonts w:hint="eastAsia" w:ascii="宋体" w:hAnsi="宋体" w:cs="宋体"/>
          <w:szCs w:val="21"/>
          <w:highlight w:val="none"/>
        </w:rPr>
        <w:br w:type="page"/>
      </w:r>
      <w:r>
        <w:rPr>
          <w:rFonts w:hint="eastAsia" w:ascii="宋体" w:hAnsi="宋体" w:cs="宋体"/>
          <w:kern w:val="0"/>
          <w:sz w:val="24"/>
          <w:szCs w:val="24"/>
          <w:highlight w:val="none"/>
        </w:rPr>
        <w:t>附表十二</w:t>
      </w:r>
    </w:p>
    <w:p w14:paraId="063F91C4">
      <w:pPr>
        <w:spacing w:line="360" w:lineRule="auto"/>
        <w:jc w:val="center"/>
        <w:rPr>
          <w:rFonts w:ascii="宋体" w:hAnsi="宋体" w:cs="宋体"/>
          <w:b/>
          <w:sz w:val="32"/>
          <w:szCs w:val="32"/>
          <w:highlight w:val="none"/>
        </w:rPr>
      </w:pPr>
      <w:r>
        <w:rPr>
          <w:rFonts w:hint="eastAsia" w:ascii="宋体" w:hAnsi="宋体" w:cs="宋体"/>
          <w:b/>
          <w:sz w:val="32"/>
          <w:szCs w:val="32"/>
          <w:highlight w:val="none"/>
        </w:rPr>
        <w:t>定标情况汇总表（定标阶段）</w:t>
      </w:r>
    </w:p>
    <w:p w14:paraId="4FC7CDEA">
      <w:pPr>
        <w:adjustRightInd w:val="0"/>
        <w:snapToGrid w:val="0"/>
        <w:spacing w:line="360" w:lineRule="auto"/>
        <w:rPr>
          <w:rFonts w:ascii="宋体" w:hAnsi="宋体" w:cs="宋体"/>
          <w:kern w:val="0"/>
          <w:sz w:val="24"/>
          <w:szCs w:val="24"/>
          <w:highlight w:val="none"/>
        </w:rPr>
      </w:pPr>
      <w:r>
        <w:rPr>
          <w:rFonts w:hint="eastAsia" w:ascii="宋体" w:hAnsi="宋体" w:cs="宋体"/>
          <w:kern w:val="0"/>
          <w:sz w:val="24"/>
          <w:szCs w:val="24"/>
          <w:highlight w:val="none"/>
        </w:rPr>
        <w:t>工程名称：</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3872"/>
        <w:gridCol w:w="1076"/>
        <w:gridCol w:w="2049"/>
        <w:gridCol w:w="2050"/>
      </w:tblGrid>
      <w:tr w14:paraId="741B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3F336F50">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965" w:type="pct"/>
            <w:tcBorders>
              <w:top w:val="single" w:color="auto" w:sz="4" w:space="0"/>
              <w:left w:val="nil"/>
              <w:bottom w:val="single" w:color="auto" w:sz="4" w:space="0"/>
              <w:right w:val="single" w:color="auto" w:sz="4" w:space="0"/>
            </w:tcBorders>
            <w:vAlign w:val="center"/>
          </w:tcPr>
          <w:p w14:paraId="334219B8">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中标候选人名称</w:t>
            </w:r>
          </w:p>
        </w:tc>
        <w:tc>
          <w:tcPr>
            <w:tcW w:w="546" w:type="pct"/>
            <w:tcBorders>
              <w:top w:val="single" w:color="auto" w:sz="4" w:space="0"/>
              <w:left w:val="nil"/>
              <w:bottom w:val="single" w:color="auto" w:sz="4" w:space="0"/>
              <w:right w:val="single" w:color="auto" w:sz="4" w:space="0"/>
            </w:tcBorders>
            <w:vAlign w:val="center"/>
          </w:tcPr>
          <w:p w14:paraId="09E17087">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第一轮得票数</w:t>
            </w:r>
          </w:p>
        </w:tc>
        <w:tc>
          <w:tcPr>
            <w:tcW w:w="1040" w:type="pct"/>
            <w:tcBorders>
              <w:top w:val="single" w:color="auto" w:sz="4" w:space="0"/>
              <w:left w:val="nil"/>
              <w:bottom w:val="single" w:color="auto" w:sz="4" w:space="0"/>
              <w:right w:val="single" w:color="auto" w:sz="4" w:space="0"/>
            </w:tcBorders>
          </w:tcPr>
          <w:p w14:paraId="28A6A5DD">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附加投票</w:t>
            </w:r>
          </w:p>
          <w:p w14:paraId="1C35D951">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（如有）</w:t>
            </w:r>
          </w:p>
        </w:tc>
        <w:tc>
          <w:tcPr>
            <w:tcW w:w="1040" w:type="pct"/>
            <w:tcBorders>
              <w:top w:val="single" w:color="auto" w:sz="4" w:space="0"/>
              <w:left w:val="single" w:color="auto" w:sz="4" w:space="0"/>
              <w:bottom w:val="single" w:color="auto" w:sz="4" w:space="0"/>
              <w:right w:val="single" w:color="auto" w:sz="4" w:space="0"/>
            </w:tcBorders>
            <w:vAlign w:val="center"/>
          </w:tcPr>
          <w:p w14:paraId="58DEBD95">
            <w:pPr>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是否被推荐为中标人</w:t>
            </w:r>
          </w:p>
        </w:tc>
      </w:tr>
      <w:tr w14:paraId="0A212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6ED5AE70">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1965" w:type="pct"/>
            <w:tcBorders>
              <w:top w:val="single" w:color="auto" w:sz="4" w:space="0"/>
              <w:left w:val="nil"/>
              <w:bottom w:val="single" w:color="auto" w:sz="4" w:space="0"/>
              <w:right w:val="single" w:color="auto" w:sz="4" w:space="0"/>
            </w:tcBorders>
            <w:vAlign w:val="center"/>
          </w:tcPr>
          <w:p w14:paraId="1691FF0B">
            <w:pPr>
              <w:spacing w:line="360" w:lineRule="auto"/>
              <w:jc w:val="center"/>
              <w:rPr>
                <w:rFonts w:ascii="宋体" w:hAnsi="宋体" w:cs="宋体"/>
                <w:sz w:val="24"/>
                <w:szCs w:val="24"/>
                <w:highlight w:val="none"/>
              </w:rPr>
            </w:pPr>
          </w:p>
        </w:tc>
        <w:tc>
          <w:tcPr>
            <w:tcW w:w="546" w:type="pct"/>
            <w:tcBorders>
              <w:top w:val="single" w:color="auto" w:sz="4" w:space="0"/>
              <w:left w:val="nil"/>
              <w:bottom w:val="single" w:color="auto" w:sz="4" w:space="0"/>
              <w:right w:val="single" w:color="auto" w:sz="4" w:space="0"/>
            </w:tcBorders>
            <w:vAlign w:val="center"/>
          </w:tcPr>
          <w:p w14:paraId="79F20250">
            <w:pPr>
              <w:spacing w:line="360" w:lineRule="auto"/>
              <w:jc w:val="center"/>
              <w:rPr>
                <w:rFonts w:ascii="宋体" w:hAnsi="宋体" w:cs="宋体"/>
                <w:sz w:val="24"/>
                <w:szCs w:val="24"/>
                <w:highlight w:val="none"/>
              </w:rPr>
            </w:pPr>
          </w:p>
        </w:tc>
        <w:tc>
          <w:tcPr>
            <w:tcW w:w="1040" w:type="pct"/>
            <w:tcBorders>
              <w:top w:val="single" w:color="auto" w:sz="4" w:space="0"/>
              <w:left w:val="nil"/>
              <w:bottom w:val="single" w:color="auto" w:sz="4" w:space="0"/>
              <w:right w:val="single" w:color="auto" w:sz="4" w:space="0"/>
            </w:tcBorders>
          </w:tcPr>
          <w:p w14:paraId="544FB58A">
            <w:pPr>
              <w:spacing w:line="360" w:lineRule="auto"/>
              <w:jc w:val="center"/>
              <w:rPr>
                <w:rFonts w:ascii="宋体" w:hAnsi="宋体" w:cs="宋体"/>
                <w:sz w:val="24"/>
                <w:szCs w:val="24"/>
                <w:highlight w:val="none"/>
              </w:rPr>
            </w:pPr>
          </w:p>
        </w:tc>
        <w:tc>
          <w:tcPr>
            <w:tcW w:w="1040" w:type="pct"/>
            <w:tcBorders>
              <w:top w:val="single" w:color="auto" w:sz="4" w:space="0"/>
              <w:left w:val="single" w:color="auto" w:sz="4" w:space="0"/>
              <w:bottom w:val="single" w:color="auto" w:sz="4" w:space="0"/>
              <w:right w:val="single" w:color="auto" w:sz="4" w:space="0"/>
            </w:tcBorders>
            <w:vAlign w:val="center"/>
          </w:tcPr>
          <w:p w14:paraId="10F4605A">
            <w:pPr>
              <w:spacing w:line="360" w:lineRule="auto"/>
              <w:jc w:val="center"/>
              <w:rPr>
                <w:rFonts w:ascii="宋体" w:hAnsi="宋体" w:cs="宋体"/>
                <w:sz w:val="24"/>
                <w:szCs w:val="24"/>
                <w:highlight w:val="none"/>
              </w:rPr>
            </w:pPr>
          </w:p>
        </w:tc>
      </w:tr>
      <w:tr w14:paraId="7919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3419BB44">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1965" w:type="pct"/>
            <w:tcBorders>
              <w:top w:val="single" w:color="auto" w:sz="4" w:space="0"/>
              <w:left w:val="nil"/>
              <w:bottom w:val="single" w:color="auto" w:sz="4" w:space="0"/>
              <w:right w:val="single" w:color="auto" w:sz="4" w:space="0"/>
            </w:tcBorders>
            <w:vAlign w:val="center"/>
          </w:tcPr>
          <w:p w14:paraId="5A31EFBA">
            <w:pPr>
              <w:spacing w:line="360" w:lineRule="auto"/>
              <w:jc w:val="center"/>
              <w:rPr>
                <w:rFonts w:ascii="宋体" w:hAnsi="宋体" w:cs="宋体"/>
                <w:sz w:val="24"/>
                <w:szCs w:val="24"/>
                <w:highlight w:val="none"/>
              </w:rPr>
            </w:pPr>
          </w:p>
        </w:tc>
        <w:tc>
          <w:tcPr>
            <w:tcW w:w="546" w:type="pct"/>
            <w:tcBorders>
              <w:top w:val="single" w:color="auto" w:sz="4" w:space="0"/>
              <w:left w:val="nil"/>
              <w:bottom w:val="single" w:color="auto" w:sz="4" w:space="0"/>
              <w:right w:val="single" w:color="auto" w:sz="4" w:space="0"/>
            </w:tcBorders>
            <w:vAlign w:val="center"/>
          </w:tcPr>
          <w:p w14:paraId="48C68C1C">
            <w:pPr>
              <w:spacing w:line="360" w:lineRule="auto"/>
              <w:jc w:val="center"/>
              <w:rPr>
                <w:rFonts w:ascii="宋体" w:hAnsi="宋体" w:cs="宋体"/>
                <w:sz w:val="24"/>
                <w:szCs w:val="24"/>
                <w:highlight w:val="none"/>
              </w:rPr>
            </w:pPr>
          </w:p>
        </w:tc>
        <w:tc>
          <w:tcPr>
            <w:tcW w:w="1040" w:type="pct"/>
            <w:tcBorders>
              <w:top w:val="single" w:color="auto" w:sz="4" w:space="0"/>
              <w:left w:val="nil"/>
              <w:bottom w:val="single" w:color="auto" w:sz="4" w:space="0"/>
              <w:right w:val="single" w:color="auto" w:sz="4" w:space="0"/>
            </w:tcBorders>
          </w:tcPr>
          <w:p w14:paraId="03F9EA56">
            <w:pPr>
              <w:spacing w:line="360" w:lineRule="auto"/>
              <w:jc w:val="center"/>
              <w:rPr>
                <w:rFonts w:ascii="宋体" w:hAnsi="宋体" w:cs="宋体"/>
                <w:sz w:val="24"/>
                <w:szCs w:val="24"/>
                <w:highlight w:val="none"/>
              </w:rPr>
            </w:pPr>
          </w:p>
        </w:tc>
        <w:tc>
          <w:tcPr>
            <w:tcW w:w="1040" w:type="pct"/>
            <w:tcBorders>
              <w:top w:val="single" w:color="auto" w:sz="4" w:space="0"/>
              <w:left w:val="single" w:color="auto" w:sz="4" w:space="0"/>
              <w:bottom w:val="single" w:color="auto" w:sz="4" w:space="0"/>
              <w:right w:val="single" w:color="auto" w:sz="4" w:space="0"/>
            </w:tcBorders>
            <w:vAlign w:val="center"/>
          </w:tcPr>
          <w:p w14:paraId="259FA8C1">
            <w:pPr>
              <w:spacing w:line="360" w:lineRule="auto"/>
              <w:jc w:val="center"/>
              <w:rPr>
                <w:rFonts w:ascii="宋体" w:hAnsi="宋体" w:cs="宋体"/>
                <w:sz w:val="24"/>
                <w:szCs w:val="24"/>
                <w:highlight w:val="none"/>
              </w:rPr>
            </w:pPr>
          </w:p>
        </w:tc>
      </w:tr>
      <w:tr w14:paraId="50A2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6C07D1F1">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1965" w:type="pct"/>
            <w:tcBorders>
              <w:top w:val="single" w:color="auto" w:sz="4" w:space="0"/>
              <w:left w:val="nil"/>
              <w:bottom w:val="single" w:color="auto" w:sz="4" w:space="0"/>
              <w:right w:val="single" w:color="auto" w:sz="4" w:space="0"/>
            </w:tcBorders>
            <w:vAlign w:val="center"/>
          </w:tcPr>
          <w:p w14:paraId="030E02AA">
            <w:pPr>
              <w:spacing w:line="360" w:lineRule="auto"/>
              <w:jc w:val="center"/>
              <w:rPr>
                <w:rFonts w:ascii="宋体" w:hAnsi="宋体" w:cs="宋体"/>
                <w:sz w:val="24"/>
                <w:szCs w:val="24"/>
                <w:highlight w:val="none"/>
              </w:rPr>
            </w:pPr>
          </w:p>
        </w:tc>
        <w:tc>
          <w:tcPr>
            <w:tcW w:w="546" w:type="pct"/>
            <w:tcBorders>
              <w:top w:val="single" w:color="auto" w:sz="4" w:space="0"/>
              <w:left w:val="nil"/>
              <w:bottom w:val="single" w:color="auto" w:sz="4" w:space="0"/>
              <w:right w:val="single" w:color="auto" w:sz="4" w:space="0"/>
            </w:tcBorders>
            <w:vAlign w:val="center"/>
          </w:tcPr>
          <w:p w14:paraId="4B88EDD4">
            <w:pPr>
              <w:spacing w:line="360" w:lineRule="auto"/>
              <w:jc w:val="center"/>
              <w:rPr>
                <w:rFonts w:ascii="宋体" w:hAnsi="宋体" w:cs="宋体"/>
                <w:sz w:val="24"/>
                <w:szCs w:val="24"/>
                <w:highlight w:val="none"/>
              </w:rPr>
            </w:pPr>
          </w:p>
        </w:tc>
        <w:tc>
          <w:tcPr>
            <w:tcW w:w="1040" w:type="pct"/>
            <w:tcBorders>
              <w:top w:val="single" w:color="auto" w:sz="4" w:space="0"/>
              <w:left w:val="nil"/>
              <w:bottom w:val="single" w:color="auto" w:sz="4" w:space="0"/>
              <w:right w:val="single" w:color="auto" w:sz="4" w:space="0"/>
            </w:tcBorders>
          </w:tcPr>
          <w:p w14:paraId="5F18AF17">
            <w:pPr>
              <w:spacing w:line="360" w:lineRule="auto"/>
              <w:jc w:val="center"/>
              <w:rPr>
                <w:rFonts w:ascii="宋体" w:hAnsi="宋体" w:cs="宋体"/>
                <w:sz w:val="24"/>
                <w:szCs w:val="24"/>
                <w:highlight w:val="none"/>
              </w:rPr>
            </w:pPr>
          </w:p>
        </w:tc>
        <w:tc>
          <w:tcPr>
            <w:tcW w:w="1040" w:type="pct"/>
            <w:tcBorders>
              <w:top w:val="single" w:color="auto" w:sz="4" w:space="0"/>
              <w:left w:val="single" w:color="auto" w:sz="4" w:space="0"/>
              <w:bottom w:val="single" w:color="auto" w:sz="4" w:space="0"/>
              <w:right w:val="single" w:color="auto" w:sz="4" w:space="0"/>
            </w:tcBorders>
            <w:vAlign w:val="center"/>
          </w:tcPr>
          <w:p w14:paraId="5101E45D">
            <w:pPr>
              <w:spacing w:line="360" w:lineRule="auto"/>
              <w:jc w:val="center"/>
              <w:rPr>
                <w:rFonts w:ascii="宋体" w:hAnsi="宋体" w:cs="宋体"/>
                <w:sz w:val="24"/>
                <w:szCs w:val="24"/>
                <w:highlight w:val="none"/>
              </w:rPr>
            </w:pPr>
          </w:p>
        </w:tc>
      </w:tr>
      <w:tr w14:paraId="6934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0B5D3F97">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1965" w:type="pct"/>
            <w:tcBorders>
              <w:top w:val="single" w:color="auto" w:sz="4" w:space="0"/>
              <w:left w:val="nil"/>
              <w:bottom w:val="single" w:color="auto" w:sz="4" w:space="0"/>
              <w:right w:val="single" w:color="auto" w:sz="4" w:space="0"/>
            </w:tcBorders>
            <w:vAlign w:val="center"/>
          </w:tcPr>
          <w:p w14:paraId="135D4592">
            <w:pPr>
              <w:spacing w:line="360" w:lineRule="auto"/>
              <w:jc w:val="center"/>
              <w:rPr>
                <w:rFonts w:ascii="宋体" w:hAnsi="宋体" w:cs="宋体"/>
                <w:sz w:val="24"/>
                <w:szCs w:val="24"/>
                <w:highlight w:val="none"/>
              </w:rPr>
            </w:pPr>
          </w:p>
        </w:tc>
        <w:tc>
          <w:tcPr>
            <w:tcW w:w="546" w:type="pct"/>
            <w:tcBorders>
              <w:top w:val="single" w:color="auto" w:sz="4" w:space="0"/>
              <w:left w:val="nil"/>
              <w:bottom w:val="single" w:color="auto" w:sz="4" w:space="0"/>
              <w:right w:val="single" w:color="auto" w:sz="4" w:space="0"/>
            </w:tcBorders>
            <w:vAlign w:val="center"/>
          </w:tcPr>
          <w:p w14:paraId="7C42B0FA">
            <w:pPr>
              <w:spacing w:line="360" w:lineRule="auto"/>
              <w:jc w:val="center"/>
              <w:rPr>
                <w:rFonts w:ascii="宋体" w:hAnsi="宋体" w:cs="宋体"/>
                <w:sz w:val="24"/>
                <w:szCs w:val="24"/>
                <w:highlight w:val="none"/>
              </w:rPr>
            </w:pPr>
          </w:p>
        </w:tc>
        <w:tc>
          <w:tcPr>
            <w:tcW w:w="1040" w:type="pct"/>
            <w:tcBorders>
              <w:top w:val="single" w:color="auto" w:sz="4" w:space="0"/>
              <w:left w:val="nil"/>
              <w:bottom w:val="single" w:color="auto" w:sz="4" w:space="0"/>
              <w:right w:val="single" w:color="auto" w:sz="4" w:space="0"/>
            </w:tcBorders>
          </w:tcPr>
          <w:p w14:paraId="258C56D7">
            <w:pPr>
              <w:spacing w:line="360" w:lineRule="auto"/>
              <w:jc w:val="center"/>
              <w:rPr>
                <w:rFonts w:ascii="宋体" w:hAnsi="宋体" w:cs="宋体"/>
                <w:sz w:val="24"/>
                <w:szCs w:val="24"/>
                <w:highlight w:val="none"/>
              </w:rPr>
            </w:pPr>
          </w:p>
        </w:tc>
        <w:tc>
          <w:tcPr>
            <w:tcW w:w="1040" w:type="pct"/>
            <w:tcBorders>
              <w:top w:val="single" w:color="auto" w:sz="4" w:space="0"/>
              <w:left w:val="single" w:color="auto" w:sz="4" w:space="0"/>
              <w:bottom w:val="single" w:color="auto" w:sz="4" w:space="0"/>
              <w:right w:val="single" w:color="auto" w:sz="4" w:space="0"/>
            </w:tcBorders>
            <w:vAlign w:val="center"/>
          </w:tcPr>
          <w:p w14:paraId="13EC3EDD">
            <w:pPr>
              <w:spacing w:line="360" w:lineRule="auto"/>
              <w:jc w:val="center"/>
              <w:rPr>
                <w:rFonts w:ascii="宋体" w:hAnsi="宋体" w:cs="宋体"/>
                <w:sz w:val="24"/>
                <w:szCs w:val="24"/>
                <w:highlight w:val="none"/>
              </w:rPr>
            </w:pPr>
          </w:p>
        </w:tc>
      </w:tr>
      <w:tr w14:paraId="4A08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1A3CACD0">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1965" w:type="pct"/>
            <w:tcBorders>
              <w:top w:val="single" w:color="auto" w:sz="4" w:space="0"/>
              <w:left w:val="nil"/>
              <w:bottom w:val="single" w:color="auto" w:sz="4" w:space="0"/>
              <w:right w:val="single" w:color="auto" w:sz="4" w:space="0"/>
            </w:tcBorders>
            <w:vAlign w:val="center"/>
          </w:tcPr>
          <w:p w14:paraId="24BE6D19">
            <w:pPr>
              <w:spacing w:line="360" w:lineRule="auto"/>
              <w:jc w:val="center"/>
              <w:rPr>
                <w:rFonts w:ascii="宋体" w:hAnsi="宋体" w:cs="宋体"/>
                <w:sz w:val="24"/>
                <w:szCs w:val="24"/>
                <w:highlight w:val="none"/>
              </w:rPr>
            </w:pPr>
          </w:p>
        </w:tc>
        <w:tc>
          <w:tcPr>
            <w:tcW w:w="546" w:type="pct"/>
            <w:tcBorders>
              <w:top w:val="single" w:color="auto" w:sz="4" w:space="0"/>
              <w:left w:val="nil"/>
              <w:bottom w:val="single" w:color="auto" w:sz="4" w:space="0"/>
              <w:right w:val="single" w:color="auto" w:sz="4" w:space="0"/>
            </w:tcBorders>
            <w:vAlign w:val="center"/>
          </w:tcPr>
          <w:p w14:paraId="386C2123">
            <w:pPr>
              <w:spacing w:line="360" w:lineRule="auto"/>
              <w:jc w:val="center"/>
              <w:rPr>
                <w:rFonts w:ascii="宋体" w:hAnsi="宋体" w:cs="宋体"/>
                <w:sz w:val="24"/>
                <w:szCs w:val="24"/>
                <w:highlight w:val="none"/>
              </w:rPr>
            </w:pPr>
          </w:p>
        </w:tc>
        <w:tc>
          <w:tcPr>
            <w:tcW w:w="1040" w:type="pct"/>
            <w:tcBorders>
              <w:top w:val="single" w:color="auto" w:sz="4" w:space="0"/>
              <w:left w:val="nil"/>
              <w:bottom w:val="single" w:color="auto" w:sz="4" w:space="0"/>
              <w:right w:val="single" w:color="auto" w:sz="4" w:space="0"/>
            </w:tcBorders>
          </w:tcPr>
          <w:p w14:paraId="27401961">
            <w:pPr>
              <w:spacing w:line="360" w:lineRule="auto"/>
              <w:jc w:val="center"/>
              <w:rPr>
                <w:rFonts w:ascii="宋体" w:hAnsi="宋体" w:cs="宋体"/>
                <w:sz w:val="24"/>
                <w:szCs w:val="24"/>
                <w:highlight w:val="none"/>
              </w:rPr>
            </w:pPr>
          </w:p>
        </w:tc>
        <w:tc>
          <w:tcPr>
            <w:tcW w:w="1040" w:type="pct"/>
            <w:tcBorders>
              <w:top w:val="single" w:color="auto" w:sz="4" w:space="0"/>
              <w:left w:val="single" w:color="auto" w:sz="4" w:space="0"/>
              <w:bottom w:val="single" w:color="auto" w:sz="4" w:space="0"/>
              <w:right w:val="single" w:color="auto" w:sz="4" w:space="0"/>
            </w:tcBorders>
            <w:vAlign w:val="center"/>
          </w:tcPr>
          <w:p w14:paraId="611A53A9">
            <w:pPr>
              <w:spacing w:line="360" w:lineRule="auto"/>
              <w:jc w:val="center"/>
              <w:rPr>
                <w:rFonts w:ascii="宋体" w:hAnsi="宋体" w:cs="宋体"/>
                <w:sz w:val="24"/>
                <w:szCs w:val="24"/>
                <w:highlight w:val="none"/>
              </w:rPr>
            </w:pPr>
          </w:p>
        </w:tc>
      </w:tr>
      <w:tr w14:paraId="3A67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3F8291B7">
            <w:pPr>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1965" w:type="pct"/>
            <w:tcBorders>
              <w:top w:val="single" w:color="auto" w:sz="4" w:space="0"/>
              <w:left w:val="nil"/>
              <w:bottom w:val="single" w:color="auto" w:sz="4" w:space="0"/>
              <w:right w:val="single" w:color="auto" w:sz="4" w:space="0"/>
            </w:tcBorders>
            <w:vAlign w:val="center"/>
          </w:tcPr>
          <w:p w14:paraId="0F1CF173">
            <w:pPr>
              <w:spacing w:line="360" w:lineRule="auto"/>
              <w:jc w:val="center"/>
              <w:rPr>
                <w:rFonts w:ascii="宋体" w:hAnsi="宋体" w:cs="宋体"/>
                <w:sz w:val="24"/>
                <w:szCs w:val="24"/>
                <w:highlight w:val="none"/>
              </w:rPr>
            </w:pPr>
          </w:p>
        </w:tc>
        <w:tc>
          <w:tcPr>
            <w:tcW w:w="546" w:type="pct"/>
            <w:tcBorders>
              <w:top w:val="single" w:color="auto" w:sz="4" w:space="0"/>
              <w:left w:val="nil"/>
              <w:bottom w:val="single" w:color="auto" w:sz="4" w:space="0"/>
              <w:right w:val="single" w:color="auto" w:sz="4" w:space="0"/>
            </w:tcBorders>
            <w:vAlign w:val="center"/>
          </w:tcPr>
          <w:p w14:paraId="646785B1">
            <w:pPr>
              <w:spacing w:line="360" w:lineRule="auto"/>
              <w:jc w:val="center"/>
              <w:rPr>
                <w:rFonts w:ascii="宋体" w:hAnsi="宋体" w:cs="宋体"/>
                <w:sz w:val="24"/>
                <w:szCs w:val="24"/>
                <w:highlight w:val="none"/>
              </w:rPr>
            </w:pPr>
          </w:p>
        </w:tc>
        <w:tc>
          <w:tcPr>
            <w:tcW w:w="1040" w:type="pct"/>
            <w:tcBorders>
              <w:top w:val="single" w:color="auto" w:sz="4" w:space="0"/>
              <w:left w:val="nil"/>
              <w:bottom w:val="single" w:color="auto" w:sz="4" w:space="0"/>
              <w:right w:val="single" w:color="auto" w:sz="4" w:space="0"/>
            </w:tcBorders>
          </w:tcPr>
          <w:p w14:paraId="7280CAFD">
            <w:pPr>
              <w:spacing w:line="360" w:lineRule="auto"/>
              <w:jc w:val="center"/>
              <w:rPr>
                <w:rFonts w:ascii="宋体" w:hAnsi="宋体" w:cs="宋体"/>
                <w:sz w:val="24"/>
                <w:szCs w:val="24"/>
                <w:highlight w:val="none"/>
              </w:rPr>
            </w:pPr>
          </w:p>
        </w:tc>
        <w:tc>
          <w:tcPr>
            <w:tcW w:w="1040" w:type="pct"/>
            <w:tcBorders>
              <w:top w:val="single" w:color="auto" w:sz="4" w:space="0"/>
              <w:left w:val="single" w:color="auto" w:sz="4" w:space="0"/>
              <w:bottom w:val="single" w:color="auto" w:sz="4" w:space="0"/>
              <w:right w:val="single" w:color="auto" w:sz="4" w:space="0"/>
            </w:tcBorders>
            <w:vAlign w:val="center"/>
          </w:tcPr>
          <w:p w14:paraId="51F83722">
            <w:pPr>
              <w:spacing w:line="360" w:lineRule="auto"/>
              <w:jc w:val="center"/>
              <w:rPr>
                <w:rFonts w:ascii="宋体" w:hAnsi="宋体" w:cs="宋体"/>
                <w:sz w:val="24"/>
                <w:szCs w:val="24"/>
                <w:highlight w:val="none"/>
              </w:rPr>
            </w:pPr>
          </w:p>
        </w:tc>
      </w:tr>
      <w:tr w14:paraId="483B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409" w:type="pct"/>
            <w:tcBorders>
              <w:top w:val="single" w:color="auto" w:sz="4" w:space="0"/>
              <w:left w:val="single" w:color="auto" w:sz="4" w:space="0"/>
              <w:bottom w:val="single" w:color="auto" w:sz="4" w:space="0"/>
              <w:right w:val="single" w:color="auto" w:sz="4" w:space="0"/>
            </w:tcBorders>
            <w:vAlign w:val="center"/>
          </w:tcPr>
          <w:p w14:paraId="3F9BC721">
            <w:pPr>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1965" w:type="pct"/>
            <w:tcBorders>
              <w:top w:val="single" w:color="auto" w:sz="4" w:space="0"/>
              <w:left w:val="nil"/>
              <w:bottom w:val="single" w:color="auto" w:sz="4" w:space="0"/>
              <w:right w:val="single" w:color="auto" w:sz="4" w:space="0"/>
            </w:tcBorders>
            <w:vAlign w:val="center"/>
          </w:tcPr>
          <w:p w14:paraId="56331148">
            <w:pPr>
              <w:spacing w:line="360" w:lineRule="auto"/>
              <w:jc w:val="center"/>
              <w:rPr>
                <w:rFonts w:ascii="宋体" w:hAnsi="宋体" w:cs="宋体"/>
                <w:sz w:val="24"/>
                <w:szCs w:val="24"/>
                <w:highlight w:val="none"/>
              </w:rPr>
            </w:pPr>
          </w:p>
        </w:tc>
        <w:tc>
          <w:tcPr>
            <w:tcW w:w="546" w:type="pct"/>
            <w:tcBorders>
              <w:top w:val="single" w:color="auto" w:sz="4" w:space="0"/>
              <w:left w:val="nil"/>
              <w:bottom w:val="single" w:color="auto" w:sz="4" w:space="0"/>
              <w:right w:val="single" w:color="auto" w:sz="4" w:space="0"/>
            </w:tcBorders>
            <w:vAlign w:val="center"/>
          </w:tcPr>
          <w:p w14:paraId="002ADE43">
            <w:pPr>
              <w:spacing w:line="360" w:lineRule="auto"/>
              <w:jc w:val="center"/>
              <w:rPr>
                <w:rFonts w:ascii="宋体" w:hAnsi="宋体" w:cs="宋体"/>
                <w:sz w:val="24"/>
                <w:szCs w:val="24"/>
                <w:highlight w:val="none"/>
              </w:rPr>
            </w:pPr>
          </w:p>
        </w:tc>
        <w:tc>
          <w:tcPr>
            <w:tcW w:w="1040" w:type="pct"/>
            <w:tcBorders>
              <w:top w:val="single" w:color="auto" w:sz="4" w:space="0"/>
              <w:left w:val="nil"/>
              <w:bottom w:val="single" w:color="auto" w:sz="4" w:space="0"/>
              <w:right w:val="single" w:color="auto" w:sz="4" w:space="0"/>
            </w:tcBorders>
          </w:tcPr>
          <w:p w14:paraId="079D616C">
            <w:pPr>
              <w:spacing w:line="360" w:lineRule="auto"/>
              <w:jc w:val="center"/>
              <w:rPr>
                <w:rFonts w:ascii="宋体" w:hAnsi="宋体" w:cs="宋体"/>
                <w:sz w:val="24"/>
                <w:szCs w:val="24"/>
                <w:highlight w:val="none"/>
              </w:rPr>
            </w:pPr>
          </w:p>
        </w:tc>
        <w:tc>
          <w:tcPr>
            <w:tcW w:w="1040" w:type="pct"/>
            <w:tcBorders>
              <w:top w:val="single" w:color="auto" w:sz="4" w:space="0"/>
              <w:left w:val="single" w:color="auto" w:sz="4" w:space="0"/>
              <w:bottom w:val="single" w:color="auto" w:sz="4" w:space="0"/>
              <w:right w:val="single" w:color="auto" w:sz="4" w:space="0"/>
            </w:tcBorders>
            <w:vAlign w:val="center"/>
          </w:tcPr>
          <w:p w14:paraId="3BAF1EBD">
            <w:pPr>
              <w:spacing w:line="360" w:lineRule="auto"/>
              <w:jc w:val="center"/>
              <w:rPr>
                <w:rFonts w:ascii="宋体" w:hAnsi="宋体" w:cs="宋体"/>
                <w:sz w:val="24"/>
                <w:szCs w:val="24"/>
                <w:highlight w:val="none"/>
              </w:rPr>
            </w:pPr>
          </w:p>
        </w:tc>
      </w:tr>
    </w:tbl>
    <w:p w14:paraId="1C1BFB5B">
      <w:pPr>
        <w:spacing w:line="360" w:lineRule="auto"/>
        <w:rPr>
          <w:rFonts w:ascii="宋体" w:hAnsi="宋体" w:cs="宋体"/>
          <w:sz w:val="24"/>
          <w:szCs w:val="24"/>
          <w:highlight w:val="none"/>
        </w:rPr>
      </w:pPr>
      <w:r>
        <w:rPr>
          <w:rFonts w:hint="eastAsia" w:ascii="宋体" w:hAnsi="宋体" w:cs="宋体"/>
          <w:sz w:val="24"/>
          <w:szCs w:val="24"/>
          <w:highlight w:val="none"/>
        </w:rPr>
        <w:t>定标委员会全体成员签名：</w:t>
      </w:r>
    </w:p>
    <w:p w14:paraId="78868156">
      <w:pPr>
        <w:spacing w:line="360" w:lineRule="auto"/>
        <w:ind w:right="-2"/>
        <w:jc w:val="right"/>
        <w:rPr>
          <w:rFonts w:ascii="宋体" w:hAnsi="宋体" w:cs="宋体"/>
          <w:sz w:val="24"/>
          <w:szCs w:val="24"/>
          <w:highlight w:val="none"/>
        </w:rPr>
      </w:pPr>
      <w:r>
        <w:rPr>
          <w:rFonts w:hint="eastAsia" w:ascii="宋体" w:hAnsi="宋体" w:cs="宋体"/>
          <w:sz w:val="24"/>
          <w:szCs w:val="24"/>
          <w:highlight w:val="none"/>
        </w:rPr>
        <w:t>日期：     年   月   日</w:t>
      </w:r>
    </w:p>
    <w:p w14:paraId="5B1CB1AF">
      <w:pPr>
        <w:spacing w:line="360" w:lineRule="auto"/>
        <w:rPr>
          <w:rFonts w:ascii="宋体" w:hAnsi="宋体" w:cs="宋体"/>
          <w:sz w:val="24"/>
          <w:szCs w:val="24"/>
          <w:highlight w:val="none"/>
        </w:rPr>
      </w:pPr>
    </w:p>
    <w:p w14:paraId="76D960B6">
      <w:pPr>
        <w:spacing w:line="360" w:lineRule="auto"/>
        <w:ind w:firstLine="480" w:firstLineChars="200"/>
        <w:jc w:val="center"/>
        <w:rPr>
          <w:rFonts w:ascii="宋体" w:hAnsi="宋体" w:cs="宋体"/>
          <w:sz w:val="24"/>
          <w:szCs w:val="24"/>
          <w:highlight w:val="none"/>
        </w:rPr>
      </w:pPr>
      <w:r>
        <w:rPr>
          <w:rFonts w:hint="eastAsia" w:ascii="宋体" w:hAnsi="宋体" w:cs="宋体"/>
          <w:sz w:val="24"/>
          <w:szCs w:val="24"/>
          <w:highlight w:val="none"/>
        </w:rPr>
        <w:t>注：定标委员会成员须根据每轮的投票结果，得票数最多的合格的中标候选人为中标人。</w:t>
      </w:r>
    </w:p>
    <w:p w14:paraId="0C6013AA">
      <w:pPr>
        <w:spacing w:line="360" w:lineRule="auto"/>
        <w:jc w:val="center"/>
        <w:rPr>
          <w:rFonts w:ascii="宋体" w:hAnsi="宋体" w:cs="宋体"/>
          <w:highlight w:val="none"/>
        </w:rPr>
      </w:pPr>
      <w:r>
        <w:rPr>
          <w:rFonts w:hint="eastAsia" w:ascii="宋体" w:hAnsi="宋体" w:cs="宋体"/>
          <w:highlight w:val="none"/>
        </w:rPr>
        <w:br w:type="page"/>
      </w:r>
    </w:p>
    <w:p w14:paraId="5CDF29D0">
      <w:pPr>
        <w:pStyle w:val="2"/>
        <w:jc w:val="center"/>
        <w:rPr>
          <w:rFonts w:ascii="宋体" w:hAnsi="宋体" w:cs="宋体"/>
          <w:b/>
          <w:bCs/>
          <w:sz w:val="32"/>
          <w:szCs w:val="32"/>
          <w:highlight w:val="none"/>
        </w:rPr>
      </w:pPr>
      <w:r>
        <w:rPr>
          <w:rFonts w:hint="eastAsia" w:ascii="宋体" w:hAnsi="宋体" w:cs="宋体"/>
          <w:b/>
          <w:bCs/>
          <w:sz w:val="32"/>
          <w:szCs w:val="32"/>
          <w:highlight w:val="none"/>
        </w:rPr>
        <w:t>第三章  合同条款</w:t>
      </w:r>
      <w:bookmarkEnd w:id="44"/>
      <w:bookmarkEnd w:id="45"/>
    </w:p>
    <w:p w14:paraId="7853EE38">
      <w:pPr>
        <w:spacing w:line="360" w:lineRule="auto"/>
        <w:jc w:val="center"/>
        <w:rPr>
          <w:rFonts w:ascii="宋体" w:hAnsi="宋体" w:cs="宋体"/>
          <w:b/>
          <w:sz w:val="24"/>
          <w:szCs w:val="24"/>
          <w:highlight w:val="none"/>
        </w:rPr>
      </w:pPr>
      <w:r>
        <w:rPr>
          <w:rFonts w:hint="eastAsia" w:ascii="宋体" w:hAnsi="宋体" w:cs="宋体"/>
          <w:sz w:val="24"/>
          <w:szCs w:val="24"/>
          <w:highlight w:val="none"/>
        </w:rPr>
        <w:t>注：另册。</w:t>
      </w:r>
    </w:p>
    <w:p w14:paraId="46E6DC7E">
      <w:pPr>
        <w:pStyle w:val="18"/>
        <w:spacing w:line="360" w:lineRule="auto"/>
        <w:rPr>
          <w:rFonts w:hint="default" w:hAnsi="宋体" w:cs="宋体"/>
          <w:sz w:val="24"/>
          <w:szCs w:val="24"/>
          <w:highlight w:val="none"/>
        </w:rPr>
      </w:pPr>
    </w:p>
    <w:p w14:paraId="21A5BB3F">
      <w:pPr>
        <w:pStyle w:val="18"/>
        <w:spacing w:line="360" w:lineRule="auto"/>
        <w:rPr>
          <w:rFonts w:hint="default" w:hAnsi="宋体" w:cs="宋体"/>
          <w:sz w:val="24"/>
          <w:szCs w:val="24"/>
          <w:highlight w:val="none"/>
        </w:rPr>
      </w:pPr>
      <w:r>
        <w:rPr>
          <w:rFonts w:hAnsi="宋体" w:cs="宋体"/>
          <w:sz w:val="24"/>
          <w:szCs w:val="24"/>
          <w:highlight w:val="none"/>
        </w:rPr>
        <w:br w:type="page"/>
      </w:r>
    </w:p>
    <w:p w14:paraId="6E0D21D2">
      <w:pPr>
        <w:pStyle w:val="2"/>
        <w:jc w:val="center"/>
        <w:rPr>
          <w:rFonts w:ascii="宋体" w:hAnsi="宋体" w:cs="宋体"/>
          <w:b/>
          <w:bCs/>
          <w:sz w:val="32"/>
          <w:szCs w:val="32"/>
          <w:highlight w:val="none"/>
        </w:rPr>
      </w:pPr>
      <w:bookmarkStart w:id="46" w:name="_Toc6310"/>
      <w:bookmarkStart w:id="47" w:name="_Toc2272567"/>
      <w:r>
        <w:rPr>
          <w:rFonts w:hint="eastAsia" w:ascii="宋体" w:hAnsi="宋体" w:cs="宋体"/>
          <w:b/>
          <w:bCs/>
          <w:sz w:val="32"/>
          <w:szCs w:val="32"/>
          <w:highlight w:val="none"/>
        </w:rPr>
        <w:t>第四章  投标文件格式</w:t>
      </w:r>
      <w:bookmarkEnd w:id="46"/>
      <w:bookmarkEnd w:id="47"/>
    </w:p>
    <w:p w14:paraId="08D76F80">
      <w:pPr>
        <w:pStyle w:val="2"/>
        <w:jc w:val="center"/>
        <w:rPr>
          <w:rFonts w:ascii="宋体" w:hAnsi="宋体" w:cs="宋体"/>
          <w:b/>
          <w:bCs/>
          <w:sz w:val="32"/>
          <w:szCs w:val="32"/>
          <w:highlight w:val="none"/>
        </w:rPr>
      </w:pPr>
      <w:bookmarkStart w:id="48" w:name="_Toc22928"/>
      <w:bookmarkStart w:id="49" w:name="_Toc14697646"/>
      <w:bookmarkStart w:id="50" w:name="_Toc7019446"/>
      <w:bookmarkStart w:id="51" w:name="_Toc8084"/>
      <w:bookmarkStart w:id="52" w:name="_Toc9856"/>
      <w:r>
        <w:rPr>
          <w:rFonts w:hint="eastAsia" w:ascii="宋体" w:hAnsi="宋体" w:cs="宋体"/>
          <w:b/>
          <w:bCs/>
          <w:sz w:val="32"/>
          <w:szCs w:val="32"/>
          <w:highlight w:val="none"/>
        </w:rPr>
        <w:t>一、技术标投标文件格式</w:t>
      </w:r>
      <w:bookmarkEnd w:id="48"/>
      <w:bookmarkEnd w:id="49"/>
      <w:bookmarkEnd w:id="50"/>
      <w:bookmarkEnd w:id="51"/>
      <w:bookmarkEnd w:id="52"/>
    </w:p>
    <w:p w14:paraId="4BDD3EDE">
      <w:pPr>
        <w:widowControl/>
        <w:spacing w:line="360" w:lineRule="auto"/>
        <w:jc w:val="left"/>
        <w:outlineLvl w:val="2"/>
        <w:rPr>
          <w:rFonts w:ascii="宋体" w:hAnsi="宋体" w:cs="宋体"/>
          <w:bCs/>
          <w:kern w:val="0"/>
          <w:sz w:val="24"/>
          <w:szCs w:val="24"/>
          <w:highlight w:val="none"/>
        </w:rPr>
      </w:pPr>
      <w:r>
        <w:rPr>
          <w:rFonts w:hint="eastAsia" w:ascii="宋体" w:hAnsi="宋体" w:cs="宋体"/>
          <w:highlight w:val="none"/>
        </w:rPr>
        <w:br w:type="page"/>
      </w:r>
      <w:bookmarkStart w:id="53" w:name="_Toc20032"/>
      <w:bookmarkStart w:id="54" w:name="_Toc14697647"/>
      <w:bookmarkStart w:id="55" w:name="_Toc17751"/>
      <w:r>
        <w:rPr>
          <w:rFonts w:hint="eastAsia" w:ascii="宋体" w:hAnsi="宋体" w:cs="宋体"/>
          <w:bCs/>
          <w:kern w:val="0"/>
          <w:sz w:val="24"/>
          <w:szCs w:val="24"/>
          <w:highlight w:val="none"/>
        </w:rPr>
        <w:t>格式一</w:t>
      </w:r>
      <w:bookmarkEnd w:id="53"/>
      <w:bookmarkEnd w:id="54"/>
      <w:bookmarkEnd w:id="55"/>
    </w:p>
    <w:p w14:paraId="01C19B6D">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7B7450BA">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3849EF40">
      <w:pPr>
        <w:topLinePunct/>
        <w:adjustRightInd w:val="0"/>
        <w:snapToGrid w:val="0"/>
        <w:spacing w:line="360" w:lineRule="auto"/>
        <w:jc w:val="center"/>
        <w:rPr>
          <w:rFonts w:ascii="宋体" w:hAnsi="宋体" w:cs="宋体"/>
          <w:b/>
          <w:bCs/>
          <w:snapToGrid w:val="0"/>
          <w:spacing w:val="4"/>
          <w:kern w:val="0"/>
          <w:sz w:val="44"/>
          <w:szCs w:val="44"/>
          <w:highlight w:val="none"/>
          <w:u w:val="single"/>
        </w:rPr>
      </w:pPr>
      <w:r>
        <w:rPr>
          <w:rFonts w:hint="eastAsia" w:ascii="宋体" w:hAnsi="宋体" w:cs="宋体"/>
          <w:b/>
          <w:bCs/>
          <w:snapToGrid w:val="0"/>
          <w:spacing w:val="4"/>
          <w:kern w:val="0"/>
          <w:sz w:val="44"/>
          <w:szCs w:val="44"/>
          <w:highlight w:val="none"/>
          <w:u w:val="single"/>
        </w:rPr>
        <w:t>[工程名称]</w:t>
      </w:r>
    </w:p>
    <w:p w14:paraId="076C4897">
      <w:pPr>
        <w:topLinePunct/>
        <w:adjustRightInd w:val="0"/>
        <w:snapToGrid w:val="0"/>
        <w:spacing w:line="360" w:lineRule="auto"/>
        <w:ind w:firstLine="659" w:firstLineChars="200"/>
        <w:rPr>
          <w:rFonts w:ascii="宋体" w:hAnsi="宋体" w:cs="宋体"/>
          <w:b/>
          <w:bCs/>
          <w:snapToGrid w:val="0"/>
          <w:spacing w:val="4"/>
          <w:kern w:val="0"/>
          <w:sz w:val="32"/>
          <w:szCs w:val="32"/>
          <w:highlight w:val="none"/>
        </w:rPr>
      </w:pPr>
    </w:p>
    <w:p w14:paraId="60297044">
      <w:pPr>
        <w:topLinePunct/>
        <w:adjustRightInd w:val="0"/>
        <w:snapToGrid w:val="0"/>
        <w:spacing w:line="360" w:lineRule="auto"/>
        <w:ind w:firstLine="659" w:firstLineChars="200"/>
        <w:rPr>
          <w:rFonts w:ascii="宋体" w:hAnsi="宋体" w:cs="宋体"/>
          <w:b/>
          <w:bCs/>
          <w:snapToGrid w:val="0"/>
          <w:spacing w:val="4"/>
          <w:kern w:val="0"/>
          <w:sz w:val="32"/>
          <w:szCs w:val="32"/>
          <w:highlight w:val="none"/>
        </w:rPr>
      </w:pPr>
    </w:p>
    <w:p w14:paraId="30C4CF60">
      <w:pPr>
        <w:topLinePunct/>
        <w:adjustRightInd w:val="0"/>
        <w:snapToGrid w:val="0"/>
        <w:spacing w:line="360" w:lineRule="auto"/>
        <w:ind w:firstLine="659" w:firstLineChars="200"/>
        <w:rPr>
          <w:rFonts w:ascii="宋体" w:hAnsi="宋体" w:cs="宋体"/>
          <w:b/>
          <w:bCs/>
          <w:snapToGrid w:val="0"/>
          <w:spacing w:val="4"/>
          <w:kern w:val="0"/>
          <w:sz w:val="32"/>
          <w:szCs w:val="32"/>
          <w:highlight w:val="none"/>
        </w:rPr>
      </w:pPr>
    </w:p>
    <w:p w14:paraId="09545438">
      <w:pPr>
        <w:topLinePunct/>
        <w:adjustRightInd w:val="0"/>
        <w:snapToGrid w:val="0"/>
        <w:spacing w:line="360" w:lineRule="auto"/>
        <w:jc w:val="center"/>
        <w:rPr>
          <w:rFonts w:ascii="宋体" w:hAnsi="宋体" w:cs="宋体"/>
          <w:b/>
          <w:bCs/>
          <w:snapToGrid w:val="0"/>
          <w:spacing w:val="4"/>
          <w:kern w:val="0"/>
          <w:sz w:val="44"/>
          <w:szCs w:val="44"/>
          <w:highlight w:val="none"/>
        </w:rPr>
      </w:pPr>
      <w:r>
        <w:rPr>
          <w:rFonts w:hint="eastAsia" w:ascii="宋体" w:hAnsi="宋体" w:cs="宋体"/>
          <w:b/>
          <w:bCs/>
          <w:snapToGrid w:val="0"/>
          <w:spacing w:val="4"/>
          <w:kern w:val="0"/>
          <w:sz w:val="44"/>
          <w:szCs w:val="44"/>
          <w:highlight w:val="none"/>
        </w:rPr>
        <w:t>投标文件</w:t>
      </w:r>
    </w:p>
    <w:p w14:paraId="032FA09E">
      <w:pPr>
        <w:topLinePunct/>
        <w:adjustRightInd w:val="0"/>
        <w:snapToGrid w:val="0"/>
        <w:spacing w:line="360" w:lineRule="auto"/>
        <w:jc w:val="center"/>
        <w:rPr>
          <w:rFonts w:ascii="宋体" w:hAnsi="宋体" w:cs="宋体"/>
          <w:b/>
          <w:bCs/>
          <w:snapToGrid w:val="0"/>
          <w:spacing w:val="4"/>
          <w:kern w:val="0"/>
          <w:sz w:val="44"/>
          <w:szCs w:val="44"/>
          <w:highlight w:val="none"/>
        </w:rPr>
      </w:pPr>
      <w:r>
        <w:rPr>
          <w:rFonts w:hint="eastAsia" w:ascii="宋体" w:hAnsi="宋体" w:cs="宋体"/>
          <w:b/>
          <w:bCs/>
          <w:snapToGrid w:val="0"/>
          <w:spacing w:val="4"/>
          <w:kern w:val="0"/>
          <w:sz w:val="44"/>
          <w:szCs w:val="44"/>
          <w:highlight w:val="none"/>
        </w:rPr>
        <w:t>第一册  【技术部分（含资格审查）】</w:t>
      </w:r>
    </w:p>
    <w:p w14:paraId="553190AF">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698867C2">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31017AAF">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20CC530F">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599B24DD">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2FE217E4">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0FBB44FF">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1E52A2D6">
      <w:pPr>
        <w:topLinePunct/>
        <w:adjustRightInd w:val="0"/>
        <w:snapToGrid w:val="0"/>
        <w:spacing w:line="360" w:lineRule="auto"/>
        <w:ind w:firstLine="656" w:firstLineChars="200"/>
        <w:jc w:val="left"/>
        <w:rPr>
          <w:rFonts w:ascii="宋体" w:hAnsi="宋体" w:cs="宋体"/>
          <w:snapToGrid w:val="0"/>
          <w:spacing w:val="4"/>
          <w:kern w:val="0"/>
          <w:sz w:val="32"/>
          <w:szCs w:val="32"/>
          <w:highlight w:val="none"/>
        </w:rPr>
      </w:pPr>
      <w:r>
        <w:rPr>
          <w:rFonts w:hint="eastAsia" w:ascii="宋体" w:hAnsi="宋体" w:cs="宋体"/>
          <w:snapToGrid w:val="0"/>
          <w:spacing w:val="4"/>
          <w:kern w:val="0"/>
          <w:sz w:val="32"/>
          <w:szCs w:val="32"/>
          <w:highlight w:val="none"/>
        </w:rPr>
        <w:t>投标人：</w:t>
      </w:r>
      <w:r>
        <w:rPr>
          <w:rFonts w:hint="eastAsia" w:ascii="宋体" w:hAnsi="宋体" w:cs="宋体"/>
          <w:snapToGrid w:val="0"/>
          <w:spacing w:val="4"/>
          <w:kern w:val="0"/>
          <w:sz w:val="32"/>
          <w:szCs w:val="32"/>
          <w:highlight w:val="none"/>
          <w:u w:val="single"/>
        </w:rPr>
        <w:t xml:space="preserve">           （填写投标人单位名称）    （盖章）</w:t>
      </w:r>
    </w:p>
    <w:p w14:paraId="633DA80F">
      <w:pPr>
        <w:topLinePunct/>
        <w:adjustRightInd w:val="0"/>
        <w:snapToGrid w:val="0"/>
        <w:spacing w:line="360" w:lineRule="auto"/>
        <w:ind w:firstLine="656" w:firstLineChars="200"/>
        <w:jc w:val="left"/>
        <w:rPr>
          <w:rFonts w:ascii="宋体" w:hAnsi="宋体" w:cs="宋体"/>
          <w:snapToGrid w:val="0"/>
          <w:spacing w:val="4"/>
          <w:kern w:val="0"/>
          <w:sz w:val="32"/>
          <w:szCs w:val="32"/>
          <w:highlight w:val="none"/>
        </w:rPr>
      </w:pPr>
      <w:r>
        <w:rPr>
          <w:rFonts w:hint="eastAsia" w:ascii="宋体" w:hAnsi="宋体" w:cs="宋体"/>
          <w:snapToGrid w:val="0"/>
          <w:spacing w:val="4"/>
          <w:kern w:val="0"/>
          <w:sz w:val="32"/>
          <w:szCs w:val="32"/>
          <w:highlight w:val="none"/>
        </w:rPr>
        <w:t>法定代表人或</w:t>
      </w:r>
    </w:p>
    <w:p w14:paraId="4F6529C1">
      <w:pPr>
        <w:topLinePunct/>
        <w:adjustRightInd w:val="0"/>
        <w:snapToGrid w:val="0"/>
        <w:spacing w:line="360" w:lineRule="auto"/>
        <w:ind w:firstLine="656" w:firstLineChars="200"/>
        <w:jc w:val="left"/>
        <w:rPr>
          <w:rFonts w:ascii="宋体" w:hAnsi="宋体" w:cs="宋体"/>
          <w:snapToGrid w:val="0"/>
          <w:spacing w:val="4"/>
          <w:kern w:val="0"/>
          <w:sz w:val="32"/>
          <w:szCs w:val="32"/>
          <w:highlight w:val="none"/>
        </w:rPr>
      </w:pPr>
      <w:r>
        <w:rPr>
          <w:rFonts w:hint="eastAsia" w:ascii="宋体" w:hAnsi="宋体" w:cs="宋体"/>
          <w:snapToGrid w:val="0"/>
          <w:spacing w:val="4"/>
          <w:kern w:val="0"/>
          <w:sz w:val="32"/>
          <w:szCs w:val="32"/>
          <w:highlight w:val="none"/>
        </w:rPr>
        <w:t>其委托代理人：</w:t>
      </w:r>
      <w:r>
        <w:rPr>
          <w:rFonts w:hint="eastAsia" w:ascii="宋体" w:hAnsi="宋体" w:cs="宋体"/>
          <w:snapToGrid w:val="0"/>
          <w:spacing w:val="4"/>
          <w:kern w:val="0"/>
          <w:sz w:val="32"/>
          <w:szCs w:val="32"/>
          <w:highlight w:val="none"/>
          <w:u w:val="single"/>
        </w:rPr>
        <w:t xml:space="preserve">                         （签名或盖章）</w:t>
      </w:r>
    </w:p>
    <w:p w14:paraId="76FFB6F0">
      <w:pPr>
        <w:topLinePunct/>
        <w:adjustRightInd w:val="0"/>
        <w:snapToGrid w:val="0"/>
        <w:spacing w:line="360" w:lineRule="auto"/>
        <w:ind w:firstLine="656" w:firstLineChars="200"/>
        <w:jc w:val="left"/>
        <w:rPr>
          <w:rFonts w:ascii="宋体" w:hAnsi="宋体" w:cs="宋体"/>
          <w:sz w:val="32"/>
          <w:szCs w:val="32"/>
          <w:highlight w:val="none"/>
        </w:rPr>
      </w:pPr>
      <w:r>
        <w:rPr>
          <w:rFonts w:hint="eastAsia" w:ascii="宋体" w:hAnsi="宋体" w:cs="宋体"/>
          <w:snapToGrid w:val="0"/>
          <w:spacing w:val="4"/>
          <w:kern w:val="0"/>
          <w:sz w:val="32"/>
          <w:szCs w:val="32"/>
          <w:highlight w:val="none"/>
        </w:rPr>
        <w:t>日  期：</w:t>
      </w:r>
      <w:r>
        <w:rPr>
          <w:rFonts w:hint="eastAsia" w:ascii="宋体" w:hAnsi="宋体" w:cs="宋体"/>
          <w:snapToGrid w:val="0"/>
          <w:spacing w:val="4"/>
          <w:kern w:val="0"/>
          <w:sz w:val="32"/>
          <w:szCs w:val="32"/>
          <w:highlight w:val="none"/>
          <w:u w:val="single"/>
        </w:rPr>
        <w:t xml:space="preserve">                                            </w:t>
      </w:r>
    </w:p>
    <w:p w14:paraId="4B1A0F9F">
      <w:pPr>
        <w:rPr>
          <w:rFonts w:ascii="宋体" w:hAnsi="宋体" w:cs="宋体"/>
          <w:snapToGrid w:val="0"/>
          <w:spacing w:val="4"/>
          <w:kern w:val="0"/>
          <w:sz w:val="24"/>
          <w:szCs w:val="24"/>
          <w:highlight w:val="none"/>
        </w:rPr>
      </w:pPr>
      <w:bookmarkStart w:id="56" w:name="_Toc15624"/>
      <w:bookmarkStart w:id="57" w:name="_Toc14697648"/>
      <w:bookmarkStart w:id="58" w:name="_Toc23471"/>
      <w:r>
        <w:rPr>
          <w:rFonts w:hint="eastAsia" w:ascii="宋体" w:hAnsi="宋体" w:cs="宋体"/>
          <w:snapToGrid w:val="0"/>
          <w:spacing w:val="4"/>
          <w:kern w:val="0"/>
          <w:sz w:val="24"/>
          <w:szCs w:val="24"/>
          <w:highlight w:val="none"/>
        </w:rPr>
        <w:br w:type="page"/>
      </w:r>
    </w:p>
    <w:p w14:paraId="41D6191C">
      <w:pPr>
        <w:widowControl/>
        <w:spacing w:line="360" w:lineRule="auto"/>
        <w:jc w:val="left"/>
        <w:outlineLvl w:val="2"/>
        <w:rPr>
          <w:rFonts w:ascii="宋体" w:hAnsi="宋体" w:cs="宋体"/>
          <w:bCs/>
          <w:kern w:val="0"/>
          <w:sz w:val="24"/>
          <w:szCs w:val="24"/>
          <w:highlight w:val="none"/>
          <w:lang w:val="zh-CN"/>
        </w:rPr>
      </w:pPr>
      <w:r>
        <w:rPr>
          <w:rFonts w:hint="eastAsia" w:ascii="宋体" w:hAnsi="宋体" w:cs="宋体"/>
          <w:bCs/>
          <w:kern w:val="0"/>
          <w:sz w:val="24"/>
          <w:szCs w:val="24"/>
          <w:highlight w:val="none"/>
        </w:rPr>
        <w:t>格式二</w:t>
      </w:r>
      <w:bookmarkEnd w:id="56"/>
      <w:bookmarkEnd w:id="57"/>
      <w:bookmarkEnd w:id="58"/>
    </w:p>
    <w:p w14:paraId="4D8E128D">
      <w:pPr>
        <w:autoSpaceDE w:val="0"/>
        <w:autoSpaceDN w:val="0"/>
        <w:adjustRightInd w:val="0"/>
        <w:spacing w:line="360" w:lineRule="auto"/>
        <w:jc w:val="center"/>
        <w:rPr>
          <w:rFonts w:ascii="宋体" w:hAnsi="宋体" w:cs="宋体"/>
          <w:b/>
          <w:bCs/>
          <w:sz w:val="24"/>
          <w:szCs w:val="24"/>
          <w:highlight w:val="none"/>
          <w:lang w:val="zh-CN"/>
        </w:rPr>
      </w:pPr>
    </w:p>
    <w:p w14:paraId="5E6A7AB8">
      <w:pPr>
        <w:topLinePunct/>
        <w:adjustRightInd w:val="0"/>
        <w:snapToGrid w:val="0"/>
        <w:spacing w:line="360" w:lineRule="auto"/>
        <w:jc w:val="center"/>
        <w:rPr>
          <w:rFonts w:ascii="宋体" w:hAnsi="宋体" w:cs="宋体"/>
          <w:b/>
          <w:snapToGrid w:val="0"/>
          <w:spacing w:val="4"/>
          <w:kern w:val="0"/>
          <w:sz w:val="32"/>
          <w:szCs w:val="32"/>
          <w:highlight w:val="none"/>
        </w:rPr>
      </w:pPr>
      <w:bookmarkStart w:id="59" w:name="_Toc58838587"/>
      <w:r>
        <w:rPr>
          <w:rFonts w:hint="eastAsia" w:ascii="宋体" w:hAnsi="宋体" w:cs="宋体"/>
          <w:b/>
          <w:snapToGrid w:val="0"/>
          <w:spacing w:val="4"/>
          <w:kern w:val="0"/>
          <w:sz w:val="32"/>
          <w:szCs w:val="32"/>
          <w:highlight w:val="none"/>
        </w:rPr>
        <w:t>广州建设工程施工招标投标书（技术标）</w:t>
      </w:r>
      <w:bookmarkEnd w:id="59"/>
    </w:p>
    <w:tbl>
      <w:tblPr>
        <w:tblStyle w:val="36"/>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14:paraId="0B43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vAlign w:val="center"/>
          </w:tcPr>
          <w:p w14:paraId="35F2DA55">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sz w:val="24"/>
                <w:szCs w:val="24"/>
                <w:highlight w:val="none"/>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tcPr>
          <w:p w14:paraId="40AEC186">
            <w:pPr>
              <w:autoSpaceDE w:val="0"/>
              <w:autoSpaceDN w:val="0"/>
              <w:adjustRightInd w:val="0"/>
              <w:spacing w:line="360" w:lineRule="auto"/>
              <w:rPr>
                <w:rFonts w:ascii="宋体" w:hAnsi="宋体" w:cs="宋体"/>
                <w:bCs/>
                <w:sz w:val="24"/>
                <w:szCs w:val="24"/>
                <w:highlight w:val="none"/>
                <w:lang w:val="zh-CN"/>
              </w:rPr>
            </w:pPr>
          </w:p>
        </w:tc>
      </w:tr>
      <w:tr w14:paraId="7877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vAlign w:val="center"/>
          </w:tcPr>
          <w:p w14:paraId="282047D7">
            <w:pPr>
              <w:spacing w:line="360" w:lineRule="auto"/>
              <w:jc w:val="center"/>
              <w:rPr>
                <w:rFonts w:ascii="宋体" w:hAnsi="宋体" w:cs="宋体"/>
                <w:sz w:val="24"/>
                <w:szCs w:val="24"/>
                <w:highlight w:val="none"/>
                <w:lang w:val="zh-CN"/>
              </w:rPr>
            </w:pPr>
            <w:r>
              <w:rPr>
                <w:rFonts w:hint="eastAsia" w:ascii="宋体" w:hAnsi="宋体" w:cs="宋体"/>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tcPr>
          <w:p w14:paraId="7970D3BA">
            <w:pPr>
              <w:autoSpaceDE w:val="0"/>
              <w:autoSpaceDN w:val="0"/>
              <w:adjustRightInd w:val="0"/>
              <w:spacing w:line="360" w:lineRule="auto"/>
              <w:rPr>
                <w:rFonts w:ascii="宋体" w:hAnsi="宋体" w:cs="宋体"/>
                <w:bCs/>
                <w:sz w:val="24"/>
                <w:szCs w:val="24"/>
                <w:highlight w:val="none"/>
                <w:lang w:val="zh-CN"/>
              </w:rPr>
            </w:pPr>
          </w:p>
        </w:tc>
      </w:tr>
      <w:tr w14:paraId="349F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vAlign w:val="center"/>
          </w:tcPr>
          <w:p w14:paraId="1949D068">
            <w:pPr>
              <w:spacing w:line="360" w:lineRule="auto"/>
              <w:jc w:val="center"/>
              <w:rPr>
                <w:rFonts w:ascii="宋体" w:hAnsi="宋体"/>
                <w:sz w:val="24"/>
                <w:szCs w:val="24"/>
                <w:highlight w:val="none"/>
              </w:rPr>
            </w:pPr>
            <w:r>
              <w:rPr>
                <w:rFonts w:hint="eastAsia" w:ascii="宋体" w:hAnsi="宋体" w:cs="宋体"/>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tcPr>
          <w:p w14:paraId="3FCCF355">
            <w:pPr>
              <w:autoSpaceDE w:val="0"/>
              <w:autoSpaceDN w:val="0"/>
              <w:adjustRightInd w:val="0"/>
              <w:spacing w:line="360" w:lineRule="auto"/>
              <w:rPr>
                <w:rFonts w:ascii="宋体" w:hAnsi="宋体" w:cs="宋体"/>
                <w:bCs/>
                <w:sz w:val="24"/>
                <w:szCs w:val="24"/>
                <w:highlight w:val="none"/>
                <w:lang w:val="zh-CN"/>
              </w:rPr>
            </w:pPr>
          </w:p>
        </w:tc>
      </w:tr>
      <w:tr w14:paraId="1DDF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vAlign w:val="center"/>
          </w:tcPr>
          <w:p w14:paraId="7406CDA4">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sz w:val="24"/>
                <w:szCs w:val="24"/>
                <w:highlight w:val="none"/>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tcPr>
          <w:p w14:paraId="440C1074">
            <w:pPr>
              <w:autoSpaceDE w:val="0"/>
              <w:autoSpaceDN w:val="0"/>
              <w:adjustRightInd w:val="0"/>
              <w:spacing w:line="360" w:lineRule="auto"/>
              <w:rPr>
                <w:rFonts w:ascii="宋体" w:hAnsi="宋体" w:cs="宋体"/>
                <w:bCs/>
                <w:sz w:val="24"/>
                <w:szCs w:val="24"/>
                <w:highlight w:val="none"/>
                <w:lang w:val="zh-CN"/>
              </w:rPr>
            </w:pPr>
          </w:p>
        </w:tc>
      </w:tr>
      <w:tr w14:paraId="0969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vAlign w:val="center"/>
          </w:tcPr>
          <w:p w14:paraId="356C828C">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vAlign w:val="center"/>
          </w:tcPr>
          <w:p w14:paraId="1ED91572">
            <w:pPr>
              <w:spacing w:line="360" w:lineRule="auto"/>
              <w:jc w:val="center"/>
              <w:rPr>
                <w:rFonts w:ascii="宋体" w:hAnsi="宋体"/>
                <w:sz w:val="24"/>
                <w:szCs w:val="24"/>
                <w:highlight w:val="none"/>
              </w:rPr>
            </w:pPr>
            <w:r>
              <w:rPr>
                <w:rFonts w:hint="eastAsia" w:ascii="宋体" w:hAnsi="宋体"/>
                <w:sz w:val="24"/>
                <w:szCs w:val="24"/>
                <w:highlight w:val="none"/>
              </w:rPr>
              <w:t>姓   名</w:t>
            </w:r>
          </w:p>
        </w:tc>
        <w:tc>
          <w:tcPr>
            <w:tcW w:w="3834" w:type="dxa"/>
            <w:tcBorders>
              <w:top w:val="single" w:color="auto" w:sz="4" w:space="0"/>
              <w:left w:val="single" w:color="auto" w:sz="4" w:space="0"/>
              <w:bottom w:val="single" w:color="auto" w:sz="4" w:space="0"/>
              <w:right w:val="single" w:color="auto" w:sz="4" w:space="0"/>
            </w:tcBorders>
          </w:tcPr>
          <w:p w14:paraId="09186F10">
            <w:pPr>
              <w:autoSpaceDE w:val="0"/>
              <w:autoSpaceDN w:val="0"/>
              <w:adjustRightInd w:val="0"/>
              <w:spacing w:line="360" w:lineRule="auto"/>
              <w:rPr>
                <w:rFonts w:ascii="宋体" w:hAnsi="宋体" w:cs="宋体"/>
                <w:bCs/>
                <w:sz w:val="24"/>
                <w:szCs w:val="24"/>
                <w:highlight w:val="none"/>
                <w:lang w:val="zh-CN"/>
              </w:rPr>
            </w:pPr>
          </w:p>
        </w:tc>
      </w:tr>
      <w:tr w14:paraId="1741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vAlign w:val="center"/>
          </w:tcPr>
          <w:p w14:paraId="2E438F59">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vAlign w:val="center"/>
          </w:tcPr>
          <w:p w14:paraId="70DF0B0B">
            <w:pPr>
              <w:autoSpaceDE w:val="0"/>
              <w:autoSpaceDN w:val="0"/>
              <w:adjustRightInd w:val="0"/>
              <w:spacing w:line="360" w:lineRule="auto"/>
              <w:jc w:val="center"/>
              <w:rPr>
                <w:rFonts w:ascii="宋体" w:hAnsi="宋体" w:cs="宋体"/>
                <w:bCs/>
                <w:sz w:val="24"/>
                <w:szCs w:val="24"/>
                <w:highlight w:val="none"/>
                <w:lang w:val="zh-CN"/>
              </w:rPr>
            </w:pPr>
            <w:r>
              <w:rPr>
                <w:rFonts w:hint="eastAsia" w:ascii="宋体" w:hAnsi="宋体" w:cs="宋体"/>
                <w:bCs/>
                <w:sz w:val="24"/>
                <w:szCs w:val="24"/>
                <w:highlight w:val="none"/>
                <w:lang w:val="zh-CN"/>
              </w:rPr>
              <w:t>姓   名</w:t>
            </w:r>
          </w:p>
        </w:tc>
        <w:tc>
          <w:tcPr>
            <w:tcW w:w="3834" w:type="dxa"/>
            <w:tcBorders>
              <w:top w:val="single" w:color="auto" w:sz="4" w:space="0"/>
              <w:left w:val="single" w:color="auto" w:sz="4" w:space="0"/>
              <w:bottom w:val="single" w:color="auto" w:sz="4" w:space="0"/>
              <w:right w:val="single" w:color="auto" w:sz="4" w:space="0"/>
            </w:tcBorders>
          </w:tcPr>
          <w:p w14:paraId="37B78A4D">
            <w:pPr>
              <w:autoSpaceDE w:val="0"/>
              <w:autoSpaceDN w:val="0"/>
              <w:adjustRightInd w:val="0"/>
              <w:spacing w:line="360" w:lineRule="auto"/>
              <w:rPr>
                <w:rFonts w:ascii="宋体" w:hAnsi="宋体" w:cs="宋体"/>
                <w:bCs/>
                <w:sz w:val="24"/>
                <w:szCs w:val="24"/>
                <w:highlight w:val="none"/>
                <w:lang w:val="zh-CN"/>
              </w:rPr>
            </w:pPr>
          </w:p>
        </w:tc>
      </w:tr>
    </w:tbl>
    <w:p w14:paraId="454A6A2B">
      <w:pPr>
        <w:tabs>
          <w:tab w:val="left" w:pos="720"/>
        </w:tabs>
        <w:snapToGrid w:val="0"/>
        <w:spacing w:line="360" w:lineRule="auto"/>
        <w:rPr>
          <w:rFonts w:ascii="宋体" w:hAnsi="宋体" w:cs="宋体"/>
          <w:sz w:val="24"/>
          <w:szCs w:val="24"/>
          <w:highlight w:val="none"/>
        </w:rPr>
      </w:pPr>
    </w:p>
    <w:p w14:paraId="52D7D4CD">
      <w:pPr>
        <w:widowControl/>
        <w:spacing w:line="360" w:lineRule="auto"/>
        <w:jc w:val="left"/>
        <w:outlineLvl w:val="2"/>
        <w:rPr>
          <w:rFonts w:ascii="宋体" w:hAnsi="宋体" w:cs="宋体"/>
          <w:bCs/>
          <w:kern w:val="0"/>
          <w:sz w:val="24"/>
          <w:szCs w:val="24"/>
          <w:highlight w:val="none"/>
        </w:rPr>
      </w:pPr>
      <w:r>
        <w:rPr>
          <w:rFonts w:hint="eastAsia" w:ascii="宋体" w:hAnsi="宋体" w:cs="宋体"/>
          <w:bCs/>
          <w:kern w:val="0"/>
          <w:sz w:val="24"/>
          <w:szCs w:val="24"/>
          <w:highlight w:val="none"/>
        </w:rPr>
        <w:br w:type="page"/>
      </w:r>
      <w:bookmarkStart w:id="60" w:name="_Toc28874"/>
      <w:bookmarkStart w:id="61" w:name="_Toc504722505"/>
      <w:bookmarkStart w:id="62" w:name="_Toc14697649"/>
      <w:bookmarkStart w:id="63" w:name="_Toc22278"/>
      <w:bookmarkStart w:id="64" w:name="_Toc4489937"/>
      <w:bookmarkStart w:id="65" w:name="_Toc27343"/>
      <w:r>
        <w:rPr>
          <w:rFonts w:hint="eastAsia" w:ascii="宋体" w:hAnsi="宋体" w:cs="宋体"/>
          <w:bCs/>
          <w:kern w:val="0"/>
          <w:sz w:val="24"/>
          <w:szCs w:val="24"/>
          <w:highlight w:val="none"/>
        </w:rPr>
        <w:t>格式三</w:t>
      </w:r>
      <w:bookmarkEnd w:id="60"/>
      <w:bookmarkEnd w:id="61"/>
      <w:bookmarkEnd w:id="62"/>
      <w:bookmarkEnd w:id="63"/>
      <w:bookmarkEnd w:id="64"/>
      <w:bookmarkEnd w:id="65"/>
    </w:p>
    <w:p w14:paraId="3D0BACDE">
      <w:pPr>
        <w:topLinePunct/>
        <w:adjustRightInd w:val="0"/>
        <w:snapToGrid w:val="0"/>
        <w:spacing w:line="360" w:lineRule="auto"/>
        <w:jc w:val="center"/>
        <w:rPr>
          <w:rFonts w:ascii="宋体" w:hAnsi="宋体" w:cs="宋体"/>
          <w:b/>
          <w:snapToGrid w:val="0"/>
          <w:spacing w:val="4"/>
          <w:kern w:val="0"/>
          <w:sz w:val="32"/>
          <w:szCs w:val="32"/>
          <w:highlight w:val="none"/>
        </w:rPr>
      </w:pPr>
      <w:r>
        <w:rPr>
          <w:rFonts w:hint="eastAsia" w:ascii="宋体" w:hAnsi="宋体" w:cs="宋体"/>
          <w:b/>
          <w:snapToGrid w:val="0"/>
          <w:spacing w:val="4"/>
          <w:kern w:val="0"/>
          <w:sz w:val="32"/>
          <w:szCs w:val="32"/>
          <w:highlight w:val="none"/>
        </w:rPr>
        <w:t>投标函</w:t>
      </w:r>
    </w:p>
    <w:p w14:paraId="03F385D0">
      <w:pPr>
        <w:spacing w:line="360" w:lineRule="auto"/>
        <w:rPr>
          <w:rFonts w:ascii="宋体" w:hAnsi="宋体" w:cs="宋体"/>
          <w:kern w:val="0"/>
          <w:sz w:val="24"/>
          <w:szCs w:val="24"/>
          <w:highlight w:val="none"/>
        </w:rPr>
      </w:pPr>
      <w:bookmarkStart w:id="66" w:name="_Toc484958700"/>
      <w:r>
        <w:rPr>
          <w:rFonts w:hint="eastAsia" w:ascii="宋体" w:hAnsi="宋体" w:cs="宋体"/>
          <w:kern w:val="0"/>
          <w:sz w:val="24"/>
          <w:szCs w:val="24"/>
          <w:highlight w:val="none"/>
          <w:u w:val="single"/>
        </w:rPr>
        <w:t xml:space="preserve">致：                               </w:t>
      </w:r>
      <w:r>
        <w:rPr>
          <w:rFonts w:hint="eastAsia" w:ascii="宋体" w:hAnsi="宋体" w:cs="宋体"/>
          <w:kern w:val="0"/>
          <w:sz w:val="24"/>
          <w:szCs w:val="24"/>
          <w:highlight w:val="none"/>
        </w:rPr>
        <w:t>（招标人名称）</w:t>
      </w:r>
    </w:p>
    <w:p w14:paraId="306122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我方确认收到贵方提供的</w:t>
      </w:r>
      <w:r>
        <w:rPr>
          <w:rFonts w:hint="eastAsia" w:ascii="宋体" w:hAnsi="宋体" w:cs="宋体"/>
          <w:sz w:val="24"/>
          <w:szCs w:val="24"/>
          <w:highlight w:val="none"/>
          <w:u w:val="single"/>
        </w:rPr>
        <w:t xml:space="preserve">      （工程名称）       </w:t>
      </w:r>
      <w:r>
        <w:rPr>
          <w:rFonts w:hint="eastAsia" w:ascii="宋体" w:hAnsi="宋体" w:cs="宋体"/>
          <w:sz w:val="24"/>
          <w:szCs w:val="24"/>
          <w:highlight w:val="none"/>
        </w:rPr>
        <w:t>招标文件的全部内容，我方已完全明白和接受招标文件的所有条款要求，并重申以下几点：</w:t>
      </w:r>
    </w:p>
    <w:p w14:paraId="197FF83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我方已详细研究并理解招标人提供的所有资料内容，同意招标文件的内容，对招标文件内容和约束无异议，充分了解了现场条件对可能存在的所有风险都已充分考虑，我方放弃在此方面提出含糊意见或误解的一切权力，承认招标文件的所有条款，按招标文件规定条款完成本次招标项目的内容。</w:t>
      </w:r>
    </w:p>
    <w:p w14:paraId="5D61701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2．我方已充分阅读了本项目招标文件并充分了解有关报价方式及变更、结算方式，我方完全响应招标文件的规定。</w:t>
      </w:r>
    </w:p>
    <w:p w14:paraId="7E1587E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3．本投标文件的有效期为投标截止日后120日历天内有效；</w:t>
      </w:r>
    </w:p>
    <w:p w14:paraId="1B0BA48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4．我方承诺投标文件中的一切资料、数据是真实的，并承担由此引起的一切责任。</w:t>
      </w:r>
    </w:p>
    <w:p w14:paraId="28B483F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5．我方明白并愿意若在规定的投标截止时间之后至投标有效期之内撤回投标，则投标保证金将被贵司没收。</w:t>
      </w:r>
    </w:p>
    <w:p w14:paraId="3037BDA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6．我方同意按照贵司可能提出的要求而提供与投标有关的任何其它数据或信息。</w:t>
      </w:r>
    </w:p>
    <w:p w14:paraId="6572789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7．我方如果中标，我方保证：</w:t>
      </w:r>
    </w:p>
    <w:p w14:paraId="738A28E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7.1保证履行招标文件以及招标文件修改书（如有）中的全部责任和义务，在中标通知书规定的时间内签订合同，并严格按国家有关法规履行我方的全部责任，按质、按量、按期完成合同约定的全部任务。</w:t>
      </w:r>
    </w:p>
    <w:p w14:paraId="1650082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7.2保证将我方的资质承包范围不能涵盖或不具备相应能力（该能力须保证进度和质量且须获得发包人认可）的部分专业工程（如果有），委托获得发包人批准的具备相应专业资质和能力的单位实施，确保项目质量及进度。</w:t>
      </w:r>
    </w:p>
    <w:p w14:paraId="175578B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7.3保证尽一切力量确保投标承诺的竣工日期，若我方未能按投标承诺的工期完成本项目，除承担合同约定的违约责任外，发包人有权解除合同，我方承担由于违约解除合同退场造成的对发包人的一切损失。</w:t>
      </w:r>
    </w:p>
    <w:p w14:paraId="4505C9D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7.4保证投标所报的项目负责人在本项目合同签订后7日内到职，全过程服务于本项目，在过程中非不可抗力或发包人要求不得更换。我方违反以上承诺的，同意按合同条款的规定承担违约责任。</w:t>
      </w:r>
    </w:p>
    <w:p w14:paraId="0A1C4AF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7.5保证按照招标文件的要求确保安全生产及文明施工，如有违反，我方愿意按合同约定承担违约责任，并为此负相关的法律责任。</w:t>
      </w:r>
    </w:p>
    <w:p w14:paraId="7A75B3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7.6保证按国家的有关规定制订保证民工工资支付的方案及保证措施，否则，我方愿按合同条款规定承担违约责任并赔偿发包人的全部损失。</w:t>
      </w:r>
    </w:p>
    <w:p w14:paraId="1078508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7.7如我司有幸中标，承诺所投入本项目的施工人员、主要材料、设备质量符合或优于招标人要求，所投入本项目的辅助设备、材料与主要材料、设备质量一致并有良好的配套性，若我方投入本项目的施工人员、主要材料、设备未能达到发包人要求的，我方将无条件根据要求进行调整，直至得到发包人的认可为止。</w:t>
      </w:r>
    </w:p>
    <w:p w14:paraId="72B4F67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7.8如我司有幸中标，承诺将根据本项目内容编制详细的施工组织方案，并报经发包人审批后实施。</w:t>
      </w:r>
    </w:p>
    <w:p w14:paraId="23604DBC">
      <w:pPr>
        <w:topLinePunct/>
        <w:adjustRightInd w:val="0"/>
        <w:snapToGrid w:val="0"/>
        <w:spacing w:line="360" w:lineRule="auto"/>
        <w:ind w:firstLine="496" w:firstLineChars="200"/>
        <w:rPr>
          <w:rFonts w:ascii="宋体" w:hAnsi="宋体" w:cs="宋体"/>
          <w:snapToGrid w:val="0"/>
          <w:spacing w:val="4"/>
          <w:kern w:val="0"/>
          <w:sz w:val="24"/>
          <w:szCs w:val="24"/>
          <w:highlight w:val="none"/>
        </w:rPr>
      </w:pPr>
    </w:p>
    <w:p w14:paraId="4092EDC1">
      <w:pPr>
        <w:topLinePunct/>
        <w:adjustRightInd w:val="0"/>
        <w:snapToGrid w:val="0"/>
        <w:spacing w:line="360" w:lineRule="auto"/>
        <w:ind w:firstLine="496" w:firstLineChars="200"/>
        <w:rPr>
          <w:rFonts w:ascii="宋体" w:hAnsi="宋体" w:cs="宋体"/>
          <w:snapToGrid w:val="0"/>
          <w:spacing w:val="4"/>
          <w:kern w:val="0"/>
          <w:sz w:val="24"/>
          <w:szCs w:val="24"/>
          <w:highlight w:val="none"/>
        </w:rPr>
      </w:pPr>
    </w:p>
    <w:p w14:paraId="5FB7D164">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投标人：（盖章</w:t>
      </w:r>
      <w:bookmarkEnd w:id="66"/>
      <w:r>
        <w:rPr>
          <w:rFonts w:hint="eastAsia" w:ascii="宋体" w:hAnsi="宋体" w:cs="宋体"/>
          <w:snapToGrid w:val="0"/>
          <w:spacing w:val="4"/>
          <w:kern w:val="0"/>
          <w:sz w:val="24"/>
          <w:szCs w:val="24"/>
          <w:highlight w:val="none"/>
        </w:rPr>
        <w:t>）</w:t>
      </w:r>
    </w:p>
    <w:p w14:paraId="29E8BFB9">
      <w:pPr>
        <w:topLinePunct/>
        <w:adjustRightInd w:val="0"/>
        <w:snapToGrid w:val="0"/>
        <w:spacing w:line="360" w:lineRule="auto"/>
        <w:ind w:firstLine="496" w:firstLineChars="200"/>
        <w:rPr>
          <w:rFonts w:ascii="宋体" w:hAnsi="宋体" w:cs="宋体"/>
          <w:snapToGrid w:val="0"/>
          <w:spacing w:val="4"/>
          <w:kern w:val="0"/>
          <w:sz w:val="24"/>
          <w:szCs w:val="24"/>
          <w:highlight w:val="none"/>
        </w:rPr>
      </w:pPr>
      <w:bookmarkStart w:id="67" w:name="_Toc484958701"/>
      <w:r>
        <w:rPr>
          <w:rFonts w:hint="eastAsia" w:ascii="宋体" w:hAnsi="宋体" w:cs="宋体"/>
          <w:snapToGrid w:val="0"/>
          <w:spacing w:val="4"/>
          <w:kern w:val="0"/>
          <w:sz w:val="24"/>
          <w:szCs w:val="24"/>
          <w:highlight w:val="none"/>
        </w:rPr>
        <w:t>法定代表人或授权代理人（签字或盖章）</w:t>
      </w:r>
      <w:bookmarkEnd w:id="67"/>
      <w:r>
        <w:rPr>
          <w:rFonts w:hint="eastAsia" w:ascii="宋体" w:hAnsi="宋体" w:cs="宋体"/>
          <w:snapToGrid w:val="0"/>
          <w:spacing w:val="4"/>
          <w:kern w:val="0"/>
          <w:sz w:val="24"/>
          <w:szCs w:val="24"/>
          <w:highlight w:val="none"/>
        </w:rPr>
        <w:t>：</w:t>
      </w:r>
    </w:p>
    <w:p w14:paraId="610FE03D">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 xml:space="preserve">日期：   年    月    日 </w:t>
      </w:r>
    </w:p>
    <w:p w14:paraId="391A81AA">
      <w:pPr>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br w:type="page"/>
      </w:r>
    </w:p>
    <w:p w14:paraId="48ED3A1D">
      <w:pPr>
        <w:widowControl/>
        <w:spacing w:line="360" w:lineRule="auto"/>
        <w:jc w:val="left"/>
        <w:outlineLvl w:val="2"/>
        <w:rPr>
          <w:rFonts w:ascii="宋体" w:hAnsi="宋体" w:cs="宋体"/>
          <w:bCs/>
          <w:kern w:val="0"/>
          <w:sz w:val="24"/>
          <w:szCs w:val="24"/>
          <w:highlight w:val="none"/>
        </w:rPr>
      </w:pPr>
      <w:bookmarkStart w:id="68" w:name="_Toc4489938"/>
      <w:bookmarkStart w:id="69" w:name="_Toc32419"/>
      <w:bookmarkStart w:id="70" w:name="_Toc26989"/>
      <w:bookmarkStart w:id="71" w:name="_Toc20655"/>
      <w:bookmarkStart w:id="72" w:name="_Toc504722506"/>
      <w:bookmarkStart w:id="73" w:name="_Toc14697650"/>
      <w:r>
        <w:rPr>
          <w:rFonts w:hint="eastAsia" w:ascii="宋体" w:hAnsi="宋体" w:cs="宋体"/>
          <w:bCs/>
          <w:kern w:val="0"/>
          <w:sz w:val="24"/>
          <w:szCs w:val="24"/>
          <w:highlight w:val="none"/>
        </w:rPr>
        <w:t>格式四</w:t>
      </w:r>
      <w:bookmarkEnd w:id="68"/>
      <w:bookmarkEnd w:id="69"/>
      <w:bookmarkEnd w:id="70"/>
      <w:bookmarkEnd w:id="71"/>
      <w:bookmarkEnd w:id="72"/>
      <w:bookmarkEnd w:id="73"/>
    </w:p>
    <w:p w14:paraId="4FDB3ED4">
      <w:pPr>
        <w:topLinePunct/>
        <w:adjustRightInd w:val="0"/>
        <w:snapToGrid w:val="0"/>
        <w:spacing w:line="360" w:lineRule="auto"/>
        <w:jc w:val="center"/>
        <w:rPr>
          <w:rFonts w:ascii="宋体" w:hAnsi="宋体" w:cs="宋体"/>
          <w:b/>
          <w:snapToGrid w:val="0"/>
          <w:spacing w:val="4"/>
          <w:kern w:val="0"/>
          <w:sz w:val="32"/>
          <w:szCs w:val="32"/>
          <w:highlight w:val="none"/>
        </w:rPr>
      </w:pPr>
      <w:r>
        <w:rPr>
          <w:rFonts w:hint="eastAsia" w:ascii="宋体" w:hAnsi="宋体" w:cs="宋体"/>
          <w:b/>
          <w:snapToGrid w:val="0"/>
          <w:spacing w:val="4"/>
          <w:kern w:val="0"/>
          <w:sz w:val="32"/>
          <w:szCs w:val="32"/>
          <w:highlight w:val="none"/>
        </w:rPr>
        <w:t>法定代表人证明书、授权委托书</w:t>
      </w:r>
    </w:p>
    <w:p w14:paraId="2906321E">
      <w:pPr>
        <w:topLinePunct/>
        <w:adjustRightInd w:val="0"/>
        <w:snapToGrid w:val="0"/>
        <w:spacing w:line="360" w:lineRule="auto"/>
        <w:rPr>
          <w:rFonts w:ascii="宋体" w:hAnsi="宋体" w:cs="宋体"/>
          <w:snapToGrid w:val="0"/>
          <w:spacing w:val="4"/>
          <w:sz w:val="24"/>
          <w:szCs w:val="24"/>
          <w:highlight w:val="none"/>
        </w:rPr>
      </w:pPr>
      <w:r>
        <w:rPr>
          <w:rFonts w:hint="eastAsia" w:ascii="宋体" w:hAnsi="宋体" w:cs="宋体"/>
          <w:snapToGrid w:val="0"/>
          <w:spacing w:val="4"/>
          <w:sz w:val="24"/>
          <w:szCs w:val="24"/>
          <w:highlight w:val="none"/>
        </w:rPr>
        <w:t>（1）法定代表人证明书</w:t>
      </w:r>
    </w:p>
    <w:p w14:paraId="6DBD8056">
      <w:pPr>
        <w:topLinePunct/>
        <w:adjustRightInd w:val="0"/>
        <w:snapToGrid w:val="0"/>
        <w:spacing w:line="360" w:lineRule="auto"/>
        <w:ind w:right="248"/>
        <w:jc w:val="right"/>
        <w:rPr>
          <w:rFonts w:ascii="宋体" w:hAnsi="宋体" w:cs="宋体"/>
          <w:snapToGrid w:val="0"/>
          <w:spacing w:val="4"/>
          <w:sz w:val="24"/>
          <w:szCs w:val="24"/>
          <w:highlight w:val="none"/>
        </w:rPr>
      </w:pPr>
      <w:r>
        <w:rPr>
          <w:rFonts w:hint="eastAsia" w:ascii="宋体" w:hAnsi="宋体" w:cs="宋体"/>
          <w:snapToGrid w:val="0"/>
          <w:spacing w:val="4"/>
          <w:sz w:val="24"/>
          <w:szCs w:val="24"/>
          <w:highlight w:val="none"/>
        </w:rPr>
        <w:t>（　 ）第　号</w:t>
      </w:r>
    </w:p>
    <w:p w14:paraId="19F16279">
      <w:pPr>
        <w:topLinePunct/>
        <w:adjustRightInd w:val="0"/>
        <w:snapToGrid w:val="0"/>
        <w:spacing w:line="360" w:lineRule="auto"/>
        <w:ind w:firstLine="420" w:firstLineChars="200"/>
        <w:rPr>
          <w:rFonts w:ascii="宋体" w:hAnsi="宋体" w:cs="宋体"/>
          <w:snapToGrid w:val="0"/>
          <w:spacing w:val="4"/>
          <w:sz w:val="24"/>
          <w:szCs w:val="24"/>
          <w:highlight w:val="none"/>
        </w:rPr>
      </w:pPr>
      <w:r>
        <w:rPr>
          <w:rFonts w:hint="eastAsia" w:ascii="宋体" w:hAnsi="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95250</wp:posOffset>
                </wp:positionV>
                <wp:extent cx="5791200" cy="2809875"/>
                <wp:effectExtent l="4445" t="4445" r="14605" b="508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5791200" cy="2809875"/>
                        </a:xfrm>
                        <a:prstGeom prst="rect">
                          <a:avLst/>
                        </a:prstGeom>
                        <a:solidFill>
                          <a:srgbClr val="FFFFFF"/>
                        </a:solidFill>
                        <a:ln w="9525">
                          <a:solidFill>
                            <a:srgbClr val="000000"/>
                          </a:solidFill>
                          <a:miter lim="800000"/>
                        </a:ln>
                        <a:effectLst/>
                      </wps:spPr>
                      <wps:txbx>
                        <w:txbxContent>
                          <w:p w14:paraId="7AFE1E18">
                            <w:pPr>
                              <w:pStyle w:val="117"/>
                              <w:spacing w:after="0"/>
                              <w:ind w:firstLine="0" w:firstLineChars="0"/>
                              <w:rPr>
                                <w:rFonts w:ascii="宋体" w:hAnsi="宋体" w:eastAsia="宋体" w:cs="宋体"/>
                              </w:rPr>
                            </w:pPr>
                          </w:p>
                          <w:p w14:paraId="01D577A8">
                            <w:pPr>
                              <w:pStyle w:val="117"/>
                              <w:spacing w:after="0"/>
                              <w:ind w:firstLine="0" w:firstLineChars="0"/>
                              <w:rPr>
                                <w:rFonts w:ascii="宋体" w:hAnsi="宋体" w:eastAsia="宋体" w:cs="宋体"/>
                              </w:rPr>
                            </w:pPr>
                            <w:r>
                              <w:rPr>
                                <w:rFonts w:hint="eastAsia" w:ascii="宋体" w:hAnsi="宋体" w:eastAsia="宋体" w:cs="宋体"/>
                              </w:rPr>
                              <w:t>　　</w:t>
                            </w:r>
                            <w:r>
                              <w:rPr>
                                <w:rFonts w:hint="eastAsia" w:ascii="宋体" w:hAnsi="宋体" w:eastAsia="宋体" w:cs="宋体"/>
                                <w:u w:val="single"/>
                              </w:rPr>
                              <w:t>　　　　　　</w:t>
                            </w:r>
                            <w:r>
                              <w:rPr>
                                <w:rFonts w:hint="eastAsia" w:ascii="宋体" w:hAnsi="宋体" w:eastAsia="宋体" w:cs="宋体"/>
                              </w:rPr>
                              <w:t>现任我单位</w:t>
                            </w:r>
                            <w:r>
                              <w:rPr>
                                <w:rFonts w:hint="eastAsia" w:ascii="宋体" w:hAnsi="宋体" w:eastAsia="宋体" w:cs="宋体"/>
                                <w:u w:val="single"/>
                              </w:rPr>
                              <w:t>　　　　　</w:t>
                            </w:r>
                            <w:r>
                              <w:rPr>
                                <w:rFonts w:hint="eastAsia" w:ascii="宋体" w:hAnsi="宋体" w:eastAsia="宋体" w:cs="宋体"/>
                              </w:rPr>
                              <w:t>职务，为法定代表人（负责人），</w:t>
                            </w:r>
                          </w:p>
                          <w:p w14:paraId="755C2219">
                            <w:pPr>
                              <w:pStyle w:val="117"/>
                              <w:spacing w:after="0"/>
                              <w:ind w:firstLine="0" w:firstLineChars="0"/>
                              <w:rPr>
                                <w:rFonts w:ascii="宋体" w:hAnsi="宋体" w:eastAsia="宋体" w:cs="宋体"/>
                              </w:rPr>
                            </w:pPr>
                            <w:r>
                              <w:rPr>
                                <w:rFonts w:hint="eastAsia" w:ascii="宋体" w:hAnsi="宋体" w:eastAsia="宋体" w:cs="宋体"/>
                              </w:rPr>
                              <w:t>特此证明。</w:t>
                            </w:r>
                          </w:p>
                          <w:p w14:paraId="6A951085">
                            <w:pPr>
                              <w:pStyle w:val="117"/>
                              <w:spacing w:after="0"/>
                              <w:ind w:firstLine="0" w:firstLineChars="0"/>
                              <w:rPr>
                                <w:rFonts w:ascii="宋体" w:hAnsi="宋体" w:eastAsia="宋体" w:cs="宋体"/>
                              </w:rPr>
                            </w:pPr>
                            <w:r>
                              <w:rPr>
                                <w:rFonts w:hint="eastAsia" w:ascii="宋体" w:hAnsi="宋体" w:eastAsia="宋体" w:cs="宋体"/>
                              </w:rPr>
                              <w:t>有效期限：</w:t>
                            </w:r>
                            <w:r>
                              <w:rPr>
                                <w:rFonts w:hint="eastAsia" w:ascii="宋体" w:hAnsi="宋体" w:eastAsia="宋体" w:cs="宋体"/>
                                <w:u w:val="single"/>
                              </w:rPr>
                              <w:t xml:space="preserve">                                  </w:t>
                            </w:r>
                          </w:p>
                          <w:p w14:paraId="73A79D66">
                            <w:pPr>
                              <w:pStyle w:val="117"/>
                              <w:spacing w:after="0"/>
                              <w:ind w:firstLine="0" w:firstLineChars="0"/>
                              <w:rPr>
                                <w:rFonts w:ascii="宋体" w:hAnsi="宋体" w:eastAsia="宋体" w:cs="宋体"/>
                              </w:rPr>
                            </w:pPr>
                            <w:r>
                              <w:rPr>
                                <w:rFonts w:hint="eastAsia" w:ascii="宋体" w:hAnsi="宋体" w:eastAsia="宋体" w:cs="宋体"/>
                              </w:rPr>
                              <w:t>附：法定代表人（负责人）性别：</w:t>
                            </w:r>
                            <w:r>
                              <w:rPr>
                                <w:rFonts w:hint="eastAsia" w:ascii="宋体" w:hAnsi="宋体" w:eastAsia="宋体" w:cs="宋体"/>
                                <w:u w:val="single"/>
                              </w:rPr>
                              <w:t>　　</w:t>
                            </w:r>
                            <w:r>
                              <w:rPr>
                                <w:rFonts w:hint="eastAsia" w:ascii="宋体" w:hAnsi="宋体" w:eastAsia="宋体" w:cs="宋体"/>
                              </w:rPr>
                              <w:t>年龄：</w:t>
                            </w:r>
                            <w:r>
                              <w:rPr>
                                <w:rFonts w:hint="eastAsia" w:ascii="宋体" w:hAnsi="宋体" w:eastAsia="宋体" w:cs="宋体"/>
                                <w:u w:val="single"/>
                              </w:rPr>
                              <w:t>　　</w:t>
                            </w:r>
                            <w:r>
                              <w:rPr>
                                <w:rFonts w:hint="eastAsia" w:ascii="宋体" w:hAnsi="宋体" w:eastAsia="宋体" w:cs="宋体"/>
                              </w:rPr>
                              <w:t>身份证号码：</w:t>
                            </w:r>
                            <w:r>
                              <w:rPr>
                                <w:rFonts w:hint="eastAsia" w:ascii="宋体" w:hAnsi="宋体" w:eastAsia="宋体" w:cs="宋体"/>
                                <w:u w:val="single"/>
                              </w:rPr>
                              <w:t xml:space="preserve">             </w:t>
                            </w:r>
                          </w:p>
                          <w:p w14:paraId="004E3F28">
                            <w:pPr>
                              <w:pStyle w:val="117"/>
                              <w:spacing w:after="0"/>
                              <w:ind w:firstLine="0" w:firstLineChars="0"/>
                              <w:rPr>
                                <w:rFonts w:ascii="宋体" w:hAnsi="宋体" w:eastAsia="宋体" w:cs="宋体"/>
                              </w:rPr>
                            </w:pPr>
                            <w:r>
                              <w:rPr>
                                <w:rFonts w:hint="eastAsia" w:ascii="宋体" w:hAnsi="宋体" w:eastAsia="宋体" w:cs="宋体"/>
                              </w:rPr>
                              <w:t>注册号码：</w:t>
                            </w:r>
                            <w:r>
                              <w:rPr>
                                <w:rFonts w:hint="eastAsia" w:ascii="宋体" w:hAnsi="宋体" w:eastAsia="宋体" w:cs="宋体"/>
                                <w:u w:val="single"/>
                              </w:rPr>
                              <w:t>　　　　　　　　　　</w:t>
                            </w:r>
                            <w:r>
                              <w:rPr>
                                <w:rFonts w:hint="eastAsia" w:ascii="宋体" w:hAnsi="宋体" w:eastAsia="宋体" w:cs="宋体"/>
                              </w:rPr>
                              <w:t>企业类型：</w:t>
                            </w:r>
                            <w:r>
                              <w:rPr>
                                <w:rFonts w:hint="eastAsia" w:ascii="宋体" w:hAnsi="宋体" w:eastAsia="宋体" w:cs="宋体"/>
                                <w:u w:val="single"/>
                              </w:rPr>
                              <w:t xml:space="preserve">                          </w:t>
                            </w:r>
                          </w:p>
                          <w:p w14:paraId="54D980A0">
                            <w:pPr>
                              <w:pStyle w:val="117"/>
                              <w:spacing w:after="0"/>
                              <w:ind w:firstLine="0" w:firstLineChars="0"/>
                              <w:rPr>
                                <w:rFonts w:ascii="宋体" w:hAnsi="宋体" w:eastAsia="宋体" w:cs="宋体"/>
                              </w:rPr>
                            </w:pPr>
                            <w:r>
                              <w:rPr>
                                <w:rFonts w:hint="eastAsia" w:ascii="宋体" w:hAnsi="宋体" w:eastAsia="宋体" w:cs="宋体"/>
                              </w:rPr>
                              <w:t>经营范围：</w:t>
                            </w:r>
                            <w:r>
                              <w:rPr>
                                <w:rFonts w:hint="eastAsia" w:ascii="宋体" w:hAnsi="宋体" w:eastAsia="宋体" w:cs="宋体"/>
                                <w:u w:val="single"/>
                              </w:rPr>
                              <w:t xml:space="preserve">                                       </w:t>
                            </w:r>
                          </w:p>
                          <w:p w14:paraId="37286294">
                            <w:pPr>
                              <w:pStyle w:val="117"/>
                              <w:spacing w:after="0"/>
                              <w:ind w:firstLine="0" w:firstLineChars="0"/>
                              <w:rPr>
                                <w:rFonts w:ascii="宋体" w:hAnsi="宋体" w:eastAsia="宋体" w:cs="宋体"/>
                              </w:rPr>
                            </w:pPr>
                            <w:r>
                              <w:rPr>
                                <w:rFonts w:hint="eastAsia" w:ascii="宋体" w:hAnsi="宋体" w:eastAsia="宋体" w:cs="宋体"/>
                              </w:rPr>
                              <w:t>　　　　　　　　　　单位：　　　　　　　　　　　（盖章）</w:t>
                            </w:r>
                          </w:p>
                          <w:p w14:paraId="235A9192">
                            <w:pPr>
                              <w:pStyle w:val="117"/>
                              <w:spacing w:after="0"/>
                              <w:ind w:firstLine="0" w:firstLineChars="0"/>
                              <w:rPr>
                                <w:rFonts w:ascii="宋体" w:hAnsi="宋体" w:eastAsia="宋体" w:cs="宋体"/>
                              </w:rPr>
                            </w:pPr>
                            <w:r>
                              <w:rPr>
                                <w:rFonts w:hint="eastAsia" w:ascii="宋体" w:hAnsi="宋体" w:eastAsia="宋体" w:cs="宋体"/>
                              </w:rPr>
                              <w:t>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7.5pt;height:221.25pt;width:456pt;z-index:251660288;mso-width-relative:page;mso-height-relative:page;" fillcolor="#FFFFFF" filled="t" stroked="t" coordsize="21600,21600" o:gfxdata="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fzp37WAAAACAEAAA8AAAAAAAAAAQAg&#10;AAAAIgAAAGRycy9kb3ducmV2LnhtbFBLAQIUABQAAAAIAIdO4kA/BvJSSQIAAJgEAAAOAAAAAAAA&#10;AAEAIAAAACUBAABkcnMvZTJvRG9jLnhtbFBLBQYAAAAABgAGAFkBAADgBQAAAAA=&#10;">
                <v:fill on="t" focussize="0,0"/>
                <v:stroke color="#000000" miterlimit="8" joinstyle="miter"/>
                <v:imagedata o:title=""/>
                <o:lock v:ext="edit" aspectratio="f"/>
                <v:textbox>
                  <w:txbxContent>
                    <w:p w14:paraId="7AFE1E18">
                      <w:pPr>
                        <w:pStyle w:val="117"/>
                        <w:spacing w:after="0"/>
                        <w:ind w:firstLine="0" w:firstLineChars="0"/>
                        <w:rPr>
                          <w:rFonts w:ascii="宋体" w:hAnsi="宋体" w:eastAsia="宋体" w:cs="宋体"/>
                        </w:rPr>
                      </w:pPr>
                    </w:p>
                    <w:p w14:paraId="01D577A8">
                      <w:pPr>
                        <w:pStyle w:val="117"/>
                        <w:spacing w:after="0"/>
                        <w:ind w:firstLine="0" w:firstLineChars="0"/>
                        <w:rPr>
                          <w:rFonts w:ascii="宋体" w:hAnsi="宋体" w:eastAsia="宋体" w:cs="宋体"/>
                        </w:rPr>
                      </w:pPr>
                      <w:r>
                        <w:rPr>
                          <w:rFonts w:hint="eastAsia" w:ascii="宋体" w:hAnsi="宋体" w:eastAsia="宋体" w:cs="宋体"/>
                        </w:rPr>
                        <w:t>　　</w:t>
                      </w:r>
                      <w:r>
                        <w:rPr>
                          <w:rFonts w:hint="eastAsia" w:ascii="宋体" w:hAnsi="宋体" w:eastAsia="宋体" w:cs="宋体"/>
                          <w:u w:val="single"/>
                        </w:rPr>
                        <w:t>　　　　　　</w:t>
                      </w:r>
                      <w:r>
                        <w:rPr>
                          <w:rFonts w:hint="eastAsia" w:ascii="宋体" w:hAnsi="宋体" w:eastAsia="宋体" w:cs="宋体"/>
                        </w:rPr>
                        <w:t>现任我单位</w:t>
                      </w:r>
                      <w:r>
                        <w:rPr>
                          <w:rFonts w:hint="eastAsia" w:ascii="宋体" w:hAnsi="宋体" w:eastAsia="宋体" w:cs="宋体"/>
                          <w:u w:val="single"/>
                        </w:rPr>
                        <w:t>　　　　　</w:t>
                      </w:r>
                      <w:r>
                        <w:rPr>
                          <w:rFonts w:hint="eastAsia" w:ascii="宋体" w:hAnsi="宋体" w:eastAsia="宋体" w:cs="宋体"/>
                        </w:rPr>
                        <w:t>职务，为法定代表人（负责人），</w:t>
                      </w:r>
                    </w:p>
                    <w:p w14:paraId="755C2219">
                      <w:pPr>
                        <w:pStyle w:val="117"/>
                        <w:spacing w:after="0"/>
                        <w:ind w:firstLine="0" w:firstLineChars="0"/>
                        <w:rPr>
                          <w:rFonts w:ascii="宋体" w:hAnsi="宋体" w:eastAsia="宋体" w:cs="宋体"/>
                        </w:rPr>
                      </w:pPr>
                      <w:r>
                        <w:rPr>
                          <w:rFonts w:hint="eastAsia" w:ascii="宋体" w:hAnsi="宋体" w:eastAsia="宋体" w:cs="宋体"/>
                        </w:rPr>
                        <w:t>特此证明。</w:t>
                      </w:r>
                    </w:p>
                    <w:p w14:paraId="6A951085">
                      <w:pPr>
                        <w:pStyle w:val="117"/>
                        <w:spacing w:after="0"/>
                        <w:ind w:firstLine="0" w:firstLineChars="0"/>
                        <w:rPr>
                          <w:rFonts w:ascii="宋体" w:hAnsi="宋体" w:eastAsia="宋体" w:cs="宋体"/>
                        </w:rPr>
                      </w:pPr>
                      <w:r>
                        <w:rPr>
                          <w:rFonts w:hint="eastAsia" w:ascii="宋体" w:hAnsi="宋体" w:eastAsia="宋体" w:cs="宋体"/>
                        </w:rPr>
                        <w:t>有效期限：</w:t>
                      </w:r>
                      <w:r>
                        <w:rPr>
                          <w:rFonts w:hint="eastAsia" w:ascii="宋体" w:hAnsi="宋体" w:eastAsia="宋体" w:cs="宋体"/>
                          <w:u w:val="single"/>
                        </w:rPr>
                        <w:t xml:space="preserve">                                  </w:t>
                      </w:r>
                    </w:p>
                    <w:p w14:paraId="73A79D66">
                      <w:pPr>
                        <w:pStyle w:val="117"/>
                        <w:spacing w:after="0"/>
                        <w:ind w:firstLine="0" w:firstLineChars="0"/>
                        <w:rPr>
                          <w:rFonts w:ascii="宋体" w:hAnsi="宋体" w:eastAsia="宋体" w:cs="宋体"/>
                        </w:rPr>
                      </w:pPr>
                      <w:r>
                        <w:rPr>
                          <w:rFonts w:hint="eastAsia" w:ascii="宋体" w:hAnsi="宋体" w:eastAsia="宋体" w:cs="宋体"/>
                        </w:rPr>
                        <w:t>附：法定代表人（负责人）性别：</w:t>
                      </w:r>
                      <w:r>
                        <w:rPr>
                          <w:rFonts w:hint="eastAsia" w:ascii="宋体" w:hAnsi="宋体" w:eastAsia="宋体" w:cs="宋体"/>
                          <w:u w:val="single"/>
                        </w:rPr>
                        <w:t>　　</w:t>
                      </w:r>
                      <w:r>
                        <w:rPr>
                          <w:rFonts w:hint="eastAsia" w:ascii="宋体" w:hAnsi="宋体" w:eastAsia="宋体" w:cs="宋体"/>
                        </w:rPr>
                        <w:t>年龄：</w:t>
                      </w:r>
                      <w:r>
                        <w:rPr>
                          <w:rFonts w:hint="eastAsia" w:ascii="宋体" w:hAnsi="宋体" w:eastAsia="宋体" w:cs="宋体"/>
                          <w:u w:val="single"/>
                        </w:rPr>
                        <w:t>　　</w:t>
                      </w:r>
                      <w:r>
                        <w:rPr>
                          <w:rFonts w:hint="eastAsia" w:ascii="宋体" w:hAnsi="宋体" w:eastAsia="宋体" w:cs="宋体"/>
                        </w:rPr>
                        <w:t>身份证号码：</w:t>
                      </w:r>
                      <w:r>
                        <w:rPr>
                          <w:rFonts w:hint="eastAsia" w:ascii="宋体" w:hAnsi="宋体" w:eastAsia="宋体" w:cs="宋体"/>
                          <w:u w:val="single"/>
                        </w:rPr>
                        <w:t xml:space="preserve">             </w:t>
                      </w:r>
                    </w:p>
                    <w:p w14:paraId="004E3F28">
                      <w:pPr>
                        <w:pStyle w:val="117"/>
                        <w:spacing w:after="0"/>
                        <w:ind w:firstLine="0" w:firstLineChars="0"/>
                        <w:rPr>
                          <w:rFonts w:ascii="宋体" w:hAnsi="宋体" w:eastAsia="宋体" w:cs="宋体"/>
                        </w:rPr>
                      </w:pPr>
                      <w:r>
                        <w:rPr>
                          <w:rFonts w:hint="eastAsia" w:ascii="宋体" w:hAnsi="宋体" w:eastAsia="宋体" w:cs="宋体"/>
                        </w:rPr>
                        <w:t>注册号码：</w:t>
                      </w:r>
                      <w:r>
                        <w:rPr>
                          <w:rFonts w:hint="eastAsia" w:ascii="宋体" w:hAnsi="宋体" w:eastAsia="宋体" w:cs="宋体"/>
                          <w:u w:val="single"/>
                        </w:rPr>
                        <w:t>　　　　　　　　　　</w:t>
                      </w:r>
                      <w:r>
                        <w:rPr>
                          <w:rFonts w:hint="eastAsia" w:ascii="宋体" w:hAnsi="宋体" w:eastAsia="宋体" w:cs="宋体"/>
                        </w:rPr>
                        <w:t>企业类型：</w:t>
                      </w:r>
                      <w:r>
                        <w:rPr>
                          <w:rFonts w:hint="eastAsia" w:ascii="宋体" w:hAnsi="宋体" w:eastAsia="宋体" w:cs="宋体"/>
                          <w:u w:val="single"/>
                        </w:rPr>
                        <w:t xml:space="preserve">                          </w:t>
                      </w:r>
                    </w:p>
                    <w:p w14:paraId="54D980A0">
                      <w:pPr>
                        <w:pStyle w:val="117"/>
                        <w:spacing w:after="0"/>
                        <w:ind w:firstLine="0" w:firstLineChars="0"/>
                        <w:rPr>
                          <w:rFonts w:ascii="宋体" w:hAnsi="宋体" w:eastAsia="宋体" w:cs="宋体"/>
                        </w:rPr>
                      </w:pPr>
                      <w:r>
                        <w:rPr>
                          <w:rFonts w:hint="eastAsia" w:ascii="宋体" w:hAnsi="宋体" w:eastAsia="宋体" w:cs="宋体"/>
                        </w:rPr>
                        <w:t>经营范围：</w:t>
                      </w:r>
                      <w:r>
                        <w:rPr>
                          <w:rFonts w:hint="eastAsia" w:ascii="宋体" w:hAnsi="宋体" w:eastAsia="宋体" w:cs="宋体"/>
                          <w:u w:val="single"/>
                        </w:rPr>
                        <w:t xml:space="preserve">                                       </w:t>
                      </w:r>
                    </w:p>
                    <w:p w14:paraId="37286294">
                      <w:pPr>
                        <w:pStyle w:val="117"/>
                        <w:spacing w:after="0"/>
                        <w:ind w:firstLine="0" w:firstLineChars="0"/>
                        <w:rPr>
                          <w:rFonts w:ascii="宋体" w:hAnsi="宋体" w:eastAsia="宋体" w:cs="宋体"/>
                        </w:rPr>
                      </w:pPr>
                      <w:r>
                        <w:rPr>
                          <w:rFonts w:hint="eastAsia" w:ascii="宋体" w:hAnsi="宋体" w:eastAsia="宋体" w:cs="宋体"/>
                        </w:rPr>
                        <w:t>　　　　　　　　　　单位：　　　　　　　　　　　（盖章）</w:t>
                      </w:r>
                    </w:p>
                    <w:p w14:paraId="235A9192">
                      <w:pPr>
                        <w:pStyle w:val="117"/>
                        <w:spacing w:after="0"/>
                        <w:ind w:firstLine="0" w:firstLineChars="0"/>
                        <w:rPr>
                          <w:rFonts w:ascii="宋体" w:hAnsi="宋体" w:eastAsia="宋体" w:cs="宋体"/>
                        </w:rPr>
                      </w:pPr>
                      <w:r>
                        <w:rPr>
                          <w:rFonts w:hint="eastAsia" w:ascii="宋体" w:hAnsi="宋体" w:eastAsia="宋体" w:cs="宋体"/>
                        </w:rPr>
                        <w:t>　　　　　　　　　　　　　　　　　　　　　    年　月　　日</w:t>
                      </w:r>
                    </w:p>
                  </w:txbxContent>
                </v:textbox>
              </v:shape>
            </w:pict>
          </mc:Fallback>
        </mc:AlternateContent>
      </w:r>
    </w:p>
    <w:p w14:paraId="5C5B7FEA">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3D472A8B">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6E37FDF8">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75170D60">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10690680">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282B2243">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19CE1BF0">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1312977D">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4B4A4CF5">
      <w:pPr>
        <w:topLinePunct/>
        <w:adjustRightInd w:val="0"/>
        <w:snapToGrid w:val="0"/>
        <w:spacing w:line="360" w:lineRule="auto"/>
        <w:rPr>
          <w:rFonts w:ascii="宋体" w:hAnsi="宋体" w:cs="宋体"/>
          <w:snapToGrid w:val="0"/>
          <w:spacing w:val="4"/>
          <w:sz w:val="24"/>
          <w:szCs w:val="24"/>
          <w:highlight w:val="none"/>
        </w:rPr>
      </w:pPr>
    </w:p>
    <w:p w14:paraId="7C7735D5">
      <w:pPr>
        <w:topLinePunct/>
        <w:adjustRightInd w:val="0"/>
        <w:snapToGrid w:val="0"/>
        <w:spacing w:line="360" w:lineRule="auto"/>
        <w:rPr>
          <w:rFonts w:ascii="宋体" w:hAnsi="宋体" w:cs="宋体"/>
          <w:snapToGrid w:val="0"/>
          <w:spacing w:val="4"/>
          <w:sz w:val="24"/>
          <w:szCs w:val="24"/>
          <w:highlight w:val="none"/>
        </w:rPr>
      </w:pPr>
    </w:p>
    <w:p w14:paraId="04591CA0">
      <w:pPr>
        <w:topLinePunct/>
        <w:adjustRightInd w:val="0"/>
        <w:snapToGrid w:val="0"/>
        <w:ind w:firstLine="496" w:firstLineChars="200"/>
        <w:rPr>
          <w:rFonts w:ascii="宋体" w:hAnsi="宋体" w:cs="宋体"/>
          <w:snapToGrid w:val="0"/>
          <w:spacing w:val="4"/>
          <w:sz w:val="24"/>
          <w:szCs w:val="24"/>
          <w:highlight w:val="none"/>
        </w:rPr>
      </w:pPr>
      <w:r>
        <w:rPr>
          <w:rFonts w:hint="eastAsia" w:ascii="宋体" w:hAnsi="宋体" w:cs="宋体"/>
          <w:snapToGrid w:val="0"/>
          <w:spacing w:val="4"/>
          <w:sz w:val="24"/>
          <w:szCs w:val="24"/>
          <w:highlight w:val="none"/>
        </w:rPr>
        <w:t>（2）法定代表人授权委托书</w:t>
      </w:r>
    </w:p>
    <w:p w14:paraId="69ABDD7F">
      <w:pPr>
        <w:topLinePunct/>
        <w:adjustRightInd w:val="0"/>
        <w:snapToGrid w:val="0"/>
        <w:ind w:firstLine="496" w:firstLineChars="200"/>
        <w:rPr>
          <w:rFonts w:ascii="宋体" w:hAnsi="宋体" w:cs="宋体"/>
          <w:snapToGrid w:val="0"/>
          <w:spacing w:val="4"/>
          <w:sz w:val="24"/>
          <w:szCs w:val="24"/>
          <w:highlight w:val="none"/>
        </w:rPr>
      </w:pPr>
      <w:r>
        <w:rPr>
          <w:rFonts w:hint="eastAsia" w:ascii="宋体" w:hAnsi="宋体" w:cs="宋体"/>
          <w:snapToGrid w:val="0"/>
          <w:spacing w:val="4"/>
          <w:sz w:val="24"/>
          <w:szCs w:val="24"/>
          <w:highlight w:val="none"/>
        </w:rPr>
        <w:t xml:space="preserve">                                                 （   ）第  号</w:t>
      </w:r>
    </w:p>
    <w:p w14:paraId="015D33E5">
      <w:pPr>
        <w:topLinePunct/>
        <w:adjustRightInd w:val="0"/>
        <w:snapToGrid w:val="0"/>
        <w:spacing w:line="360" w:lineRule="auto"/>
        <w:ind w:firstLine="420" w:firstLineChars="200"/>
        <w:rPr>
          <w:rFonts w:ascii="宋体" w:hAnsi="宋体" w:cs="宋体"/>
          <w:snapToGrid w:val="0"/>
          <w:spacing w:val="4"/>
          <w:sz w:val="24"/>
          <w:szCs w:val="24"/>
          <w:highlight w:val="none"/>
        </w:rPr>
      </w:pPr>
      <w:r>
        <w:rPr>
          <w:rFonts w:hint="eastAsia" w:ascii="宋体" w:hAnsi="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80645</wp:posOffset>
                </wp:positionV>
                <wp:extent cx="5791200" cy="2748915"/>
                <wp:effectExtent l="4445" t="4445" r="14605" b="889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5791200" cy="2748915"/>
                        </a:xfrm>
                        <a:prstGeom prst="rect">
                          <a:avLst/>
                        </a:prstGeom>
                        <a:solidFill>
                          <a:srgbClr val="FFFFFF"/>
                        </a:solidFill>
                        <a:ln w="9525">
                          <a:solidFill>
                            <a:srgbClr val="000000"/>
                          </a:solidFill>
                          <a:miter lim="800000"/>
                        </a:ln>
                        <a:effectLst/>
                      </wps:spPr>
                      <wps:txbx>
                        <w:txbxContent>
                          <w:p w14:paraId="6C1559F8">
                            <w:pPr>
                              <w:pStyle w:val="117"/>
                              <w:spacing w:after="0"/>
                              <w:ind w:firstLine="0" w:firstLineChars="0"/>
                              <w:rPr>
                                <w:rFonts w:ascii="宋体" w:hAnsi="宋体" w:eastAsia="宋体" w:cs="宋体"/>
                              </w:rPr>
                            </w:pPr>
                          </w:p>
                          <w:p w14:paraId="0A29703D">
                            <w:pPr>
                              <w:pStyle w:val="117"/>
                              <w:spacing w:after="0"/>
                              <w:ind w:firstLine="0" w:firstLineChars="0"/>
                              <w:rPr>
                                <w:rFonts w:ascii="宋体" w:hAnsi="宋体" w:eastAsia="宋体" w:cs="宋体"/>
                              </w:rPr>
                            </w:pPr>
                            <w:r>
                              <w:rPr>
                                <w:rFonts w:hint="eastAsia" w:ascii="宋体" w:hAnsi="宋体" w:eastAsia="宋体" w:cs="宋体"/>
                              </w:rPr>
                              <w:t>兹授权</w:t>
                            </w:r>
                            <w:r>
                              <w:rPr>
                                <w:rFonts w:hint="eastAsia" w:ascii="宋体" w:hAnsi="宋体" w:eastAsia="宋体" w:cs="宋体"/>
                                <w:u w:val="single"/>
                              </w:rPr>
                              <w:t xml:space="preserve">                </w:t>
                            </w:r>
                            <w:r>
                              <w:rPr>
                                <w:rFonts w:hint="eastAsia" w:ascii="宋体" w:hAnsi="宋体" w:eastAsia="宋体" w:cs="宋体"/>
                              </w:rPr>
                              <w:t>为我方委托代理人，其权限是：</w:t>
                            </w:r>
                            <w:r>
                              <w:rPr>
                                <w:rFonts w:hint="eastAsia" w:ascii="宋体" w:hAnsi="宋体" w:eastAsia="宋体" w:cs="宋体"/>
                                <w:u w:val="single"/>
                              </w:rPr>
                              <w:t xml:space="preserve">                </w:t>
                            </w:r>
                          </w:p>
                          <w:p w14:paraId="72C3926C">
                            <w:pPr>
                              <w:pStyle w:val="117"/>
                              <w:spacing w:after="0"/>
                              <w:ind w:firstLine="0" w:firstLineChars="0"/>
                              <w:rPr>
                                <w:rFonts w:ascii="宋体" w:hAnsi="宋体" w:eastAsia="宋体" w:cs="宋体"/>
                              </w:rPr>
                            </w:pPr>
                            <w:r>
                              <w:rPr>
                                <w:rFonts w:hint="eastAsia" w:ascii="宋体" w:hAnsi="宋体" w:eastAsia="宋体" w:cs="宋体"/>
                              </w:rPr>
                              <w:t>有效期限：</w:t>
                            </w:r>
                            <w:r>
                              <w:rPr>
                                <w:rFonts w:hint="eastAsia" w:ascii="宋体" w:hAnsi="宋体" w:eastAsia="宋体" w:cs="宋体"/>
                                <w:u w:val="single"/>
                              </w:rPr>
                              <w:t xml:space="preserve">                                                        </w:t>
                            </w:r>
                          </w:p>
                          <w:p w14:paraId="53D53743">
                            <w:pPr>
                              <w:pStyle w:val="117"/>
                              <w:spacing w:after="0"/>
                              <w:ind w:firstLine="0" w:firstLineChars="0"/>
                              <w:rPr>
                                <w:rFonts w:ascii="宋体" w:hAnsi="宋体" w:eastAsia="宋体" w:cs="宋体"/>
                              </w:rPr>
                            </w:pPr>
                            <w:r>
                              <w:rPr>
                                <w:rFonts w:hint="eastAsia" w:ascii="宋体" w:hAnsi="宋体" w:eastAsia="宋体" w:cs="宋体"/>
                              </w:rPr>
                              <w:t>附：代理人性别：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身份证号码：</w:t>
                            </w:r>
                            <w:r>
                              <w:rPr>
                                <w:rFonts w:hint="eastAsia" w:ascii="宋体" w:hAnsi="宋体" w:eastAsia="宋体" w:cs="宋体"/>
                                <w:u w:val="single"/>
                              </w:rPr>
                              <w:t xml:space="preserve">                       </w:t>
                            </w:r>
                          </w:p>
                          <w:p w14:paraId="35B5F343">
                            <w:pPr>
                              <w:pStyle w:val="117"/>
                              <w:spacing w:after="0"/>
                              <w:ind w:firstLine="0" w:firstLineChars="0"/>
                              <w:rPr>
                                <w:rFonts w:ascii="宋体" w:hAnsi="宋体" w:eastAsia="宋体" w:cs="宋体"/>
                              </w:rPr>
                            </w:pPr>
                            <w:r>
                              <w:rPr>
                                <w:rFonts w:hint="eastAsia" w:ascii="宋体" w:hAnsi="宋体" w:eastAsia="宋体" w:cs="宋体"/>
                              </w:rPr>
                              <w:t>注册号码：</w:t>
                            </w:r>
                            <w:r>
                              <w:rPr>
                                <w:rFonts w:hint="eastAsia" w:ascii="宋体" w:hAnsi="宋体" w:eastAsia="宋体" w:cs="宋体"/>
                                <w:u w:val="single"/>
                              </w:rPr>
                              <w:t xml:space="preserve">                  </w:t>
                            </w:r>
                            <w:r>
                              <w:rPr>
                                <w:rFonts w:hint="eastAsia" w:ascii="宋体" w:hAnsi="宋体" w:eastAsia="宋体" w:cs="宋体"/>
                              </w:rPr>
                              <w:t>企业类型：</w:t>
                            </w:r>
                            <w:r>
                              <w:rPr>
                                <w:rFonts w:hint="eastAsia" w:ascii="宋体" w:hAnsi="宋体" w:eastAsia="宋体" w:cs="宋体"/>
                                <w:u w:val="single"/>
                              </w:rPr>
                              <w:t xml:space="preserve">                            </w:t>
                            </w:r>
                          </w:p>
                          <w:p w14:paraId="204216BA">
                            <w:pPr>
                              <w:pStyle w:val="117"/>
                              <w:spacing w:after="0"/>
                              <w:ind w:firstLine="0" w:firstLineChars="0"/>
                              <w:rPr>
                                <w:rFonts w:ascii="宋体" w:hAnsi="宋体" w:eastAsia="宋体" w:cs="宋体"/>
                              </w:rPr>
                            </w:pPr>
                            <w:r>
                              <w:rPr>
                                <w:rFonts w:hint="eastAsia" w:ascii="宋体" w:hAnsi="宋体" w:eastAsia="宋体" w:cs="宋体"/>
                              </w:rPr>
                              <w:t>经营范围：</w:t>
                            </w:r>
                            <w:r>
                              <w:rPr>
                                <w:rFonts w:hint="eastAsia" w:ascii="宋体" w:hAnsi="宋体" w:eastAsia="宋体" w:cs="宋体"/>
                                <w:u w:val="single"/>
                              </w:rPr>
                              <w:t xml:space="preserve">                                                        </w:t>
                            </w:r>
                          </w:p>
                          <w:p w14:paraId="226E98B1">
                            <w:pPr>
                              <w:pStyle w:val="117"/>
                              <w:spacing w:after="0"/>
                              <w:ind w:firstLine="0" w:firstLineChars="0"/>
                              <w:rPr>
                                <w:rFonts w:ascii="宋体" w:hAnsi="宋体" w:eastAsia="宋体" w:cs="宋体"/>
                              </w:rPr>
                            </w:pPr>
                            <w:r>
                              <w:rPr>
                                <w:rFonts w:hint="eastAsia" w:ascii="宋体" w:hAnsi="宋体" w:eastAsia="宋体" w:cs="宋体"/>
                              </w:rPr>
                              <w:t>法定代表人（负责人）：</w:t>
                            </w:r>
                            <w:r>
                              <w:rPr>
                                <w:rFonts w:hint="eastAsia" w:ascii="宋体" w:hAnsi="宋体" w:eastAsia="宋体" w:cs="宋体"/>
                                <w:u w:val="single"/>
                              </w:rPr>
                              <w:t xml:space="preserve">                 </w:t>
                            </w:r>
                            <w:r>
                              <w:rPr>
                                <w:rFonts w:hint="eastAsia" w:ascii="宋体" w:hAnsi="宋体" w:eastAsia="宋体" w:cs="宋体"/>
                              </w:rPr>
                              <w:t>（签字或盖章）</w:t>
                            </w:r>
                          </w:p>
                          <w:p w14:paraId="07E47DD8">
                            <w:pPr>
                              <w:pStyle w:val="117"/>
                              <w:spacing w:after="0"/>
                              <w:ind w:firstLine="0" w:firstLineChars="0"/>
                              <w:rPr>
                                <w:rFonts w:ascii="宋体" w:hAnsi="宋体" w:eastAsia="宋体" w:cs="宋体"/>
                              </w:rPr>
                            </w:pPr>
                            <w:r>
                              <w:rPr>
                                <w:rFonts w:hint="eastAsia" w:ascii="宋体" w:hAnsi="宋体" w:eastAsia="宋体" w:cs="宋体"/>
                              </w:rPr>
                              <w:t>授权单位：（盖章）</w:t>
                            </w:r>
                            <w:r>
                              <w:rPr>
                                <w:rFonts w:hint="eastAsia" w:ascii="宋体" w:hAnsi="宋体" w:eastAsia="宋体" w:cs="宋体"/>
                                <w:u w:val="single"/>
                              </w:rPr>
                              <w:t xml:space="preserve">                      </w:t>
                            </w:r>
                          </w:p>
                          <w:p w14:paraId="63BC7C24">
                            <w:pPr>
                              <w:pStyle w:val="117"/>
                              <w:spacing w:after="0"/>
                              <w:ind w:firstLine="0" w:firstLineChars="0"/>
                              <w:rPr>
                                <w:rFonts w:ascii="宋体" w:hAnsi="宋体" w:eastAsia="宋体" w:cs="宋体"/>
                              </w:rPr>
                            </w:pPr>
                            <w:r>
                              <w:rPr>
                                <w:rFonts w:hint="eastAsia" w:ascii="宋体" w:hAnsi="宋体" w:eastAsia="宋体" w:cs="宋体"/>
                              </w:rPr>
                              <w:t>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6.35pt;height:216.45pt;width:456pt;z-index:251662336;mso-width-relative:page;mso-height-relative:page;" fillcolor="#FFFFFF" filled="t" stroked="t" coordsize="21600,21600" o:gfxdata="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FI+q1wAAAAgBAAAPAAAAAAAAAAEA&#10;IAAAACIAAABkcnMvZG93bnJldi54bWxQSwECFAAUAAAACACHTuJAnvaryUkCAACYBAAADgAAAAAA&#10;AAABACAAAAAmAQAAZHJzL2Uyb0RvYy54bWxQSwUGAAAAAAYABgBZAQAA4QUAAAAA&#10;">
                <v:fill on="t" focussize="0,0"/>
                <v:stroke color="#000000" miterlimit="8" joinstyle="miter"/>
                <v:imagedata o:title=""/>
                <o:lock v:ext="edit" aspectratio="f"/>
                <v:textbox>
                  <w:txbxContent>
                    <w:p w14:paraId="6C1559F8">
                      <w:pPr>
                        <w:pStyle w:val="117"/>
                        <w:spacing w:after="0"/>
                        <w:ind w:firstLine="0" w:firstLineChars="0"/>
                        <w:rPr>
                          <w:rFonts w:ascii="宋体" w:hAnsi="宋体" w:eastAsia="宋体" w:cs="宋体"/>
                        </w:rPr>
                      </w:pPr>
                    </w:p>
                    <w:p w14:paraId="0A29703D">
                      <w:pPr>
                        <w:pStyle w:val="117"/>
                        <w:spacing w:after="0"/>
                        <w:ind w:firstLine="0" w:firstLineChars="0"/>
                        <w:rPr>
                          <w:rFonts w:ascii="宋体" w:hAnsi="宋体" w:eastAsia="宋体" w:cs="宋体"/>
                        </w:rPr>
                      </w:pPr>
                      <w:r>
                        <w:rPr>
                          <w:rFonts w:hint="eastAsia" w:ascii="宋体" w:hAnsi="宋体" w:eastAsia="宋体" w:cs="宋体"/>
                        </w:rPr>
                        <w:t>兹授权</w:t>
                      </w:r>
                      <w:r>
                        <w:rPr>
                          <w:rFonts w:hint="eastAsia" w:ascii="宋体" w:hAnsi="宋体" w:eastAsia="宋体" w:cs="宋体"/>
                          <w:u w:val="single"/>
                        </w:rPr>
                        <w:t xml:space="preserve">                </w:t>
                      </w:r>
                      <w:r>
                        <w:rPr>
                          <w:rFonts w:hint="eastAsia" w:ascii="宋体" w:hAnsi="宋体" w:eastAsia="宋体" w:cs="宋体"/>
                        </w:rPr>
                        <w:t>为我方委托代理人，其权限是：</w:t>
                      </w:r>
                      <w:r>
                        <w:rPr>
                          <w:rFonts w:hint="eastAsia" w:ascii="宋体" w:hAnsi="宋体" w:eastAsia="宋体" w:cs="宋体"/>
                          <w:u w:val="single"/>
                        </w:rPr>
                        <w:t xml:space="preserve">                </w:t>
                      </w:r>
                    </w:p>
                    <w:p w14:paraId="72C3926C">
                      <w:pPr>
                        <w:pStyle w:val="117"/>
                        <w:spacing w:after="0"/>
                        <w:ind w:firstLine="0" w:firstLineChars="0"/>
                        <w:rPr>
                          <w:rFonts w:ascii="宋体" w:hAnsi="宋体" w:eastAsia="宋体" w:cs="宋体"/>
                        </w:rPr>
                      </w:pPr>
                      <w:r>
                        <w:rPr>
                          <w:rFonts w:hint="eastAsia" w:ascii="宋体" w:hAnsi="宋体" w:eastAsia="宋体" w:cs="宋体"/>
                        </w:rPr>
                        <w:t>有效期限：</w:t>
                      </w:r>
                      <w:r>
                        <w:rPr>
                          <w:rFonts w:hint="eastAsia" w:ascii="宋体" w:hAnsi="宋体" w:eastAsia="宋体" w:cs="宋体"/>
                          <w:u w:val="single"/>
                        </w:rPr>
                        <w:t xml:space="preserve">                                                        </w:t>
                      </w:r>
                    </w:p>
                    <w:p w14:paraId="53D53743">
                      <w:pPr>
                        <w:pStyle w:val="117"/>
                        <w:spacing w:after="0"/>
                        <w:ind w:firstLine="0" w:firstLineChars="0"/>
                        <w:rPr>
                          <w:rFonts w:ascii="宋体" w:hAnsi="宋体" w:eastAsia="宋体" w:cs="宋体"/>
                        </w:rPr>
                      </w:pPr>
                      <w:r>
                        <w:rPr>
                          <w:rFonts w:hint="eastAsia" w:ascii="宋体" w:hAnsi="宋体" w:eastAsia="宋体" w:cs="宋体"/>
                        </w:rPr>
                        <w:t>附：代理人性别：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身份证号码：</w:t>
                      </w:r>
                      <w:r>
                        <w:rPr>
                          <w:rFonts w:hint="eastAsia" w:ascii="宋体" w:hAnsi="宋体" w:eastAsia="宋体" w:cs="宋体"/>
                          <w:u w:val="single"/>
                        </w:rPr>
                        <w:t xml:space="preserve">                       </w:t>
                      </w:r>
                    </w:p>
                    <w:p w14:paraId="35B5F343">
                      <w:pPr>
                        <w:pStyle w:val="117"/>
                        <w:spacing w:after="0"/>
                        <w:ind w:firstLine="0" w:firstLineChars="0"/>
                        <w:rPr>
                          <w:rFonts w:ascii="宋体" w:hAnsi="宋体" w:eastAsia="宋体" w:cs="宋体"/>
                        </w:rPr>
                      </w:pPr>
                      <w:r>
                        <w:rPr>
                          <w:rFonts w:hint="eastAsia" w:ascii="宋体" w:hAnsi="宋体" w:eastAsia="宋体" w:cs="宋体"/>
                        </w:rPr>
                        <w:t>注册号码：</w:t>
                      </w:r>
                      <w:r>
                        <w:rPr>
                          <w:rFonts w:hint="eastAsia" w:ascii="宋体" w:hAnsi="宋体" w:eastAsia="宋体" w:cs="宋体"/>
                          <w:u w:val="single"/>
                        </w:rPr>
                        <w:t xml:space="preserve">                  </w:t>
                      </w:r>
                      <w:r>
                        <w:rPr>
                          <w:rFonts w:hint="eastAsia" w:ascii="宋体" w:hAnsi="宋体" w:eastAsia="宋体" w:cs="宋体"/>
                        </w:rPr>
                        <w:t>企业类型：</w:t>
                      </w:r>
                      <w:r>
                        <w:rPr>
                          <w:rFonts w:hint="eastAsia" w:ascii="宋体" w:hAnsi="宋体" w:eastAsia="宋体" w:cs="宋体"/>
                          <w:u w:val="single"/>
                        </w:rPr>
                        <w:t xml:space="preserve">                            </w:t>
                      </w:r>
                    </w:p>
                    <w:p w14:paraId="204216BA">
                      <w:pPr>
                        <w:pStyle w:val="117"/>
                        <w:spacing w:after="0"/>
                        <w:ind w:firstLine="0" w:firstLineChars="0"/>
                        <w:rPr>
                          <w:rFonts w:ascii="宋体" w:hAnsi="宋体" w:eastAsia="宋体" w:cs="宋体"/>
                        </w:rPr>
                      </w:pPr>
                      <w:r>
                        <w:rPr>
                          <w:rFonts w:hint="eastAsia" w:ascii="宋体" w:hAnsi="宋体" w:eastAsia="宋体" w:cs="宋体"/>
                        </w:rPr>
                        <w:t>经营范围：</w:t>
                      </w:r>
                      <w:r>
                        <w:rPr>
                          <w:rFonts w:hint="eastAsia" w:ascii="宋体" w:hAnsi="宋体" w:eastAsia="宋体" w:cs="宋体"/>
                          <w:u w:val="single"/>
                        </w:rPr>
                        <w:t xml:space="preserve">                                                        </w:t>
                      </w:r>
                    </w:p>
                    <w:p w14:paraId="226E98B1">
                      <w:pPr>
                        <w:pStyle w:val="117"/>
                        <w:spacing w:after="0"/>
                        <w:ind w:firstLine="0" w:firstLineChars="0"/>
                        <w:rPr>
                          <w:rFonts w:ascii="宋体" w:hAnsi="宋体" w:eastAsia="宋体" w:cs="宋体"/>
                        </w:rPr>
                      </w:pPr>
                      <w:r>
                        <w:rPr>
                          <w:rFonts w:hint="eastAsia" w:ascii="宋体" w:hAnsi="宋体" w:eastAsia="宋体" w:cs="宋体"/>
                        </w:rPr>
                        <w:t>法定代表人（负责人）：</w:t>
                      </w:r>
                      <w:r>
                        <w:rPr>
                          <w:rFonts w:hint="eastAsia" w:ascii="宋体" w:hAnsi="宋体" w:eastAsia="宋体" w:cs="宋体"/>
                          <w:u w:val="single"/>
                        </w:rPr>
                        <w:t xml:space="preserve">                 </w:t>
                      </w:r>
                      <w:r>
                        <w:rPr>
                          <w:rFonts w:hint="eastAsia" w:ascii="宋体" w:hAnsi="宋体" w:eastAsia="宋体" w:cs="宋体"/>
                        </w:rPr>
                        <w:t>（签字或盖章）</w:t>
                      </w:r>
                    </w:p>
                    <w:p w14:paraId="07E47DD8">
                      <w:pPr>
                        <w:pStyle w:val="117"/>
                        <w:spacing w:after="0"/>
                        <w:ind w:firstLine="0" w:firstLineChars="0"/>
                        <w:rPr>
                          <w:rFonts w:ascii="宋体" w:hAnsi="宋体" w:eastAsia="宋体" w:cs="宋体"/>
                        </w:rPr>
                      </w:pPr>
                      <w:r>
                        <w:rPr>
                          <w:rFonts w:hint="eastAsia" w:ascii="宋体" w:hAnsi="宋体" w:eastAsia="宋体" w:cs="宋体"/>
                        </w:rPr>
                        <w:t>授权单位：（盖章）</w:t>
                      </w:r>
                      <w:r>
                        <w:rPr>
                          <w:rFonts w:hint="eastAsia" w:ascii="宋体" w:hAnsi="宋体" w:eastAsia="宋体" w:cs="宋体"/>
                          <w:u w:val="single"/>
                        </w:rPr>
                        <w:t xml:space="preserve">                      </w:t>
                      </w:r>
                    </w:p>
                    <w:p w14:paraId="63BC7C24">
                      <w:pPr>
                        <w:pStyle w:val="117"/>
                        <w:spacing w:after="0"/>
                        <w:ind w:firstLine="0" w:firstLineChars="0"/>
                        <w:rPr>
                          <w:rFonts w:ascii="宋体" w:hAnsi="宋体" w:eastAsia="宋体" w:cs="宋体"/>
                        </w:rPr>
                      </w:pPr>
                      <w:r>
                        <w:rPr>
                          <w:rFonts w:hint="eastAsia" w:ascii="宋体" w:hAnsi="宋体" w:eastAsia="宋体" w:cs="宋体"/>
                        </w:rPr>
                        <w:t>年  月   日</w:t>
                      </w:r>
                    </w:p>
                  </w:txbxContent>
                </v:textbox>
              </v:shape>
            </w:pict>
          </mc:Fallback>
        </mc:AlternateContent>
      </w:r>
    </w:p>
    <w:p w14:paraId="6F9C9B1A">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65F71627">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5319B626">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1C6DC3CC">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39FD237B">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3F46EC44">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1EE2CA97">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7D82CD2E">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1E06651C">
      <w:pPr>
        <w:topLinePunct/>
        <w:adjustRightInd w:val="0"/>
        <w:snapToGrid w:val="0"/>
        <w:spacing w:line="360" w:lineRule="auto"/>
        <w:ind w:firstLine="496" w:firstLineChars="200"/>
        <w:rPr>
          <w:rFonts w:ascii="宋体" w:hAnsi="宋体" w:cs="宋体"/>
          <w:snapToGrid w:val="0"/>
          <w:spacing w:val="4"/>
          <w:sz w:val="24"/>
          <w:szCs w:val="24"/>
          <w:highlight w:val="none"/>
        </w:rPr>
      </w:pPr>
    </w:p>
    <w:p w14:paraId="76619F56">
      <w:pPr>
        <w:topLinePunct/>
        <w:adjustRightInd w:val="0"/>
        <w:snapToGrid w:val="0"/>
        <w:ind w:firstLine="496" w:firstLineChars="200"/>
        <w:jc w:val="left"/>
        <w:rPr>
          <w:rFonts w:ascii="宋体" w:hAnsi="宋体" w:cs="宋体"/>
          <w:snapToGrid w:val="0"/>
          <w:spacing w:val="4"/>
          <w:kern w:val="0"/>
          <w:sz w:val="24"/>
          <w:szCs w:val="24"/>
          <w:highlight w:val="none"/>
        </w:rPr>
      </w:pPr>
      <w:bookmarkStart w:id="74" w:name="_Toc3736"/>
      <w:bookmarkStart w:id="75" w:name="_Toc4486079"/>
      <w:bookmarkStart w:id="76" w:name="_Toc14697660"/>
      <w:bookmarkStart w:id="77" w:name="_Toc4340136"/>
      <w:bookmarkStart w:id="78" w:name="_Toc4489947"/>
      <w:bookmarkStart w:id="79" w:name="_Toc4339798"/>
      <w:r>
        <w:rPr>
          <w:rFonts w:hint="eastAsia" w:ascii="宋体" w:hAnsi="宋体" w:cs="宋体"/>
          <w:snapToGrid w:val="0"/>
          <w:spacing w:val="4"/>
          <w:kern w:val="0"/>
          <w:sz w:val="24"/>
          <w:szCs w:val="24"/>
          <w:highlight w:val="none"/>
        </w:rPr>
        <w:t>注：按提供的格式或使用从工商管理部门购买的格式填写。</w:t>
      </w:r>
      <w:bookmarkEnd w:id="74"/>
      <w:bookmarkEnd w:id="75"/>
      <w:bookmarkEnd w:id="76"/>
      <w:bookmarkEnd w:id="77"/>
      <w:bookmarkEnd w:id="78"/>
      <w:bookmarkEnd w:id="79"/>
    </w:p>
    <w:p w14:paraId="1A2AA0FA">
      <w:pPr>
        <w:widowControl/>
        <w:spacing w:line="360" w:lineRule="auto"/>
        <w:jc w:val="left"/>
        <w:outlineLvl w:val="2"/>
        <w:rPr>
          <w:rFonts w:ascii="宋体" w:hAnsi="宋体" w:cs="宋体"/>
          <w:bCs/>
          <w:kern w:val="0"/>
          <w:sz w:val="24"/>
          <w:szCs w:val="24"/>
          <w:highlight w:val="none"/>
        </w:rPr>
      </w:pPr>
      <w:bookmarkStart w:id="80" w:name="_Toc504722514"/>
      <w:bookmarkStart w:id="81" w:name="_Toc29321"/>
      <w:r>
        <w:rPr>
          <w:rFonts w:hint="eastAsia" w:ascii="宋体" w:hAnsi="宋体" w:cs="宋体"/>
          <w:bCs/>
          <w:kern w:val="0"/>
          <w:sz w:val="24"/>
          <w:szCs w:val="24"/>
          <w:highlight w:val="none"/>
        </w:rPr>
        <w:br w:type="page"/>
      </w:r>
      <w:bookmarkEnd w:id="80"/>
      <w:bookmarkEnd w:id="81"/>
      <w:bookmarkStart w:id="82" w:name="_Toc11251"/>
      <w:bookmarkStart w:id="83" w:name="_Toc14697662"/>
      <w:bookmarkStart w:id="84" w:name="_Toc4818"/>
      <w:r>
        <w:rPr>
          <w:rFonts w:hint="eastAsia" w:ascii="宋体" w:hAnsi="宋体" w:cs="宋体"/>
          <w:bCs/>
          <w:kern w:val="0"/>
          <w:sz w:val="24"/>
          <w:szCs w:val="24"/>
          <w:highlight w:val="none"/>
        </w:rPr>
        <w:t>格式五</w:t>
      </w:r>
      <w:bookmarkEnd w:id="82"/>
      <w:bookmarkEnd w:id="83"/>
      <w:bookmarkEnd w:id="84"/>
    </w:p>
    <w:p w14:paraId="706E5EAD">
      <w:pPr>
        <w:topLinePunct/>
        <w:adjustRightInd w:val="0"/>
        <w:snapToGrid w:val="0"/>
        <w:spacing w:line="360" w:lineRule="auto"/>
        <w:jc w:val="center"/>
        <w:rPr>
          <w:rFonts w:ascii="宋体" w:hAnsi="宋体" w:cs="宋体"/>
          <w:b/>
          <w:snapToGrid w:val="0"/>
          <w:spacing w:val="4"/>
          <w:kern w:val="0"/>
          <w:sz w:val="32"/>
          <w:szCs w:val="32"/>
          <w:highlight w:val="none"/>
        </w:rPr>
      </w:pPr>
      <w:r>
        <w:rPr>
          <w:rFonts w:hint="eastAsia" w:ascii="宋体" w:hAnsi="宋体" w:cs="宋体"/>
          <w:b/>
          <w:snapToGrid w:val="0"/>
          <w:spacing w:val="4"/>
          <w:kern w:val="0"/>
          <w:sz w:val="32"/>
          <w:szCs w:val="32"/>
          <w:highlight w:val="none"/>
        </w:rPr>
        <w:t>投入主要人员汇总表</w:t>
      </w:r>
    </w:p>
    <w:p w14:paraId="5532F41B">
      <w:pPr>
        <w:pStyle w:val="18"/>
        <w:spacing w:line="360" w:lineRule="auto"/>
        <w:rPr>
          <w:rFonts w:hint="default" w:hAnsi="宋体" w:cs="宋体"/>
          <w:sz w:val="24"/>
          <w:szCs w:val="24"/>
          <w:highlight w:val="none"/>
        </w:rPr>
      </w:pPr>
    </w:p>
    <w:tbl>
      <w:tblPr>
        <w:tblStyle w:val="36"/>
        <w:tblpPr w:leftFromText="180" w:rightFromText="180" w:vertAnchor="text" w:horzAnchor="margin" w:tblpX="-200" w:tblpY="44"/>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709"/>
        <w:gridCol w:w="597"/>
        <w:gridCol w:w="778"/>
        <w:gridCol w:w="1088"/>
        <w:gridCol w:w="1240"/>
        <w:gridCol w:w="826"/>
        <w:gridCol w:w="1647"/>
        <w:gridCol w:w="1019"/>
        <w:gridCol w:w="867"/>
      </w:tblGrid>
      <w:tr w14:paraId="22A3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45" w:type="pct"/>
            <w:vAlign w:val="center"/>
          </w:tcPr>
          <w:p w14:paraId="1ECB80F5">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序号</w:t>
            </w:r>
          </w:p>
        </w:tc>
        <w:tc>
          <w:tcPr>
            <w:tcW w:w="360" w:type="pct"/>
            <w:vAlign w:val="center"/>
          </w:tcPr>
          <w:p w14:paraId="001F05FC">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姓名</w:t>
            </w:r>
          </w:p>
        </w:tc>
        <w:tc>
          <w:tcPr>
            <w:tcW w:w="303" w:type="pct"/>
            <w:vAlign w:val="center"/>
          </w:tcPr>
          <w:p w14:paraId="413532E5">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年龄</w:t>
            </w:r>
          </w:p>
        </w:tc>
        <w:tc>
          <w:tcPr>
            <w:tcW w:w="395" w:type="pct"/>
            <w:vAlign w:val="center"/>
          </w:tcPr>
          <w:p w14:paraId="30EE4453">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工作年限</w:t>
            </w:r>
          </w:p>
        </w:tc>
        <w:tc>
          <w:tcPr>
            <w:tcW w:w="552" w:type="pct"/>
            <w:vAlign w:val="center"/>
          </w:tcPr>
          <w:p w14:paraId="3FBFF0CE">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所学专业</w:t>
            </w:r>
          </w:p>
        </w:tc>
        <w:tc>
          <w:tcPr>
            <w:tcW w:w="629" w:type="pct"/>
            <w:vAlign w:val="center"/>
          </w:tcPr>
          <w:p w14:paraId="4185E1B5">
            <w:pPr>
              <w:spacing w:line="360" w:lineRule="auto"/>
              <w:jc w:val="center"/>
              <w:rPr>
                <w:rFonts w:ascii="宋体" w:hAnsi="宋体" w:cs="宋体"/>
                <w:b/>
                <w:sz w:val="24"/>
                <w:szCs w:val="24"/>
                <w:highlight w:val="none"/>
              </w:rPr>
            </w:pPr>
            <w:r>
              <w:rPr>
                <w:rFonts w:hint="eastAsia" w:ascii="宋体" w:hAnsi="宋体" w:cs="宋体"/>
                <w:b/>
                <w:sz w:val="24"/>
                <w:szCs w:val="24"/>
                <w:highlight w:val="none"/>
              </w:rPr>
              <w:t>职称、资格证书</w:t>
            </w:r>
          </w:p>
        </w:tc>
        <w:tc>
          <w:tcPr>
            <w:tcW w:w="419" w:type="pct"/>
            <w:vAlign w:val="center"/>
          </w:tcPr>
          <w:p w14:paraId="4830B28C">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原任职务</w:t>
            </w:r>
          </w:p>
        </w:tc>
        <w:tc>
          <w:tcPr>
            <w:tcW w:w="836" w:type="pct"/>
            <w:vAlign w:val="center"/>
          </w:tcPr>
          <w:p w14:paraId="0F3E7DE1">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在本项目任职</w:t>
            </w:r>
          </w:p>
        </w:tc>
        <w:tc>
          <w:tcPr>
            <w:tcW w:w="517" w:type="pct"/>
            <w:vAlign w:val="center"/>
          </w:tcPr>
          <w:p w14:paraId="6B6FCC1F">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数量</w:t>
            </w:r>
          </w:p>
        </w:tc>
        <w:tc>
          <w:tcPr>
            <w:tcW w:w="440" w:type="pct"/>
            <w:vAlign w:val="center"/>
          </w:tcPr>
          <w:p w14:paraId="3AF6A19F">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备注</w:t>
            </w:r>
          </w:p>
        </w:tc>
      </w:tr>
      <w:tr w14:paraId="7B8A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5" w:type="pct"/>
            <w:vAlign w:val="center"/>
          </w:tcPr>
          <w:p w14:paraId="66504284">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360" w:type="pct"/>
            <w:vAlign w:val="center"/>
          </w:tcPr>
          <w:p w14:paraId="3014A888">
            <w:pPr>
              <w:widowControl/>
              <w:spacing w:line="360" w:lineRule="auto"/>
              <w:jc w:val="center"/>
              <w:rPr>
                <w:rFonts w:ascii="宋体" w:hAnsi="宋体" w:cs="宋体"/>
                <w:kern w:val="0"/>
                <w:sz w:val="24"/>
                <w:szCs w:val="24"/>
                <w:highlight w:val="none"/>
              </w:rPr>
            </w:pPr>
          </w:p>
        </w:tc>
        <w:tc>
          <w:tcPr>
            <w:tcW w:w="303" w:type="pct"/>
          </w:tcPr>
          <w:p w14:paraId="2392366F">
            <w:pPr>
              <w:adjustRightInd w:val="0"/>
              <w:snapToGrid w:val="0"/>
              <w:spacing w:line="360" w:lineRule="auto"/>
              <w:jc w:val="center"/>
              <w:rPr>
                <w:rFonts w:ascii="宋体" w:hAnsi="宋体" w:cs="宋体"/>
                <w:sz w:val="24"/>
                <w:szCs w:val="24"/>
                <w:highlight w:val="none"/>
              </w:rPr>
            </w:pPr>
          </w:p>
        </w:tc>
        <w:tc>
          <w:tcPr>
            <w:tcW w:w="395" w:type="pct"/>
          </w:tcPr>
          <w:p w14:paraId="3B3F0FAD">
            <w:pPr>
              <w:adjustRightInd w:val="0"/>
              <w:snapToGrid w:val="0"/>
              <w:spacing w:line="360" w:lineRule="auto"/>
              <w:jc w:val="center"/>
              <w:rPr>
                <w:rFonts w:ascii="宋体" w:hAnsi="宋体" w:cs="宋体"/>
                <w:sz w:val="24"/>
                <w:szCs w:val="24"/>
                <w:highlight w:val="none"/>
              </w:rPr>
            </w:pPr>
          </w:p>
        </w:tc>
        <w:tc>
          <w:tcPr>
            <w:tcW w:w="552" w:type="pct"/>
          </w:tcPr>
          <w:p w14:paraId="7D492108">
            <w:pPr>
              <w:adjustRightInd w:val="0"/>
              <w:snapToGrid w:val="0"/>
              <w:spacing w:line="360" w:lineRule="auto"/>
              <w:jc w:val="center"/>
              <w:rPr>
                <w:rFonts w:ascii="宋体" w:hAnsi="宋体" w:cs="宋体"/>
                <w:sz w:val="24"/>
                <w:szCs w:val="24"/>
                <w:highlight w:val="none"/>
              </w:rPr>
            </w:pPr>
          </w:p>
        </w:tc>
        <w:tc>
          <w:tcPr>
            <w:tcW w:w="629" w:type="pct"/>
            <w:vAlign w:val="center"/>
          </w:tcPr>
          <w:p w14:paraId="79853128">
            <w:pPr>
              <w:adjustRightInd w:val="0"/>
              <w:snapToGrid w:val="0"/>
              <w:spacing w:line="360" w:lineRule="auto"/>
              <w:jc w:val="center"/>
              <w:rPr>
                <w:rFonts w:ascii="宋体" w:hAnsi="宋体" w:cs="宋体"/>
                <w:sz w:val="24"/>
                <w:szCs w:val="24"/>
                <w:highlight w:val="none"/>
              </w:rPr>
            </w:pPr>
          </w:p>
        </w:tc>
        <w:tc>
          <w:tcPr>
            <w:tcW w:w="419" w:type="pct"/>
          </w:tcPr>
          <w:p w14:paraId="05BBB21D">
            <w:pPr>
              <w:spacing w:line="360" w:lineRule="auto"/>
              <w:rPr>
                <w:rFonts w:ascii="宋体" w:hAnsi="宋体" w:cs="宋体"/>
                <w:sz w:val="24"/>
                <w:szCs w:val="24"/>
                <w:highlight w:val="none"/>
              </w:rPr>
            </w:pPr>
          </w:p>
        </w:tc>
        <w:tc>
          <w:tcPr>
            <w:tcW w:w="836" w:type="pct"/>
            <w:vAlign w:val="center"/>
          </w:tcPr>
          <w:p w14:paraId="0CACA947">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项目负责人</w:t>
            </w:r>
          </w:p>
        </w:tc>
        <w:tc>
          <w:tcPr>
            <w:tcW w:w="517" w:type="pct"/>
            <w:vAlign w:val="center"/>
          </w:tcPr>
          <w:p w14:paraId="56E6B8BF">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440" w:type="pct"/>
            <w:vAlign w:val="center"/>
          </w:tcPr>
          <w:p w14:paraId="6C4A5AD0">
            <w:pPr>
              <w:spacing w:line="360" w:lineRule="auto"/>
              <w:jc w:val="left"/>
              <w:rPr>
                <w:rFonts w:ascii="宋体" w:hAnsi="宋体" w:cs="宋体"/>
                <w:kern w:val="0"/>
                <w:sz w:val="24"/>
                <w:szCs w:val="24"/>
                <w:highlight w:val="none"/>
              </w:rPr>
            </w:pPr>
          </w:p>
        </w:tc>
      </w:tr>
      <w:tr w14:paraId="0A68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5" w:type="pct"/>
            <w:vAlign w:val="center"/>
          </w:tcPr>
          <w:p w14:paraId="19A11792">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360" w:type="pct"/>
            <w:vAlign w:val="center"/>
          </w:tcPr>
          <w:p w14:paraId="5411FB81">
            <w:pPr>
              <w:widowControl/>
              <w:spacing w:line="360" w:lineRule="auto"/>
              <w:jc w:val="center"/>
              <w:rPr>
                <w:rFonts w:ascii="宋体" w:hAnsi="宋体" w:cs="宋体"/>
                <w:kern w:val="0"/>
                <w:sz w:val="24"/>
                <w:szCs w:val="24"/>
                <w:highlight w:val="none"/>
              </w:rPr>
            </w:pPr>
          </w:p>
        </w:tc>
        <w:tc>
          <w:tcPr>
            <w:tcW w:w="303" w:type="pct"/>
          </w:tcPr>
          <w:p w14:paraId="50EA57EF">
            <w:pPr>
              <w:spacing w:line="360" w:lineRule="auto"/>
              <w:jc w:val="center"/>
              <w:rPr>
                <w:rFonts w:ascii="宋体" w:hAnsi="宋体" w:cs="宋体"/>
                <w:sz w:val="24"/>
                <w:szCs w:val="24"/>
                <w:highlight w:val="none"/>
              </w:rPr>
            </w:pPr>
          </w:p>
        </w:tc>
        <w:tc>
          <w:tcPr>
            <w:tcW w:w="395" w:type="pct"/>
          </w:tcPr>
          <w:p w14:paraId="493C3E05">
            <w:pPr>
              <w:spacing w:line="360" w:lineRule="auto"/>
              <w:jc w:val="center"/>
              <w:rPr>
                <w:rFonts w:ascii="宋体" w:hAnsi="宋体" w:cs="宋体"/>
                <w:sz w:val="24"/>
                <w:szCs w:val="24"/>
                <w:highlight w:val="none"/>
              </w:rPr>
            </w:pPr>
          </w:p>
        </w:tc>
        <w:tc>
          <w:tcPr>
            <w:tcW w:w="552" w:type="pct"/>
          </w:tcPr>
          <w:p w14:paraId="2724299F">
            <w:pPr>
              <w:spacing w:line="360" w:lineRule="auto"/>
              <w:jc w:val="center"/>
              <w:rPr>
                <w:rFonts w:ascii="宋体" w:hAnsi="宋体" w:cs="宋体"/>
                <w:sz w:val="24"/>
                <w:szCs w:val="24"/>
                <w:highlight w:val="none"/>
              </w:rPr>
            </w:pPr>
          </w:p>
        </w:tc>
        <w:tc>
          <w:tcPr>
            <w:tcW w:w="629" w:type="pct"/>
            <w:vAlign w:val="center"/>
          </w:tcPr>
          <w:p w14:paraId="315D9081">
            <w:pPr>
              <w:spacing w:line="360" w:lineRule="auto"/>
              <w:jc w:val="center"/>
              <w:rPr>
                <w:rFonts w:ascii="宋体" w:hAnsi="宋体" w:cs="宋体"/>
                <w:sz w:val="24"/>
                <w:szCs w:val="24"/>
                <w:highlight w:val="none"/>
              </w:rPr>
            </w:pPr>
          </w:p>
        </w:tc>
        <w:tc>
          <w:tcPr>
            <w:tcW w:w="419" w:type="pct"/>
          </w:tcPr>
          <w:p w14:paraId="6D7D733C">
            <w:pPr>
              <w:spacing w:line="360" w:lineRule="auto"/>
              <w:rPr>
                <w:rFonts w:ascii="宋体" w:hAnsi="宋体" w:cs="宋体"/>
                <w:sz w:val="24"/>
                <w:szCs w:val="24"/>
                <w:highlight w:val="none"/>
              </w:rPr>
            </w:pPr>
          </w:p>
        </w:tc>
        <w:tc>
          <w:tcPr>
            <w:tcW w:w="836" w:type="pct"/>
            <w:vAlign w:val="center"/>
          </w:tcPr>
          <w:p w14:paraId="00BAC4DB">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技术负责人</w:t>
            </w:r>
          </w:p>
        </w:tc>
        <w:tc>
          <w:tcPr>
            <w:tcW w:w="517" w:type="pct"/>
            <w:vAlign w:val="center"/>
          </w:tcPr>
          <w:p w14:paraId="181EA302">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440" w:type="pct"/>
            <w:vAlign w:val="center"/>
          </w:tcPr>
          <w:p w14:paraId="6A6045F6">
            <w:pPr>
              <w:spacing w:line="360" w:lineRule="auto"/>
              <w:jc w:val="left"/>
              <w:rPr>
                <w:rFonts w:ascii="宋体" w:hAnsi="宋体" w:cs="宋体"/>
                <w:kern w:val="0"/>
                <w:sz w:val="24"/>
                <w:szCs w:val="24"/>
                <w:highlight w:val="none"/>
              </w:rPr>
            </w:pPr>
          </w:p>
        </w:tc>
      </w:tr>
      <w:tr w14:paraId="22A1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5" w:type="pct"/>
            <w:vAlign w:val="center"/>
          </w:tcPr>
          <w:p w14:paraId="75D60158">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360" w:type="pct"/>
            <w:vAlign w:val="center"/>
          </w:tcPr>
          <w:p w14:paraId="2DFE95B7">
            <w:pPr>
              <w:widowControl/>
              <w:spacing w:line="360" w:lineRule="auto"/>
              <w:jc w:val="center"/>
              <w:rPr>
                <w:rFonts w:ascii="宋体" w:hAnsi="宋体" w:cs="宋体"/>
                <w:kern w:val="0"/>
                <w:sz w:val="24"/>
                <w:szCs w:val="24"/>
                <w:highlight w:val="none"/>
              </w:rPr>
            </w:pPr>
          </w:p>
        </w:tc>
        <w:tc>
          <w:tcPr>
            <w:tcW w:w="303" w:type="pct"/>
          </w:tcPr>
          <w:p w14:paraId="1AC253FE">
            <w:pPr>
              <w:spacing w:line="360" w:lineRule="auto"/>
              <w:jc w:val="center"/>
              <w:rPr>
                <w:rFonts w:ascii="宋体" w:hAnsi="宋体" w:cs="宋体"/>
                <w:sz w:val="24"/>
                <w:szCs w:val="24"/>
                <w:highlight w:val="none"/>
              </w:rPr>
            </w:pPr>
          </w:p>
        </w:tc>
        <w:tc>
          <w:tcPr>
            <w:tcW w:w="395" w:type="pct"/>
          </w:tcPr>
          <w:p w14:paraId="2C1CE7D4">
            <w:pPr>
              <w:spacing w:line="360" w:lineRule="auto"/>
              <w:jc w:val="center"/>
              <w:rPr>
                <w:rFonts w:ascii="宋体" w:hAnsi="宋体" w:cs="宋体"/>
                <w:sz w:val="24"/>
                <w:szCs w:val="24"/>
                <w:highlight w:val="none"/>
              </w:rPr>
            </w:pPr>
          </w:p>
        </w:tc>
        <w:tc>
          <w:tcPr>
            <w:tcW w:w="552" w:type="pct"/>
          </w:tcPr>
          <w:p w14:paraId="6BF67E77">
            <w:pPr>
              <w:spacing w:line="360" w:lineRule="auto"/>
              <w:jc w:val="center"/>
              <w:rPr>
                <w:rFonts w:ascii="宋体" w:hAnsi="宋体" w:cs="宋体"/>
                <w:sz w:val="24"/>
                <w:szCs w:val="24"/>
                <w:highlight w:val="none"/>
              </w:rPr>
            </w:pPr>
          </w:p>
        </w:tc>
        <w:tc>
          <w:tcPr>
            <w:tcW w:w="629" w:type="pct"/>
            <w:vAlign w:val="center"/>
          </w:tcPr>
          <w:p w14:paraId="6A5E7BE3">
            <w:pPr>
              <w:spacing w:line="360" w:lineRule="auto"/>
              <w:jc w:val="center"/>
              <w:rPr>
                <w:rFonts w:ascii="宋体" w:hAnsi="宋体" w:cs="宋体"/>
                <w:sz w:val="24"/>
                <w:szCs w:val="24"/>
                <w:highlight w:val="none"/>
              </w:rPr>
            </w:pPr>
          </w:p>
        </w:tc>
        <w:tc>
          <w:tcPr>
            <w:tcW w:w="419" w:type="pct"/>
          </w:tcPr>
          <w:p w14:paraId="45C39998">
            <w:pPr>
              <w:spacing w:line="360" w:lineRule="auto"/>
              <w:rPr>
                <w:rFonts w:ascii="宋体" w:hAnsi="宋体" w:cs="宋体"/>
                <w:sz w:val="24"/>
                <w:szCs w:val="24"/>
                <w:highlight w:val="none"/>
              </w:rPr>
            </w:pPr>
          </w:p>
        </w:tc>
        <w:tc>
          <w:tcPr>
            <w:tcW w:w="836" w:type="pct"/>
            <w:vAlign w:val="center"/>
          </w:tcPr>
          <w:p w14:paraId="7BE825CC">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专职安全员</w:t>
            </w:r>
          </w:p>
        </w:tc>
        <w:tc>
          <w:tcPr>
            <w:tcW w:w="517" w:type="pct"/>
            <w:vAlign w:val="center"/>
          </w:tcPr>
          <w:p w14:paraId="13FEEB30">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440" w:type="pct"/>
          </w:tcPr>
          <w:p w14:paraId="35914F74">
            <w:pPr>
              <w:spacing w:line="360" w:lineRule="auto"/>
              <w:rPr>
                <w:rFonts w:ascii="宋体" w:hAnsi="宋体" w:cs="宋体"/>
                <w:kern w:val="0"/>
                <w:sz w:val="24"/>
                <w:szCs w:val="24"/>
                <w:highlight w:val="none"/>
              </w:rPr>
            </w:pPr>
          </w:p>
        </w:tc>
      </w:tr>
      <w:tr w14:paraId="74C0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5" w:type="pct"/>
            <w:vAlign w:val="center"/>
          </w:tcPr>
          <w:p w14:paraId="37F854C3">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360" w:type="pct"/>
            <w:vAlign w:val="center"/>
          </w:tcPr>
          <w:p w14:paraId="4CD89E65">
            <w:pPr>
              <w:widowControl/>
              <w:spacing w:line="360" w:lineRule="auto"/>
              <w:jc w:val="center"/>
              <w:rPr>
                <w:rFonts w:ascii="宋体" w:hAnsi="宋体" w:cs="宋体"/>
                <w:kern w:val="0"/>
                <w:sz w:val="24"/>
                <w:szCs w:val="24"/>
                <w:highlight w:val="none"/>
              </w:rPr>
            </w:pPr>
          </w:p>
        </w:tc>
        <w:tc>
          <w:tcPr>
            <w:tcW w:w="303" w:type="pct"/>
          </w:tcPr>
          <w:p w14:paraId="2D417590">
            <w:pPr>
              <w:spacing w:line="360" w:lineRule="auto"/>
              <w:jc w:val="center"/>
              <w:rPr>
                <w:rFonts w:ascii="宋体" w:hAnsi="宋体" w:cs="宋体"/>
                <w:sz w:val="24"/>
                <w:szCs w:val="24"/>
                <w:highlight w:val="none"/>
              </w:rPr>
            </w:pPr>
          </w:p>
        </w:tc>
        <w:tc>
          <w:tcPr>
            <w:tcW w:w="395" w:type="pct"/>
          </w:tcPr>
          <w:p w14:paraId="4347EC3B">
            <w:pPr>
              <w:spacing w:line="360" w:lineRule="auto"/>
              <w:jc w:val="center"/>
              <w:rPr>
                <w:rFonts w:ascii="宋体" w:hAnsi="宋体" w:cs="宋体"/>
                <w:sz w:val="24"/>
                <w:szCs w:val="24"/>
                <w:highlight w:val="none"/>
              </w:rPr>
            </w:pPr>
          </w:p>
        </w:tc>
        <w:tc>
          <w:tcPr>
            <w:tcW w:w="552" w:type="pct"/>
          </w:tcPr>
          <w:p w14:paraId="393E61E2">
            <w:pPr>
              <w:spacing w:line="360" w:lineRule="auto"/>
              <w:jc w:val="center"/>
              <w:rPr>
                <w:rFonts w:ascii="宋体" w:hAnsi="宋体" w:cs="宋体"/>
                <w:sz w:val="24"/>
                <w:szCs w:val="24"/>
                <w:highlight w:val="none"/>
              </w:rPr>
            </w:pPr>
          </w:p>
        </w:tc>
        <w:tc>
          <w:tcPr>
            <w:tcW w:w="629" w:type="pct"/>
            <w:vAlign w:val="center"/>
          </w:tcPr>
          <w:p w14:paraId="293DFBC3">
            <w:pPr>
              <w:spacing w:line="360" w:lineRule="auto"/>
              <w:jc w:val="center"/>
              <w:rPr>
                <w:rFonts w:ascii="宋体" w:hAnsi="宋体" w:cs="宋体"/>
                <w:sz w:val="24"/>
                <w:szCs w:val="24"/>
                <w:highlight w:val="none"/>
              </w:rPr>
            </w:pPr>
          </w:p>
        </w:tc>
        <w:tc>
          <w:tcPr>
            <w:tcW w:w="419" w:type="pct"/>
          </w:tcPr>
          <w:p w14:paraId="49F02774">
            <w:pPr>
              <w:spacing w:line="360" w:lineRule="auto"/>
              <w:rPr>
                <w:rFonts w:ascii="宋体" w:hAnsi="宋体" w:cs="宋体"/>
                <w:sz w:val="24"/>
                <w:szCs w:val="24"/>
                <w:highlight w:val="none"/>
              </w:rPr>
            </w:pPr>
          </w:p>
        </w:tc>
        <w:tc>
          <w:tcPr>
            <w:tcW w:w="836" w:type="pct"/>
            <w:vAlign w:val="center"/>
          </w:tcPr>
          <w:p w14:paraId="1D266F26">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安全负责人</w:t>
            </w:r>
          </w:p>
        </w:tc>
        <w:tc>
          <w:tcPr>
            <w:tcW w:w="517" w:type="pct"/>
            <w:vAlign w:val="center"/>
          </w:tcPr>
          <w:p w14:paraId="6682CEC2">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440" w:type="pct"/>
          </w:tcPr>
          <w:p w14:paraId="4342CD08">
            <w:pPr>
              <w:spacing w:line="360" w:lineRule="auto"/>
              <w:rPr>
                <w:rFonts w:ascii="宋体" w:hAnsi="宋体" w:cs="宋体"/>
                <w:kern w:val="0"/>
                <w:sz w:val="24"/>
                <w:szCs w:val="24"/>
                <w:highlight w:val="none"/>
              </w:rPr>
            </w:pPr>
          </w:p>
        </w:tc>
      </w:tr>
      <w:tr w14:paraId="7816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5" w:type="pct"/>
            <w:vAlign w:val="center"/>
          </w:tcPr>
          <w:p w14:paraId="177911D7">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360" w:type="pct"/>
            <w:vAlign w:val="center"/>
          </w:tcPr>
          <w:p w14:paraId="1AAE1C2E">
            <w:pPr>
              <w:widowControl/>
              <w:spacing w:line="360" w:lineRule="auto"/>
              <w:jc w:val="center"/>
              <w:rPr>
                <w:rFonts w:ascii="宋体" w:hAnsi="宋体" w:cs="宋体"/>
                <w:kern w:val="0"/>
                <w:sz w:val="24"/>
                <w:szCs w:val="24"/>
                <w:highlight w:val="none"/>
              </w:rPr>
            </w:pPr>
          </w:p>
        </w:tc>
        <w:tc>
          <w:tcPr>
            <w:tcW w:w="303" w:type="pct"/>
          </w:tcPr>
          <w:p w14:paraId="247BD798">
            <w:pPr>
              <w:spacing w:line="360" w:lineRule="auto"/>
              <w:jc w:val="center"/>
              <w:rPr>
                <w:rFonts w:ascii="宋体" w:hAnsi="宋体" w:cs="宋体"/>
                <w:sz w:val="24"/>
                <w:szCs w:val="24"/>
                <w:highlight w:val="none"/>
              </w:rPr>
            </w:pPr>
          </w:p>
        </w:tc>
        <w:tc>
          <w:tcPr>
            <w:tcW w:w="395" w:type="pct"/>
          </w:tcPr>
          <w:p w14:paraId="3E0AB59D">
            <w:pPr>
              <w:spacing w:line="360" w:lineRule="auto"/>
              <w:jc w:val="center"/>
              <w:rPr>
                <w:rFonts w:ascii="宋体" w:hAnsi="宋体" w:cs="宋体"/>
                <w:sz w:val="24"/>
                <w:szCs w:val="24"/>
                <w:highlight w:val="none"/>
              </w:rPr>
            </w:pPr>
          </w:p>
        </w:tc>
        <w:tc>
          <w:tcPr>
            <w:tcW w:w="552" w:type="pct"/>
          </w:tcPr>
          <w:p w14:paraId="3BE6283E">
            <w:pPr>
              <w:spacing w:line="360" w:lineRule="auto"/>
              <w:jc w:val="center"/>
              <w:rPr>
                <w:rFonts w:ascii="宋体" w:hAnsi="宋体" w:cs="宋体"/>
                <w:sz w:val="24"/>
                <w:szCs w:val="24"/>
                <w:highlight w:val="none"/>
              </w:rPr>
            </w:pPr>
          </w:p>
        </w:tc>
        <w:tc>
          <w:tcPr>
            <w:tcW w:w="629" w:type="pct"/>
            <w:vAlign w:val="center"/>
          </w:tcPr>
          <w:p w14:paraId="07A2B50F">
            <w:pPr>
              <w:spacing w:line="360" w:lineRule="auto"/>
              <w:jc w:val="center"/>
              <w:rPr>
                <w:rFonts w:ascii="宋体" w:hAnsi="宋体" w:cs="宋体"/>
                <w:sz w:val="24"/>
                <w:szCs w:val="24"/>
                <w:highlight w:val="none"/>
              </w:rPr>
            </w:pPr>
          </w:p>
        </w:tc>
        <w:tc>
          <w:tcPr>
            <w:tcW w:w="419" w:type="pct"/>
          </w:tcPr>
          <w:p w14:paraId="0808AE75">
            <w:pPr>
              <w:spacing w:line="360" w:lineRule="auto"/>
              <w:rPr>
                <w:rFonts w:ascii="宋体" w:hAnsi="宋体" w:cs="宋体"/>
                <w:sz w:val="24"/>
                <w:szCs w:val="24"/>
                <w:highlight w:val="none"/>
              </w:rPr>
            </w:pPr>
          </w:p>
        </w:tc>
        <w:tc>
          <w:tcPr>
            <w:tcW w:w="836" w:type="pct"/>
            <w:vAlign w:val="center"/>
          </w:tcPr>
          <w:p w14:paraId="50198636">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质量负责人</w:t>
            </w:r>
          </w:p>
        </w:tc>
        <w:tc>
          <w:tcPr>
            <w:tcW w:w="517" w:type="pct"/>
            <w:vAlign w:val="center"/>
          </w:tcPr>
          <w:p w14:paraId="7E3E98EF">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440" w:type="pct"/>
          </w:tcPr>
          <w:p w14:paraId="427E086D">
            <w:pPr>
              <w:spacing w:line="360" w:lineRule="auto"/>
              <w:rPr>
                <w:rFonts w:ascii="宋体" w:hAnsi="宋体" w:cs="宋体"/>
                <w:kern w:val="0"/>
                <w:sz w:val="24"/>
                <w:szCs w:val="24"/>
                <w:highlight w:val="none"/>
              </w:rPr>
            </w:pPr>
          </w:p>
        </w:tc>
      </w:tr>
      <w:tr w14:paraId="3567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5" w:type="pct"/>
            <w:vAlign w:val="center"/>
          </w:tcPr>
          <w:p w14:paraId="047C5F1F">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360" w:type="pct"/>
            <w:vAlign w:val="center"/>
          </w:tcPr>
          <w:p w14:paraId="3259C928">
            <w:pPr>
              <w:widowControl/>
              <w:spacing w:line="360" w:lineRule="auto"/>
              <w:jc w:val="center"/>
              <w:rPr>
                <w:rFonts w:ascii="宋体" w:hAnsi="宋体" w:cs="宋体"/>
                <w:kern w:val="0"/>
                <w:sz w:val="24"/>
                <w:szCs w:val="24"/>
                <w:highlight w:val="none"/>
              </w:rPr>
            </w:pPr>
          </w:p>
        </w:tc>
        <w:tc>
          <w:tcPr>
            <w:tcW w:w="303" w:type="pct"/>
          </w:tcPr>
          <w:p w14:paraId="3986D368">
            <w:pPr>
              <w:spacing w:line="360" w:lineRule="auto"/>
              <w:jc w:val="center"/>
              <w:rPr>
                <w:rFonts w:ascii="宋体" w:hAnsi="宋体" w:cs="宋体"/>
                <w:sz w:val="24"/>
                <w:szCs w:val="24"/>
                <w:highlight w:val="none"/>
              </w:rPr>
            </w:pPr>
          </w:p>
        </w:tc>
        <w:tc>
          <w:tcPr>
            <w:tcW w:w="395" w:type="pct"/>
          </w:tcPr>
          <w:p w14:paraId="04690863">
            <w:pPr>
              <w:spacing w:line="360" w:lineRule="auto"/>
              <w:jc w:val="center"/>
              <w:rPr>
                <w:rFonts w:ascii="宋体" w:hAnsi="宋体" w:cs="宋体"/>
                <w:sz w:val="24"/>
                <w:szCs w:val="24"/>
                <w:highlight w:val="none"/>
              </w:rPr>
            </w:pPr>
          </w:p>
        </w:tc>
        <w:tc>
          <w:tcPr>
            <w:tcW w:w="552" w:type="pct"/>
          </w:tcPr>
          <w:p w14:paraId="4C737C01">
            <w:pPr>
              <w:spacing w:line="360" w:lineRule="auto"/>
              <w:jc w:val="center"/>
              <w:rPr>
                <w:rFonts w:ascii="宋体" w:hAnsi="宋体" w:cs="宋体"/>
                <w:sz w:val="24"/>
                <w:szCs w:val="24"/>
                <w:highlight w:val="none"/>
              </w:rPr>
            </w:pPr>
          </w:p>
        </w:tc>
        <w:tc>
          <w:tcPr>
            <w:tcW w:w="629" w:type="pct"/>
            <w:vAlign w:val="center"/>
          </w:tcPr>
          <w:p w14:paraId="05691B7E">
            <w:pPr>
              <w:spacing w:line="360" w:lineRule="auto"/>
              <w:jc w:val="center"/>
              <w:rPr>
                <w:rFonts w:ascii="宋体" w:hAnsi="宋体" w:cs="宋体"/>
                <w:sz w:val="24"/>
                <w:szCs w:val="24"/>
                <w:highlight w:val="none"/>
              </w:rPr>
            </w:pPr>
          </w:p>
        </w:tc>
        <w:tc>
          <w:tcPr>
            <w:tcW w:w="419" w:type="pct"/>
          </w:tcPr>
          <w:p w14:paraId="2C505E2E">
            <w:pPr>
              <w:spacing w:line="360" w:lineRule="auto"/>
              <w:rPr>
                <w:rFonts w:ascii="宋体" w:hAnsi="宋体" w:cs="宋体"/>
                <w:sz w:val="24"/>
                <w:szCs w:val="24"/>
                <w:highlight w:val="none"/>
              </w:rPr>
            </w:pPr>
          </w:p>
        </w:tc>
        <w:tc>
          <w:tcPr>
            <w:tcW w:w="836" w:type="pct"/>
            <w:vAlign w:val="center"/>
          </w:tcPr>
          <w:p w14:paraId="2239E766">
            <w:pPr>
              <w:widowControl/>
              <w:spacing w:line="360" w:lineRule="auto"/>
              <w:jc w:val="center"/>
              <w:rPr>
                <w:rFonts w:ascii="宋体" w:hAnsi="宋体" w:cs="宋体"/>
                <w:sz w:val="24"/>
                <w:szCs w:val="24"/>
                <w:highlight w:val="none"/>
              </w:rPr>
            </w:pPr>
            <w:r>
              <w:rPr>
                <w:rFonts w:hint="eastAsia" w:ascii="宋体" w:hAnsi="宋体" w:cs="宋体"/>
                <w:sz w:val="24"/>
                <w:szCs w:val="24"/>
                <w:highlight w:val="none"/>
              </w:rPr>
              <w:t>造价负责人</w:t>
            </w:r>
          </w:p>
        </w:tc>
        <w:tc>
          <w:tcPr>
            <w:tcW w:w="517" w:type="pct"/>
            <w:vAlign w:val="center"/>
          </w:tcPr>
          <w:p w14:paraId="226F01FB">
            <w:pPr>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440" w:type="pct"/>
          </w:tcPr>
          <w:p w14:paraId="17ABD06E">
            <w:pPr>
              <w:spacing w:line="360" w:lineRule="auto"/>
              <w:rPr>
                <w:rFonts w:ascii="宋体" w:hAnsi="宋体" w:cs="宋体"/>
                <w:kern w:val="0"/>
                <w:sz w:val="24"/>
                <w:szCs w:val="24"/>
                <w:highlight w:val="none"/>
              </w:rPr>
            </w:pPr>
          </w:p>
        </w:tc>
      </w:tr>
      <w:tr w14:paraId="3048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5" w:type="pct"/>
            <w:vAlign w:val="center"/>
          </w:tcPr>
          <w:p w14:paraId="688C98D5">
            <w:pPr>
              <w:adjustRightInd w:val="0"/>
              <w:snapToGrid w:val="0"/>
              <w:spacing w:line="360" w:lineRule="auto"/>
              <w:jc w:val="center"/>
              <w:rPr>
                <w:rFonts w:ascii="宋体" w:hAnsi="宋体" w:cs="宋体"/>
                <w:strike/>
                <w:sz w:val="24"/>
                <w:szCs w:val="24"/>
                <w:highlight w:val="none"/>
              </w:rPr>
            </w:pPr>
          </w:p>
        </w:tc>
        <w:tc>
          <w:tcPr>
            <w:tcW w:w="360" w:type="pct"/>
            <w:vAlign w:val="center"/>
          </w:tcPr>
          <w:p w14:paraId="74D005FB">
            <w:pPr>
              <w:widowControl/>
              <w:spacing w:line="360" w:lineRule="auto"/>
              <w:jc w:val="center"/>
              <w:rPr>
                <w:rFonts w:ascii="宋体" w:hAnsi="宋体" w:cs="宋体"/>
                <w:strike/>
                <w:kern w:val="0"/>
                <w:sz w:val="24"/>
                <w:szCs w:val="24"/>
                <w:highlight w:val="none"/>
              </w:rPr>
            </w:pPr>
          </w:p>
        </w:tc>
        <w:tc>
          <w:tcPr>
            <w:tcW w:w="303" w:type="pct"/>
          </w:tcPr>
          <w:p w14:paraId="6B826FE2">
            <w:pPr>
              <w:spacing w:line="360" w:lineRule="auto"/>
              <w:jc w:val="center"/>
              <w:rPr>
                <w:rFonts w:ascii="宋体" w:hAnsi="宋体" w:cs="宋体"/>
                <w:strike/>
                <w:sz w:val="24"/>
                <w:szCs w:val="24"/>
                <w:highlight w:val="none"/>
              </w:rPr>
            </w:pPr>
          </w:p>
        </w:tc>
        <w:tc>
          <w:tcPr>
            <w:tcW w:w="395" w:type="pct"/>
          </w:tcPr>
          <w:p w14:paraId="060B1B21">
            <w:pPr>
              <w:spacing w:line="360" w:lineRule="auto"/>
              <w:jc w:val="center"/>
              <w:rPr>
                <w:rFonts w:ascii="宋体" w:hAnsi="宋体" w:cs="宋体"/>
                <w:strike/>
                <w:sz w:val="24"/>
                <w:szCs w:val="24"/>
                <w:highlight w:val="none"/>
              </w:rPr>
            </w:pPr>
          </w:p>
        </w:tc>
        <w:tc>
          <w:tcPr>
            <w:tcW w:w="552" w:type="pct"/>
          </w:tcPr>
          <w:p w14:paraId="731C755C">
            <w:pPr>
              <w:spacing w:line="360" w:lineRule="auto"/>
              <w:jc w:val="center"/>
              <w:rPr>
                <w:rFonts w:ascii="宋体" w:hAnsi="宋体" w:cs="宋体"/>
                <w:strike/>
                <w:sz w:val="24"/>
                <w:szCs w:val="24"/>
                <w:highlight w:val="none"/>
              </w:rPr>
            </w:pPr>
          </w:p>
        </w:tc>
        <w:tc>
          <w:tcPr>
            <w:tcW w:w="629" w:type="pct"/>
            <w:vAlign w:val="center"/>
          </w:tcPr>
          <w:p w14:paraId="25CF495A">
            <w:pPr>
              <w:spacing w:line="360" w:lineRule="auto"/>
              <w:jc w:val="center"/>
              <w:rPr>
                <w:rFonts w:ascii="宋体" w:hAnsi="宋体" w:cs="宋体"/>
                <w:strike/>
                <w:sz w:val="24"/>
                <w:szCs w:val="24"/>
                <w:highlight w:val="none"/>
              </w:rPr>
            </w:pPr>
          </w:p>
        </w:tc>
        <w:tc>
          <w:tcPr>
            <w:tcW w:w="419" w:type="pct"/>
          </w:tcPr>
          <w:p w14:paraId="1C3DD026">
            <w:pPr>
              <w:spacing w:line="360" w:lineRule="auto"/>
              <w:rPr>
                <w:rFonts w:ascii="宋体" w:hAnsi="宋体" w:cs="宋体"/>
                <w:strike/>
                <w:sz w:val="24"/>
                <w:szCs w:val="24"/>
                <w:highlight w:val="none"/>
              </w:rPr>
            </w:pPr>
          </w:p>
        </w:tc>
        <w:tc>
          <w:tcPr>
            <w:tcW w:w="836" w:type="pct"/>
            <w:vAlign w:val="center"/>
          </w:tcPr>
          <w:p w14:paraId="0A66FC1A">
            <w:pPr>
              <w:adjustRightInd w:val="0"/>
              <w:snapToGrid w:val="0"/>
              <w:spacing w:line="360" w:lineRule="auto"/>
              <w:jc w:val="center"/>
              <w:rPr>
                <w:rFonts w:ascii="宋体" w:hAnsi="宋体" w:cs="宋体"/>
                <w:bCs/>
                <w:strike/>
                <w:kern w:val="44"/>
                <w:sz w:val="24"/>
                <w:szCs w:val="24"/>
                <w:highlight w:val="none"/>
              </w:rPr>
            </w:pPr>
            <w:r>
              <w:rPr>
                <w:rFonts w:hint="eastAsia" w:ascii="宋体" w:hAnsi="宋体" w:cs="宋体"/>
                <w:sz w:val="24"/>
                <w:szCs w:val="24"/>
                <w:highlight w:val="none"/>
              </w:rPr>
              <w:t>……</w:t>
            </w:r>
          </w:p>
        </w:tc>
        <w:tc>
          <w:tcPr>
            <w:tcW w:w="517" w:type="pct"/>
            <w:vAlign w:val="center"/>
          </w:tcPr>
          <w:p w14:paraId="2BE23110">
            <w:pPr>
              <w:adjustRightInd w:val="0"/>
              <w:snapToGrid w:val="0"/>
              <w:spacing w:line="360" w:lineRule="auto"/>
              <w:jc w:val="center"/>
              <w:rPr>
                <w:rFonts w:ascii="宋体" w:hAnsi="宋体" w:cs="宋体"/>
                <w:bCs/>
                <w:strike/>
                <w:kern w:val="44"/>
                <w:sz w:val="24"/>
                <w:szCs w:val="24"/>
                <w:highlight w:val="none"/>
              </w:rPr>
            </w:pPr>
          </w:p>
        </w:tc>
        <w:tc>
          <w:tcPr>
            <w:tcW w:w="440" w:type="pct"/>
          </w:tcPr>
          <w:p w14:paraId="1F80EE75">
            <w:pPr>
              <w:spacing w:line="360" w:lineRule="auto"/>
              <w:rPr>
                <w:rFonts w:ascii="宋体" w:hAnsi="宋体" w:cs="宋体"/>
                <w:strike/>
                <w:kern w:val="0"/>
                <w:sz w:val="24"/>
                <w:szCs w:val="24"/>
                <w:highlight w:val="none"/>
              </w:rPr>
            </w:pPr>
          </w:p>
        </w:tc>
      </w:tr>
    </w:tbl>
    <w:p w14:paraId="733F150E">
      <w:pPr>
        <w:widowControl/>
        <w:shd w:val="clear" w:color="auto" w:fill="FFFFFF"/>
        <w:adjustRightInd w:val="0"/>
        <w:ind w:firstLine="482" w:firstLineChars="200"/>
        <w:jc w:val="left"/>
        <w:rPr>
          <w:rFonts w:ascii="宋体" w:hAnsi="宋体" w:cs="宋体"/>
          <w:kern w:val="0"/>
          <w:sz w:val="24"/>
          <w:szCs w:val="24"/>
          <w:highlight w:val="none"/>
        </w:rPr>
      </w:pPr>
      <w:r>
        <w:rPr>
          <w:rFonts w:hint="eastAsia" w:ascii="宋体" w:hAnsi="宋体" w:cs="宋体"/>
          <w:b/>
          <w:kern w:val="0"/>
          <w:sz w:val="24"/>
          <w:szCs w:val="24"/>
          <w:highlight w:val="none"/>
        </w:rPr>
        <w:t>备注</w:t>
      </w:r>
      <w:r>
        <w:rPr>
          <w:rFonts w:hint="eastAsia" w:ascii="宋体" w:hAnsi="宋体" w:cs="宋体"/>
          <w:kern w:val="0"/>
          <w:sz w:val="24"/>
          <w:szCs w:val="24"/>
          <w:highlight w:val="none"/>
        </w:rPr>
        <w:t>：</w:t>
      </w:r>
    </w:p>
    <w:p w14:paraId="5617B125">
      <w:pPr>
        <w:widowControl/>
        <w:shd w:val="clear" w:color="auto" w:fill="FFFFFF"/>
        <w:adjustRightInd w:val="0"/>
        <w:ind w:firstLine="480" w:firstLineChars="200"/>
        <w:jc w:val="left"/>
        <w:rPr>
          <w:rFonts w:ascii="宋体" w:hAnsi="宋体" w:cs="宋体"/>
          <w:sz w:val="24"/>
          <w:szCs w:val="24"/>
          <w:highlight w:val="none"/>
        </w:rPr>
      </w:pPr>
      <w:r>
        <w:rPr>
          <w:rFonts w:hint="eastAsia" w:ascii="宋体" w:hAnsi="宋体" w:cs="宋体"/>
          <w:kern w:val="0"/>
          <w:sz w:val="24"/>
          <w:szCs w:val="24"/>
          <w:highlight w:val="none"/>
        </w:rPr>
        <w:t>1.本表为项目经理部主要人员的基本要求，投标单位可根据自身情况增加专业技术管理人员，</w:t>
      </w:r>
      <w:r>
        <w:rPr>
          <w:rFonts w:hint="eastAsia" w:ascii="宋体" w:hAnsi="宋体" w:cs="宋体"/>
          <w:sz w:val="24"/>
          <w:szCs w:val="24"/>
          <w:highlight w:val="none"/>
        </w:rPr>
        <w:t>各岗位人员不得相互兼职。</w:t>
      </w:r>
    </w:p>
    <w:p w14:paraId="54A8DC2F">
      <w:pPr>
        <w:widowControl/>
        <w:shd w:val="clear" w:color="auto" w:fill="FFFFFF"/>
        <w:adjustRightInd w:val="0"/>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.本表项目经理部主要人员需提供</w:t>
      </w:r>
      <w:r>
        <w:rPr>
          <w:rFonts w:hint="eastAsia" w:ascii="宋体" w:hAnsi="宋体" w:cs="宋体"/>
          <w:kern w:val="0"/>
          <w:sz w:val="24"/>
          <w:szCs w:val="24"/>
          <w:highlight w:val="none"/>
          <w:u w:val="single"/>
        </w:rPr>
        <w:t>2024年9月</w:t>
      </w:r>
      <w:r>
        <w:rPr>
          <w:rFonts w:hint="eastAsia" w:ascii="宋体" w:hAnsi="宋体" w:cs="宋体"/>
          <w:kern w:val="0"/>
          <w:sz w:val="24"/>
          <w:szCs w:val="24"/>
          <w:highlight w:val="none"/>
        </w:rPr>
        <w:t>的社保证明文件扫描件，项目组织管理机构主要人员需提供的其他证明文件扫描件详见上表备注要求和《技术标详细审查评分标准》项目管理机构部分要求。</w:t>
      </w:r>
    </w:p>
    <w:p w14:paraId="6D13E032">
      <w:pPr>
        <w:widowControl/>
        <w:shd w:val="clear" w:color="auto" w:fill="FFFFFF"/>
        <w:adjustRightInd w:val="0"/>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.除《技术标详细审查评分表》</w:t>
      </w:r>
      <w:r>
        <w:rPr>
          <w:rStyle w:val="44"/>
          <w:rFonts w:hint="eastAsia" w:ascii="宋体" w:hAnsi="宋体"/>
          <w:highlight w:val="none"/>
        </w:rPr>
        <w:t>“项目组织管理机构能力”中扥人员可为投标人的分公司（不具备独立法人）或投标人的分支机构（不具备独立法人）外，其他人员指投标人自身人员（不计算投标人的母公司、子公司、分公司和分支机构）。</w:t>
      </w:r>
    </w:p>
    <w:p w14:paraId="2E8CD84C">
      <w:pPr>
        <w:widowControl/>
        <w:shd w:val="clear" w:color="auto" w:fill="FFFFFF"/>
        <w:adjustRightInd w:val="0"/>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.拟投入的项目部人员，未经招标人同意，中标后不得更换，否则按合同约定承担违约责任。</w:t>
      </w:r>
    </w:p>
    <w:p w14:paraId="6C52B871">
      <w:pPr>
        <w:widowControl/>
        <w:shd w:val="clear" w:color="auto" w:fill="FFFFFF"/>
        <w:adjustRightInd w:val="0"/>
        <w:ind w:firstLine="480" w:firstLineChars="200"/>
        <w:jc w:val="left"/>
        <w:rPr>
          <w:rFonts w:ascii="宋体" w:hAnsi="宋体" w:cs="宋体"/>
          <w:kern w:val="0"/>
          <w:sz w:val="24"/>
          <w:szCs w:val="24"/>
          <w:highlight w:val="none"/>
        </w:rPr>
      </w:pPr>
    </w:p>
    <w:p w14:paraId="3C7AC947">
      <w:pPr>
        <w:topLinePunct/>
        <w:adjustRightInd w:val="0"/>
        <w:snapToGrid w:val="0"/>
        <w:ind w:firstLine="496" w:firstLineChars="200"/>
        <w:rPr>
          <w:rFonts w:ascii="宋体" w:hAnsi="宋体" w:cs="宋体"/>
          <w:snapToGrid w:val="0"/>
          <w:spacing w:val="4"/>
          <w:kern w:val="0"/>
          <w:sz w:val="24"/>
          <w:szCs w:val="24"/>
          <w:highlight w:val="none"/>
        </w:rPr>
      </w:pPr>
    </w:p>
    <w:p w14:paraId="4D8876F1">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投标人：（盖章）</w:t>
      </w:r>
    </w:p>
    <w:p w14:paraId="0747E6B4">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法定代表人或授权代理人（签字或盖章）：</w:t>
      </w:r>
    </w:p>
    <w:p w14:paraId="6C6A3120">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 xml:space="preserve">日期：   年    月    日 </w:t>
      </w:r>
    </w:p>
    <w:p w14:paraId="40EB7922">
      <w:pPr>
        <w:ind w:firstLine="3600" w:firstLineChars="1500"/>
        <w:rPr>
          <w:rFonts w:ascii="宋体" w:hAnsi="宋体" w:cs="宋体"/>
          <w:sz w:val="24"/>
          <w:highlight w:val="none"/>
        </w:rPr>
      </w:pPr>
    </w:p>
    <w:p w14:paraId="7B055883">
      <w:pPr>
        <w:ind w:firstLine="3600" w:firstLineChars="1500"/>
        <w:rPr>
          <w:rFonts w:ascii="宋体" w:hAnsi="宋体" w:cs="宋体"/>
          <w:sz w:val="24"/>
          <w:highlight w:val="none"/>
        </w:rPr>
        <w:sectPr>
          <w:headerReference r:id="rId13" w:type="default"/>
          <w:footerReference r:id="rId14" w:type="default"/>
          <w:pgSz w:w="11905" w:h="16838"/>
          <w:pgMar w:top="1134" w:right="1134" w:bottom="1134" w:left="1134" w:header="851" w:footer="907" w:gutter="0"/>
          <w:cols w:space="0" w:num="1"/>
          <w:titlePg/>
          <w:docGrid w:type="lines" w:linePitch="317" w:charSpace="0"/>
        </w:sectPr>
      </w:pPr>
    </w:p>
    <w:p w14:paraId="32771794">
      <w:pPr>
        <w:widowControl/>
        <w:spacing w:line="360" w:lineRule="auto"/>
        <w:jc w:val="left"/>
        <w:outlineLvl w:val="2"/>
        <w:rPr>
          <w:rFonts w:ascii="宋体" w:hAnsi="宋体" w:cs="宋体"/>
          <w:bCs/>
          <w:kern w:val="0"/>
          <w:sz w:val="24"/>
          <w:szCs w:val="24"/>
          <w:highlight w:val="none"/>
        </w:rPr>
      </w:pPr>
      <w:bookmarkStart w:id="85" w:name="_Toc14697663"/>
      <w:bookmarkStart w:id="86" w:name="_Toc469"/>
      <w:bookmarkStart w:id="87" w:name="_Toc13022"/>
      <w:r>
        <w:rPr>
          <w:rFonts w:hint="eastAsia" w:ascii="宋体" w:hAnsi="宋体" w:cs="宋体"/>
          <w:bCs/>
          <w:kern w:val="0"/>
          <w:sz w:val="24"/>
          <w:szCs w:val="24"/>
          <w:highlight w:val="none"/>
        </w:rPr>
        <w:t>格式六</w:t>
      </w:r>
      <w:bookmarkEnd w:id="85"/>
      <w:bookmarkEnd w:id="86"/>
      <w:bookmarkEnd w:id="87"/>
    </w:p>
    <w:p w14:paraId="1DD051F9">
      <w:pPr>
        <w:topLinePunct/>
        <w:adjustRightInd w:val="0"/>
        <w:snapToGrid w:val="0"/>
        <w:spacing w:line="360" w:lineRule="auto"/>
        <w:jc w:val="center"/>
        <w:rPr>
          <w:rFonts w:ascii="宋体" w:hAnsi="宋体" w:cs="宋体"/>
          <w:b/>
          <w:snapToGrid w:val="0"/>
          <w:spacing w:val="4"/>
          <w:kern w:val="0"/>
          <w:sz w:val="32"/>
          <w:szCs w:val="32"/>
          <w:highlight w:val="none"/>
        </w:rPr>
      </w:pPr>
      <w:r>
        <w:rPr>
          <w:rFonts w:hint="eastAsia" w:ascii="宋体" w:hAnsi="宋体" w:cs="宋体"/>
          <w:b/>
          <w:snapToGrid w:val="0"/>
          <w:spacing w:val="4"/>
          <w:kern w:val="0"/>
          <w:sz w:val="32"/>
          <w:szCs w:val="32"/>
          <w:highlight w:val="none"/>
        </w:rPr>
        <w:t>主要人员简历表</w:t>
      </w:r>
    </w:p>
    <w:tbl>
      <w:tblPr>
        <w:tblStyle w:val="36"/>
        <w:tblpPr w:leftFromText="180" w:rightFromText="180" w:vertAnchor="text" w:tblpX="-206" w:tblpY="76"/>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14:paraId="235E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5BE582B0">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姓名</w:t>
            </w:r>
          </w:p>
        </w:tc>
        <w:tc>
          <w:tcPr>
            <w:tcW w:w="2126" w:type="dxa"/>
            <w:gridSpan w:val="3"/>
            <w:vAlign w:val="center"/>
          </w:tcPr>
          <w:p w14:paraId="0ED393D9">
            <w:pPr>
              <w:keepNext/>
              <w:keepLines/>
              <w:topLinePunct/>
              <w:adjustRightInd w:val="0"/>
              <w:snapToGrid w:val="0"/>
              <w:spacing w:line="360" w:lineRule="auto"/>
              <w:jc w:val="center"/>
              <w:outlineLvl w:val="0"/>
              <w:rPr>
                <w:rFonts w:ascii="宋体" w:hAnsi="宋体" w:cs="宋体"/>
                <w:b/>
                <w:snapToGrid w:val="0"/>
                <w:spacing w:val="4"/>
                <w:kern w:val="0"/>
                <w:sz w:val="24"/>
                <w:szCs w:val="24"/>
                <w:highlight w:val="none"/>
              </w:rPr>
            </w:pPr>
          </w:p>
        </w:tc>
        <w:tc>
          <w:tcPr>
            <w:tcW w:w="1370" w:type="dxa"/>
            <w:gridSpan w:val="2"/>
            <w:vAlign w:val="center"/>
          </w:tcPr>
          <w:p w14:paraId="65DBB39D">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性别</w:t>
            </w:r>
          </w:p>
        </w:tc>
        <w:tc>
          <w:tcPr>
            <w:tcW w:w="1701" w:type="dxa"/>
            <w:gridSpan w:val="2"/>
            <w:vAlign w:val="center"/>
          </w:tcPr>
          <w:p w14:paraId="38866853">
            <w:pPr>
              <w:keepNext/>
              <w:keepLines/>
              <w:topLinePunct/>
              <w:adjustRightInd w:val="0"/>
              <w:snapToGrid w:val="0"/>
              <w:spacing w:line="360" w:lineRule="auto"/>
              <w:jc w:val="center"/>
              <w:outlineLvl w:val="0"/>
              <w:rPr>
                <w:rFonts w:ascii="宋体" w:hAnsi="宋体" w:cs="宋体"/>
                <w:b/>
                <w:snapToGrid w:val="0"/>
                <w:spacing w:val="4"/>
                <w:kern w:val="0"/>
                <w:sz w:val="24"/>
                <w:szCs w:val="24"/>
                <w:highlight w:val="none"/>
              </w:rPr>
            </w:pPr>
          </w:p>
        </w:tc>
        <w:tc>
          <w:tcPr>
            <w:tcW w:w="1182" w:type="dxa"/>
            <w:vAlign w:val="center"/>
          </w:tcPr>
          <w:p w14:paraId="175D0D46">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年龄</w:t>
            </w:r>
          </w:p>
        </w:tc>
        <w:tc>
          <w:tcPr>
            <w:tcW w:w="1620" w:type="dxa"/>
            <w:gridSpan w:val="2"/>
            <w:vAlign w:val="center"/>
          </w:tcPr>
          <w:p w14:paraId="67D2F717">
            <w:pPr>
              <w:keepNext/>
              <w:keepLines/>
              <w:topLinePunct/>
              <w:adjustRightInd w:val="0"/>
              <w:snapToGrid w:val="0"/>
              <w:spacing w:line="360" w:lineRule="auto"/>
              <w:jc w:val="center"/>
              <w:outlineLvl w:val="0"/>
              <w:rPr>
                <w:rFonts w:ascii="宋体" w:hAnsi="宋体" w:cs="宋体"/>
                <w:b/>
                <w:snapToGrid w:val="0"/>
                <w:spacing w:val="4"/>
                <w:kern w:val="0"/>
                <w:sz w:val="24"/>
                <w:szCs w:val="24"/>
                <w:highlight w:val="none"/>
              </w:rPr>
            </w:pPr>
          </w:p>
        </w:tc>
      </w:tr>
      <w:tr w14:paraId="3F35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6D9F48C9">
            <w:pPr>
              <w:spacing w:line="360" w:lineRule="auto"/>
              <w:jc w:val="center"/>
              <w:rPr>
                <w:rFonts w:ascii="宋体" w:hAnsi="宋体" w:cs="宋体"/>
                <w:b/>
                <w:sz w:val="24"/>
                <w:szCs w:val="24"/>
                <w:highlight w:val="none"/>
              </w:rPr>
            </w:pPr>
            <w:r>
              <w:rPr>
                <w:rFonts w:hint="eastAsia" w:ascii="宋体" w:hAnsi="宋体" w:cs="宋体"/>
                <w:b/>
                <w:bCs/>
                <w:sz w:val="24"/>
                <w:szCs w:val="24"/>
                <w:highlight w:val="none"/>
              </w:rPr>
              <w:t>身份证号码</w:t>
            </w:r>
          </w:p>
        </w:tc>
        <w:tc>
          <w:tcPr>
            <w:tcW w:w="7999" w:type="dxa"/>
            <w:gridSpan w:val="10"/>
            <w:vAlign w:val="center"/>
          </w:tcPr>
          <w:p w14:paraId="12B830D2">
            <w:pPr>
              <w:topLinePunct/>
              <w:adjustRightInd w:val="0"/>
              <w:snapToGrid w:val="0"/>
              <w:spacing w:line="360" w:lineRule="auto"/>
              <w:jc w:val="center"/>
              <w:rPr>
                <w:rFonts w:ascii="宋体" w:hAnsi="宋体" w:cs="宋体"/>
                <w:b/>
                <w:snapToGrid w:val="0"/>
                <w:spacing w:val="4"/>
                <w:kern w:val="0"/>
                <w:sz w:val="24"/>
                <w:szCs w:val="24"/>
                <w:highlight w:val="none"/>
              </w:rPr>
            </w:pPr>
          </w:p>
        </w:tc>
      </w:tr>
      <w:tr w14:paraId="6558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0962E053">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在本项目任职</w:t>
            </w:r>
          </w:p>
        </w:tc>
        <w:tc>
          <w:tcPr>
            <w:tcW w:w="2126" w:type="dxa"/>
            <w:gridSpan w:val="3"/>
            <w:vAlign w:val="center"/>
          </w:tcPr>
          <w:p w14:paraId="31447B16">
            <w:pPr>
              <w:keepNext/>
              <w:keepLines/>
              <w:topLinePunct/>
              <w:adjustRightInd w:val="0"/>
              <w:snapToGrid w:val="0"/>
              <w:spacing w:line="360" w:lineRule="auto"/>
              <w:jc w:val="center"/>
              <w:outlineLvl w:val="0"/>
              <w:rPr>
                <w:rFonts w:ascii="宋体" w:hAnsi="宋体" w:cs="宋体"/>
                <w:b/>
                <w:snapToGrid w:val="0"/>
                <w:spacing w:val="4"/>
                <w:kern w:val="0"/>
                <w:sz w:val="24"/>
                <w:szCs w:val="24"/>
                <w:highlight w:val="none"/>
              </w:rPr>
            </w:pPr>
          </w:p>
        </w:tc>
        <w:tc>
          <w:tcPr>
            <w:tcW w:w="1370" w:type="dxa"/>
            <w:gridSpan w:val="2"/>
            <w:vAlign w:val="center"/>
          </w:tcPr>
          <w:p w14:paraId="2B32D7E8">
            <w:pPr>
              <w:spacing w:line="360" w:lineRule="auto"/>
              <w:jc w:val="center"/>
              <w:rPr>
                <w:rFonts w:ascii="宋体" w:hAnsi="宋体" w:cs="宋体"/>
                <w:b/>
                <w:sz w:val="24"/>
                <w:szCs w:val="24"/>
                <w:highlight w:val="none"/>
              </w:rPr>
            </w:pPr>
            <w:r>
              <w:rPr>
                <w:rFonts w:hint="eastAsia" w:ascii="宋体" w:hAnsi="宋体" w:cs="宋体"/>
                <w:b/>
                <w:sz w:val="24"/>
                <w:szCs w:val="24"/>
                <w:highlight w:val="none"/>
              </w:rPr>
              <w:t>职称</w:t>
            </w:r>
          </w:p>
        </w:tc>
        <w:tc>
          <w:tcPr>
            <w:tcW w:w="1701" w:type="dxa"/>
            <w:gridSpan w:val="2"/>
            <w:vAlign w:val="center"/>
          </w:tcPr>
          <w:p w14:paraId="58919BBF">
            <w:pPr>
              <w:keepNext/>
              <w:keepLines/>
              <w:topLinePunct/>
              <w:adjustRightInd w:val="0"/>
              <w:snapToGrid w:val="0"/>
              <w:spacing w:line="360" w:lineRule="auto"/>
              <w:jc w:val="center"/>
              <w:outlineLvl w:val="0"/>
              <w:rPr>
                <w:rFonts w:ascii="宋体" w:hAnsi="宋体" w:cs="宋体"/>
                <w:b/>
                <w:snapToGrid w:val="0"/>
                <w:spacing w:val="4"/>
                <w:kern w:val="0"/>
                <w:sz w:val="24"/>
                <w:szCs w:val="24"/>
                <w:highlight w:val="none"/>
              </w:rPr>
            </w:pPr>
          </w:p>
        </w:tc>
        <w:tc>
          <w:tcPr>
            <w:tcW w:w="1182" w:type="dxa"/>
            <w:vAlign w:val="center"/>
          </w:tcPr>
          <w:p w14:paraId="6510DEA1">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学历</w:t>
            </w:r>
          </w:p>
        </w:tc>
        <w:tc>
          <w:tcPr>
            <w:tcW w:w="1620" w:type="dxa"/>
            <w:gridSpan w:val="2"/>
            <w:vAlign w:val="center"/>
          </w:tcPr>
          <w:p w14:paraId="5339A413">
            <w:pPr>
              <w:keepNext/>
              <w:keepLines/>
              <w:topLinePunct/>
              <w:adjustRightInd w:val="0"/>
              <w:snapToGrid w:val="0"/>
              <w:spacing w:line="360" w:lineRule="auto"/>
              <w:jc w:val="center"/>
              <w:outlineLvl w:val="0"/>
              <w:rPr>
                <w:rFonts w:ascii="宋体" w:hAnsi="宋体" w:cs="宋体"/>
                <w:b/>
                <w:snapToGrid w:val="0"/>
                <w:spacing w:val="4"/>
                <w:kern w:val="0"/>
                <w:sz w:val="24"/>
                <w:szCs w:val="24"/>
                <w:highlight w:val="none"/>
              </w:rPr>
            </w:pPr>
          </w:p>
        </w:tc>
      </w:tr>
      <w:tr w14:paraId="3D34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526" w:type="dxa"/>
            <w:vAlign w:val="center"/>
          </w:tcPr>
          <w:p w14:paraId="05DE215D">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参加工作</w:t>
            </w:r>
          </w:p>
          <w:p w14:paraId="35B2A761">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年限</w:t>
            </w:r>
          </w:p>
        </w:tc>
        <w:tc>
          <w:tcPr>
            <w:tcW w:w="2126" w:type="dxa"/>
            <w:gridSpan w:val="3"/>
            <w:vAlign w:val="center"/>
          </w:tcPr>
          <w:p w14:paraId="21CC0FBA">
            <w:pPr>
              <w:keepNext/>
              <w:keepLines/>
              <w:topLinePunct/>
              <w:adjustRightInd w:val="0"/>
              <w:snapToGrid w:val="0"/>
              <w:spacing w:line="360" w:lineRule="auto"/>
              <w:jc w:val="center"/>
              <w:outlineLvl w:val="0"/>
              <w:rPr>
                <w:rFonts w:ascii="宋体" w:hAnsi="宋体" w:cs="宋体"/>
                <w:b/>
                <w:snapToGrid w:val="0"/>
                <w:spacing w:val="4"/>
                <w:kern w:val="0"/>
                <w:sz w:val="24"/>
                <w:szCs w:val="24"/>
                <w:highlight w:val="none"/>
              </w:rPr>
            </w:pPr>
          </w:p>
        </w:tc>
        <w:tc>
          <w:tcPr>
            <w:tcW w:w="1370" w:type="dxa"/>
            <w:gridSpan w:val="2"/>
            <w:vAlign w:val="center"/>
          </w:tcPr>
          <w:p w14:paraId="2C842418">
            <w:pPr>
              <w:topLinePunct/>
              <w:adjustRightInd w:val="0"/>
              <w:snapToGrid w:val="0"/>
              <w:spacing w:line="360" w:lineRule="auto"/>
              <w:jc w:val="center"/>
              <w:rPr>
                <w:rFonts w:ascii="宋体" w:hAnsi="宋体" w:cs="宋体"/>
                <w:b/>
                <w:snapToGrid w:val="0"/>
                <w:spacing w:val="4"/>
                <w:kern w:val="0"/>
                <w:sz w:val="24"/>
                <w:szCs w:val="24"/>
                <w:highlight w:val="none"/>
              </w:rPr>
            </w:pPr>
            <w:r>
              <w:rPr>
                <w:rFonts w:hint="eastAsia" w:ascii="宋体" w:hAnsi="宋体" w:cs="宋体"/>
                <w:b/>
                <w:snapToGrid w:val="0"/>
                <w:spacing w:val="4"/>
                <w:kern w:val="0"/>
                <w:sz w:val="24"/>
                <w:szCs w:val="24"/>
                <w:highlight w:val="none"/>
              </w:rPr>
              <w:t>担任相应职务年限</w:t>
            </w:r>
          </w:p>
        </w:tc>
        <w:tc>
          <w:tcPr>
            <w:tcW w:w="4503" w:type="dxa"/>
            <w:gridSpan w:val="5"/>
            <w:vAlign w:val="center"/>
          </w:tcPr>
          <w:p w14:paraId="6469782B">
            <w:pPr>
              <w:keepNext/>
              <w:keepLines/>
              <w:topLinePunct/>
              <w:adjustRightInd w:val="0"/>
              <w:snapToGrid w:val="0"/>
              <w:spacing w:line="360" w:lineRule="auto"/>
              <w:jc w:val="center"/>
              <w:outlineLvl w:val="0"/>
              <w:rPr>
                <w:rFonts w:ascii="宋体" w:hAnsi="宋体" w:cs="宋体"/>
                <w:b/>
                <w:snapToGrid w:val="0"/>
                <w:spacing w:val="4"/>
                <w:kern w:val="0"/>
                <w:sz w:val="24"/>
                <w:szCs w:val="24"/>
                <w:highlight w:val="none"/>
              </w:rPr>
            </w:pPr>
          </w:p>
        </w:tc>
      </w:tr>
      <w:tr w14:paraId="185D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vAlign w:val="center"/>
          </w:tcPr>
          <w:p w14:paraId="0FE85B26">
            <w:pPr>
              <w:spacing w:line="360" w:lineRule="auto"/>
              <w:jc w:val="center"/>
              <w:rPr>
                <w:rFonts w:ascii="宋体" w:hAnsi="宋体" w:cs="宋体"/>
                <w:b/>
                <w:sz w:val="24"/>
                <w:szCs w:val="24"/>
                <w:highlight w:val="none"/>
              </w:rPr>
            </w:pPr>
            <w:r>
              <w:rPr>
                <w:rFonts w:hint="eastAsia" w:ascii="宋体" w:hAnsi="宋体" w:cs="宋体"/>
                <w:b/>
                <w:sz w:val="24"/>
                <w:szCs w:val="24"/>
                <w:highlight w:val="none"/>
              </w:rPr>
              <w:t>资格证书号</w:t>
            </w:r>
          </w:p>
        </w:tc>
        <w:tc>
          <w:tcPr>
            <w:tcW w:w="7999" w:type="dxa"/>
            <w:gridSpan w:val="10"/>
            <w:vAlign w:val="center"/>
          </w:tcPr>
          <w:p w14:paraId="5FFD6D76">
            <w:pPr>
              <w:keepNext/>
              <w:keepLines/>
              <w:topLinePunct/>
              <w:adjustRightInd w:val="0"/>
              <w:snapToGrid w:val="0"/>
              <w:spacing w:line="360" w:lineRule="auto"/>
              <w:jc w:val="center"/>
              <w:outlineLvl w:val="0"/>
              <w:rPr>
                <w:rFonts w:ascii="宋体" w:hAnsi="宋体" w:cs="宋体"/>
                <w:b/>
                <w:snapToGrid w:val="0"/>
                <w:spacing w:val="4"/>
                <w:kern w:val="0"/>
                <w:sz w:val="24"/>
                <w:szCs w:val="24"/>
                <w:highlight w:val="none"/>
              </w:rPr>
            </w:pPr>
          </w:p>
        </w:tc>
      </w:tr>
      <w:tr w14:paraId="44303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25" w:type="dxa"/>
            <w:gridSpan w:val="11"/>
            <w:vAlign w:val="center"/>
          </w:tcPr>
          <w:p w14:paraId="495E5D5B">
            <w:pPr>
              <w:topLinePunct/>
              <w:adjustRightInd w:val="0"/>
              <w:snapToGrid w:val="0"/>
              <w:spacing w:line="360" w:lineRule="auto"/>
              <w:jc w:val="center"/>
              <w:rPr>
                <w:rFonts w:ascii="宋体" w:hAnsi="宋体" w:cs="宋体"/>
                <w:b/>
                <w:snapToGrid w:val="0"/>
                <w:spacing w:val="4"/>
                <w:kern w:val="0"/>
                <w:sz w:val="24"/>
                <w:szCs w:val="24"/>
                <w:highlight w:val="none"/>
              </w:rPr>
            </w:pPr>
            <w:r>
              <w:rPr>
                <w:rFonts w:hint="eastAsia" w:ascii="宋体" w:hAnsi="宋体" w:cs="宋体"/>
                <w:b/>
                <w:snapToGrid w:val="0"/>
                <w:spacing w:val="4"/>
                <w:kern w:val="0"/>
                <w:sz w:val="24"/>
                <w:szCs w:val="24"/>
                <w:highlight w:val="none"/>
              </w:rPr>
              <w:t>业绩简介</w:t>
            </w:r>
          </w:p>
        </w:tc>
      </w:tr>
      <w:tr w14:paraId="6E85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09DCA6E7">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建设单位</w:t>
            </w:r>
          </w:p>
        </w:tc>
        <w:tc>
          <w:tcPr>
            <w:tcW w:w="1547" w:type="dxa"/>
            <w:vAlign w:val="center"/>
          </w:tcPr>
          <w:p w14:paraId="70FBB32C">
            <w:pPr>
              <w:spacing w:line="360" w:lineRule="auto"/>
              <w:jc w:val="center"/>
              <w:rPr>
                <w:rFonts w:ascii="宋体" w:hAnsi="宋体" w:cs="宋体"/>
                <w:b/>
                <w:sz w:val="24"/>
                <w:szCs w:val="24"/>
                <w:highlight w:val="none"/>
              </w:rPr>
            </w:pPr>
            <w:r>
              <w:rPr>
                <w:rFonts w:hint="eastAsia" w:ascii="宋体" w:hAnsi="宋体" w:cs="宋体"/>
                <w:b/>
                <w:sz w:val="24"/>
                <w:szCs w:val="24"/>
                <w:highlight w:val="none"/>
              </w:rPr>
              <w:t>项目名称</w:t>
            </w:r>
          </w:p>
        </w:tc>
        <w:tc>
          <w:tcPr>
            <w:tcW w:w="1549" w:type="dxa"/>
            <w:gridSpan w:val="2"/>
            <w:vAlign w:val="center"/>
          </w:tcPr>
          <w:p w14:paraId="0315953A">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建设规模</w:t>
            </w:r>
          </w:p>
        </w:tc>
        <w:tc>
          <w:tcPr>
            <w:tcW w:w="1783" w:type="dxa"/>
            <w:gridSpan w:val="2"/>
            <w:vAlign w:val="center"/>
          </w:tcPr>
          <w:p w14:paraId="6E0A7775">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开、竣工日期</w:t>
            </w:r>
          </w:p>
        </w:tc>
        <w:tc>
          <w:tcPr>
            <w:tcW w:w="1547" w:type="dxa"/>
            <w:gridSpan w:val="3"/>
            <w:vAlign w:val="center"/>
          </w:tcPr>
          <w:p w14:paraId="2295B5D9">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在建或已完成</w:t>
            </w:r>
          </w:p>
        </w:tc>
        <w:tc>
          <w:tcPr>
            <w:tcW w:w="1551" w:type="dxa"/>
            <w:vAlign w:val="center"/>
          </w:tcPr>
          <w:p w14:paraId="646E176D">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工程质量</w:t>
            </w:r>
          </w:p>
        </w:tc>
      </w:tr>
      <w:tr w14:paraId="1793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18BFE6F3">
            <w:pPr>
              <w:topLinePunct/>
              <w:adjustRightInd w:val="0"/>
              <w:snapToGrid w:val="0"/>
              <w:spacing w:line="360" w:lineRule="auto"/>
              <w:jc w:val="center"/>
              <w:rPr>
                <w:rFonts w:ascii="宋体" w:hAnsi="宋体" w:cs="宋体"/>
                <w:b/>
                <w:snapToGrid w:val="0"/>
                <w:spacing w:val="4"/>
                <w:kern w:val="0"/>
                <w:sz w:val="24"/>
                <w:szCs w:val="24"/>
                <w:highlight w:val="none"/>
              </w:rPr>
            </w:pPr>
          </w:p>
        </w:tc>
        <w:tc>
          <w:tcPr>
            <w:tcW w:w="1547" w:type="dxa"/>
            <w:vAlign w:val="center"/>
          </w:tcPr>
          <w:p w14:paraId="150BC3BC">
            <w:pPr>
              <w:topLinePunct/>
              <w:adjustRightInd w:val="0"/>
              <w:snapToGrid w:val="0"/>
              <w:spacing w:line="360" w:lineRule="auto"/>
              <w:jc w:val="center"/>
              <w:rPr>
                <w:rFonts w:ascii="宋体" w:hAnsi="宋体" w:cs="宋体"/>
                <w:b/>
                <w:snapToGrid w:val="0"/>
                <w:spacing w:val="4"/>
                <w:kern w:val="0"/>
                <w:sz w:val="24"/>
                <w:szCs w:val="24"/>
                <w:highlight w:val="none"/>
              </w:rPr>
            </w:pPr>
          </w:p>
        </w:tc>
        <w:tc>
          <w:tcPr>
            <w:tcW w:w="1549" w:type="dxa"/>
            <w:gridSpan w:val="2"/>
            <w:vAlign w:val="center"/>
          </w:tcPr>
          <w:p w14:paraId="7F60B366">
            <w:pPr>
              <w:topLinePunct/>
              <w:adjustRightInd w:val="0"/>
              <w:snapToGrid w:val="0"/>
              <w:spacing w:line="360" w:lineRule="auto"/>
              <w:jc w:val="center"/>
              <w:rPr>
                <w:rFonts w:ascii="宋体" w:hAnsi="宋体" w:cs="宋体"/>
                <w:b/>
                <w:snapToGrid w:val="0"/>
                <w:spacing w:val="4"/>
                <w:kern w:val="0"/>
                <w:sz w:val="24"/>
                <w:szCs w:val="24"/>
                <w:highlight w:val="none"/>
              </w:rPr>
            </w:pPr>
          </w:p>
        </w:tc>
        <w:tc>
          <w:tcPr>
            <w:tcW w:w="1783" w:type="dxa"/>
            <w:gridSpan w:val="2"/>
            <w:vAlign w:val="center"/>
          </w:tcPr>
          <w:p w14:paraId="3BCF416C">
            <w:pPr>
              <w:topLinePunct/>
              <w:adjustRightInd w:val="0"/>
              <w:snapToGrid w:val="0"/>
              <w:spacing w:line="360" w:lineRule="auto"/>
              <w:jc w:val="center"/>
              <w:rPr>
                <w:rFonts w:ascii="宋体" w:hAnsi="宋体" w:cs="宋体"/>
                <w:b/>
                <w:snapToGrid w:val="0"/>
                <w:spacing w:val="4"/>
                <w:kern w:val="0"/>
                <w:sz w:val="24"/>
                <w:szCs w:val="24"/>
                <w:highlight w:val="none"/>
              </w:rPr>
            </w:pPr>
          </w:p>
        </w:tc>
        <w:tc>
          <w:tcPr>
            <w:tcW w:w="1547" w:type="dxa"/>
            <w:gridSpan w:val="3"/>
            <w:vAlign w:val="center"/>
          </w:tcPr>
          <w:p w14:paraId="190D9F55">
            <w:pPr>
              <w:topLinePunct/>
              <w:adjustRightInd w:val="0"/>
              <w:snapToGrid w:val="0"/>
              <w:spacing w:line="360" w:lineRule="auto"/>
              <w:jc w:val="center"/>
              <w:rPr>
                <w:rFonts w:ascii="宋体" w:hAnsi="宋体" w:cs="宋体"/>
                <w:b/>
                <w:snapToGrid w:val="0"/>
                <w:spacing w:val="4"/>
                <w:kern w:val="0"/>
                <w:sz w:val="24"/>
                <w:szCs w:val="24"/>
                <w:highlight w:val="none"/>
              </w:rPr>
            </w:pPr>
          </w:p>
        </w:tc>
        <w:tc>
          <w:tcPr>
            <w:tcW w:w="1551" w:type="dxa"/>
            <w:vAlign w:val="center"/>
          </w:tcPr>
          <w:p w14:paraId="3AA64437">
            <w:pPr>
              <w:topLinePunct/>
              <w:adjustRightInd w:val="0"/>
              <w:snapToGrid w:val="0"/>
              <w:spacing w:line="360" w:lineRule="auto"/>
              <w:jc w:val="center"/>
              <w:rPr>
                <w:rFonts w:ascii="宋体" w:hAnsi="宋体" w:cs="宋体"/>
                <w:b/>
                <w:snapToGrid w:val="0"/>
                <w:spacing w:val="4"/>
                <w:kern w:val="0"/>
                <w:sz w:val="24"/>
                <w:szCs w:val="24"/>
                <w:highlight w:val="none"/>
              </w:rPr>
            </w:pPr>
          </w:p>
        </w:tc>
      </w:tr>
      <w:tr w14:paraId="552E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1A051FBA">
            <w:pPr>
              <w:topLinePunct/>
              <w:adjustRightInd w:val="0"/>
              <w:snapToGrid w:val="0"/>
              <w:spacing w:line="360" w:lineRule="auto"/>
              <w:jc w:val="center"/>
              <w:rPr>
                <w:rFonts w:ascii="宋体" w:hAnsi="宋体" w:cs="宋体"/>
                <w:snapToGrid w:val="0"/>
                <w:spacing w:val="4"/>
                <w:kern w:val="0"/>
                <w:sz w:val="24"/>
                <w:szCs w:val="24"/>
                <w:highlight w:val="none"/>
              </w:rPr>
            </w:pPr>
          </w:p>
        </w:tc>
        <w:tc>
          <w:tcPr>
            <w:tcW w:w="1547" w:type="dxa"/>
            <w:vAlign w:val="center"/>
          </w:tcPr>
          <w:p w14:paraId="519ED200">
            <w:pPr>
              <w:topLinePunct/>
              <w:adjustRightInd w:val="0"/>
              <w:snapToGrid w:val="0"/>
              <w:spacing w:line="360" w:lineRule="auto"/>
              <w:jc w:val="center"/>
              <w:rPr>
                <w:rFonts w:ascii="宋体" w:hAnsi="宋体" w:cs="宋体"/>
                <w:snapToGrid w:val="0"/>
                <w:spacing w:val="4"/>
                <w:kern w:val="0"/>
                <w:sz w:val="24"/>
                <w:szCs w:val="24"/>
                <w:highlight w:val="none"/>
              </w:rPr>
            </w:pPr>
          </w:p>
        </w:tc>
        <w:tc>
          <w:tcPr>
            <w:tcW w:w="1549" w:type="dxa"/>
            <w:gridSpan w:val="2"/>
            <w:vAlign w:val="center"/>
          </w:tcPr>
          <w:p w14:paraId="54EB2304">
            <w:pPr>
              <w:topLinePunct/>
              <w:adjustRightInd w:val="0"/>
              <w:snapToGrid w:val="0"/>
              <w:spacing w:line="360" w:lineRule="auto"/>
              <w:jc w:val="center"/>
              <w:rPr>
                <w:rFonts w:ascii="宋体" w:hAnsi="宋体" w:cs="宋体"/>
                <w:snapToGrid w:val="0"/>
                <w:spacing w:val="4"/>
                <w:kern w:val="0"/>
                <w:sz w:val="24"/>
                <w:szCs w:val="24"/>
                <w:highlight w:val="none"/>
              </w:rPr>
            </w:pPr>
          </w:p>
        </w:tc>
        <w:tc>
          <w:tcPr>
            <w:tcW w:w="1783" w:type="dxa"/>
            <w:gridSpan w:val="2"/>
            <w:vAlign w:val="center"/>
          </w:tcPr>
          <w:p w14:paraId="5BAB2233">
            <w:pPr>
              <w:topLinePunct/>
              <w:adjustRightInd w:val="0"/>
              <w:snapToGrid w:val="0"/>
              <w:spacing w:line="360" w:lineRule="auto"/>
              <w:jc w:val="center"/>
              <w:rPr>
                <w:rFonts w:ascii="宋体" w:hAnsi="宋体" w:cs="宋体"/>
                <w:snapToGrid w:val="0"/>
                <w:spacing w:val="4"/>
                <w:kern w:val="0"/>
                <w:sz w:val="24"/>
                <w:szCs w:val="24"/>
                <w:highlight w:val="none"/>
              </w:rPr>
            </w:pPr>
          </w:p>
        </w:tc>
        <w:tc>
          <w:tcPr>
            <w:tcW w:w="1547" w:type="dxa"/>
            <w:gridSpan w:val="3"/>
            <w:vAlign w:val="center"/>
          </w:tcPr>
          <w:p w14:paraId="4F4BDEE2">
            <w:pPr>
              <w:topLinePunct/>
              <w:adjustRightInd w:val="0"/>
              <w:snapToGrid w:val="0"/>
              <w:spacing w:line="360" w:lineRule="auto"/>
              <w:jc w:val="center"/>
              <w:rPr>
                <w:rFonts w:ascii="宋体" w:hAnsi="宋体" w:cs="宋体"/>
                <w:snapToGrid w:val="0"/>
                <w:spacing w:val="4"/>
                <w:kern w:val="0"/>
                <w:sz w:val="24"/>
                <w:szCs w:val="24"/>
                <w:highlight w:val="none"/>
              </w:rPr>
            </w:pPr>
          </w:p>
        </w:tc>
        <w:tc>
          <w:tcPr>
            <w:tcW w:w="1551" w:type="dxa"/>
            <w:vAlign w:val="center"/>
          </w:tcPr>
          <w:p w14:paraId="2CB27492">
            <w:pPr>
              <w:topLinePunct/>
              <w:adjustRightInd w:val="0"/>
              <w:snapToGrid w:val="0"/>
              <w:spacing w:line="360" w:lineRule="auto"/>
              <w:jc w:val="center"/>
              <w:rPr>
                <w:rFonts w:ascii="宋体" w:hAnsi="宋体" w:cs="宋体"/>
                <w:snapToGrid w:val="0"/>
                <w:spacing w:val="4"/>
                <w:kern w:val="0"/>
                <w:sz w:val="24"/>
                <w:szCs w:val="24"/>
                <w:highlight w:val="none"/>
              </w:rPr>
            </w:pPr>
          </w:p>
        </w:tc>
      </w:tr>
      <w:tr w14:paraId="1B89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001B2715">
            <w:pPr>
              <w:topLinePunct/>
              <w:adjustRightInd w:val="0"/>
              <w:snapToGrid w:val="0"/>
              <w:spacing w:line="360" w:lineRule="auto"/>
              <w:jc w:val="center"/>
              <w:rPr>
                <w:rFonts w:ascii="宋体" w:hAnsi="宋体" w:cs="宋体"/>
                <w:snapToGrid w:val="0"/>
                <w:spacing w:val="4"/>
                <w:kern w:val="0"/>
                <w:sz w:val="24"/>
                <w:szCs w:val="24"/>
                <w:highlight w:val="none"/>
              </w:rPr>
            </w:pPr>
          </w:p>
        </w:tc>
        <w:tc>
          <w:tcPr>
            <w:tcW w:w="1547" w:type="dxa"/>
            <w:vAlign w:val="center"/>
          </w:tcPr>
          <w:p w14:paraId="2CB6F68B">
            <w:pPr>
              <w:topLinePunct/>
              <w:adjustRightInd w:val="0"/>
              <w:snapToGrid w:val="0"/>
              <w:spacing w:line="360" w:lineRule="auto"/>
              <w:jc w:val="center"/>
              <w:rPr>
                <w:rFonts w:ascii="宋体" w:hAnsi="宋体" w:cs="宋体"/>
                <w:snapToGrid w:val="0"/>
                <w:spacing w:val="4"/>
                <w:kern w:val="0"/>
                <w:sz w:val="24"/>
                <w:szCs w:val="24"/>
                <w:highlight w:val="none"/>
              </w:rPr>
            </w:pPr>
          </w:p>
        </w:tc>
        <w:tc>
          <w:tcPr>
            <w:tcW w:w="1549" w:type="dxa"/>
            <w:gridSpan w:val="2"/>
            <w:vAlign w:val="center"/>
          </w:tcPr>
          <w:p w14:paraId="021D08E5">
            <w:pPr>
              <w:topLinePunct/>
              <w:adjustRightInd w:val="0"/>
              <w:snapToGrid w:val="0"/>
              <w:spacing w:line="360" w:lineRule="auto"/>
              <w:jc w:val="center"/>
              <w:rPr>
                <w:rFonts w:ascii="宋体" w:hAnsi="宋体" w:cs="宋体"/>
                <w:snapToGrid w:val="0"/>
                <w:spacing w:val="4"/>
                <w:kern w:val="0"/>
                <w:sz w:val="24"/>
                <w:szCs w:val="24"/>
                <w:highlight w:val="none"/>
              </w:rPr>
            </w:pPr>
          </w:p>
        </w:tc>
        <w:tc>
          <w:tcPr>
            <w:tcW w:w="1783" w:type="dxa"/>
            <w:gridSpan w:val="2"/>
            <w:vAlign w:val="center"/>
          </w:tcPr>
          <w:p w14:paraId="2EEAE540">
            <w:pPr>
              <w:topLinePunct/>
              <w:adjustRightInd w:val="0"/>
              <w:snapToGrid w:val="0"/>
              <w:spacing w:line="360" w:lineRule="auto"/>
              <w:jc w:val="center"/>
              <w:rPr>
                <w:rFonts w:ascii="宋体" w:hAnsi="宋体" w:cs="宋体"/>
                <w:snapToGrid w:val="0"/>
                <w:spacing w:val="4"/>
                <w:kern w:val="0"/>
                <w:sz w:val="24"/>
                <w:szCs w:val="24"/>
                <w:highlight w:val="none"/>
              </w:rPr>
            </w:pPr>
          </w:p>
        </w:tc>
        <w:tc>
          <w:tcPr>
            <w:tcW w:w="1547" w:type="dxa"/>
            <w:gridSpan w:val="3"/>
            <w:vAlign w:val="center"/>
          </w:tcPr>
          <w:p w14:paraId="04699A9A">
            <w:pPr>
              <w:topLinePunct/>
              <w:adjustRightInd w:val="0"/>
              <w:snapToGrid w:val="0"/>
              <w:spacing w:line="360" w:lineRule="auto"/>
              <w:jc w:val="center"/>
              <w:rPr>
                <w:rFonts w:ascii="宋体" w:hAnsi="宋体" w:cs="宋体"/>
                <w:snapToGrid w:val="0"/>
                <w:spacing w:val="4"/>
                <w:kern w:val="0"/>
                <w:sz w:val="24"/>
                <w:szCs w:val="24"/>
                <w:highlight w:val="none"/>
              </w:rPr>
            </w:pPr>
          </w:p>
        </w:tc>
        <w:tc>
          <w:tcPr>
            <w:tcW w:w="1551" w:type="dxa"/>
            <w:vAlign w:val="center"/>
          </w:tcPr>
          <w:p w14:paraId="625CC1F6">
            <w:pPr>
              <w:topLinePunct/>
              <w:adjustRightInd w:val="0"/>
              <w:snapToGrid w:val="0"/>
              <w:spacing w:line="360" w:lineRule="auto"/>
              <w:jc w:val="center"/>
              <w:rPr>
                <w:rFonts w:ascii="宋体" w:hAnsi="宋体" w:cs="宋体"/>
                <w:snapToGrid w:val="0"/>
                <w:spacing w:val="4"/>
                <w:kern w:val="0"/>
                <w:sz w:val="24"/>
                <w:szCs w:val="24"/>
                <w:highlight w:val="none"/>
              </w:rPr>
            </w:pPr>
          </w:p>
        </w:tc>
      </w:tr>
    </w:tbl>
    <w:p w14:paraId="14760636">
      <w:pPr>
        <w:topLinePunct/>
        <w:adjustRightInd w:val="0"/>
        <w:snapToGrid w:val="0"/>
        <w:spacing w:line="360" w:lineRule="auto"/>
        <w:ind w:firstLine="3596" w:firstLineChars="1450"/>
        <w:rPr>
          <w:rFonts w:ascii="宋体" w:hAnsi="宋体" w:cs="宋体"/>
          <w:snapToGrid w:val="0"/>
          <w:spacing w:val="4"/>
          <w:kern w:val="0"/>
          <w:sz w:val="24"/>
          <w:szCs w:val="24"/>
          <w:highlight w:val="none"/>
        </w:rPr>
      </w:pPr>
    </w:p>
    <w:p w14:paraId="0ED8F1D4">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投标人：（盖章）</w:t>
      </w:r>
    </w:p>
    <w:p w14:paraId="33C20BF0">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法定代表人或授权代理人（签字或盖章）：</w:t>
      </w:r>
    </w:p>
    <w:p w14:paraId="3650B953">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 xml:space="preserve">日期：   年    月    日 </w:t>
      </w:r>
    </w:p>
    <w:p w14:paraId="51E27566">
      <w:pPr>
        <w:topLinePunct/>
        <w:adjustRightInd w:val="0"/>
        <w:snapToGrid w:val="0"/>
        <w:spacing w:line="360" w:lineRule="auto"/>
        <w:ind w:firstLine="691" w:firstLineChars="279"/>
        <w:rPr>
          <w:rFonts w:ascii="宋体" w:hAnsi="宋体" w:cs="宋体"/>
          <w:snapToGrid w:val="0"/>
          <w:spacing w:val="4"/>
          <w:kern w:val="0"/>
          <w:sz w:val="24"/>
          <w:szCs w:val="24"/>
          <w:highlight w:val="none"/>
        </w:rPr>
      </w:pPr>
    </w:p>
    <w:p w14:paraId="3E3BEDB0">
      <w:pPr>
        <w:topLinePunct/>
        <w:adjustRightInd w:val="0"/>
        <w:snapToGrid w:val="0"/>
        <w:spacing w:line="360" w:lineRule="auto"/>
        <w:ind w:firstLine="496" w:firstLineChars="200"/>
        <w:rPr>
          <w:rFonts w:ascii="宋体" w:hAnsi="宋体" w:cs="宋体"/>
          <w:snapToGrid w:val="0"/>
          <w:spacing w:val="4"/>
          <w:kern w:val="0"/>
          <w:sz w:val="24"/>
          <w:szCs w:val="24"/>
          <w:highlight w:val="none"/>
        </w:rPr>
        <w:sectPr>
          <w:pgSz w:w="11905" w:h="16838"/>
          <w:pgMar w:top="1134" w:right="1134" w:bottom="1134" w:left="1134" w:header="851" w:footer="907" w:gutter="0"/>
          <w:cols w:space="0" w:num="1"/>
          <w:titlePg/>
          <w:docGrid w:type="lines" w:linePitch="317" w:charSpace="0"/>
        </w:sectPr>
      </w:pPr>
    </w:p>
    <w:p w14:paraId="6AB8D64C">
      <w:pPr>
        <w:widowControl/>
        <w:spacing w:line="360" w:lineRule="auto"/>
        <w:jc w:val="left"/>
        <w:outlineLvl w:val="2"/>
        <w:rPr>
          <w:rFonts w:ascii="宋体" w:hAnsi="宋体" w:cs="宋体"/>
          <w:bCs/>
          <w:kern w:val="0"/>
          <w:sz w:val="24"/>
          <w:szCs w:val="24"/>
          <w:highlight w:val="none"/>
        </w:rPr>
      </w:pPr>
      <w:bookmarkStart w:id="88" w:name="_Toc31709"/>
      <w:bookmarkStart w:id="89" w:name="_Toc9846"/>
      <w:bookmarkStart w:id="90" w:name="_Toc8019"/>
      <w:bookmarkStart w:id="91" w:name="_Toc4340135"/>
      <w:bookmarkStart w:id="92" w:name="_Toc4339797"/>
      <w:bookmarkStart w:id="93" w:name="_Toc4489946"/>
      <w:r>
        <w:rPr>
          <w:rFonts w:hint="eastAsia" w:ascii="宋体" w:hAnsi="宋体" w:cs="宋体"/>
          <w:bCs/>
          <w:kern w:val="0"/>
          <w:sz w:val="24"/>
          <w:szCs w:val="24"/>
          <w:highlight w:val="none"/>
        </w:rPr>
        <w:t>格式</w:t>
      </w:r>
      <w:bookmarkEnd w:id="88"/>
      <w:bookmarkEnd w:id="89"/>
      <w:r>
        <w:rPr>
          <w:rFonts w:hint="eastAsia" w:ascii="宋体" w:hAnsi="宋体" w:cs="宋体"/>
          <w:bCs/>
          <w:kern w:val="0"/>
          <w:sz w:val="24"/>
          <w:szCs w:val="24"/>
          <w:highlight w:val="none"/>
        </w:rPr>
        <w:t>七</w:t>
      </w:r>
    </w:p>
    <w:p w14:paraId="50020CAE">
      <w:pPr>
        <w:topLinePunct/>
        <w:adjustRightInd w:val="0"/>
        <w:snapToGrid w:val="0"/>
        <w:spacing w:line="360" w:lineRule="auto"/>
        <w:jc w:val="center"/>
        <w:rPr>
          <w:rFonts w:ascii="宋体" w:hAnsi="宋体" w:cs="宋体"/>
          <w:b/>
          <w:snapToGrid w:val="0"/>
          <w:spacing w:val="4"/>
          <w:kern w:val="0"/>
          <w:sz w:val="32"/>
          <w:szCs w:val="32"/>
          <w:highlight w:val="none"/>
        </w:rPr>
      </w:pPr>
      <w:r>
        <w:rPr>
          <w:rFonts w:hint="eastAsia" w:ascii="宋体" w:hAnsi="宋体" w:cs="宋体"/>
          <w:b/>
          <w:snapToGrid w:val="0"/>
          <w:spacing w:val="4"/>
          <w:kern w:val="0"/>
          <w:sz w:val="32"/>
          <w:szCs w:val="32"/>
          <w:highlight w:val="none"/>
        </w:rPr>
        <w:t>承诺书</w:t>
      </w:r>
    </w:p>
    <w:p w14:paraId="79AD5EB3">
      <w:pPr>
        <w:topLinePunct/>
        <w:adjustRightInd w:val="0"/>
        <w:snapToGrid w:val="0"/>
        <w:spacing w:line="360" w:lineRule="auto"/>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致：广州城投住房租赁发展投资有限公司</w:t>
      </w:r>
    </w:p>
    <w:p w14:paraId="0B170406">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经详细阅读本工程招标文件、招标答疑纪要和踏勘现场，我司已理解招标人对本招标项目工程管理的高标准及严格要求，在此，我司郑重作出以下承诺：</w:t>
      </w:r>
    </w:p>
    <w:p w14:paraId="0D020B90">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w:t>
      </w:r>
      <w:bookmarkStart w:id="94" w:name="_Toc444607390"/>
      <w:bookmarkStart w:id="95" w:name="_Toc11044"/>
      <w:bookmarkStart w:id="96" w:name="_Toc24085"/>
      <w:r>
        <w:rPr>
          <w:rFonts w:hint="eastAsia" w:ascii="宋体" w:hAnsi="宋体" w:cs="宋体"/>
          <w:snapToGrid w:val="0"/>
          <w:spacing w:val="4"/>
          <w:kern w:val="0"/>
          <w:sz w:val="24"/>
          <w:szCs w:val="24"/>
          <w:highlight w:val="none"/>
        </w:rPr>
        <w:t>施工期间现</w:t>
      </w:r>
      <w:bookmarkEnd w:id="94"/>
      <w:r>
        <w:rPr>
          <w:rFonts w:hint="eastAsia" w:ascii="宋体" w:hAnsi="宋体" w:cs="宋体"/>
          <w:snapToGrid w:val="0"/>
          <w:spacing w:val="4"/>
          <w:kern w:val="0"/>
          <w:sz w:val="24"/>
          <w:szCs w:val="24"/>
          <w:highlight w:val="none"/>
        </w:rPr>
        <w:t>场条件发生的任何阻碍而影响投标承诺的竣工日期。</w:t>
      </w:r>
    </w:p>
    <w:p w14:paraId="22823B54">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792AB8D7">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7701FA33">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四、经认真进行市场调查，我司承诺本招标项目材料、设备来源有保证，可按投标承诺及时组织到货，无需代换，图纸、资料和设计文件中所要求的条件我司全部能够满足。</w:t>
      </w:r>
    </w:p>
    <w:p w14:paraId="21E87E86">
      <w:pPr>
        <w:topLinePunct/>
        <w:adjustRightInd w:val="0"/>
        <w:snapToGrid w:val="0"/>
        <w:spacing w:line="360" w:lineRule="auto"/>
        <w:ind w:firstLine="496" w:firstLineChars="200"/>
        <w:rPr>
          <w:rFonts w:ascii="宋体" w:hAnsi="宋体" w:cs="宋体"/>
          <w:snapToGrid w:val="0"/>
          <w:spacing w:val="2"/>
          <w:kern w:val="0"/>
          <w:position w:val="2"/>
          <w:sz w:val="24"/>
          <w:szCs w:val="24"/>
          <w:highlight w:val="none"/>
        </w:rPr>
      </w:pPr>
      <w:r>
        <w:rPr>
          <w:rFonts w:hint="eastAsia" w:ascii="宋体" w:hAnsi="宋体" w:cs="宋体"/>
          <w:snapToGrid w:val="0"/>
          <w:spacing w:val="4"/>
          <w:kern w:val="0"/>
          <w:sz w:val="24"/>
          <w:szCs w:val="24"/>
          <w:highlight w:val="none"/>
        </w:rPr>
        <w:t>五、</w:t>
      </w:r>
      <w:r>
        <w:rPr>
          <w:rFonts w:hint="eastAsia" w:ascii="宋体" w:hAnsi="宋体" w:cs="宋体"/>
          <w:snapToGrid w:val="0"/>
          <w:spacing w:val="2"/>
          <w:kern w:val="0"/>
          <w:position w:val="2"/>
          <w:sz w:val="24"/>
          <w:szCs w:val="24"/>
          <w:highlight w:val="none"/>
        </w:rPr>
        <w:t>鉴于本工程的重要性、复杂性和工期的紧迫性，为确保按时、按质完成本工程的施工任务，我司经慎重考虑，承诺按招标文件的要求投入人员。否则，按合同约定处理，并承担违约责任。</w:t>
      </w:r>
    </w:p>
    <w:p w14:paraId="6F4AA83A">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六、我司已充分阅读并理解招标文件第三章合同格式的所有内容，且对合同条款相关疑问已在投标阶段时提出。如果我司的投标被接受，将保证按招标文件规定的时间及合同条款与贵局签订合同，且在办理合同签订手续时积极主动配合招标人，不提出任何违反招标文件合同条款精神的任何书面要求和疑问。</w:t>
      </w:r>
    </w:p>
    <w:p w14:paraId="1E24B933">
      <w:pPr>
        <w:topLinePunct/>
        <w:adjustRightInd w:val="0"/>
        <w:snapToGrid w:val="0"/>
        <w:spacing w:line="360" w:lineRule="auto"/>
        <w:ind w:firstLine="472" w:firstLineChars="200"/>
        <w:rPr>
          <w:rFonts w:ascii="宋体" w:hAnsi="宋体" w:cs="宋体"/>
          <w:snapToGrid w:val="0"/>
          <w:spacing w:val="-2"/>
          <w:kern w:val="0"/>
          <w:sz w:val="24"/>
          <w:szCs w:val="24"/>
          <w:highlight w:val="none"/>
        </w:rPr>
      </w:pPr>
      <w:r>
        <w:rPr>
          <w:rFonts w:hint="eastAsia" w:ascii="宋体" w:hAnsi="宋体" w:cs="宋体"/>
          <w:snapToGrid w:val="0"/>
          <w:spacing w:val="-2"/>
          <w:kern w:val="0"/>
          <w:sz w:val="24"/>
          <w:szCs w:val="24"/>
          <w:highlight w:val="none"/>
        </w:rPr>
        <w:t>七、我司保证本工程文明施工和职业健康安全管理方案完全满足国家、省、市政府、主管部门颁布的安全生产规程与规定，完全满足《建筑施工安全检查标准》（JGJ59-2011）、《广州市建设工程现场文明施工管理办法》（穗建质〔2008〕937号）、《广州市城乡建设委员会关于印发广州市加强建筑工地环保管理工作方案的通知（穗建质〔2014〕754号）》、《广东省建设工程施工扬尘污染防治管理办法（试行）》（粤办函〔2017〕708号）、《广东省住房和城乡建设厅关于采取切实措施坚决遏制施工扬尘污染的紧急通知》（粤建电发〔2018〕20号）、《广东省房屋建筑和市政基础设施工程用工实名管理暂行办法》（粤建规范〔2018〕1号）、</w:t>
      </w:r>
      <w:bookmarkEnd w:id="95"/>
      <w:bookmarkEnd w:id="96"/>
      <w:r>
        <w:rPr>
          <w:rFonts w:hint="eastAsia" w:ascii="宋体" w:hAnsi="宋体" w:cs="宋体"/>
          <w:bCs/>
          <w:kern w:val="0"/>
          <w:sz w:val="24"/>
          <w:szCs w:val="24"/>
          <w:highlight w:val="none"/>
          <w:u w:val="single"/>
        </w:rPr>
        <w:t>《广州市住房和城乡建设局等8部门关于印发广州市建设工程扬尘防治“6个100%”管理标准图集（V2.0版）的通知》、</w:t>
      </w:r>
      <w:r>
        <w:rPr>
          <w:rFonts w:hint="eastAsia" w:ascii="宋体" w:hAnsi="宋体" w:cs="宋体"/>
          <w:sz w:val="24"/>
          <w:szCs w:val="24"/>
          <w:highlight w:val="none"/>
          <w:u w:val="single"/>
        </w:rPr>
        <w:t>《广州市住房和城乡建设局等9部门关于印发广州市建设工程绿色施工围蔽指导图集（V2.0版）的通知 》（穗建质〔2020〕1号）</w:t>
      </w:r>
      <w:r>
        <w:rPr>
          <w:rFonts w:hint="eastAsia" w:ascii="宋体" w:hAnsi="宋体" w:cs="宋体"/>
          <w:snapToGrid w:val="0"/>
          <w:spacing w:val="-2"/>
          <w:kern w:val="0"/>
          <w:sz w:val="24"/>
          <w:szCs w:val="24"/>
          <w:highlight w:val="none"/>
        </w:rPr>
        <w:t>、《广州市提</w:t>
      </w:r>
      <w:r>
        <w:rPr>
          <w:rFonts w:hint="eastAsia" w:ascii="宋体" w:hAnsi="宋体" w:cs="宋体"/>
          <w:bCs/>
          <w:snapToGrid w:val="0"/>
          <w:spacing w:val="4"/>
          <w:kern w:val="0"/>
          <w:sz w:val="24"/>
          <w:szCs w:val="24"/>
          <w:highlight w:val="none"/>
        </w:rPr>
        <w:t>升建设工程安全文明施工管理水平的工作指引》（穗建质</w:t>
      </w:r>
      <w:r>
        <w:rPr>
          <w:rFonts w:hint="eastAsia" w:ascii="宋体" w:hAnsi="宋体" w:cs="宋体"/>
          <w:snapToGrid w:val="0"/>
          <w:spacing w:val="-2"/>
          <w:kern w:val="0"/>
          <w:sz w:val="24"/>
          <w:szCs w:val="24"/>
          <w:highlight w:val="none"/>
        </w:rPr>
        <w:t>〔</w:t>
      </w:r>
      <w:r>
        <w:rPr>
          <w:rFonts w:hint="eastAsia" w:ascii="宋体" w:hAnsi="宋体" w:cs="宋体"/>
          <w:bCs/>
          <w:snapToGrid w:val="0"/>
          <w:spacing w:val="4"/>
          <w:kern w:val="0"/>
          <w:sz w:val="24"/>
          <w:szCs w:val="24"/>
          <w:highlight w:val="none"/>
        </w:rPr>
        <w:t>2017</w:t>
      </w:r>
      <w:r>
        <w:rPr>
          <w:rFonts w:hint="eastAsia" w:ascii="宋体" w:hAnsi="宋体" w:cs="宋体"/>
          <w:snapToGrid w:val="0"/>
          <w:spacing w:val="-2"/>
          <w:kern w:val="0"/>
          <w:sz w:val="24"/>
          <w:szCs w:val="24"/>
          <w:highlight w:val="none"/>
        </w:rPr>
        <w:t>〕</w:t>
      </w:r>
      <w:r>
        <w:rPr>
          <w:rFonts w:hint="eastAsia" w:ascii="宋体" w:hAnsi="宋体" w:cs="宋体"/>
          <w:bCs/>
          <w:snapToGrid w:val="0"/>
          <w:spacing w:val="4"/>
          <w:kern w:val="0"/>
          <w:sz w:val="24"/>
          <w:szCs w:val="24"/>
          <w:highlight w:val="none"/>
        </w:rPr>
        <w:t>815号）、</w:t>
      </w:r>
      <w:r>
        <w:rPr>
          <w:rFonts w:hint="eastAsia" w:ascii="宋体" w:hAnsi="宋体" w:cs="宋体"/>
          <w:sz w:val="24"/>
          <w:szCs w:val="24"/>
          <w:highlight w:val="none"/>
          <w:u w:val="single"/>
        </w:rPr>
        <w:t>《广州市建设工程安全文明施工规程（试行版）》（穗建质〔2021〕316号）</w:t>
      </w:r>
      <w:r>
        <w:rPr>
          <w:rFonts w:hint="eastAsia" w:ascii="宋体" w:hAnsi="宋体" w:cs="宋体"/>
          <w:snapToGrid w:val="0"/>
          <w:spacing w:val="-2"/>
          <w:kern w:val="0"/>
          <w:sz w:val="24"/>
          <w:szCs w:val="24"/>
          <w:highlight w:val="none"/>
        </w:rPr>
        <w:t>和《广州市建筑工程安全生产措施费管理办法》（穗建筑〔2003〕106号）等各项规定和招标文件要求。否则，愿意无条件接受招标人的任何处罚，直至被清退出场，并为此承担相应的法律责任。</w:t>
      </w:r>
    </w:p>
    <w:p w14:paraId="01E1A463">
      <w:pPr>
        <w:topLinePunct/>
        <w:adjustRightInd w:val="0"/>
        <w:snapToGrid w:val="0"/>
        <w:spacing w:line="360" w:lineRule="auto"/>
        <w:ind w:firstLine="472" w:firstLineChars="200"/>
        <w:rPr>
          <w:rFonts w:ascii="宋体" w:hAnsi="宋体" w:cs="宋体"/>
          <w:bCs/>
          <w:snapToGrid w:val="0"/>
          <w:spacing w:val="-2"/>
          <w:kern w:val="0"/>
          <w:sz w:val="24"/>
          <w:szCs w:val="24"/>
          <w:highlight w:val="none"/>
        </w:rPr>
      </w:pPr>
      <w:r>
        <w:rPr>
          <w:rFonts w:hint="eastAsia" w:ascii="宋体" w:hAnsi="宋体" w:cs="宋体"/>
          <w:bCs/>
          <w:snapToGrid w:val="0"/>
          <w:spacing w:val="-2"/>
          <w:kern w:val="0"/>
          <w:sz w:val="24"/>
          <w:szCs w:val="24"/>
          <w:highlight w:val="none"/>
        </w:rPr>
        <w:t>八、</w:t>
      </w:r>
      <w:r>
        <w:rPr>
          <w:rFonts w:hint="eastAsia" w:ascii="宋体" w:hAnsi="宋体" w:cs="宋体"/>
          <w:snapToGrid w:val="0"/>
          <w:spacing w:val="-2"/>
          <w:kern w:val="0"/>
          <w:sz w:val="24"/>
          <w:szCs w:val="24"/>
          <w:highlight w:val="none"/>
        </w:rPr>
        <w:t>我司保证本工程竣工验收、竣</w:t>
      </w:r>
      <w:bookmarkStart w:id="97" w:name="_Toc12740"/>
      <w:bookmarkStart w:id="98" w:name="_Toc29194"/>
      <w:r>
        <w:rPr>
          <w:rFonts w:hint="eastAsia" w:ascii="宋体" w:hAnsi="宋体" w:cs="宋体"/>
          <w:snapToGrid w:val="0"/>
          <w:spacing w:val="-2"/>
          <w:kern w:val="0"/>
          <w:sz w:val="24"/>
          <w:szCs w:val="24"/>
          <w:highlight w:val="none"/>
        </w:rPr>
        <w:t>工资料和竣工备案管理完</w:t>
      </w:r>
      <w:bookmarkEnd w:id="97"/>
      <w:bookmarkEnd w:id="98"/>
      <w:r>
        <w:rPr>
          <w:rFonts w:hint="eastAsia" w:ascii="宋体" w:hAnsi="宋体" w:cs="宋体"/>
          <w:snapToGrid w:val="0"/>
          <w:spacing w:val="-2"/>
          <w:kern w:val="0"/>
          <w:sz w:val="24"/>
          <w:szCs w:val="24"/>
          <w:highlight w:val="none"/>
        </w:rPr>
        <w:t>全符合</w:t>
      </w:r>
      <w:bookmarkStart w:id="99" w:name="_Toc1899"/>
      <w:bookmarkStart w:id="100" w:name="_Toc7603"/>
      <w:r>
        <w:rPr>
          <w:rFonts w:hint="eastAsia" w:ascii="宋体" w:hAnsi="宋体" w:cs="宋体"/>
          <w:snapToGrid w:val="0"/>
          <w:spacing w:val="-2"/>
          <w:kern w:val="0"/>
          <w:sz w:val="24"/>
          <w:szCs w:val="24"/>
          <w:highlight w:val="none"/>
        </w:rPr>
        <w:t>国家、省、市政府、</w:t>
      </w:r>
      <w:bookmarkEnd w:id="99"/>
      <w:bookmarkEnd w:id="100"/>
      <w:r>
        <w:rPr>
          <w:rFonts w:hint="eastAsia" w:ascii="宋体" w:hAnsi="宋体" w:cs="宋体"/>
          <w:snapToGrid w:val="0"/>
          <w:spacing w:val="-2"/>
          <w:kern w:val="0"/>
          <w:sz w:val="24"/>
          <w:szCs w:val="24"/>
          <w:highlight w:val="none"/>
        </w:rPr>
        <w:t>主管部门颁布的竣工验收和档案管理各项规定及招标文件中提出的各项管理要求。</w:t>
      </w:r>
    </w:p>
    <w:p w14:paraId="486C08AF">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九、我司保证在本项目投标中不存在围标、串标等违法、违规行为，如经招标监管部门查实存在上述行为，我司同意对由此造成的后果承担相应的法律责任。</w:t>
      </w:r>
    </w:p>
    <w:p w14:paraId="73960D8C">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十、如果我司中标</w:t>
      </w:r>
      <w:bookmarkStart w:id="101" w:name="_Toc12063"/>
      <w:bookmarkStart w:id="102" w:name="_Toc4034"/>
      <w:r>
        <w:rPr>
          <w:rFonts w:hint="eastAsia" w:ascii="宋体" w:hAnsi="宋体" w:cs="宋体"/>
          <w:snapToGrid w:val="0"/>
          <w:spacing w:val="4"/>
          <w:kern w:val="0"/>
          <w:sz w:val="24"/>
          <w:szCs w:val="24"/>
          <w:highlight w:val="none"/>
        </w:rPr>
        <w:t>，我司保证实际投入本项目的人员、材料、机</w:t>
      </w:r>
      <w:bookmarkEnd w:id="101"/>
      <w:bookmarkEnd w:id="102"/>
      <w:r>
        <w:rPr>
          <w:rFonts w:hint="eastAsia" w:ascii="宋体" w:hAnsi="宋体" w:cs="宋体"/>
          <w:snapToGrid w:val="0"/>
          <w:spacing w:val="4"/>
          <w:kern w:val="0"/>
          <w:sz w:val="24"/>
          <w:szCs w:val="24"/>
          <w:highlight w:val="none"/>
        </w:rPr>
        <w:t>械、设备与我司递交的投标文件一致，且不低于本项目招标文件的要求。否则我司将被视为存在弄虚作假骗取中标情形，贵局有权拒绝我司参与后续工程投标。</w:t>
      </w:r>
    </w:p>
    <w:p w14:paraId="5E929AE2">
      <w:pPr>
        <w:topLinePunct/>
        <w:adjustRightInd w:val="0"/>
        <w:snapToGrid w:val="0"/>
        <w:spacing w:line="360" w:lineRule="auto"/>
        <w:ind w:firstLine="496" w:firstLineChars="200"/>
        <w:rPr>
          <w:rFonts w:ascii="宋体" w:hAnsi="宋体" w:cs="宋体"/>
          <w:bCs/>
          <w:snapToGrid w:val="0"/>
          <w:spacing w:val="4"/>
          <w:kern w:val="0"/>
          <w:sz w:val="24"/>
          <w:szCs w:val="24"/>
          <w:highlight w:val="none"/>
        </w:rPr>
      </w:pPr>
      <w:r>
        <w:rPr>
          <w:rFonts w:hint="eastAsia" w:ascii="宋体" w:hAnsi="宋体" w:cs="宋体"/>
          <w:snapToGrid w:val="0"/>
          <w:spacing w:val="4"/>
          <w:kern w:val="0"/>
          <w:sz w:val="24"/>
          <w:szCs w:val="24"/>
          <w:highlight w:val="none"/>
        </w:rPr>
        <w:t>十一、如果我司中标，我司保证按投标文件中“投入主要人员汇总表”中的人员在进场前准时参加招标人组织的面试考核。若不满足招标文件要求或考核不通过，我司承诺无条件按招标人的要求进行更换，直至招标人满意为止。</w:t>
      </w:r>
      <w:r>
        <w:rPr>
          <w:rFonts w:hint="eastAsia" w:ascii="宋体" w:hAnsi="宋体" w:cs="宋体"/>
          <w:bCs/>
          <w:snapToGrid w:val="0"/>
          <w:spacing w:val="4"/>
          <w:kern w:val="0"/>
          <w:sz w:val="24"/>
          <w:szCs w:val="24"/>
          <w:highlight w:val="none"/>
        </w:rPr>
        <w:t>经招</w:t>
      </w:r>
      <w:bookmarkStart w:id="103" w:name="_Toc7328"/>
      <w:bookmarkStart w:id="104" w:name="_Toc18749"/>
      <w:r>
        <w:rPr>
          <w:rFonts w:hint="eastAsia" w:ascii="宋体" w:hAnsi="宋体" w:cs="宋体"/>
          <w:bCs/>
          <w:snapToGrid w:val="0"/>
          <w:spacing w:val="4"/>
          <w:kern w:val="0"/>
          <w:sz w:val="24"/>
          <w:szCs w:val="24"/>
          <w:highlight w:val="none"/>
        </w:rPr>
        <w:t>标人和总监理工程师考核，</w:t>
      </w:r>
      <w:bookmarkEnd w:id="103"/>
      <w:bookmarkEnd w:id="104"/>
      <w:r>
        <w:rPr>
          <w:rFonts w:hint="eastAsia" w:ascii="宋体" w:hAnsi="宋体" w:cs="宋体"/>
          <w:bCs/>
          <w:snapToGrid w:val="0"/>
          <w:spacing w:val="4"/>
          <w:kern w:val="0"/>
          <w:sz w:val="24"/>
          <w:szCs w:val="24"/>
          <w:highlight w:val="none"/>
        </w:rPr>
        <w:t>我司未按投标文件投入主要人员或经过更换后的人员不能满足本项目要求的，我</w:t>
      </w:r>
      <w:bookmarkStart w:id="105" w:name="_Toc19075"/>
      <w:bookmarkStart w:id="106" w:name="_Toc24951"/>
      <w:r>
        <w:rPr>
          <w:rFonts w:hint="eastAsia" w:ascii="宋体" w:hAnsi="宋体" w:cs="宋体"/>
          <w:bCs/>
          <w:snapToGrid w:val="0"/>
          <w:spacing w:val="4"/>
          <w:kern w:val="0"/>
          <w:sz w:val="24"/>
          <w:szCs w:val="24"/>
          <w:highlight w:val="none"/>
        </w:rPr>
        <w:t>司承诺除无条件按招标人的要求更换外，还</w:t>
      </w:r>
      <w:bookmarkEnd w:id="105"/>
      <w:bookmarkEnd w:id="106"/>
      <w:r>
        <w:rPr>
          <w:rFonts w:hint="eastAsia" w:ascii="宋体" w:hAnsi="宋体" w:cs="宋体"/>
          <w:bCs/>
          <w:snapToGrid w:val="0"/>
          <w:spacing w:val="4"/>
          <w:kern w:val="0"/>
          <w:sz w:val="24"/>
          <w:szCs w:val="24"/>
          <w:highlight w:val="none"/>
        </w:rPr>
        <w:t>应按合同约定的金额向招标人支付违约金。</w:t>
      </w:r>
    </w:p>
    <w:p w14:paraId="394CC703">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十二、如果我司中标，对招标人、监理人为确保工程质量管理和工程进度而下达的调整项目经理部组成人员的指令、通知，我司承诺无条件地在限期内执行并调整到位。</w:t>
      </w:r>
    </w:p>
    <w:p w14:paraId="517BA20B">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十三、如果我司中标，我司承诺如出现施工进度、质量、投入不满足需要，</w:t>
      </w:r>
      <w:bookmarkStart w:id="107" w:name="_Toc443494113"/>
      <w:bookmarkStart w:id="108" w:name="_Toc437847563"/>
      <w:bookmarkStart w:id="109" w:name="_Toc437848353"/>
      <w:bookmarkStart w:id="110" w:name="_Toc437848141"/>
      <w:bookmarkStart w:id="111" w:name="_Toc443490944"/>
      <w:r>
        <w:rPr>
          <w:rFonts w:hint="eastAsia" w:ascii="宋体" w:hAnsi="宋体" w:cs="宋体"/>
          <w:snapToGrid w:val="0"/>
          <w:spacing w:val="4"/>
          <w:kern w:val="0"/>
          <w:sz w:val="24"/>
          <w:szCs w:val="24"/>
          <w:highlight w:val="none"/>
        </w:rPr>
        <w:t>严重影响施工现场推进或招标人认为必要的</w:t>
      </w:r>
      <w:bookmarkEnd w:id="107"/>
      <w:bookmarkEnd w:id="108"/>
      <w:bookmarkEnd w:id="109"/>
      <w:bookmarkEnd w:id="110"/>
      <w:bookmarkEnd w:id="111"/>
      <w:r>
        <w:rPr>
          <w:rFonts w:hint="eastAsia" w:ascii="宋体" w:hAnsi="宋体" w:cs="宋体"/>
          <w:snapToGrid w:val="0"/>
          <w:spacing w:val="4"/>
          <w:kern w:val="0"/>
          <w:sz w:val="24"/>
          <w:szCs w:val="24"/>
          <w:highlight w:val="none"/>
        </w:rPr>
        <w:t>其</w:t>
      </w:r>
      <w:bookmarkStart w:id="112" w:name="_Toc3873"/>
      <w:bookmarkStart w:id="113" w:name="_Toc386995907"/>
      <w:r>
        <w:rPr>
          <w:rFonts w:hint="eastAsia" w:ascii="宋体" w:hAnsi="宋体" w:cs="宋体"/>
          <w:snapToGrid w:val="0"/>
          <w:spacing w:val="4"/>
          <w:kern w:val="0"/>
          <w:sz w:val="24"/>
          <w:szCs w:val="24"/>
          <w:highlight w:val="none"/>
        </w:rPr>
        <w:t>他情形，招标人还有权视现场情况要求我司法定代表人驻场办公，直至招标人同意退场为止，否则我司愿承担有关违约责任。</w:t>
      </w:r>
    </w:p>
    <w:p w14:paraId="0F0465AD">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十四、如果我司中标，我司保证在规定时间内按招标人要求提交详细的施工组织设计并应用于实际施工过程中，且保证该施工组织设</w:t>
      </w:r>
      <w:bookmarkEnd w:id="112"/>
      <w:bookmarkEnd w:id="113"/>
      <w:r>
        <w:rPr>
          <w:rFonts w:hint="eastAsia" w:ascii="宋体" w:hAnsi="宋体" w:cs="宋体"/>
          <w:snapToGrid w:val="0"/>
          <w:spacing w:val="4"/>
          <w:kern w:val="0"/>
          <w:sz w:val="24"/>
          <w:szCs w:val="24"/>
          <w:highlight w:val="none"/>
        </w:rPr>
        <w:t>计</w:t>
      </w:r>
      <w:bookmarkStart w:id="114" w:name="_Toc405383088"/>
      <w:bookmarkStart w:id="115" w:name="_Toc464131244"/>
      <w:bookmarkStart w:id="116" w:name="_Toc426030442"/>
      <w:r>
        <w:rPr>
          <w:rFonts w:hint="eastAsia" w:ascii="宋体" w:hAnsi="宋体" w:cs="宋体"/>
          <w:snapToGrid w:val="0"/>
          <w:spacing w:val="4"/>
          <w:kern w:val="0"/>
          <w:sz w:val="24"/>
          <w:szCs w:val="24"/>
          <w:highlight w:val="none"/>
        </w:rPr>
        <w:t>不低于本投标</w:t>
      </w:r>
      <w:bookmarkEnd w:id="114"/>
      <w:bookmarkEnd w:id="115"/>
      <w:bookmarkEnd w:id="116"/>
      <w:r>
        <w:rPr>
          <w:rFonts w:hint="eastAsia" w:ascii="宋体" w:hAnsi="宋体" w:cs="宋体"/>
          <w:snapToGrid w:val="0"/>
          <w:spacing w:val="4"/>
          <w:kern w:val="0"/>
          <w:sz w:val="24"/>
          <w:szCs w:val="24"/>
          <w:highlight w:val="none"/>
        </w:rPr>
        <w:t>文件中施工组织设计</w:t>
      </w:r>
      <w:bookmarkStart w:id="117" w:name="_Toc420914100"/>
      <w:r>
        <w:rPr>
          <w:rFonts w:hint="eastAsia" w:ascii="宋体" w:hAnsi="宋体" w:cs="宋体"/>
          <w:snapToGrid w:val="0"/>
          <w:spacing w:val="4"/>
          <w:kern w:val="0"/>
          <w:sz w:val="24"/>
          <w:szCs w:val="24"/>
          <w:highlight w:val="none"/>
        </w:rPr>
        <w:t>所承诺的标准，并无条件根据招标人的要求修改完善。如违反上述承诺，由此引起的质量、工期、安全等相关责任完全由我司承担，愿意无条件接受招标人的任何处罚，直至被清退出场，并为此承担相应的法律责任。</w:t>
      </w:r>
    </w:p>
    <w:p w14:paraId="36BD63FB">
      <w:pPr>
        <w:topLinePunct/>
        <w:adjustRightInd w:val="0"/>
        <w:snapToGrid w:val="0"/>
        <w:spacing w:line="360" w:lineRule="auto"/>
        <w:ind w:firstLine="496" w:firstLineChars="200"/>
        <w:rPr>
          <w:rFonts w:ascii="宋体" w:hAnsi="宋体" w:cs="宋体"/>
          <w:snapToGrid w:val="0"/>
          <w:spacing w:val="-4"/>
          <w:kern w:val="0"/>
          <w:sz w:val="24"/>
          <w:szCs w:val="21"/>
          <w:highlight w:val="none"/>
        </w:rPr>
      </w:pPr>
      <w:r>
        <w:rPr>
          <w:rFonts w:hint="eastAsia" w:ascii="宋体" w:hAnsi="宋体" w:cs="宋体"/>
          <w:snapToGrid w:val="0"/>
          <w:spacing w:val="4"/>
          <w:kern w:val="0"/>
          <w:sz w:val="24"/>
          <w:szCs w:val="24"/>
          <w:highlight w:val="none"/>
        </w:rPr>
        <w:t>十五、</w:t>
      </w:r>
      <w:r>
        <w:rPr>
          <w:rFonts w:hint="eastAsia" w:ascii="宋体" w:hAnsi="宋体" w:cs="宋体"/>
          <w:snapToGrid w:val="0"/>
          <w:spacing w:val="-4"/>
          <w:kern w:val="0"/>
          <w:sz w:val="24"/>
          <w:szCs w:val="21"/>
          <w:highlight w:val="none"/>
        </w:rPr>
        <w:t>如我司中标，我司承诺本项目的主要材料设备的选用严格按照发包人看样定板的规定执行，选用的材料设备的品牌、档次、</w:t>
      </w:r>
      <w:bookmarkEnd w:id="117"/>
      <w:r>
        <w:rPr>
          <w:rFonts w:hint="eastAsia" w:ascii="宋体" w:hAnsi="宋体" w:cs="宋体"/>
          <w:snapToGrid w:val="0"/>
          <w:spacing w:val="-4"/>
          <w:kern w:val="0"/>
          <w:sz w:val="24"/>
          <w:szCs w:val="21"/>
          <w:highlight w:val="none"/>
        </w:rPr>
        <w:t>技术参数需满足或优于标文件要求，且不以任何理由调整中标的材料、设备价格。</w:t>
      </w:r>
    </w:p>
    <w:p w14:paraId="1AB16EA0">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十六、我公司承诺选用绿色生产达标企业生产的混凝土。</w:t>
      </w:r>
    </w:p>
    <w:p w14:paraId="23EDACD2">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十七、如果我司中标，我司承诺严格按照合同和招投标文件规定履行义务，并同意招标人将其履行合同、招投标文件义务的履约情况和不诚信行为（包括但不限于由招标人作出的组织的考核、考评通报、违约责任处理决定等）在招标人网站和建设项目业主网站及其他媒体上公开披露，由此造成的一切损失和不利后果均由我司自行承担。</w:t>
      </w:r>
    </w:p>
    <w:p w14:paraId="700BACB5">
      <w:pPr>
        <w:topLinePunct/>
        <w:adjustRightInd w:val="0"/>
        <w:snapToGrid w:val="0"/>
        <w:spacing w:line="360" w:lineRule="auto"/>
        <w:ind w:firstLine="496" w:firstLineChars="200"/>
        <w:rPr>
          <w:rFonts w:ascii="宋体" w:hAnsi="宋体" w:cs="宋体"/>
          <w:snapToGrid w:val="0"/>
          <w:spacing w:val="4"/>
          <w:kern w:val="0"/>
          <w:sz w:val="24"/>
          <w:szCs w:val="24"/>
          <w:highlight w:val="none"/>
        </w:rPr>
      </w:pPr>
    </w:p>
    <w:p w14:paraId="0AED9358">
      <w:pPr>
        <w:topLinePunct/>
        <w:adjustRightInd w:val="0"/>
        <w:snapToGrid w:val="0"/>
        <w:spacing w:line="360" w:lineRule="auto"/>
        <w:ind w:firstLine="496" w:firstLineChars="200"/>
        <w:rPr>
          <w:rFonts w:ascii="宋体" w:hAnsi="宋体" w:cs="宋体"/>
          <w:snapToGrid w:val="0"/>
          <w:spacing w:val="4"/>
          <w:kern w:val="0"/>
          <w:sz w:val="24"/>
          <w:szCs w:val="24"/>
          <w:highlight w:val="none"/>
        </w:rPr>
      </w:pPr>
    </w:p>
    <w:p w14:paraId="573A468C">
      <w:pPr>
        <w:topLinePunct/>
        <w:adjustRightInd w:val="0"/>
        <w:snapToGrid w:val="0"/>
        <w:spacing w:line="360" w:lineRule="auto"/>
        <w:ind w:firstLine="496" w:firstLineChars="200"/>
        <w:rPr>
          <w:rFonts w:ascii="宋体" w:hAnsi="宋体" w:cs="宋体"/>
          <w:snapToGrid w:val="0"/>
          <w:spacing w:val="4"/>
          <w:kern w:val="0"/>
          <w:sz w:val="24"/>
          <w:szCs w:val="24"/>
          <w:highlight w:val="none"/>
        </w:rPr>
      </w:pPr>
    </w:p>
    <w:p w14:paraId="71B14FCF">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投标人：（盖章）</w:t>
      </w:r>
    </w:p>
    <w:p w14:paraId="3A4FA811">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法定代表人或授权代理人（签字或盖章）：</w:t>
      </w:r>
    </w:p>
    <w:p w14:paraId="1CEF755C">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 xml:space="preserve">日期：   年    月    日 </w:t>
      </w:r>
    </w:p>
    <w:p w14:paraId="29761474">
      <w:pPr>
        <w:widowControl/>
        <w:spacing w:line="360" w:lineRule="auto"/>
        <w:jc w:val="left"/>
        <w:outlineLvl w:val="2"/>
        <w:rPr>
          <w:rFonts w:ascii="宋体" w:hAnsi="宋体" w:cs="宋体"/>
          <w:bCs/>
          <w:kern w:val="0"/>
          <w:sz w:val="24"/>
          <w:szCs w:val="24"/>
          <w:highlight w:val="none"/>
        </w:rPr>
      </w:pPr>
      <w:r>
        <w:rPr>
          <w:rFonts w:hint="eastAsia" w:ascii="宋体" w:hAnsi="宋体" w:cs="宋体"/>
          <w:bCs/>
          <w:kern w:val="0"/>
          <w:sz w:val="24"/>
          <w:szCs w:val="24"/>
          <w:highlight w:val="none"/>
        </w:rPr>
        <w:br w:type="page"/>
      </w:r>
      <w:bookmarkStart w:id="118" w:name="_Toc6917"/>
      <w:bookmarkStart w:id="119" w:name="_Toc14697668"/>
      <w:bookmarkStart w:id="120" w:name="_Toc1675"/>
      <w:r>
        <w:rPr>
          <w:rFonts w:hint="eastAsia" w:ascii="宋体" w:hAnsi="宋体" w:cs="宋体"/>
          <w:bCs/>
          <w:kern w:val="0"/>
          <w:sz w:val="24"/>
          <w:szCs w:val="24"/>
          <w:highlight w:val="none"/>
        </w:rPr>
        <w:t>格式八</w:t>
      </w:r>
      <w:bookmarkEnd w:id="118"/>
      <w:bookmarkEnd w:id="119"/>
      <w:bookmarkEnd w:id="120"/>
    </w:p>
    <w:p w14:paraId="31FB6B4D">
      <w:pPr>
        <w:topLinePunct/>
        <w:adjustRightInd w:val="0"/>
        <w:snapToGrid w:val="0"/>
        <w:spacing w:line="360" w:lineRule="auto"/>
        <w:jc w:val="center"/>
        <w:rPr>
          <w:rFonts w:ascii="宋体" w:hAnsi="宋体" w:cs="宋体"/>
          <w:b/>
          <w:snapToGrid w:val="0"/>
          <w:spacing w:val="4"/>
          <w:kern w:val="0"/>
          <w:sz w:val="32"/>
          <w:szCs w:val="32"/>
          <w:highlight w:val="none"/>
        </w:rPr>
      </w:pPr>
    </w:p>
    <w:p w14:paraId="1550358D">
      <w:pPr>
        <w:topLinePunct/>
        <w:adjustRightInd w:val="0"/>
        <w:snapToGrid w:val="0"/>
        <w:spacing w:line="360" w:lineRule="auto"/>
        <w:jc w:val="center"/>
        <w:rPr>
          <w:rFonts w:ascii="宋体" w:hAnsi="宋体" w:cs="宋体"/>
          <w:b/>
          <w:snapToGrid w:val="0"/>
          <w:spacing w:val="4"/>
          <w:kern w:val="0"/>
          <w:sz w:val="32"/>
          <w:szCs w:val="32"/>
          <w:highlight w:val="none"/>
        </w:rPr>
      </w:pPr>
      <w:r>
        <w:rPr>
          <w:rFonts w:hint="eastAsia" w:ascii="宋体" w:hAnsi="宋体" w:cs="宋体"/>
          <w:b/>
          <w:snapToGrid w:val="0"/>
          <w:spacing w:val="4"/>
          <w:kern w:val="0"/>
          <w:sz w:val="32"/>
          <w:szCs w:val="32"/>
          <w:highlight w:val="none"/>
        </w:rPr>
        <w:t>参与编制技术标投标文件人员名单</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1594"/>
        <w:gridCol w:w="2706"/>
        <w:gridCol w:w="2595"/>
        <w:gridCol w:w="1583"/>
      </w:tblGrid>
      <w:tr w14:paraId="7DAD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1232E20">
            <w:pPr>
              <w:tabs>
                <w:tab w:val="left" w:pos="720"/>
              </w:tabs>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投标人名称</w:t>
            </w:r>
          </w:p>
        </w:tc>
      </w:tr>
      <w:tr w14:paraId="182C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8" w:type="pct"/>
            <w:tcBorders>
              <w:top w:val="single" w:color="auto" w:sz="4" w:space="0"/>
              <w:left w:val="single" w:color="auto" w:sz="4" w:space="0"/>
              <w:bottom w:val="single" w:color="auto" w:sz="4" w:space="0"/>
              <w:right w:val="single" w:color="auto" w:sz="4" w:space="0"/>
            </w:tcBorders>
            <w:vAlign w:val="center"/>
          </w:tcPr>
          <w:p w14:paraId="7E9D95C5">
            <w:pPr>
              <w:tabs>
                <w:tab w:val="left" w:pos="720"/>
              </w:tabs>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姓名</w:t>
            </w:r>
          </w:p>
        </w:tc>
        <w:tc>
          <w:tcPr>
            <w:tcW w:w="809" w:type="pct"/>
            <w:tcBorders>
              <w:top w:val="single" w:color="auto" w:sz="4" w:space="0"/>
              <w:left w:val="single" w:color="auto" w:sz="4" w:space="0"/>
              <w:bottom w:val="single" w:color="auto" w:sz="4" w:space="0"/>
              <w:right w:val="single" w:color="auto" w:sz="4" w:space="0"/>
            </w:tcBorders>
            <w:vAlign w:val="center"/>
          </w:tcPr>
          <w:p w14:paraId="7E87A245">
            <w:pPr>
              <w:tabs>
                <w:tab w:val="left" w:pos="720"/>
              </w:tabs>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职务</w:t>
            </w:r>
          </w:p>
        </w:tc>
        <w:tc>
          <w:tcPr>
            <w:tcW w:w="1373" w:type="pct"/>
            <w:tcBorders>
              <w:top w:val="single" w:color="auto" w:sz="4" w:space="0"/>
              <w:left w:val="single" w:color="auto" w:sz="4" w:space="0"/>
              <w:bottom w:val="single" w:color="auto" w:sz="4" w:space="0"/>
              <w:right w:val="single" w:color="auto" w:sz="4" w:space="0"/>
            </w:tcBorders>
            <w:vAlign w:val="center"/>
          </w:tcPr>
          <w:p w14:paraId="34692D13">
            <w:pPr>
              <w:tabs>
                <w:tab w:val="left" w:pos="720"/>
              </w:tabs>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所承担工作</w:t>
            </w:r>
          </w:p>
        </w:tc>
        <w:tc>
          <w:tcPr>
            <w:tcW w:w="1317" w:type="pct"/>
            <w:tcBorders>
              <w:top w:val="single" w:color="auto" w:sz="4" w:space="0"/>
              <w:left w:val="single" w:color="auto" w:sz="4" w:space="0"/>
              <w:bottom w:val="single" w:color="auto" w:sz="4" w:space="0"/>
              <w:right w:val="single" w:color="auto" w:sz="4" w:space="0"/>
            </w:tcBorders>
            <w:vAlign w:val="center"/>
          </w:tcPr>
          <w:p w14:paraId="41F2FD0E">
            <w:pPr>
              <w:tabs>
                <w:tab w:val="left" w:pos="720"/>
              </w:tabs>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身份证号码</w:t>
            </w:r>
          </w:p>
        </w:tc>
        <w:tc>
          <w:tcPr>
            <w:tcW w:w="800" w:type="pct"/>
            <w:tcBorders>
              <w:top w:val="single" w:color="auto" w:sz="4" w:space="0"/>
              <w:left w:val="single" w:color="auto" w:sz="4" w:space="0"/>
              <w:bottom w:val="single" w:color="auto" w:sz="4" w:space="0"/>
              <w:right w:val="single" w:color="auto" w:sz="4" w:space="0"/>
            </w:tcBorders>
            <w:vAlign w:val="center"/>
          </w:tcPr>
          <w:p w14:paraId="21E2E30C">
            <w:pPr>
              <w:tabs>
                <w:tab w:val="left" w:pos="720"/>
              </w:tabs>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本人签名栏</w:t>
            </w:r>
          </w:p>
        </w:tc>
      </w:tr>
      <w:tr w14:paraId="69BB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8" w:type="pct"/>
            <w:tcBorders>
              <w:top w:val="single" w:color="auto" w:sz="4" w:space="0"/>
              <w:left w:val="single" w:color="auto" w:sz="4" w:space="0"/>
              <w:bottom w:val="single" w:color="auto" w:sz="4" w:space="0"/>
              <w:right w:val="single" w:color="auto" w:sz="4" w:space="0"/>
            </w:tcBorders>
            <w:vAlign w:val="center"/>
          </w:tcPr>
          <w:p w14:paraId="10457E92">
            <w:pPr>
              <w:tabs>
                <w:tab w:val="left" w:pos="720"/>
              </w:tabs>
              <w:snapToGrid w:val="0"/>
              <w:spacing w:line="360" w:lineRule="auto"/>
              <w:jc w:val="center"/>
              <w:rPr>
                <w:rFonts w:ascii="宋体" w:hAnsi="宋体" w:cs="宋体"/>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5515727E">
            <w:pPr>
              <w:tabs>
                <w:tab w:val="left" w:pos="720"/>
              </w:tabs>
              <w:snapToGrid w:val="0"/>
              <w:spacing w:line="360" w:lineRule="auto"/>
              <w:jc w:val="center"/>
              <w:rPr>
                <w:rFonts w:ascii="宋体" w:hAnsi="宋体" w:cs="宋体"/>
                <w:sz w:val="24"/>
                <w:szCs w:val="24"/>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32D6223E">
            <w:pPr>
              <w:tabs>
                <w:tab w:val="left" w:pos="720"/>
              </w:tabs>
              <w:snapToGrid w:val="0"/>
              <w:spacing w:line="360" w:lineRule="auto"/>
              <w:jc w:val="center"/>
              <w:rPr>
                <w:rFonts w:ascii="宋体" w:hAnsi="宋体" w:cs="宋体"/>
                <w:sz w:val="24"/>
                <w:szCs w:val="24"/>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5BEC6F86">
            <w:pPr>
              <w:tabs>
                <w:tab w:val="left" w:pos="720"/>
              </w:tabs>
              <w:snapToGrid w:val="0"/>
              <w:spacing w:line="360" w:lineRule="auto"/>
              <w:jc w:val="center"/>
              <w:rPr>
                <w:rFonts w:ascii="宋体" w:hAnsi="宋体" w:cs="宋体"/>
                <w:sz w:val="24"/>
                <w:szCs w:val="24"/>
                <w:highlight w:val="none"/>
              </w:rPr>
            </w:pPr>
          </w:p>
        </w:tc>
        <w:tc>
          <w:tcPr>
            <w:tcW w:w="800" w:type="pct"/>
            <w:tcBorders>
              <w:top w:val="single" w:color="auto" w:sz="4" w:space="0"/>
              <w:left w:val="single" w:color="auto" w:sz="4" w:space="0"/>
              <w:bottom w:val="single" w:color="auto" w:sz="4" w:space="0"/>
              <w:right w:val="single" w:color="auto" w:sz="4" w:space="0"/>
            </w:tcBorders>
            <w:vAlign w:val="center"/>
          </w:tcPr>
          <w:p w14:paraId="187F6111">
            <w:pPr>
              <w:tabs>
                <w:tab w:val="left" w:pos="720"/>
              </w:tabs>
              <w:snapToGrid w:val="0"/>
              <w:spacing w:line="360" w:lineRule="auto"/>
              <w:jc w:val="center"/>
              <w:rPr>
                <w:rFonts w:ascii="宋体" w:hAnsi="宋体" w:cs="宋体"/>
                <w:sz w:val="24"/>
                <w:szCs w:val="24"/>
                <w:highlight w:val="none"/>
              </w:rPr>
            </w:pPr>
          </w:p>
        </w:tc>
      </w:tr>
      <w:tr w14:paraId="21DF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8" w:type="pct"/>
            <w:tcBorders>
              <w:top w:val="single" w:color="auto" w:sz="4" w:space="0"/>
              <w:left w:val="single" w:color="auto" w:sz="4" w:space="0"/>
              <w:bottom w:val="single" w:color="auto" w:sz="4" w:space="0"/>
              <w:right w:val="single" w:color="auto" w:sz="4" w:space="0"/>
            </w:tcBorders>
            <w:vAlign w:val="center"/>
          </w:tcPr>
          <w:p w14:paraId="5A255344">
            <w:pPr>
              <w:tabs>
                <w:tab w:val="left" w:pos="720"/>
              </w:tabs>
              <w:snapToGrid w:val="0"/>
              <w:spacing w:line="360" w:lineRule="auto"/>
              <w:jc w:val="center"/>
              <w:rPr>
                <w:rFonts w:ascii="宋体" w:hAnsi="宋体" w:cs="宋体"/>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64F8508F">
            <w:pPr>
              <w:tabs>
                <w:tab w:val="left" w:pos="720"/>
              </w:tabs>
              <w:snapToGrid w:val="0"/>
              <w:spacing w:line="360" w:lineRule="auto"/>
              <w:jc w:val="center"/>
              <w:rPr>
                <w:rFonts w:ascii="宋体" w:hAnsi="宋体" w:cs="宋体"/>
                <w:sz w:val="24"/>
                <w:szCs w:val="24"/>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25377DA1">
            <w:pPr>
              <w:tabs>
                <w:tab w:val="left" w:pos="720"/>
              </w:tabs>
              <w:snapToGrid w:val="0"/>
              <w:spacing w:line="360" w:lineRule="auto"/>
              <w:jc w:val="center"/>
              <w:rPr>
                <w:rFonts w:ascii="宋体" w:hAnsi="宋体" w:cs="宋体"/>
                <w:sz w:val="24"/>
                <w:szCs w:val="24"/>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5CDB50BE">
            <w:pPr>
              <w:tabs>
                <w:tab w:val="left" w:pos="720"/>
              </w:tabs>
              <w:snapToGrid w:val="0"/>
              <w:spacing w:line="360" w:lineRule="auto"/>
              <w:jc w:val="center"/>
              <w:rPr>
                <w:rFonts w:ascii="宋体" w:hAnsi="宋体" w:cs="宋体"/>
                <w:sz w:val="24"/>
                <w:szCs w:val="24"/>
                <w:highlight w:val="none"/>
              </w:rPr>
            </w:pPr>
          </w:p>
        </w:tc>
        <w:tc>
          <w:tcPr>
            <w:tcW w:w="800" w:type="pct"/>
            <w:tcBorders>
              <w:top w:val="single" w:color="auto" w:sz="4" w:space="0"/>
              <w:left w:val="single" w:color="auto" w:sz="4" w:space="0"/>
              <w:bottom w:val="single" w:color="auto" w:sz="4" w:space="0"/>
              <w:right w:val="single" w:color="auto" w:sz="4" w:space="0"/>
            </w:tcBorders>
            <w:vAlign w:val="center"/>
          </w:tcPr>
          <w:p w14:paraId="64B57F42">
            <w:pPr>
              <w:tabs>
                <w:tab w:val="left" w:pos="720"/>
              </w:tabs>
              <w:snapToGrid w:val="0"/>
              <w:spacing w:line="360" w:lineRule="auto"/>
              <w:jc w:val="center"/>
              <w:rPr>
                <w:rFonts w:ascii="宋体" w:hAnsi="宋体" w:cs="宋体"/>
                <w:sz w:val="24"/>
                <w:szCs w:val="24"/>
                <w:highlight w:val="none"/>
              </w:rPr>
            </w:pPr>
          </w:p>
        </w:tc>
      </w:tr>
      <w:tr w14:paraId="0A08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8" w:type="pct"/>
            <w:tcBorders>
              <w:top w:val="single" w:color="auto" w:sz="4" w:space="0"/>
              <w:left w:val="single" w:color="auto" w:sz="4" w:space="0"/>
              <w:bottom w:val="single" w:color="auto" w:sz="4" w:space="0"/>
              <w:right w:val="single" w:color="auto" w:sz="4" w:space="0"/>
            </w:tcBorders>
            <w:vAlign w:val="center"/>
          </w:tcPr>
          <w:p w14:paraId="285E19F5">
            <w:pPr>
              <w:tabs>
                <w:tab w:val="left" w:pos="720"/>
              </w:tabs>
              <w:snapToGrid w:val="0"/>
              <w:spacing w:line="360" w:lineRule="auto"/>
              <w:jc w:val="center"/>
              <w:rPr>
                <w:rFonts w:ascii="宋体" w:hAnsi="宋体" w:cs="宋体"/>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3D168EC4">
            <w:pPr>
              <w:tabs>
                <w:tab w:val="left" w:pos="720"/>
              </w:tabs>
              <w:snapToGrid w:val="0"/>
              <w:spacing w:line="360" w:lineRule="auto"/>
              <w:jc w:val="center"/>
              <w:rPr>
                <w:rFonts w:ascii="宋体" w:hAnsi="宋体" w:cs="宋体"/>
                <w:sz w:val="24"/>
                <w:szCs w:val="24"/>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256FC8FA">
            <w:pPr>
              <w:tabs>
                <w:tab w:val="left" w:pos="720"/>
              </w:tabs>
              <w:snapToGrid w:val="0"/>
              <w:spacing w:line="360" w:lineRule="auto"/>
              <w:jc w:val="center"/>
              <w:rPr>
                <w:rFonts w:ascii="宋体" w:hAnsi="宋体" w:cs="宋体"/>
                <w:sz w:val="24"/>
                <w:szCs w:val="24"/>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4C7DD525">
            <w:pPr>
              <w:tabs>
                <w:tab w:val="left" w:pos="720"/>
              </w:tabs>
              <w:snapToGrid w:val="0"/>
              <w:spacing w:line="360" w:lineRule="auto"/>
              <w:jc w:val="center"/>
              <w:rPr>
                <w:rFonts w:ascii="宋体" w:hAnsi="宋体" w:cs="宋体"/>
                <w:sz w:val="24"/>
                <w:szCs w:val="24"/>
                <w:highlight w:val="none"/>
              </w:rPr>
            </w:pPr>
          </w:p>
        </w:tc>
        <w:tc>
          <w:tcPr>
            <w:tcW w:w="800" w:type="pct"/>
            <w:tcBorders>
              <w:top w:val="single" w:color="auto" w:sz="4" w:space="0"/>
              <w:left w:val="single" w:color="auto" w:sz="4" w:space="0"/>
              <w:bottom w:val="single" w:color="auto" w:sz="4" w:space="0"/>
              <w:right w:val="single" w:color="auto" w:sz="4" w:space="0"/>
            </w:tcBorders>
            <w:vAlign w:val="center"/>
          </w:tcPr>
          <w:p w14:paraId="1266BA5F">
            <w:pPr>
              <w:tabs>
                <w:tab w:val="left" w:pos="720"/>
              </w:tabs>
              <w:snapToGrid w:val="0"/>
              <w:spacing w:line="360" w:lineRule="auto"/>
              <w:jc w:val="center"/>
              <w:rPr>
                <w:rFonts w:ascii="宋体" w:hAnsi="宋体" w:cs="宋体"/>
                <w:sz w:val="24"/>
                <w:szCs w:val="24"/>
                <w:highlight w:val="none"/>
              </w:rPr>
            </w:pPr>
          </w:p>
        </w:tc>
      </w:tr>
      <w:tr w14:paraId="5F43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8" w:type="pct"/>
            <w:tcBorders>
              <w:top w:val="single" w:color="auto" w:sz="4" w:space="0"/>
              <w:left w:val="single" w:color="auto" w:sz="4" w:space="0"/>
              <w:bottom w:val="single" w:color="auto" w:sz="4" w:space="0"/>
              <w:right w:val="single" w:color="auto" w:sz="4" w:space="0"/>
            </w:tcBorders>
            <w:vAlign w:val="center"/>
          </w:tcPr>
          <w:p w14:paraId="02E59ECB">
            <w:pPr>
              <w:tabs>
                <w:tab w:val="left" w:pos="720"/>
              </w:tabs>
              <w:snapToGrid w:val="0"/>
              <w:spacing w:line="360" w:lineRule="auto"/>
              <w:jc w:val="center"/>
              <w:rPr>
                <w:rFonts w:ascii="宋体" w:hAnsi="宋体" w:cs="宋体"/>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3E098AC4">
            <w:pPr>
              <w:tabs>
                <w:tab w:val="left" w:pos="720"/>
              </w:tabs>
              <w:snapToGrid w:val="0"/>
              <w:spacing w:line="360" w:lineRule="auto"/>
              <w:jc w:val="center"/>
              <w:rPr>
                <w:rFonts w:ascii="宋体" w:hAnsi="宋体" w:cs="宋体"/>
                <w:sz w:val="24"/>
                <w:szCs w:val="24"/>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0F1D63D0">
            <w:pPr>
              <w:tabs>
                <w:tab w:val="left" w:pos="720"/>
              </w:tabs>
              <w:snapToGrid w:val="0"/>
              <w:spacing w:line="360" w:lineRule="auto"/>
              <w:jc w:val="center"/>
              <w:rPr>
                <w:rFonts w:ascii="宋体" w:hAnsi="宋体" w:cs="宋体"/>
                <w:sz w:val="24"/>
                <w:szCs w:val="24"/>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758AEE89">
            <w:pPr>
              <w:tabs>
                <w:tab w:val="left" w:pos="720"/>
              </w:tabs>
              <w:snapToGrid w:val="0"/>
              <w:spacing w:line="360" w:lineRule="auto"/>
              <w:jc w:val="center"/>
              <w:rPr>
                <w:rFonts w:ascii="宋体" w:hAnsi="宋体" w:cs="宋体"/>
                <w:sz w:val="24"/>
                <w:szCs w:val="24"/>
                <w:highlight w:val="none"/>
              </w:rPr>
            </w:pPr>
          </w:p>
        </w:tc>
        <w:tc>
          <w:tcPr>
            <w:tcW w:w="800" w:type="pct"/>
            <w:tcBorders>
              <w:top w:val="single" w:color="auto" w:sz="4" w:space="0"/>
              <w:left w:val="single" w:color="auto" w:sz="4" w:space="0"/>
              <w:bottom w:val="single" w:color="auto" w:sz="4" w:space="0"/>
              <w:right w:val="single" w:color="auto" w:sz="4" w:space="0"/>
            </w:tcBorders>
            <w:vAlign w:val="center"/>
          </w:tcPr>
          <w:p w14:paraId="6DEE0503">
            <w:pPr>
              <w:tabs>
                <w:tab w:val="left" w:pos="720"/>
              </w:tabs>
              <w:snapToGrid w:val="0"/>
              <w:spacing w:line="360" w:lineRule="auto"/>
              <w:jc w:val="center"/>
              <w:rPr>
                <w:rFonts w:ascii="宋体" w:hAnsi="宋体" w:cs="宋体"/>
                <w:sz w:val="24"/>
                <w:szCs w:val="24"/>
                <w:highlight w:val="none"/>
              </w:rPr>
            </w:pPr>
          </w:p>
        </w:tc>
      </w:tr>
      <w:tr w14:paraId="0092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8" w:type="pct"/>
            <w:tcBorders>
              <w:top w:val="single" w:color="auto" w:sz="4" w:space="0"/>
              <w:left w:val="single" w:color="auto" w:sz="4" w:space="0"/>
              <w:bottom w:val="single" w:color="auto" w:sz="4" w:space="0"/>
              <w:right w:val="single" w:color="auto" w:sz="4" w:space="0"/>
            </w:tcBorders>
            <w:vAlign w:val="center"/>
          </w:tcPr>
          <w:p w14:paraId="31D68C0C">
            <w:pPr>
              <w:tabs>
                <w:tab w:val="left" w:pos="720"/>
              </w:tabs>
              <w:snapToGrid w:val="0"/>
              <w:spacing w:line="360" w:lineRule="auto"/>
              <w:jc w:val="center"/>
              <w:rPr>
                <w:rFonts w:ascii="宋体" w:hAnsi="宋体" w:cs="宋体"/>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0EC7764A">
            <w:pPr>
              <w:tabs>
                <w:tab w:val="left" w:pos="720"/>
              </w:tabs>
              <w:snapToGrid w:val="0"/>
              <w:spacing w:line="360" w:lineRule="auto"/>
              <w:jc w:val="center"/>
              <w:rPr>
                <w:rFonts w:ascii="宋体" w:hAnsi="宋体" w:cs="宋体"/>
                <w:sz w:val="24"/>
                <w:szCs w:val="24"/>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1511A4C4">
            <w:pPr>
              <w:tabs>
                <w:tab w:val="left" w:pos="720"/>
              </w:tabs>
              <w:snapToGrid w:val="0"/>
              <w:spacing w:line="360" w:lineRule="auto"/>
              <w:jc w:val="center"/>
              <w:rPr>
                <w:rFonts w:ascii="宋体" w:hAnsi="宋体" w:cs="宋体"/>
                <w:sz w:val="24"/>
                <w:szCs w:val="24"/>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60EAA94D">
            <w:pPr>
              <w:tabs>
                <w:tab w:val="left" w:pos="720"/>
              </w:tabs>
              <w:snapToGrid w:val="0"/>
              <w:spacing w:line="360" w:lineRule="auto"/>
              <w:jc w:val="center"/>
              <w:rPr>
                <w:rFonts w:ascii="宋体" w:hAnsi="宋体" w:cs="宋体"/>
                <w:sz w:val="24"/>
                <w:szCs w:val="24"/>
                <w:highlight w:val="none"/>
              </w:rPr>
            </w:pPr>
          </w:p>
        </w:tc>
        <w:tc>
          <w:tcPr>
            <w:tcW w:w="800" w:type="pct"/>
            <w:tcBorders>
              <w:top w:val="single" w:color="auto" w:sz="4" w:space="0"/>
              <w:left w:val="single" w:color="auto" w:sz="4" w:space="0"/>
              <w:bottom w:val="single" w:color="auto" w:sz="4" w:space="0"/>
              <w:right w:val="single" w:color="auto" w:sz="4" w:space="0"/>
            </w:tcBorders>
            <w:vAlign w:val="center"/>
          </w:tcPr>
          <w:p w14:paraId="256DCE5C">
            <w:pPr>
              <w:tabs>
                <w:tab w:val="left" w:pos="720"/>
              </w:tabs>
              <w:snapToGrid w:val="0"/>
              <w:spacing w:line="360" w:lineRule="auto"/>
              <w:jc w:val="center"/>
              <w:rPr>
                <w:rFonts w:ascii="宋体" w:hAnsi="宋体" w:cs="宋体"/>
                <w:sz w:val="24"/>
                <w:szCs w:val="24"/>
                <w:highlight w:val="none"/>
              </w:rPr>
            </w:pPr>
          </w:p>
        </w:tc>
      </w:tr>
      <w:tr w14:paraId="71B2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8" w:type="pct"/>
            <w:tcBorders>
              <w:top w:val="single" w:color="auto" w:sz="4" w:space="0"/>
              <w:left w:val="single" w:color="auto" w:sz="4" w:space="0"/>
              <w:bottom w:val="single" w:color="auto" w:sz="4" w:space="0"/>
              <w:right w:val="single" w:color="auto" w:sz="4" w:space="0"/>
            </w:tcBorders>
            <w:vAlign w:val="center"/>
          </w:tcPr>
          <w:p w14:paraId="09D36419">
            <w:pPr>
              <w:tabs>
                <w:tab w:val="left" w:pos="720"/>
              </w:tabs>
              <w:snapToGrid w:val="0"/>
              <w:spacing w:line="360" w:lineRule="auto"/>
              <w:jc w:val="center"/>
              <w:rPr>
                <w:rFonts w:ascii="宋体" w:hAnsi="宋体" w:cs="宋体"/>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0DB3D6AC">
            <w:pPr>
              <w:tabs>
                <w:tab w:val="left" w:pos="720"/>
              </w:tabs>
              <w:snapToGrid w:val="0"/>
              <w:spacing w:line="360" w:lineRule="auto"/>
              <w:jc w:val="center"/>
              <w:rPr>
                <w:rFonts w:ascii="宋体" w:hAnsi="宋体" w:cs="宋体"/>
                <w:sz w:val="24"/>
                <w:szCs w:val="24"/>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473F3D51">
            <w:pPr>
              <w:tabs>
                <w:tab w:val="left" w:pos="720"/>
              </w:tabs>
              <w:snapToGrid w:val="0"/>
              <w:spacing w:line="360" w:lineRule="auto"/>
              <w:jc w:val="center"/>
              <w:rPr>
                <w:rFonts w:ascii="宋体" w:hAnsi="宋体" w:cs="宋体"/>
                <w:sz w:val="24"/>
                <w:szCs w:val="24"/>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602030CA">
            <w:pPr>
              <w:tabs>
                <w:tab w:val="left" w:pos="720"/>
              </w:tabs>
              <w:snapToGrid w:val="0"/>
              <w:spacing w:line="360" w:lineRule="auto"/>
              <w:jc w:val="center"/>
              <w:rPr>
                <w:rFonts w:ascii="宋体" w:hAnsi="宋体" w:cs="宋体"/>
                <w:sz w:val="24"/>
                <w:szCs w:val="24"/>
                <w:highlight w:val="none"/>
              </w:rPr>
            </w:pPr>
          </w:p>
        </w:tc>
        <w:tc>
          <w:tcPr>
            <w:tcW w:w="800" w:type="pct"/>
            <w:tcBorders>
              <w:top w:val="single" w:color="auto" w:sz="4" w:space="0"/>
              <w:left w:val="single" w:color="auto" w:sz="4" w:space="0"/>
              <w:bottom w:val="single" w:color="auto" w:sz="4" w:space="0"/>
              <w:right w:val="single" w:color="auto" w:sz="4" w:space="0"/>
            </w:tcBorders>
            <w:vAlign w:val="center"/>
          </w:tcPr>
          <w:p w14:paraId="4DFCAE2B">
            <w:pPr>
              <w:tabs>
                <w:tab w:val="left" w:pos="720"/>
              </w:tabs>
              <w:snapToGrid w:val="0"/>
              <w:spacing w:line="360" w:lineRule="auto"/>
              <w:jc w:val="center"/>
              <w:rPr>
                <w:rFonts w:ascii="宋体" w:hAnsi="宋体" w:cs="宋体"/>
                <w:sz w:val="24"/>
                <w:szCs w:val="24"/>
                <w:highlight w:val="none"/>
              </w:rPr>
            </w:pPr>
          </w:p>
        </w:tc>
      </w:tr>
      <w:tr w14:paraId="12E90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8" w:type="pct"/>
            <w:tcBorders>
              <w:top w:val="single" w:color="auto" w:sz="4" w:space="0"/>
              <w:left w:val="single" w:color="auto" w:sz="4" w:space="0"/>
              <w:bottom w:val="single" w:color="auto" w:sz="4" w:space="0"/>
              <w:right w:val="single" w:color="auto" w:sz="4" w:space="0"/>
            </w:tcBorders>
            <w:vAlign w:val="center"/>
          </w:tcPr>
          <w:p w14:paraId="66FDEA78">
            <w:pPr>
              <w:tabs>
                <w:tab w:val="left" w:pos="720"/>
              </w:tabs>
              <w:snapToGrid w:val="0"/>
              <w:spacing w:line="360" w:lineRule="auto"/>
              <w:jc w:val="center"/>
              <w:rPr>
                <w:rFonts w:ascii="宋体" w:hAnsi="宋体" w:cs="宋体"/>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3618F39B">
            <w:pPr>
              <w:tabs>
                <w:tab w:val="left" w:pos="720"/>
              </w:tabs>
              <w:snapToGrid w:val="0"/>
              <w:spacing w:line="360" w:lineRule="auto"/>
              <w:jc w:val="center"/>
              <w:rPr>
                <w:rFonts w:ascii="宋体" w:hAnsi="宋体" w:cs="宋体"/>
                <w:sz w:val="24"/>
                <w:szCs w:val="24"/>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76465E5E">
            <w:pPr>
              <w:tabs>
                <w:tab w:val="left" w:pos="720"/>
              </w:tabs>
              <w:snapToGrid w:val="0"/>
              <w:spacing w:line="360" w:lineRule="auto"/>
              <w:jc w:val="center"/>
              <w:rPr>
                <w:rFonts w:ascii="宋体" w:hAnsi="宋体" w:cs="宋体"/>
                <w:sz w:val="24"/>
                <w:szCs w:val="24"/>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049F2CEB">
            <w:pPr>
              <w:tabs>
                <w:tab w:val="left" w:pos="720"/>
              </w:tabs>
              <w:snapToGrid w:val="0"/>
              <w:spacing w:line="360" w:lineRule="auto"/>
              <w:jc w:val="center"/>
              <w:rPr>
                <w:rFonts w:ascii="宋体" w:hAnsi="宋体" w:cs="宋体"/>
                <w:sz w:val="24"/>
                <w:szCs w:val="24"/>
                <w:highlight w:val="none"/>
              </w:rPr>
            </w:pPr>
          </w:p>
        </w:tc>
        <w:tc>
          <w:tcPr>
            <w:tcW w:w="800" w:type="pct"/>
            <w:tcBorders>
              <w:top w:val="single" w:color="auto" w:sz="4" w:space="0"/>
              <w:left w:val="single" w:color="auto" w:sz="4" w:space="0"/>
              <w:bottom w:val="single" w:color="auto" w:sz="4" w:space="0"/>
              <w:right w:val="single" w:color="auto" w:sz="4" w:space="0"/>
            </w:tcBorders>
            <w:vAlign w:val="center"/>
          </w:tcPr>
          <w:p w14:paraId="698AF515">
            <w:pPr>
              <w:tabs>
                <w:tab w:val="left" w:pos="720"/>
              </w:tabs>
              <w:snapToGrid w:val="0"/>
              <w:spacing w:line="360" w:lineRule="auto"/>
              <w:jc w:val="center"/>
              <w:rPr>
                <w:rFonts w:ascii="宋体" w:hAnsi="宋体" w:cs="宋体"/>
                <w:sz w:val="24"/>
                <w:szCs w:val="24"/>
                <w:highlight w:val="none"/>
              </w:rPr>
            </w:pPr>
          </w:p>
        </w:tc>
      </w:tr>
      <w:tr w14:paraId="42B4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8" w:type="pct"/>
            <w:tcBorders>
              <w:top w:val="single" w:color="auto" w:sz="4" w:space="0"/>
              <w:left w:val="single" w:color="auto" w:sz="4" w:space="0"/>
              <w:bottom w:val="single" w:color="auto" w:sz="4" w:space="0"/>
              <w:right w:val="single" w:color="auto" w:sz="4" w:space="0"/>
            </w:tcBorders>
            <w:vAlign w:val="center"/>
          </w:tcPr>
          <w:p w14:paraId="117B997B">
            <w:pPr>
              <w:tabs>
                <w:tab w:val="left" w:pos="720"/>
              </w:tabs>
              <w:snapToGrid w:val="0"/>
              <w:spacing w:line="360" w:lineRule="auto"/>
              <w:jc w:val="center"/>
              <w:rPr>
                <w:rFonts w:ascii="宋体" w:hAnsi="宋体" w:cs="宋体"/>
                <w:sz w:val="24"/>
                <w:szCs w:val="24"/>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4DBBCC5D">
            <w:pPr>
              <w:tabs>
                <w:tab w:val="left" w:pos="720"/>
              </w:tabs>
              <w:snapToGrid w:val="0"/>
              <w:spacing w:line="360" w:lineRule="auto"/>
              <w:jc w:val="center"/>
              <w:rPr>
                <w:rFonts w:ascii="宋体" w:hAnsi="宋体" w:cs="宋体"/>
                <w:sz w:val="24"/>
                <w:szCs w:val="24"/>
                <w:highlight w:val="none"/>
              </w:rPr>
            </w:pPr>
          </w:p>
        </w:tc>
        <w:tc>
          <w:tcPr>
            <w:tcW w:w="1373" w:type="pct"/>
            <w:tcBorders>
              <w:top w:val="single" w:color="auto" w:sz="4" w:space="0"/>
              <w:left w:val="single" w:color="auto" w:sz="4" w:space="0"/>
              <w:bottom w:val="single" w:color="auto" w:sz="4" w:space="0"/>
              <w:right w:val="single" w:color="auto" w:sz="4" w:space="0"/>
            </w:tcBorders>
            <w:vAlign w:val="center"/>
          </w:tcPr>
          <w:p w14:paraId="389BECF8">
            <w:pPr>
              <w:tabs>
                <w:tab w:val="left" w:pos="720"/>
              </w:tabs>
              <w:snapToGrid w:val="0"/>
              <w:spacing w:line="360" w:lineRule="auto"/>
              <w:jc w:val="center"/>
              <w:rPr>
                <w:rFonts w:ascii="宋体" w:hAnsi="宋体" w:cs="宋体"/>
                <w:sz w:val="24"/>
                <w:szCs w:val="24"/>
                <w:highlight w:val="none"/>
              </w:rPr>
            </w:pPr>
          </w:p>
        </w:tc>
        <w:tc>
          <w:tcPr>
            <w:tcW w:w="1317" w:type="pct"/>
            <w:tcBorders>
              <w:top w:val="single" w:color="auto" w:sz="4" w:space="0"/>
              <w:left w:val="single" w:color="auto" w:sz="4" w:space="0"/>
              <w:bottom w:val="single" w:color="auto" w:sz="4" w:space="0"/>
              <w:right w:val="single" w:color="auto" w:sz="4" w:space="0"/>
            </w:tcBorders>
            <w:vAlign w:val="center"/>
          </w:tcPr>
          <w:p w14:paraId="50DEB01F">
            <w:pPr>
              <w:tabs>
                <w:tab w:val="left" w:pos="720"/>
              </w:tabs>
              <w:snapToGrid w:val="0"/>
              <w:spacing w:line="360" w:lineRule="auto"/>
              <w:jc w:val="center"/>
              <w:rPr>
                <w:rFonts w:ascii="宋体" w:hAnsi="宋体" w:cs="宋体"/>
                <w:sz w:val="24"/>
                <w:szCs w:val="24"/>
                <w:highlight w:val="none"/>
              </w:rPr>
            </w:pPr>
          </w:p>
        </w:tc>
        <w:tc>
          <w:tcPr>
            <w:tcW w:w="800" w:type="pct"/>
            <w:tcBorders>
              <w:top w:val="single" w:color="auto" w:sz="4" w:space="0"/>
              <w:left w:val="single" w:color="auto" w:sz="4" w:space="0"/>
              <w:bottom w:val="single" w:color="auto" w:sz="4" w:space="0"/>
              <w:right w:val="single" w:color="auto" w:sz="4" w:space="0"/>
            </w:tcBorders>
            <w:vAlign w:val="center"/>
          </w:tcPr>
          <w:p w14:paraId="0A1780CA">
            <w:pPr>
              <w:tabs>
                <w:tab w:val="left" w:pos="720"/>
              </w:tabs>
              <w:snapToGrid w:val="0"/>
              <w:spacing w:line="360" w:lineRule="auto"/>
              <w:jc w:val="center"/>
              <w:rPr>
                <w:rFonts w:ascii="宋体" w:hAnsi="宋体" w:cs="宋体"/>
                <w:sz w:val="24"/>
                <w:szCs w:val="24"/>
                <w:highlight w:val="none"/>
              </w:rPr>
            </w:pPr>
          </w:p>
        </w:tc>
      </w:tr>
    </w:tbl>
    <w:p w14:paraId="1E90987D">
      <w:pPr>
        <w:ind w:left="-2" w:leftChars="-1"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注：参与编制技术标投标文件所有人员名单应包括如编制技术投标方案、负责清样校对、负责打印及扫描等所有人员在内的人员名单。</w:t>
      </w:r>
    </w:p>
    <w:p w14:paraId="2C36A6F6">
      <w:pPr>
        <w:topLinePunct/>
        <w:adjustRightInd w:val="0"/>
        <w:snapToGrid w:val="0"/>
        <w:ind w:firstLine="496" w:firstLineChars="200"/>
        <w:rPr>
          <w:rFonts w:ascii="宋体" w:hAnsi="宋体" w:cs="宋体"/>
          <w:snapToGrid w:val="0"/>
          <w:spacing w:val="4"/>
          <w:kern w:val="0"/>
          <w:sz w:val="24"/>
          <w:szCs w:val="24"/>
          <w:highlight w:val="none"/>
        </w:rPr>
      </w:pPr>
    </w:p>
    <w:p w14:paraId="47B00402">
      <w:pPr>
        <w:rPr>
          <w:rFonts w:ascii="宋体" w:hAnsi="宋体" w:cs="宋体"/>
          <w:highlight w:val="none"/>
        </w:rPr>
      </w:pPr>
      <w:r>
        <w:rPr>
          <w:rFonts w:hint="eastAsia" w:ascii="宋体" w:hAnsi="宋体" w:cs="宋体"/>
          <w:b/>
          <w:highlight w:val="none"/>
        </w:rPr>
        <w:br w:type="page"/>
      </w:r>
    </w:p>
    <w:bookmarkEnd w:id="90"/>
    <w:bookmarkEnd w:id="91"/>
    <w:bookmarkEnd w:id="92"/>
    <w:bookmarkEnd w:id="93"/>
    <w:p w14:paraId="469695FF">
      <w:pPr>
        <w:widowControl/>
        <w:spacing w:line="360" w:lineRule="auto"/>
        <w:jc w:val="left"/>
        <w:outlineLvl w:val="2"/>
        <w:rPr>
          <w:rFonts w:ascii="宋体" w:hAnsi="宋体" w:cs="宋体"/>
          <w:bCs/>
          <w:kern w:val="0"/>
          <w:sz w:val="24"/>
          <w:szCs w:val="24"/>
          <w:highlight w:val="none"/>
        </w:rPr>
      </w:pPr>
      <w:bookmarkStart w:id="121" w:name="_Toc28313"/>
      <w:r>
        <w:rPr>
          <w:rFonts w:hint="eastAsia" w:ascii="宋体" w:hAnsi="宋体" w:cs="宋体"/>
          <w:bCs/>
          <w:kern w:val="0"/>
          <w:sz w:val="24"/>
          <w:szCs w:val="24"/>
          <w:highlight w:val="none"/>
        </w:rPr>
        <w:t>格式</w:t>
      </w:r>
      <w:bookmarkEnd w:id="121"/>
      <w:r>
        <w:rPr>
          <w:rFonts w:hint="eastAsia" w:ascii="宋体" w:hAnsi="宋体" w:cs="宋体"/>
          <w:bCs/>
          <w:kern w:val="0"/>
          <w:sz w:val="24"/>
          <w:szCs w:val="24"/>
          <w:highlight w:val="none"/>
        </w:rPr>
        <w:t>九</w:t>
      </w:r>
    </w:p>
    <w:p w14:paraId="1A05263D">
      <w:pPr>
        <w:topLinePunct/>
        <w:adjustRightInd w:val="0"/>
        <w:snapToGrid w:val="0"/>
        <w:spacing w:line="360" w:lineRule="auto"/>
        <w:jc w:val="center"/>
        <w:rPr>
          <w:rFonts w:ascii="宋体" w:hAnsi="宋体" w:cs="宋体"/>
          <w:b/>
          <w:snapToGrid w:val="0"/>
          <w:spacing w:val="4"/>
          <w:kern w:val="0"/>
          <w:sz w:val="32"/>
          <w:szCs w:val="32"/>
          <w:highlight w:val="none"/>
        </w:rPr>
      </w:pPr>
      <w:r>
        <w:rPr>
          <w:rFonts w:hint="eastAsia" w:ascii="宋体" w:hAnsi="宋体" w:cs="宋体"/>
          <w:b/>
          <w:snapToGrid w:val="0"/>
          <w:spacing w:val="4"/>
          <w:kern w:val="0"/>
          <w:sz w:val="32"/>
          <w:szCs w:val="32"/>
          <w:highlight w:val="none"/>
        </w:rPr>
        <w:t>危险性较大的分部分项工程清单及</w:t>
      </w:r>
    </w:p>
    <w:p w14:paraId="5298BA64">
      <w:pPr>
        <w:topLinePunct/>
        <w:adjustRightInd w:val="0"/>
        <w:snapToGrid w:val="0"/>
        <w:spacing w:line="360" w:lineRule="auto"/>
        <w:jc w:val="center"/>
        <w:rPr>
          <w:rFonts w:ascii="宋体" w:hAnsi="宋体" w:cs="宋体"/>
          <w:b/>
          <w:snapToGrid w:val="0"/>
          <w:spacing w:val="4"/>
          <w:kern w:val="0"/>
          <w:sz w:val="32"/>
          <w:szCs w:val="32"/>
          <w:highlight w:val="none"/>
        </w:rPr>
      </w:pPr>
      <w:r>
        <w:rPr>
          <w:rFonts w:hint="eastAsia" w:ascii="宋体" w:hAnsi="宋体" w:cs="宋体"/>
          <w:b/>
          <w:snapToGrid w:val="0"/>
          <w:spacing w:val="4"/>
          <w:kern w:val="0"/>
          <w:sz w:val="32"/>
          <w:szCs w:val="32"/>
          <w:highlight w:val="none"/>
        </w:rPr>
        <w:t>超过一定规模的危险性较大的分部分项工程清单</w:t>
      </w:r>
    </w:p>
    <w:p w14:paraId="48336C10">
      <w:pPr>
        <w:pStyle w:val="111"/>
        <w:autoSpaceDE w:val="0"/>
        <w:autoSpaceDN w:val="0"/>
        <w:adjustRightInd w:val="0"/>
        <w:spacing w:line="360" w:lineRule="auto"/>
        <w:ind w:firstLine="480" w:firstLineChars="0"/>
        <w:jc w:val="left"/>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.根据中华人民共和国住房和城乡建设部令第37号《危险性较大的分部分项工程安全管理规定》（以下简称“37号文”），投标人在投标时须补充完善危大工程清单并明确相应的安全管理措施。</w:t>
      </w:r>
    </w:p>
    <w:p w14:paraId="77C58491">
      <w:pPr>
        <w:pStyle w:val="111"/>
        <w:autoSpaceDE w:val="0"/>
        <w:autoSpaceDN w:val="0"/>
        <w:adjustRightInd w:val="0"/>
        <w:spacing w:line="360" w:lineRule="auto"/>
        <w:ind w:firstLine="480" w:firstLineChars="0"/>
        <w:jc w:val="left"/>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.招标人根据设计文件的要求及37号文的规定列出“危险性较大的分部分项工程清单及超过一定规模的危险性较大的分部分项工程清单”中与本招标项目相关的清单项，具体详见第5点“打√”标识。</w:t>
      </w:r>
    </w:p>
    <w:p w14:paraId="6F7B97F3">
      <w:pPr>
        <w:pStyle w:val="111"/>
        <w:numPr>
          <w:ilvl w:val="0"/>
          <w:numId w:val="3"/>
        </w:numPr>
        <w:autoSpaceDE w:val="0"/>
        <w:autoSpaceDN w:val="0"/>
        <w:adjustRightInd w:val="0"/>
        <w:spacing w:line="360" w:lineRule="auto"/>
        <w:ind w:left="0" w:firstLine="480"/>
        <w:jc w:val="left"/>
        <w:rPr>
          <w:rFonts w:ascii="宋体" w:hAnsi="宋体" w:cs="宋体"/>
          <w:sz w:val="24"/>
          <w:szCs w:val="24"/>
          <w:highlight w:val="none"/>
        </w:rPr>
      </w:pPr>
      <w:r>
        <w:rPr>
          <w:rFonts w:hint="eastAsia" w:ascii="宋体" w:hAnsi="宋体" w:cs="宋体"/>
          <w:sz w:val="24"/>
          <w:szCs w:val="24"/>
          <w:highlight w:val="none"/>
        </w:rPr>
        <w:t>投标单位同意建设单位在清单中标识的该项请在对应项打“√”标识，并与投标文件中提供相应的安全管理措施。</w:t>
      </w:r>
    </w:p>
    <w:p w14:paraId="7381270E">
      <w:pPr>
        <w:pStyle w:val="111"/>
        <w:numPr>
          <w:ilvl w:val="0"/>
          <w:numId w:val="3"/>
        </w:numPr>
        <w:autoSpaceDE w:val="0"/>
        <w:autoSpaceDN w:val="0"/>
        <w:adjustRightInd w:val="0"/>
        <w:spacing w:line="360" w:lineRule="auto"/>
        <w:ind w:left="0" w:firstLine="480"/>
        <w:jc w:val="left"/>
        <w:rPr>
          <w:rFonts w:ascii="宋体" w:hAnsi="宋体" w:cs="宋体"/>
          <w:sz w:val="24"/>
          <w:szCs w:val="24"/>
          <w:highlight w:val="none"/>
        </w:rPr>
      </w:pPr>
      <w:r>
        <w:rPr>
          <w:rFonts w:hint="eastAsia" w:ascii="宋体" w:hAnsi="宋体" w:cs="宋体"/>
          <w:sz w:val="24"/>
          <w:szCs w:val="24"/>
          <w:highlight w:val="none"/>
        </w:rPr>
        <w:t>投标单位对清单中认为需要补充的该项请在对应项打“√”标识，并与投标文件中提供相应的安全管理措施。</w:t>
      </w:r>
    </w:p>
    <w:p w14:paraId="3CC445F0">
      <w:pPr>
        <w:pStyle w:val="111"/>
        <w:numPr>
          <w:ilvl w:val="0"/>
          <w:numId w:val="3"/>
        </w:numPr>
        <w:autoSpaceDE w:val="0"/>
        <w:autoSpaceDN w:val="0"/>
        <w:adjustRightInd w:val="0"/>
        <w:spacing w:line="360" w:lineRule="auto"/>
        <w:ind w:left="0" w:firstLine="480"/>
        <w:jc w:val="left"/>
        <w:rPr>
          <w:rFonts w:ascii="宋体" w:hAnsi="宋体" w:cs="宋体"/>
          <w:sz w:val="24"/>
          <w:szCs w:val="24"/>
          <w:highlight w:val="none"/>
        </w:rPr>
      </w:pPr>
      <w:r>
        <w:rPr>
          <w:rFonts w:hint="eastAsia" w:ascii="宋体" w:hAnsi="宋体" w:cs="宋体"/>
          <w:sz w:val="24"/>
          <w:szCs w:val="24"/>
          <w:highlight w:val="none"/>
        </w:rPr>
        <w:t>投标单位不同意建设单位在清单中标识的该项请在对应项打“×”标识，并在备注栏填上相关说明。</w:t>
      </w:r>
    </w:p>
    <w:p w14:paraId="50BBD9C9">
      <w:pPr>
        <w:pStyle w:val="111"/>
        <w:autoSpaceDE w:val="0"/>
        <w:autoSpaceDN w:val="0"/>
        <w:adjustRightInd w:val="0"/>
        <w:spacing w:line="360" w:lineRule="auto"/>
        <w:ind w:firstLine="480" w:firstLineChars="0"/>
        <w:jc w:val="left"/>
        <w:rPr>
          <w:rFonts w:ascii="宋体" w:hAns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.投标单位应当在投标时根据招标人提供的下述第5点清单，在中标后提供的施工组织中编制专项施工方案。</w:t>
      </w:r>
    </w:p>
    <w:p w14:paraId="519EC671">
      <w:pPr>
        <w:pStyle w:val="111"/>
        <w:autoSpaceDE w:val="0"/>
        <w:autoSpaceDN w:val="0"/>
        <w:adjustRightInd w:val="0"/>
        <w:spacing w:line="360" w:lineRule="auto"/>
        <w:ind w:firstLine="480" w:firstLineChars="0"/>
        <w:jc w:val="left"/>
        <w:rPr>
          <w:rFonts w:ascii="宋体" w:hAnsi="宋体" w:cs="宋体"/>
          <w:sz w:val="24"/>
          <w:szCs w:val="24"/>
          <w:highlight w:val="none"/>
        </w:rPr>
      </w:pPr>
      <w:r>
        <w:rPr>
          <w:rFonts w:ascii="宋体" w:hAnsi="宋体" w:cs="宋体"/>
          <w:sz w:val="24"/>
          <w:szCs w:val="24"/>
          <w:highlight w:val="none"/>
        </w:rPr>
        <w:t>4</w:t>
      </w:r>
      <w:r>
        <w:rPr>
          <w:rFonts w:hint="eastAsia" w:ascii="宋体" w:hAnsi="宋体" w:cs="宋体"/>
          <w:sz w:val="24"/>
          <w:szCs w:val="24"/>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532FAF65">
      <w:pPr>
        <w:pStyle w:val="111"/>
        <w:autoSpaceDE w:val="0"/>
        <w:autoSpaceDN w:val="0"/>
        <w:adjustRightInd w:val="0"/>
        <w:spacing w:line="360" w:lineRule="auto"/>
        <w:ind w:firstLine="480" w:firstLineChars="0"/>
        <w:jc w:val="left"/>
        <w:rPr>
          <w:rFonts w:ascii="宋体" w:hAnsi="宋体" w:cs="宋体"/>
          <w:sz w:val="24"/>
          <w:szCs w:val="24"/>
          <w:highlight w:val="none"/>
        </w:rPr>
      </w:pPr>
      <w:r>
        <w:rPr>
          <w:rFonts w:ascii="宋体" w:hAnsi="宋体" w:cs="宋体"/>
          <w:sz w:val="24"/>
          <w:szCs w:val="24"/>
          <w:highlight w:val="none"/>
        </w:rPr>
        <w:t>5</w:t>
      </w:r>
      <w:r>
        <w:rPr>
          <w:rFonts w:hint="eastAsia" w:ascii="宋体" w:hAnsi="宋体" w:cs="宋体"/>
          <w:sz w:val="24"/>
          <w:szCs w:val="24"/>
          <w:highlight w:val="none"/>
        </w:rPr>
        <w:t>.危险性较大的分部分项工程清单及超过一定规模的危险性较大的分部分项工程清单：</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3"/>
        <w:gridCol w:w="1563"/>
        <w:gridCol w:w="1563"/>
        <w:gridCol w:w="1220"/>
      </w:tblGrid>
      <w:tr w14:paraId="55DD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vAlign w:val="center"/>
          </w:tcPr>
          <w:p w14:paraId="6768A76E">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一、危险性较大的分部分项工程清单</w:t>
            </w:r>
          </w:p>
        </w:tc>
        <w:tc>
          <w:tcPr>
            <w:tcW w:w="793" w:type="pct"/>
            <w:vAlign w:val="center"/>
          </w:tcPr>
          <w:p w14:paraId="34EC1CD3">
            <w:pPr>
              <w:spacing w:line="360" w:lineRule="auto"/>
              <w:jc w:val="center"/>
              <w:rPr>
                <w:rFonts w:ascii="宋体" w:hAnsi="宋体" w:cs="宋体"/>
                <w:sz w:val="24"/>
                <w:szCs w:val="24"/>
                <w:highlight w:val="none"/>
              </w:rPr>
            </w:pPr>
            <w:r>
              <w:rPr>
                <w:rFonts w:hint="eastAsia" w:ascii="宋体" w:hAnsi="宋体" w:cs="宋体"/>
                <w:sz w:val="24"/>
                <w:szCs w:val="24"/>
                <w:highlight w:val="none"/>
              </w:rPr>
              <w:t>建设单位</w:t>
            </w:r>
          </w:p>
        </w:tc>
        <w:tc>
          <w:tcPr>
            <w:tcW w:w="793" w:type="pct"/>
            <w:vAlign w:val="center"/>
          </w:tcPr>
          <w:p w14:paraId="611A99C6">
            <w:pPr>
              <w:spacing w:line="360" w:lineRule="auto"/>
              <w:jc w:val="center"/>
              <w:rPr>
                <w:rFonts w:ascii="宋体" w:hAnsi="宋体" w:cs="宋体"/>
                <w:sz w:val="24"/>
                <w:szCs w:val="24"/>
                <w:highlight w:val="none"/>
              </w:rPr>
            </w:pPr>
            <w:r>
              <w:rPr>
                <w:rFonts w:hint="eastAsia" w:ascii="宋体" w:hAnsi="宋体" w:cs="宋体"/>
                <w:sz w:val="24"/>
                <w:szCs w:val="24"/>
                <w:highlight w:val="none"/>
              </w:rPr>
              <w:t>投标单位</w:t>
            </w:r>
          </w:p>
        </w:tc>
        <w:tc>
          <w:tcPr>
            <w:tcW w:w="619" w:type="pct"/>
            <w:vAlign w:val="center"/>
          </w:tcPr>
          <w:p w14:paraId="548A39F0">
            <w:pPr>
              <w:spacing w:line="360" w:lineRule="auto"/>
              <w:jc w:val="center"/>
              <w:rPr>
                <w:rFonts w:ascii="宋体" w:hAnsi="宋体" w:cs="宋体"/>
                <w:sz w:val="24"/>
                <w:szCs w:val="24"/>
                <w:highlight w:val="none"/>
              </w:rPr>
            </w:pPr>
            <w:r>
              <w:rPr>
                <w:rFonts w:hint="eastAsia" w:ascii="宋体" w:hAnsi="宋体" w:cs="宋体"/>
                <w:sz w:val="24"/>
                <w:szCs w:val="24"/>
                <w:highlight w:val="none"/>
              </w:rPr>
              <w:t>备注</w:t>
            </w:r>
          </w:p>
        </w:tc>
      </w:tr>
      <w:tr w14:paraId="0920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306E1511">
            <w:pPr>
              <w:spacing w:line="360" w:lineRule="auto"/>
              <w:jc w:val="left"/>
              <w:rPr>
                <w:rFonts w:ascii="宋体" w:hAnsi="宋体" w:cs="宋体"/>
                <w:sz w:val="24"/>
                <w:szCs w:val="24"/>
                <w:highlight w:val="none"/>
              </w:rPr>
            </w:pPr>
            <w:r>
              <w:rPr>
                <w:rFonts w:hint="eastAsia" w:ascii="宋体" w:hAnsi="宋体" w:cs="宋体"/>
                <w:sz w:val="24"/>
                <w:szCs w:val="24"/>
                <w:highlight w:val="none"/>
              </w:rPr>
              <w:t>一、基坑支护</w:t>
            </w:r>
          </w:p>
        </w:tc>
        <w:tc>
          <w:tcPr>
            <w:tcW w:w="793" w:type="pct"/>
            <w:vAlign w:val="center"/>
          </w:tcPr>
          <w:p w14:paraId="0A2AFDCD">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2E576609">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69F22276">
            <w:pPr>
              <w:spacing w:line="360" w:lineRule="auto"/>
              <w:jc w:val="center"/>
              <w:rPr>
                <w:rFonts w:ascii="宋体" w:hAnsi="宋体" w:cs="宋体"/>
                <w:sz w:val="24"/>
                <w:szCs w:val="24"/>
                <w:highlight w:val="none"/>
              </w:rPr>
            </w:pPr>
          </w:p>
        </w:tc>
      </w:tr>
      <w:tr w14:paraId="58C7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50802A94">
            <w:pPr>
              <w:spacing w:line="360" w:lineRule="auto"/>
              <w:jc w:val="left"/>
              <w:rPr>
                <w:rFonts w:ascii="宋体" w:hAnsi="宋体" w:cs="宋体"/>
                <w:sz w:val="24"/>
                <w:szCs w:val="24"/>
                <w:highlight w:val="none"/>
              </w:rPr>
            </w:pPr>
            <w:r>
              <w:rPr>
                <w:rFonts w:hint="eastAsia" w:ascii="宋体" w:hAnsi="宋体" w:cs="宋体"/>
                <w:sz w:val="24"/>
                <w:szCs w:val="24"/>
                <w:highlight w:val="none"/>
              </w:rPr>
              <w:t>（一）开挖深度超过3m（含3m）的基坑（槽）的土方开挖、支护、降水工程。</w:t>
            </w:r>
          </w:p>
        </w:tc>
        <w:tc>
          <w:tcPr>
            <w:tcW w:w="793" w:type="pct"/>
            <w:vAlign w:val="center"/>
          </w:tcPr>
          <w:p w14:paraId="5FEE3E37">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51D5A4A3">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0C19E732">
            <w:pPr>
              <w:spacing w:line="360" w:lineRule="auto"/>
              <w:jc w:val="center"/>
              <w:rPr>
                <w:rFonts w:ascii="宋体" w:hAnsi="宋体" w:cs="宋体"/>
                <w:sz w:val="24"/>
                <w:szCs w:val="24"/>
                <w:highlight w:val="none"/>
              </w:rPr>
            </w:pPr>
          </w:p>
        </w:tc>
      </w:tr>
      <w:tr w14:paraId="1249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6ADBE327">
            <w:pPr>
              <w:spacing w:line="360" w:lineRule="auto"/>
              <w:jc w:val="left"/>
              <w:rPr>
                <w:rFonts w:ascii="宋体" w:hAnsi="宋体" w:cs="宋体"/>
                <w:sz w:val="24"/>
                <w:szCs w:val="24"/>
                <w:highlight w:val="none"/>
              </w:rPr>
            </w:pPr>
            <w:r>
              <w:rPr>
                <w:rFonts w:hint="eastAsia" w:ascii="宋体" w:hAnsi="宋体" w:cs="宋体"/>
                <w:sz w:val="24"/>
                <w:szCs w:val="24"/>
                <w:highlight w:val="none"/>
              </w:rPr>
              <w:t>（二）开挖深度虽未超过3m，但地质条件、周围环境和地下管线复杂，或影响毗邻建、构筑物安全的基坑（槽）的土方开挖、支护、降水工程。</w:t>
            </w:r>
          </w:p>
        </w:tc>
        <w:tc>
          <w:tcPr>
            <w:tcW w:w="793" w:type="pct"/>
            <w:vAlign w:val="center"/>
          </w:tcPr>
          <w:p w14:paraId="10A633BA">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531B110E">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506A1F8D">
            <w:pPr>
              <w:spacing w:line="360" w:lineRule="auto"/>
              <w:jc w:val="center"/>
              <w:rPr>
                <w:rFonts w:ascii="宋体" w:hAnsi="宋体" w:cs="宋体"/>
                <w:sz w:val="24"/>
                <w:szCs w:val="24"/>
                <w:highlight w:val="none"/>
              </w:rPr>
            </w:pPr>
          </w:p>
        </w:tc>
      </w:tr>
      <w:tr w14:paraId="4AD9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1E2C8581">
            <w:pPr>
              <w:spacing w:line="360" w:lineRule="auto"/>
              <w:jc w:val="left"/>
              <w:rPr>
                <w:rFonts w:ascii="宋体" w:hAnsi="宋体" w:cs="宋体"/>
                <w:sz w:val="24"/>
                <w:szCs w:val="24"/>
                <w:highlight w:val="none"/>
              </w:rPr>
            </w:pPr>
            <w:r>
              <w:rPr>
                <w:rFonts w:hint="eastAsia" w:ascii="宋体" w:hAnsi="宋体" w:cs="宋体"/>
                <w:sz w:val="24"/>
                <w:szCs w:val="24"/>
                <w:highlight w:val="none"/>
              </w:rPr>
              <w:t>二、模板工程及支撑体系</w:t>
            </w:r>
          </w:p>
        </w:tc>
        <w:tc>
          <w:tcPr>
            <w:tcW w:w="793" w:type="pct"/>
            <w:vAlign w:val="center"/>
          </w:tcPr>
          <w:p w14:paraId="2D0A7237">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04CC8558">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352440E2">
            <w:pPr>
              <w:spacing w:line="360" w:lineRule="auto"/>
              <w:jc w:val="center"/>
              <w:rPr>
                <w:rFonts w:ascii="宋体" w:hAnsi="宋体" w:cs="宋体"/>
                <w:sz w:val="24"/>
                <w:szCs w:val="24"/>
                <w:highlight w:val="none"/>
              </w:rPr>
            </w:pPr>
          </w:p>
        </w:tc>
      </w:tr>
      <w:tr w14:paraId="2DA7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26B08E3C">
            <w:pPr>
              <w:spacing w:line="360" w:lineRule="auto"/>
              <w:jc w:val="left"/>
              <w:rPr>
                <w:rFonts w:ascii="宋体" w:hAnsi="宋体" w:cs="宋体"/>
                <w:sz w:val="24"/>
                <w:szCs w:val="24"/>
                <w:highlight w:val="none"/>
              </w:rPr>
            </w:pPr>
            <w:r>
              <w:rPr>
                <w:rFonts w:hint="eastAsia" w:ascii="宋体" w:hAnsi="宋体" w:cs="宋体"/>
                <w:sz w:val="24"/>
                <w:szCs w:val="24"/>
                <w:highlight w:val="none"/>
              </w:rPr>
              <w:t>（一）各类工具式模板工程：包括滑模、爬模、飞模、隧道模等工程。</w:t>
            </w:r>
          </w:p>
        </w:tc>
        <w:tc>
          <w:tcPr>
            <w:tcW w:w="793" w:type="pct"/>
            <w:vAlign w:val="center"/>
          </w:tcPr>
          <w:p w14:paraId="5E4D537C">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5788A505">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302F9D04">
            <w:pPr>
              <w:spacing w:line="360" w:lineRule="auto"/>
              <w:jc w:val="center"/>
              <w:rPr>
                <w:rFonts w:ascii="宋体" w:hAnsi="宋体" w:cs="宋体"/>
                <w:sz w:val="24"/>
                <w:szCs w:val="24"/>
                <w:highlight w:val="none"/>
              </w:rPr>
            </w:pPr>
          </w:p>
        </w:tc>
      </w:tr>
      <w:tr w14:paraId="3543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0941C9FF">
            <w:pPr>
              <w:spacing w:line="360" w:lineRule="auto"/>
              <w:jc w:val="left"/>
              <w:rPr>
                <w:rFonts w:ascii="宋体" w:hAnsi="宋体" w:cs="宋体"/>
                <w:sz w:val="24"/>
                <w:szCs w:val="24"/>
                <w:highlight w:val="none"/>
              </w:rPr>
            </w:pPr>
            <w:r>
              <w:rPr>
                <w:rFonts w:hint="eastAsia" w:ascii="宋体" w:hAnsi="宋体" w:cs="宋体"/>
                <w:sz w:val="24"/>
                <w:szCs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793" w:type="pct"/>
            <w:vAlign w:val="center"/>
          </w:tcPr>
          <w:p w14:paraId="3BEEF28F">
            <w:pPr>
              <w:spacing w:line="360" w:lineRule="auto"/>
              <w:jc w:val="center"/>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bidi="ar"/>
              </w:rPr>
              <w:t xml:space="preserve"> </w:t>
            </w:r>
            <w:r>
              <w:rPr>
                <w:rFonts w:hint="eastAsia" w:ascii="宋体" w:hAnsi="宋体" w:cs="宋体"/>
                <w:sz w:val="24"/>
                <w:szCs w:val="24"/>
                <w:highlight w:val="none"/>
              </w:rPr>
              <w:t xml:space="preserve">  )</w:t>
            </w:r>
          </w:p>
        </w:tc>
        <w:tc>
          <w:tcPr>
            <w:tcW w:w="793" w:type="pct"/>
            <w:vAlign w:val="center"/>
          </w:tcPr>
          <w:p w14:paraId="58DC3742">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1340BA9E">
            <w:pPr>
              <w:spacing w:line="360" w:lineRule="auto"/>
              <w:jc w:val="center"/>
              <w:rPr>
                <w:rFonts w:ascii="宋体" w:hAnsi="宋体" w:cs="宋体"/>
                <w:sz w:val="24"/>
                <w:szCs w:val="24"/>
                <w:highlight w:val="none"/>
              </w:rPr>
            </w:pPr>
          </w:p>
        </w:tc>
      </w:tr>
      <w:tr w14:paraId="3DD5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0BA0E35A">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（三）承重支撑体系：用于钢结构安装等满堂支撑体系。</w:t>
            </w:r>
          </w:p>
        </w:tc>
        <w:tc>
          <w:tcPr>
            <w:tcW w:w="793" w:type="pct"/>
            <w:vAlign w:val="center"/>
          </w:tcPr>
          <w:p w14:paraId="363EA48D">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1C3B792F">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30A4D040">
            <w:pPr>
              <w:spacing w:line="360" w:lineRule="auto"/>
              <w:jc w:val="center"/>
              <w:rPr>
                <w:rFonts w:ascii="宋体" w:hAnsi="宋体" w:cs="宋体"/>
                <w:sz w:val="24"/>
                <w:szCs w:val="24"/>
                <w:highlight w:val="none"/>
              </w:rPr>
            </w:pPr>
          </w:p>
        </w:tc>
      </w:tr>
      <w:tr w14:paraId="061D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52400BB4">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　三、起重吊装及起重机械安装拆卸工程</w:t>
            </w:r>
          </w:p>
        </w:tc>
        <w:tc>
          <w:tcPr>
            <w:tcW w:w="793" w:type="pct"/>
            <w:vAlign w:val="center"/>
          </w:tcPr>
          <w:p w14:paraId="7E0DE303">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75CAD622">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0185D3DC">
            <w:pPr>
              <w:spacing w:line="360" w:lineRule="auto"/>
              <w:jc w:val="center"/>
              <w:rPr>
                <w:rFonts w:ascii="宋体" w:hAnsi="宋体" w:cs="宋体"/>
                <w:sz w:val="24"/>
                <w:szCs w:val="24"/>
                <w:highlight w:val="none"/>
              </w:rPr>
            </w:pPr>
          </w:p>
        </w:tc>
      </w:tr>
      <w:tr w14:paraId="66D8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2F5ED42D">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（一）采用非常规起重设备、方法，且单件起吊重量在10kN及以上的起重吊装工程。</w:t>
            </w:r>
          </w:p>
        </w:tc>
        <w:tc>
          <w:tcPr>
            <w:tcW w:w="793" w:type="pct"/>
            <w:vAlign w:val="center"/>
          </w:tcPr>
          <w:p w14:paraId="63FE8A76">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3712AFB1">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62EADAC9">
            <w:pPr>
              <w:spacing w:line="360" w:lineRule="auto"/>
              <w:jc w:val="center"/>
              <w:rPr>
                <w:rFonts w:ascii="宋体" w:hAnsi="宋体" w:cs="宋体"/>
                <w:sz w:val="24"/>
                <w:szCs w:val="24"/>
                <w:highlight w:val="none"/>
              </w:rPr>
            </w:pPr>
          </w:p>
        </w:tc>
      </w:tr>
      <w:tr w14:paraId="7AAE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124699AD">
            <w:pPr>
              <w:spacing w:line="360" w:lineRule="auto"/>
              <w:jc w:val="left"/>
              <w:rPr>
                <w:rFonts w:ascii="宋体" w:hAnsi="宋体" w:cs="宋体"/>
                <w:sz w:val="24"/>
                <w:szCs w:val="24"/>
                <w:highlight w:val="none"/>
              </w:rPr>
            </w:pPr>
            <w:r>
              <w:rPr>
                <w:rFonts w:hint="eastAsia" w:ascii="宋体" w:hAnsi="宋体" w:cs="宋体"/>
                <w:sz w:val="24"/>
                <w:szCs w:val="24"/>
                <w:highlight w:val="none"/>
              </w:rPr>
              <w:t>（二）采用起重机械进行安装的工程。</w:t>
            </w:r>
          </w:p>
        </w:tc>
        <w:tc>
          <w:tcPr>
            <w:tcW w:w="793" w:type="pct"/>
            <w:vAlign w:val="center"/>
          </w:tcPr>
          <w:p w14:paraId="39824968">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5646E02A">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78128CBD">
            <w:pPr>
              <w:spacing w:line="360" w:lineRule="auto"/>
              <w:jc w:val="center"/>
              <w:rPr>
                <w:rFonts w:ascii="宋体" w:hAnsi="宋体" w:cs="宋体"/>
                <w:sz w:val="24"/>
                <w:szCs w:val="24"/>
                <w:highlight w:val="none"/>
              </w:rPr>
            </w:pPr>
          </w:p>
        </w:tc>
      </w:tr>
      <w:tr w14:paraId="1154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0357B35B">
            <w:pPr>
              <w:spacing w:line="360" w:lineRule="auto"/>
              <w:jc w:val="left"/>
              <w:rPr>
                <w:rFonts w:ascii="宋体" w:hAnsi="宋体" w:cs="宋体"/>
                <w:sz w:val="24"/>
                <w:szCs w:val="24"/>
                <w:highlight w:val="none"/>
              </w:rPr>
            </w:pPr>
            <w:r>
              <w:rPr>
                <w:rFonts w:hint="eastAsia" w:ascii="宋体" w:hAnsi="宋体" w:cs="宋体"/>
                <w:sz w:val="24"/>
                <w:szCs w:val="24"/>
                <w:highlight w:val="none"/>
              </w:rPr>
              <w:t>（三）起重机械安装和拆卸工程。</w:t>
            </w:r>
          </w:p>
        </w:tc>
        <w:tc>
          <w:tcPr>
            <w:tcW w:w="793" w:type="pct"/>
            <w:vAlign w:val="center"/>
          </w:tcPr>
          <w:p w14:paraId="568851D8">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46B8B69E">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37429B7F">
            <w:pPr>
              <w:spacing w:line="360" w:lineRule="auto"/>
              <w:jc w:val="center"/>
              <w:rPr>
                <w:rFonts w:ascii="宋体" w:hAnsi="宋体" w:cs="宋体"/>
                <w:sz w:val="24"/>
                <w:szCs w:val="24"/>
                <w:highlight w:val="none"/>
              </w:rPr>
            </w:pPr>
          </w:p>
        </w:tc>
      </w:tr>
      <w:tr w14:paraId="2BBE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66E78CFB">
            <w:pPr>
              <w:spacing w:line="360" w:lineRule="auto"/>
              <w:jc w:val="left"/>
              <w:rPr>
                <w:rFonts w:ascii="宋体" w:hAnsi="宋体" w:cs="宋体"/>
                <w:sz w:val="24"/>
                <w:szCs w:val="24"/>
                <w:highlight w:val="none"/>
              </w:rPr>
            </w:pPr>
            <w:r>
              <w:rPr>
                <w:rFonts w:hint="eastAsia" w:ascii="宋体" w:hAnsi="宋体" w:cs="宋体"/>
                <w:sz w:val="24"/>
                <w:szCs w:val="24"/>
                <w:highlight w:val="none"/>
              </w:rPr>
              <w:t>四、脚手架工程</w:t>
            </w:r>
          </w:p>
        </w:tc>
        <w:tc>
          <w:tcPr>
            <w:tcW w:w="793" w:type="pct"/>
            <w:vAlign w:val="center"/>
          </w:tcPr>
          <w:p w14:paraId="5C18636E">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2EAB6288">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7FEFC0A3">
            <w:pPr>
              <w:spacing w:line="360" w:lineRule="auto"/>
              <w:jc w:val="center"/>
              <w:rPr>
                <w:rFonts w:ascii="宋体" w:hAnsi="宋体" w:cs="宋体"/>
                <w:sz w:val="24"/>
                <w:szCs w:val="24"/>
                <w:highlight w:val="none"/>
              </w:rPr>
            </w:pPr>
          </w:p>
        </w:tc>
      </w:tr>
      <w:tr w14:paraId="5493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38EFBE7B">
            <w:pPr>
              <w:spacing w:line="360" w:lineRule="auto"/>
              <w:jc w:val="left"/>
              <w:rPr>
                <w:rFonts w:ascii="宋体" w:hAnsi="宋体" w:cs="宋体"/>
                <w:sz w:val="24"/>
                <w:szCs w:val="24"/>
                <w:highlight w:val="none"/>
              </w:rPr>
            </w:pPr>
            <w:r>
              <w:rPr>
                <w:rFonts w:hint="eastAsia" w:ascii="宋体" w:hAnsi="宋体" w:cs="宋体"/>
                <w:sz w:val="24"/>
                <w:szCs w:val="24"/>
                <w:highlight w:val="none"/>
              </w:rPr>
              <w:t>（一）搭设高度24m及以上的落地式钢管脚手架工程（包括采光井、电梯井脚手架）。</w:t>
            </w:r>
          </w:p>
        </w:tc>
        <w:tc>
          <w:tcPr>
            <w:tcW w:w="793" w:type="pct"/>
            <w:vAlign w:val="center"/>
          </w:tcPr>
          <w:p w14:paraId="606B55F0">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10CCCF8D">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1C431543">
            <w:pPr>
              <w:spacing w:line="360" w:lineRule="auto"/>
              <w:jc w:val="center"/>
              <w:rPr>
                <w:rFonts w:ascii="宋体" w:hAnsi="宋体" w:cs="宋体"/>
                <w:sz w:val="24"/>
                <w:szCs w:val="24"/>
                <w:highlight w:val="none"/>
              </w:rPr>
            </w:pPr>
          </w:p>
        </w:tc>
      </w:tr>
      <w:tr w14:paraId="0E4B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387A9DA1">
            <w:pPr>
              <w:spacing w:line="360" w:lineRule="auto"/>
              <w:jc w:val="left"/>
              <w:rPr>
                <w:rFonts w:ascii="宋体" w:hAnsi="宋体" w:cs="宋体"/>
                <w:sz w:val="24"/>
                <w:szCs w:val="24"/>
                <w:highlight w:val="none"/>
              </w:rPr>
            </w:pPr>
            <w:r>
              <w:rPr>
                <w:rFonts w:hint="eastAsia" w:ascii="宋体" w:hAnsi="宋体" w:cs="宋体"/>
                <w:sz w:val="24"/>
                <w:szCs w:val="24"/>
                <w:highlight w:val="none"/>
              </w:rPr>
              <w:t>（二）附着式升降脚手架工程。</w:t>
            </w:r>
          </w:p>
        </w:tc>
        <w:tc>
          <w:tcPr>
            <w:tcW w:w="793" w:type="pct"/>
            <w:vAlign w:val="center"/>
          </w:tcPr>
          <w:p w14:paraId="52FDEECC">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72BEE29F">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2008D7CA">
            <w:pPr>
              <w:spacing w:line="360" w:lineRule="auto"/>
              <w:jc w:val="center"/>
              <w:rPr>
                <w:rFonts w:ascii="宋体" w:hAnsi="宋体" w:cs="宋体"/>
                <w:sz w:val="24"/>
                <w:szCs w:val="24"/>
                <w:highlight w:val="none"/>
              </w:rPr>
            </w:pPr>
          </w:p>
        </w:tc>
      </w:tr>
      <w:tr w14:paraId="6A0C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71682F0A">
            <w:pPr>
              <w:spacing w:line="360" w:lineRule="auto"/>
              <w:jc w:val="left"/>
              <w:rPr>
                <w:rFonts w:ascii="宋体" w:hAnsi="宋体" w:cs="宋体"/>
                <w:sz w:val="24"/>
                <w:szCs w:val="24"/>
                <w:highlight w:val="none"/>
              </w:rPr>
            </w:pPr>
            <w:r>
              <w:rPr>
                <w:rFonts w:hint="eastAsia" w:ascii="宋体" w:hAnsi="宋体" w:cs="宋体"/>
                <w:sz w:val="24"/>
                <w:szCs w:val="24"/>
                <w:highlight w:val="none"/>
              </w:rPr>
              <w:t>（三）悬挑式脚手架工程。</w:t>
            </w:r>
          </w:p>
        </w:tc>
        <w:tc>
          <w:tcPr>
            <w:tcW w:w="793" w:type="pct"/>
            <w:vAlign w:val="center"/>
          </w:tcPr>
          <w:p w14:paraId="44E1874C">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1B104168">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59AA019B">
            <w:pPr>
              <w:spacing w:line="360" w:lineRule="auto"/>
              <w:jc w:val="center"/>
              <w:rPr>
                <w:rFonts w:ascii="宋体" w:hAnsi="宋体" w:cs="宋体"/>
                <w:sz w:val="24"/>
                <w:szCs w:val="24"/>
                <w:highlight w:val="none"/>
              </w:rPr>
            </w:pPr>
          </w:p>
        </w:tc>
      </w:tr>
      <w:tr w14:paraId="1BA6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7ADC0AC8">
            <w:pPr>
              <w:spacing w:line="360" w:lineRule="auto"/>
              <w:jc w:val="left"/>
              <w:rPr>
                <w:rFonts w:ascii="宋体" w:hAnsi="宋体" w:cs="宋体"/>
                <w:sz w:val="24"/>
                <w:szCs w:val="24"/>
                <w:highlight w:val="none"/>
              </w:rPr>
            </w:pPr>
            <w:r>
              <w:rPr>
                <w:rFonts w:hint="eastAsia" w:ascii="宋体" w:hAnsi="宋体" w:cs="宋体"/>
                <w:sz w:val="24"/>
                <w:szCs w:val="24"/>
                <w:highlight w:val="none"/>
              </w:rPr>
              <w:t>（四）高处作业吊篮。</w:t>
            </w:r>
          </w:p>
        </w:tc>
        <w:tc>
          <w:tcPr>
            <w:tcW w:w="793" w:type="pct"/>
            <w:vAlign w:val="center"/>
          </w:tcPr>
          <w:p w14:paraId="6696A4E6">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3C40EA57">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216ADCD4">
            <w:pPr>
              <w:spacing w:line="360" w:lineRule="auto"/>
              <w:jc w:val="center"/>
              <w:rPr>
                <w:rFonts w:ascii="宋体" w:hAnsi="宋体" w:cs="宋体"/>
                <w:sz w:val="24"/>
                <w:szCs w:val="24"/>
                <w:highlight w:val="none"/>
              </w:rPr>
            </w:pPr>
          </w:p>
        </w:tc>
      </w:tr>
      <w:tr w14:paraId="0B97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5E944BF4">
            <w:pPr>
              <w:spacing w:line="360" w:lineRule="auto"/>
              <w:jc w:val="left"/>
              <w:rPr>
                <w:rFonts w:ascii="宋体" w:hAnsi="宋体" w:cs="宋体"/>
                <w:sz w:val="24"/>
                <w:szCs w:val="24"/>
                <w:highlight w:val="none"/>
              </w:rPr>
            </w:pPr>
            <w:r>
              <w:rPr>
                <w:rFonts w:hint="eastAsia" w:ascii="宋体" w:hAnsi="宋体" w:cs="宋体"/>
                <w:sz w:val="24"/>
                <w:szCs w:val="24"/>
                <w:highlight w:val="none"/>
              </w:rPr>
              <w:t>（五）卸料平台、操作平台工程。</w:t>
            </w:r>
          </w:p>
        </w:tc>
        <w:tc>
          <w:tcPr>
            <w:tcW w:w="793" w:type="pct"/>
            <w:vAlign w:val="center"/>
          </w:tcPr>
          <w:p w14:paraId="7A32BF81">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07E9BF56">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2D5E094E">
            <w:pPr>
              <w:spacing w:line="360" w:lineRule="auto"/>
              <w:jc w:val="center"/>
              <w:rPr>
                <w:rFonts w:ascii="宋体" w:hAnsi="宋体" w:cs="宋体"/>
                <w:sz w:val="24"/>
                <w:szCs w:val="24"/>
                <w:highlight w:val="none"/>
              </w:rPr>
            </w:pPr>
          </w:p>
        </w:tc>
      </w:tr>
      <w:tr w14:paraId="525A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57787F99">
            <w:pPr>
              <w:spacing w:line="360" w:lineRule="auto"/>
              <w:jc w:val="left"/>
              <w:rPr>
                <w:rFonts w:ascii="宋体" w:hAnsi="宋体" w:cs="宋体"/>
                <w:sz w:val="24"/>
                <w:szCs w:val="24"/>
                <w:highlight w:val="none"/>
              </w:rPr>
            </w:pPr>
            <w:r>
              <w:rPr>
                <w:rFonts w:hint="eastAsia" w:ascii="宋体" w:hAnsi="宋体" w:cs="宋体"/>
                <w:sz w:val="24"/>
                <w:szCs w:val="24"/>
                <w:highlight w:val="none"/>
              </w:rPr>
              <w:t>（六）异型脚手架工程。</w:t>
            </w:r>
          </w:p>
        </w:tc>
        <w:tc>
          <w:tcPr>
            <w:tcW w:w="793" w:type="pct"/>
            <w:vAlign w:val="center"/>
          </w:tcPr>
          <w:p w14:paraId="44C4065F">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2F3532AB">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26E5A0E4">
            <w:pPr>
              <w:spacing w:line="360" w:lineRule="auto"/>
              <w:jc w:val="center"/>
              <w:rPr>
                <w:rFonts w:ascii="宋体" w:hAnsi="宋体" w:cs="宋体"/>
                <w:sz w:val="24"/>
                <w:szCs w:val="24"/>
                <w:highlight w:val="none"/>
              </w:rPr>
            </w:pPr>
          </w:p>
        </w:tc>
      </w:tr>
      <w:tr w14:paraId="0DF3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6371F181">
            <w:pPr>
              <w:spacing w:line="360" w:lineRule="auto"/>
              <w:jc w:val="left"/>
              <w:rPr>
                <w:rFonts w:ascii="宋体" w:hAnsi="宋体" w:cs="宋体"/>
                <w:sz w:val="24"/>
                <w:szCs w:val="24"/>
                <w:highlight w:val="none"/>
              </w:rPr>
            </w:pPr>
            <w:r>
              <w:rPr>
                <w:rFonts w:hint="eastAsia" w:ascii="宋体" w:hAnsi="宋体" w:cs="宋体"/>
                <w:sz w:val="24"/>
                <w:szCs w:val="24"/>
                <w:highlight w:val="none"/>
              </w:rPr>
              <w:t>五、拆除工程</w:t>
            </w:r>
          </w:p>
        </w:tc>
        <w:tc>
          <w:tcPr>
            <w:tcW w:w="793" w:type="pct"/>
            <w:vAlign w:val="center"/>
          </w:tcPr>
          <w:p w14:paraId="254AC718">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40C4A668">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5330B095">
            <w:pPr>
              <w:spacing w:line="360" w:lineRule="auto"/>
              <w:jc w:val="center"/>
              <w:rPr>
                <w:rFonts w:ascii="宋体" w:hAnsi="宋体" w:cs="宋体"/>
                <w:sz w:val="24"/>
                <w:szCs w:val="24"/>
                <w:highlight w:val="none"/>
              </w:rPr>
            </w:pPr>
          </w:p>
        </w:tc>
      </w:tr>
      <w:tr w14:paraId="7527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43DCD8BD">
            <w:pPr>
              <w:spacing w:line="360" w:lineRule="auto"/>
              <w:jc w:val="left"/>
              <w:rPr>
                <w:rFonts w:ascii="宋体" w:hAnsi="宋体" w:cs="宋体"/>
                <w:sz w:val="24"/>
                <w:szCs w:val="24"/>
                <w:highlight w:val="none"/>
              </w:rPr>
            </w:pPr>
            <w:r>
              <w:rPr>
                <w:rFonts w:hint="eastAsia" w:ascii="宋体" w:hAnsi="宋体" w:cs="宋体"/>
                <w:sz w:val="24"/>
                <w:szCs w:val="24"/>
                <w:highlight w:val="none"/>
              </w:rPr>
              <w:t>可能影响行人、交通、电力设施、通讯设施或其它建、构筑物安全的拆除工程。</w:t>
            </w:r>
          </w:p>
        </w:tc>
        <w:tc>
          <w:tcPr>
            <w:tcW w:w="793" w:type="pct"/>
            <w:vAlign w:val="center"/>
          </w:tcPr>
          <w:p w14:paraId="0A73A46E">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1177B44E">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384CCB7C">
            <w:pPr>
              <w:spacing w:line="360" w:lineRule="auto"/>
              <w:jc w:val="center"/>
              <w:rPr>
                <w:rFonts w:ascii="宋体" w:hAnsi="宋体" w:cs="宋体"/>
                <w:sz w:val="24"/>
                <w:szCs w:val="24"/>
                <w:highlight w:val="none"/>
              </w:rPr>
            </w:pPr>
          </w:p>
        </w:tc>
      </w:tr>
      <w:tr w14:paraId="2096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794C43D3">
            <w:pPr>
              <w:spacing w:line="360" w:lineRule="auto"/>
              <w:jc w:val="left"/>
              <w:rPr>
                <w:rFonts w:ascii="宋体" w:hAnsi="宋体" w:cs="宋体"/>
                <w:sz w:val="24"/>
                <w:szCs w:val="24"/>
                <w:highlight w:val="none"/>
              </w:rPr>
            </w:pPr>
            <w:r>
              <w:rPr>
                <w:rFonts w:hint="eastAsia" w:ascii="宋体" w:hAnsi="宋体" w:cs="宋体"/>
                <w:sz w:val="24"/>
                <w:szCs w:val="24"/>
                <w:highlight w:val="none"/>
              </w:rPr>
              <w:t>六、暗挖工程</w:t>
            </w:r>
          </w:p>
        </w:tc>
        <w:tc>
          <w:tcPr>
            <w:tcW w:w="793" w:type="pct"/>
            <w:vAlign w:val="center"/>
          </w:tcPr>
          <w:p w14:paraId="7DD2FCBF">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22371869">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36B032B6">
            <w:pPr>
              <w:spacing w:line="360" w:lineRule="auto"/>
              <w:jc w:val="center"/>
              <w:rPr>
                <w:rFonts w:ascii="宋体" w:hAnsi="宋体" w:cs="宋体"/>
                <w:sz w:val="24"/>
                <w:szCs w:val="24"/>
                <w:highlight w:val="none"/>
              </w:rPr>
            </w:pPr>
          </w:p>
        </w:tc>
      </w:tr>
      <w:tr w14:paraId="14D2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3EBA4388">
            <w:pPr>
              <w:spacing w:line="360" w:lineRule="auto"/>
              <w:jc w:val="left"/>
              <w:rPr>
                <w:rFonts w:ascii="宋体" w:hAnsi="宋体" w:cs="宋体"/>
                <w:sz w:val="24"/>
                <w:szCs w:val="24"/>
                <w:highlight w:val="none"/>
              </w:rPr>
            </w:pPr>
            <w:r>
              <w:rPr>
                <w:rFonts w:hint="eastAsia" w:ascii="宋体" w:hAnsi="宋体" w:cs="宋体"/>
                <w:sz w:val="24"/>
                <w:szCs w:val="24"/>
                <w:highlight w:val="none"/>
              </w:rPr>
              <w:t>采用矿山法、盾构法、顶管法施工的隧道、洞室工程。</w:t>
            </w:r>
          </w:p>
        </w:tc>
        <w:tc>
          <w:tcPr>
            <w:tcW w:w="793" w:type="pct"/>
            <w:vAlign w:val="center"/>
          </w:tcPr>
          <w:p w14:paraId="0ABD97B8">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2672231F">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03BA155C">
            <w:pPr>
              <w:spacing w:line="360" w:lineRule="auto"/>
              <w:jc w:val="center"/>
              <w:rPr>
                <w:rFonts w:ascii="宋体" w:hAnsi="宋体" w:cs="宋体"/>
                <w:sz w:val="24"/>
                <w:szCs w:val="24"/>
                <w:highlight w:val="none"/>
              </w:rPr>
            </w:pPr>
          </w:p>
        </w:tc>
      </w:tr>
      <w:tr w14:paraId="0E0D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5E2D7711">
            <w:pPr>
              <w:spacing w:line="360" w:lineRule="auto"/>
              <w:jc w:val="left"/>
              <w:rPr>
                <w:rFonts w:ascii="宋体" w:hAnsi="宋体" w:cs="宋体"/>
                <w:sz w:val="24"/>
                <w:szCs w:val="24"/>
                <w:highlight w:val="none"/>
              </w:rPr>
            </w:pPr>
            <w:r>
              <w:rPr>
                <w:rFonts w:hint="eastAsia" w:ascii="宋体" w:hAnsi="宋体" w:cs="宋体"/>
                <w:sz w:val="24"/>
                <w:szCs w:val="24"/>
                <w:highlight w:val="none"/>
              </w:rPr>
              <w:t>七、其它</w:t>
            </w:r>
          </w:p>
        </w:tc>
        <w:tc>
          <w:tcPr>
            <w:tcW w:w="793" w:type="pct"/>
            <w:vAlign w:val="center"/>
          </w:tcPr>
          <w:p w14:paraId="113DB181">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06CF4BAD">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5996ECF6">
            <w:pPr>
              <w:spacing w:line="360" w:lineRule="auto"/>
              <w:jc w:val="center"/>
              <w:rPr>
                <w:rFonts w:ascii="宋体" w:hAnsi="宋体" w:cs="宋体"/>
                <w:sz w:val="24"/>
                <w:szCs w:val="24"/>
                <w:highlight w:val="none"/>
              </w:rPr>
            </w:pPr>
          </w:p>
        </w:tc>
      </w:tr>
      <w:tr w14:paraId="2BE1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34267425">
            <w:pPr>
              <w:spacing w:line="360" w:lineRule="auto"/>
              <w:jc w:val="left"/>
              <w:rPr>
                <w:rFonts w:ascii="宋体" w:hAnsi="宋体" w:cs="宋体"/>
                <w:sz w:val="24"/>
                <w:szCs w:val="24"/>
                <w:highlight w:val="none"/>
              </w:rPr>
            </w:pPr>
            <w:r>
              <w:rPr>
                <w:rFonts w:hint="eastAsia" w:ascii="宋体" w:hAnsi="宋体" w:cs="宋体"/>
                <w:sz w:val="24"/>
                <w:szCs w:val="24"/>
                <w:highlight w:val="none"/>
              </w:rPr>
              <w:t>（一）建筑幕墙安装工程。</w:t>
            </w:r>
          </w:p>
        </w:tc>
        <w:tc>
          <w:tcPr>
            <w:tcW w:w="793" w:type="pct"/>
            <w:vAlign w:val="center"/>
          </w:tcPr>
          <w:p w14:paraId="42427520">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0A94239F">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702739D0">
            <w:pPr>
              <w:spacing w:line="360" w:lineRule="auto"/>
              <w:jc w:val="center"/>
              <w:rPr>
                <w:rFonts w:ascii="宋体" w:hAnsi="宋体" w:cs="宋体"/>
                <w:sz w:val="24"/>
                <w:szCs w:val="24"/>
                <w:highlight w:val="none"/>
              </w:rPr>
            </w:pPr>
          </w:p>
        </w:tc>
      </w:tr>
      <w:tr w14:paraId="1CC3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13E00C4C">
            <w:pPr>
              <w:spacing w:line="360" w:lineRule="auto"/>
              <w:jc w:val="left"/>
              <w:rPr>
                <w:rFonts w:ascii="宋体" w:hAnsi="宋体" w:cs="宋体"/>
                <w:sz w:val="24"/>
                <w:szCs w:val="24"/>
                <w:highlight w:val="none"/>
              </w:rPr>
            </w:pPr>
            <w:r>
              <w:rPr>
                <w:rFonts w:hint="eastAsia" w:ascii="宋体" w:hAnsi="宋体" w:cs="宋体"/>
                <w:sz w:val="24"/>
                <w:szCs w:val="24"/>
                <w:highlight w:val="none"/>
              </w:rPr>
              <w:t>（二）钢结构、网架和索膜结构安装工程。</w:t>
            </w:r>
          </w:p>
        </w:tc>
        <w:tc>
          <w:tcPr>
            <w:tcW w:w="793" w:type="pct"/>
            <w:vAlign w:val="center"/>
          </w:tcPr>
          <w:p w14:paraId="15447EB4">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7FBD709D">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21964434">
            <w:pPr>
              <w:spacing w:line="360" w:lineRule="auto"/>
              <w:jc w:val="center"/>
              <w:rPr>
                <w:rFonts w:ascii="宋体" w:hAnsi="宋体" w:cs="宋体"/>
                <w:sz w:val="24"/>
                <w:szCs w:val="24"/>
                <w:highlight w:val="none"/>
              </w:rPr>
            </w:pPr>
          </w:p>
        </w:tc>
      </w:tr>
      <w:tr w14:paraId="7C16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08A683DB">
            <w:pPr>
              <w:spacing w:line="360" w:lineRule="auto"/>
              <w:jc w:val="left"/>
              <w:rPr>
                <w:rFonts w:ascii="宋体" w:hAnsi="宋体" w:cs="宋体"/>
                <w:sz w:val="24"/>
                <w:szCs w:val="24"/>
                <w:highlight w:val="none"/>
              </w:rPr>
            </w:pPr>
            <w:r>
              <w:rPr>
                <w:rFonts w:hint="eastAsia" w:ascii="宋体" w:hAnsi="宋体" w:cs="宋体"/>
                <w:sz w:val="24"/>
                <w:szCs w:val="24"/>
                <w:highlight w:val="none"/>
              </w:rPr>
              <w:t>（三）人工挖孔桩工程。</w:t>
            </w:r>
          </w:p>
        </w:tc>
        <w:tc>
          <w:tcPr>
            <w:tcW w:w="793" w:type="pct"/>
            <w:vAlign w:val="center"/>
          </w:tcPr>
          <w:p w14:paraId="771D2ADE">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35027D56">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3B8F1B4B">
            <w:pPr>
              <w:spacing w:line="360" w:lineRule="auto"/>
              <w:jc w:val="center"/>
              <w:rPr>
                <w:rFonts w:ascii="宋体" w:hAnsi="宋体" w:cs="宋体"/>
                <w:sz w:val="24"/>
                <w:szCs w:val="24"/>
                <w:highlight w:val="none"/>
              </w:rPr>
            </w:pPr>
          </w:p>
        </w:tc>
      </w:tr>
      <w:tr w14:paraId="1848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1366641C">
            <w:pPr>
              <w:spacing w:line="360" w:lineRule="auto"/>
              <w:jc w:val="left"/>
              <w:rPr>
                <w:rFonts w:ascii="宋体" w:hAnsi="宋体" w:cs="宋体"/>
                <w:sz w:val="24"/>
                <w:szCs w:val="24"/>
                <w:highlight w:val="none"/>
              </w:rPr>
            </w:pPr>
            <w:r>
              <w:rPr>
                <w:rFonts w:hint="eastAsia" w:ascii="宋体" w:hAnsi="宋体" w:cs="宋体"/>
                <w:sz w:val="24"/>
                <w:szCs w:val="24"/>
                <w:highlight w:val="none"/>
              </w:rPr>
              <w:t>（四）水下作业工程。</w:t>
            </w:r>
          </w:p>
        </w:tc>
        <w:tc>
          <w:tcPr>
            <w:tcW w:w="793" w:type="pct"/>
            <w:vAlign w:val="center"/>
          </w:tcPr>
          <w:p w14:paraId="5A1B44E3">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632E9393">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0CE069D0">
            <w:pPr>
              <w:spacing w:line="360" w:lineRule="auto"/>
              <w:jc w:val="center"/>
              <w:rPr>
                <w:rFonts w:ascii="宋体" w:hAnsi="宋体" w:cs="宋体"/>
                <w:sz w:val="24"/>
                <w:szCs w:val="24"/>
                <w:highlight w:val="none"/>
              </w:rPr>
            </w:pPr>
          </w:p>
        </w:tc>
      </w:tr>
      <w:tr w14:paraId="7CF2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1EBE5A93">
            <w:pPr>
              <w:spacing w:line="360" w:lineRule="auto"/>
              <w:jc w:val="left"/>
              <w:rPr>
                <w:rFonts w:ascii="宋体" w:hAnsi="宋体" w:cs="宋体"/>
                <w:sz w:val="24"/>
                <w:szCs w:val="24"/>
                <w:highlight w:val="none"/>
              </w:rPr>
            </w:pPr>
            <w:r>
              <w:rPr>
                <w:rFonts w:hint="eastAsia" w:ascii="宋体" w:hAnsi="宋体" w:cs="宋体"/>
                <w:sz w:val="24"/>
                <w:szCs w:val="24"/>
                <w:highlight w:val="none"/>
              </w:rPr>
              <w:t>（五）装配式建筑混凝土预制构件安装工程。</w:t>
            </w:r>
          </w:p>
        </w:tc>
        <w:tc>
          <w:tcPr>
            <w:tcW w:w="793" w:type="pct"/>
            <w:vAlign w:val="center"/>
          </w:tcPr>
          <w:p w14:paraId="07A56FA7">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70B9209F">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0925747E">
            <w:pPr>
              <w:spacing w:line="360" w:lineRule="auto"/>
              <w:jc w:val="center"/>
              <w:rPr>
                <w:rFonts w:ascii="宋体" w:hAnsi="宋体" w:cs="宋体"/>
                <w:sz w:val="24"/>
                <w:szCs w:val="24"/>
                <w:highlight w:val="none"/>
              </w:rPr>
            </w:pPr>
          </w:p>
        </w:tc>
      </w:tr>
      <w:tr w14:paraId="06FD7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071599CA">
            <w:pPr>
              <w:spacing w:line="360" w:lineRule="auto"/>
              <w:jc w:val="left"/>
              <w:rPr>
                <w:rFonts w:ascii="宋体" w:hAnsi="宋体" w:cs="宋体"/>
                <w:sz w:val="24"/>
                <w:szCs w:val="24"/>
                <w:highlight w:val="none"/>
              </w:rPr>
            </w:pPr>
            <w:r>
              <w:rPr>
                <w:rFonts w:hint="eastAsia" w:ascii="宋体" w:hAnsi="宋体" w:cs="宋体"/>
                <w:sz w:val="24"/>
                <w:szCs w:val="24"/>
                <w:highlight w:val="none"/>
              </w:rPr>
              <w:t>（六）采用新技术、新工艺、新材料、新设备可能影响工程施工安全，尚无国家、行业及地方技术标准的分部分项工程。</w:t>
            </w:r>
          </w:p>
        </w:tc>
        <w:tc>
          <w:tcPr>
            <w:tcW w:w="793" w:type="pct"/>
            <w:vAlign w:val="center"/>
          </w:tcPr>
          <w:p w14:paraId="62B97CC6">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00F4A016">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43AE0B89">
            <w:pPr>
              <w:spacing w:line="360" w:lineRule="auto"/>
              <w:jc w:val="center"/>
              <w:rPr>
                <w:rFonts w:ascii="宋体" w:hAnsi="宋体" w:cs="宋体"/>
                <w:sz w:val="24"/>
                <w:szCs w:val="24"/>
                <w:highlight w:val="none"/>
              </w:rPr>
            </w:pPr>
          </w:p>
        </w:tc>
      </w:tr>
      <w:tr w14:paraId="4D4E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vAlign w:val="center"/>
          </w:tcPr>
          <w:p w14:paraId="4424DEA4">
            <w:pPr>
              <w:widowControl/>
              <w:spacing w:line="360" w:lineRule="auto"/>
              <w:rPr>
                <w:rFonts w:ascii="宋体" w:hAnsi="宋体" w:cs="宋体"/>
                <w:b/>
                <w:sz w:val="24"/>
                <w:szCs w:val="24"/>
                <w:highlight w:val="none"/>
              </w:rPr>
            </w:pPr>
            <w:r>
              <w:rPr>
                <w:rFonts w:hint="eastAsia" w:ascii="宋体" w:hAnsi="宋体" w:cs="宋体"/>
                <w:b/>
                <w:bCs/>
                <w:sz w:val="24"/>
                <w:szCs w:val="24"/>
                <w:highlight w:val="none"/>
              </w:rPr>
              <w:t>二、超过一定规模的危险性较大的分部分项工程清单</w:t>
            </w:r>
          </w:p>
        </w:tc>
        <w:tc>
          <w:tcPr>
            <w:tcW w:w="793" w:type="pct"/>
            <w:vAlign w:val="center"/>
          </w:tcPr>
          <w:p w14:paraId="557E0F38">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601AC8C9">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7E95A101">
            <w:pPr>
              <w:spacing w:line="360" w:lineRule="auto"/>
              <w:jc w:val="center"/>
              <w:rPr>
                <w:rFonts w:ascii="宋体" w:hAnsi="宋体" w:cs="宋体"/>
                <w:sz w:val="24"/>
                <w:szCs w:val="24"/>
                <w:highlight w:val="none"/>
              </w:rPr>
            </w:pPr>
          </w:p>
        </w:tc>
      </w:tr>
      <w:tr w14:paraId="7397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5DC31963">
            <w:pPr>
              <w:spacing w:line="360" w:lineRule="auto"/>
              <w:jc w:val="left"/>
              <w:rPr>
                <w:rFonts w:ascii="宋体" w:hAnsi="宋体" w:cs="宋体"/>
                <w:sz w:val="24"/>
                <w:szCs w:val="24"/>
                <w:highlight w:val="none"/>
              </w:rPr>
            </w:pPr>
            <w:r>
              <w:rPr>
                <w:rFonts w:hint="eastAsia" w:ascii="宋体" w:hAnsi="宋体" w:cs="宋体"/>
                <w:sz w:val="24"/>
                <w:szCs w:val="24"/>
                <w:highlight w:val="none"/>
              </w:rPr>
              <w:t>一、深基坑工程</w:t>
            </w:r>
          </w:p>
        </w:tc>
        <w:tc>
          <w:tcPr>
            <w:tcW w:w="793" w:type="pct"/>
            <w:vAlign w:val="center"/>
          </w:tcPr>
          <w:p w14:paraId="20B1E04E">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62F6D50B">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3257F67E">
            <w:pPr>
              <w:spacing w:line="360" w:lineRule="auto"/>
              <w:jc w:val="center"/>
              <w:rPr>
                <w:rFonts w:ascii="宋体" w:hAnsi="宋体" w:cs="宋体"/>
                <w:sz w:val="24"/>
                <w:szCs w:val="24"/>
                <w:highlight w:val="none"/>
              </w:rPr>
            </w:pPr>
          </w:p>
        </w:tc>
      </w:tr>
      <w:tr w14:paraId="4D49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28F99D4D">
            <w:pPr>
              <w:spacing w:line="360" w:lineRule="auto"/>
              <w:jc w:val="left"/>
              <w:rPr>
                <w:rFonts w:ascii="宋体" w:hAnsi="宋体" w:cs="宋体"/>
                <w:sz w:val="24"/>
                <w:szCs w:val="24"/>
                <w:highlight w:val="none"/>
              </w:rPr>
            </w:pPr>
            <w:r>
              <w:rPr>
                <w:rFonts w:hint="eastAsia" w:ascii="宋体" w:hAnsi="宋体" w:cs="宋体"/>
                <w:sz w:val="24"/>
                <w:szCs w:val="24"/>
                <w:highlight w:val="none"/>
              </w:rPr>
              <w:t>开挖深度超过5m（含5m）的基坑（槽）的土方开挖、支护、降水工程。</w:t>
            </w:r>
          </w:p>
        </w:tc>
        <w:tc>
          <w:tcPr>
            <w:tcW w:w="793" w:type="pct"/>
            <w:vAlign w:val="center"/>
          </w:tcPr>
          <w:p w14:paraId="0B145A88">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26E1D8CB">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41469EDD">
            <w:pPr>
              <w:spacing w:line="360" w:lineRule="auto"/>
              <w:jc w:val="center"/>
              <w:rPr>
                <w:rFonts w:ascii="宋体" w:hAnsi="宋体" w:cs="宋体"/>
                <w:sz w:val="24"/>
                <w:szCs w:val="24"/>
                <w:highlight w:val="none"/>
              </w:rPr>
            </w:pPr>
          </w:p>
        </w:tc>
      </w:tr>
      <w:tr w14:paraId="6D77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147B8E7A">
            <w:pPr>
              <w:spacing w:line="360" w:lineRule="auto"/>
              <w:jc w:val="left"/>
              <w:rPr>
                <w:rFonts w:ascii="宋体" w:hAnsi="宋体" w:cs="宋体"/>
                <w:sz w:val="24"/>
                <w:szCs w:val="24"/>
                <w:highlight w:val="none"/>
              </w:rPr>
            </w:pPr>
            <w:r>
              <w:rPr>
                <w:rFonts w:hint="eastAsia" w:ascii="宋体" w:hAnsi="宋体" w:cs="宋体"/>
                <w:sz w:val="24"/>
                <w:szCs w:val="24"/>
                <w:highlight w:val="none"/>
              </w:rPr>
              <w:t>二、模板工程及支撑体系</w:t>
            </w:r>
          </w:p>
        </w:tc>
        <w:tc>
          <w:tcPr>
            <w:tcW w:w="793" w:type="pct"/>
            <w:vAlign w:val="center"/>
          </w:tcPr>
          <w:p w14:paraId="6315AC65">
            <w:pPr>
              <w:spacing w:line="360" w:lineRule="auto"/>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518382DF">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3D40793B">
            <w:pPr>
              <w:spacing w:line="360" w:lineRule="auto"/>
              <w:jc w:val="center"/>
              <w:rPr>
                <w:rFonts w:ascii="宋体" w:hAnsi="宋体" w:cs="宋体"/>
                <w:sz w:val="24"/>
                <w:szCs w:val="24"/>
                <w:highlight w:val="none"/>
              </w:rPr>
            </w:pPr>
          </w:p>
        </w:tc>
      </w:tr>
      <w:tr w14:paraId="24F6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2324123E">
            <w:pPr>
              <w:spacing w:line="360" w:lineRule="auto"/>
              <w:jc w:val="left"/>
              <w:rPr>
                <w:rFonts w:ascii="宋体" w:hAnsi="宋体" w:cs="宋体"/>
                <w:sz w:val="24"/>
                <w:szCs w:val="24"/>
                <w:highlight w:val="none"/>
              </w:rPr>
            </w:pPr>
            <w:r>
              <w:rPr>
                <w:rFonts w:hint="eastAsia" w:ascii="宋体" w:hAnsi="宋体" w:cs="宋体"/>
                <w:sz w:val="24"/>
                <w:szCs w:val="24"/>
                <w:highlight w:val="none"/>
              </w:rPr>
              <w:t>（一）各类工具式模板工程：包括滑模、爬模、飞模、隧道模等工程。</w:t>
            </w:r>
          </w:p>
        </w:tc>
        <w:tc>
          <w:tcPr>
            <w:tcW w:w="793" w:type="pct"/>
            <w:vAlign w:val="center"/>
          </w:tcPr>
          <w:p w14:paraId="39DC86CD">
            <w:pPr>
              <w:spacing w:line="360" w:lineRule="auto"/>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5C2C3BBD">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27FCB6A0">
            <w:pPr>
              <w:spacing w:line="360" w:lineRule="auto"/>
              <w:jc w:val="center"/>
              <w:rPr>
                <w:rFonts w:ascii="宋体" w:hAnsi="宋体" w:cs="宋体"/>
                <w:sz w:val="24"/>
                <w:szCs w:val="24"/>
                <w:highlight w:val="none"/>
              </w:rPr>
            </w:pPr>
          </w:p>
        </w:tc>
      </w:tr>
      <w:tr w14:paraId="26AD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2E09E0CC">
            <w:pPr>
              <w:spacing w:line="360" w:lineRule="auto"/>
              <w:jc w:val="left"/>
              <w:rPr>
                <w:rFonts w:ascii="宋体" w:hAnsi="宋体" w:cs="宋体"/>
                <w:sz w:val="24"/>
                <w:szCs w:val="24"/>
                <w:highlight w:val="none"/>
              </w:rPr>
            </w:pPr>
            <w:r>
              <w:rPr>
                <w:rFonts w:hint="eastAsia" w:ascii="宋体" w:hAnsi="宋体" w:cs="宋体"/>
                <w:sz w:val="24"/>
                <w:szCs w:val="24"/>
                <w:highlight w:val="none"/>
              </w:rPr>
              <w:t>（二）混凝土模板支撑工程：搭设高度8m及以上，或搭设跨度18m及以上，或施工总荷载（设计值）15kN/m2及以上，或集中线荷载（设计值）20kN/m及以上。</w:t>
            </w:r>
          </w:p>
        </w:tc>
        <w:tc>
          <w:tcPr>
            <w:tcW w:w="793" w:type="pct"/>
            <w:vAlign w:val="center"/>
          </w:tcPr>
          <w:p w14:paraId="4C01AE80">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77904DC5">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760486A2">
            <w:pPr>
              <w:spacing w:line="360" w:lineRule="auto"/>
              <w:jc w:val="center"/>
              <w:rPr>
                <w:rFonts w:ascii="宋体" w:hAnsi="宋体" w:cs="宋体"/>
                <w:sz w:val="24"/>
                <w:szCs w:val="24"/>
                <w:highlight w:val="none"/>
              </w:rPr>
            </w:pPr>
          </w:p>
        </w:tc>
      </w:tr>
      <w:tr w14:paraId="104C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79CFF524">
            <w:pPr>
              <w:spacing w:line="360" w:lineRule="auto"/>
              <w:jc w:val="left"/>
              <w:rPr>
                <w:rFonts w:ascii="宋体" w:hAnsi="宋体" w:cs="宋体"/>
                <w:sz w:val="24"/>
                <w:szCs w:val="24"/>
                <w:highlight w:val="none"/>
              </w:rPr>
            </w:pPr>
            <w:r>
              <w:rPr>
                <w:rFonts w:hint="eastAsia" w:ascii="宋体" w:hAnsi="宋体" w:cs="宋体"/>
                <w:sz w:val="24"/>
                <w:szCs w:val="24"/>
                <w:highlight w:val="none"/>
              </w:rPr>
              <w:t>（三）承重支撑体系：用于钢结构安装等满堂支撑体系，承受单点集中荷载7kN及以上。</w:t>
            </w:r>
          </w:p>
        </w:tc>
        <w:tc>
          <w:tcPr>
            <w:tcW w:w="793" w:type="pct"/>
            <w:vAlign w:val="center"/>
          </w:tcPr>
          <w:p w14:paraId="39FC629C">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225FD051">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50C77E81">
            <w:pPr>
              <w:spacing w:line="360" w:lineRule="auto"/>
              <w:jc w:val="center"/>
              <w:rPr>
                <w:rFonts w:ascii="宋体" w:hAnsi="宋体" w:cs="宋体"/>
                <w:sz w:val="24"/>
                <w:szCs w:val="24"/>
                <w:highlight w:val="none"/>
              </w:rPr>
            </w:pPr>
          </w:p>
        </w:tc>
      </w:tr>
      <w:tr w14:paraId="7DB9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735A2ECD">
            <w:pPr>
              <w:spacing w:line="360" w:lineRule="auto"/>
              <w:jc w:val="left"/>
              <w:rPr>
                <w:rFonts w:ascii="宋体" w:hAnsi="宋体" w:cs="宋体"/>
                <w:sz w:val="24"/>
                <w:szCs w:val="24"/>
                <w:highlight w:val="none"/>
              </w:rPr>
            </w:pPr>
            <w:r>
              <w:rPr>
                <w:rFonts w:hint="eastAsia" w:ascii="宋体" w:hAnsi="宋体" w:cs="宋体"/>
                <w:sz w:val="24"/>
                <w:szCs w:val="24"/>
                <w:highlight w:val="none"/>
              </w:rPr>
              <w:t>三、起重吊装及起重机械安装拆卸工程</w:t>
            </w:r>
          </w:p>
        </w:tc>
        <w:tc>
          <w:tcPr>
            <w:tcW w:w="793" w:type="pct"/>
            <w:vAlign w:val="center"/>
          </w:tcPr>
          <w:p w14:paraId="65C265FB">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6DCF4398">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43611042">
            <w:pPr>
              <w:spacing w:line="360" w:lineRule="auto"/>
              <w:jc w:val="center"/>
              <w:rPr>
                <w:rFonts w:ascii="宋体" w:hAnsi="宋体" w:cs="宋体"/>
                <w:sz w:val="24"/>
                <w:szCs w:val="24"/>
                <w:highlight w:val="none"/>
              </w:rPr>
            </w:pPr>
          </w:p>
        </w:tc>
      </w:tr>
      <w:tr w14:paraId="4036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5528BE13">
            <w:pPr>
              <w:spacing w:line="360" w:lineRule="auto"/>
              <w:jc w:val="left"/>
              <w:rPr>
                <w:rFonts w:ascii="宋体" w:hAnsi="宋体" w:cs="宋体"/>
                <w:sz w:val="24"/>
                <w:szCs w:val="24"/>
                <w:highlight w:val="none"/>
              </w:rPr>
            </w:pPr>
            <w:r>
              <w:rPr>
                <w:rFonts w:hint="eastAsia" w:ascii="宋体" w:hAnsi="宋体" w:cs="宋体"/>
                <w:sz w:val="24"/>
                <w:szCs w:val="24"/>
                <w:highlight w:val="none"/>
              </w:rPr>
              <w:t>（一）采用非常规起重设备、方法，且单件起吊重量在100kN及以上的起重吊装工程。</w:t>
            </w:r>
          </w:p>
        </w:tc>
        <w:tc>
          <w:tcPr>
            <w:tcW w:w="793" w:type="pct"/>
            <w:vAlign w:val="center"/>
          </w:tcPr>
          <w:p w14:paraId="1710D152">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7B3AF846">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20538C31">
            <w:pPr>
              <w:spacing w:line="360" w:lineRule="auto"/>
              <w:jc w:val="center"/>
              <w:rPr>
                <w:rFonts w:ascii="宋体" w:hAnsi="宋体" w:cs="宋体"/>
                <w:sz w:val="24"/>
                <w:szCs w:val="24"/>
                <w:highlight w:val="none"/>
              </w:rPr>
            </w:pPr>
          </w:p>
        </w:tc>
      </w:tr>
      <w:tr w14:paraId="3533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742664B7">
            <w:pPr>
              <w:spacing w:line="360" w:lineRule="auto"/>
              <w:jc w:val="left"/>
              <w:rPr>
                <w:rFonts w:ascii="宋体" w:hAnsi="宋体" w:cs="宋体"/>
                <w:sz w:val="24"/>
                <w:szCs w:val="24"/>
                <w:highlight w:val="none"/>
              </w:rPr>
            </w:pPr>
            <w:r>
              <w:rPr>
                <w:rFonts w:hint="eastAsia" w:ascii="宋体" w:hAnsi="宋体" w:cs="宋体"/>
                <w:sz w:val="24"/>
                <w:szCs w:val="24"/>
                <w:highlight w:val="none"/>
              </w:rPr>
              <w:t>（二）起重量300kN及以上，或搭设总高度200m及以上，或搭设基础标高在200m及以上的起重机械安装和拆卸工程。</w:t>
            </w:r>
          </w:p>
        </w:tc>
        <w:tc>
          <w:tcPr>
            <w:tcW w:w="793" w:type="pct"/>
            <w:vAlign w:val="center"/>
          </w:tcPr>
          <w:p w14:paraId="7FF2A81A">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1B27F5BE">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670B3D15">
            <w:pPr>
              <w:spacing w:line="360" w:lineRule="auto"/>
              <w:jc w:val="center"/>
              <w:rPr>
                <w:rFonts w:ascii="宋体" w:hAnsi="宋体" w:cs="宋体"/>
                <w:sz w:val="24"/>
                <w:szCs w:val="24"/>
                <w:highlight w:val="none"/>
              </w:rPr>
            </w:pPr>
          </w:p>
        </w:tc>
      </w:tr>
      <w:tr w14:paraId="753E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09E8CFA3">
            <w:pPr>
              <w:spacing w:line="360" w:lineRule="auto"/>
              <w:jc w:val="left"/>
              <w:rPr>
                <w:rFonts w:ascii="宋体" w:hAnsi="宋体" w:cs="宋体"/>
                <w:sz w:val="24"/>
                <w:szCs w:val="24"/>
                <w:highlight w:val="none"/>
              </w:rPr>
            </w:pPr>
            <w:r>
              <w:rPr>
                <w:rFonts w:hint="eastAsia" w:ascii="宋体" w:hAnsi="宋体" w:cs="宋体"/>
                <w:sz w:val="24"/>
                <w:szCs w:val="24"/>
                <w:highlight w:val="none"/>
              </w:rPr>
              <w:t>四、脚手架工程</w:t>
            </w:r>
          </w:p>
        </w:tc>
        <w:tc>
          <w:tcPr>
            <w:tcW w:w="793" w:type="pct"/>
            <w:vAlign w:val="center"/>
          </w:tcPr>
          <w:p w14:paraId="43724947">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1271F0F4">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3835710C">
            <w:pPr>
              <w:spacing w:line="360" w:lineRule="auto"/>
              <w:jc w:val="center"/>
              <w:rPr>
                <w:rFonts w:ascii="宋体" w:hAnsi="宋体" w:cs="宋体"/>
                <w:sz w:val="24"/>
                <w:szCs w:val="24"/>
                <w:highlight w:val="none"/>
              </w:rPr>
            </w:pPr>
          </w:p>
        </w:tc>
      </w:tr>
      <w:tr w14:paraId="0AED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7DA1E8E8">
            <w:pPr>
              <w:spacing w:line="360" w:lineRule="auto"/>
              <w:jc w:val="left"/>
              <w:rPr>
                <w:rFonts w:ascii="宋体" w:hAnsi="宋体" w:cs="宋体"/>
                <w:sz w:val="24"/>
                <w:szCs w:val="24"/>
                <w:highlight w:val="none"/>
              </w:rPr>
            </w:pPr>
            <w:r>
              <w:rPr>
                <w:rFonts w:hint="eastAsia" w:ascii="宋体" w:hAnsi="宋体" w:cs="宋体"/>
                <w:sz w:val="24"/>
                <w:szCs w:val="24"/>
                <w:highlight w:val="none"/>
              </w:rPr>
              <w:t>（一）搭设高度50m及以上的落地式钢管脚手架工程。</w:t>
            </w:r>
          </w:p>
        </w:tc>
        <w:tc>
          <w:tcPr>
            <w:tcW w:w="793" w:type="pct"/>
            <w:vAlign w:val="center"/>
          </w:tcPr>
          <w:p w14:paraId="477117DF">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58ADAF23">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1A24A57D">
            <w:pPr>
              <w:spacing w:line="360" w:lineRule="auto"/>
              <w:jc w:val="center"/>
              <w:rPr>
                <w:rFonts w:ascii="宋体" w:hAnsi="宋体" w:cs="宋体"/>
                <w:sz w:val="24"/>
                <w:szCs w:val="24"/>
                <w:highlight w:val="none"/>
              </w:rPr>
            </w:pPr>
          </w:p>
        </w:tc>
      </w:tr>
      <w:tr w14:paraId="5C00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4FF19439">
            <w:pPr>
              <w:spacing w:line="360" w:lineRule="auto"/>
              <w:jc w:val="left"/>
              <w:rPr>
                <w:rFonts w:ascii="宋体" w:hAnsi="宋体" w:cs="宋体"/>
                <w:sz w:val="24"/>
                <w:szCs w:val="24"/>
                <w:highlight w:val="none"/>
              </w:rPr>
            </w:pPr>
            <w:r>
              <w:rPr>
                <w:rFonts w:hint="eastAsia" w:ascii="宋体" w:hAnsi="宋体" w:cs="宋体"/>
                <w:sz w:val="24"/>
                <w:szCs w:val="24"/>
                <w:highlight w:val="none"/>
              </w:rPr>
              <w:t>（二）提升高度在150m及以上的附着式升降脚手架工程或附着式升降操作平台工程。</w:t>
            </w:r>
          </w:p>
        </w:tc>
        <w:tc>
          <w:tcPr>
            <w:tcW w:w="793" w:type="pct"/>
            <w:vAlign w:val="center"/>
          </w:tcPr>
          <w:p w14:paraId="01D024F4">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29265ABE">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3F73E40C">
            <w:pPr>
              <w:spacing w:line="360" w:lineRule="auto"/>
              <w:jc w:val="center"/>
              <w:rPr>
                <w:rFonts w:ascii="宋体" w:hAnsi="宋体" w:cs="宋体"/>
                <w:sz w:val="24"/>
                <w:szCs w:val="24"/>
                <w:highlight w:val="none"/>
              </w:rPr>
            </w:pPr>
          </w:p>
        </w:tc>
      </w:tr>
      <w:tr w14:paraId="020D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185FD395">
            <w:pPr>
              <w:spacing w:line="360" w:lineRule="auto"/>
              <w:jc w:val="left"/>
              <w:rPr>
                <w:rFonts w:ascii="宋体" w:hAnsi="宋体" w:cs="宋体"/>
                <w:sz w:val="24"/>
                <w:szCs w:val="24"/>
                <w:highlight w:val="none"/>
              </w:rPr>
            </w:pPr>
            <w:r>
              <w:rPr>
                <w:rFonts w:hint="eastAsia" w:ascii="宋体" w:hAnsi="宋体" w:cs="宋体"/>
                <w:sz w:val="24"/>
                <w:szCs w:val="24"/>
                <w:highlight w:val="none"/>
              </w:rPr>
              <w:t>（三）分段架体搭设高度20m及以上的悬挑式脚手架工程。</w:t>
            </w:r>
          </w:p>
        </w:tc>
        <w:tc>
          <w:tcPr>
            <w:tcW w:w="793" w:type="pct"/>
            <w:vAlign w:val="center"/>
          </w:tcPr>
          <w:p w14:paraId="2F44BF8A">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7B74E4C0">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4E788EDD">
            <w:pPr>
              <w:spacing w:line="360" w:lineRule="auto"/>
              <w:jc w:val="center"/>
              <w:rPr>
                <w:rFonts w:ascii="宋体" w:hAnsi="宋体" w:cs="宋体"/>
                <w:sz w:val="24"/>
                <w:szCs w:val="24"/>
                <w:highlight w:val="none"/>
              </w:rPr>
            </w:pPr>
          </w:p>
        </w:tc>
      </w:tr>
      <w:tr w14:paraId="1D4F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5C883981">
            <w:pPr>
              <w:spacing w:line="360" w:lineRule="auto"/>
              <w:jc w:val="left"/>
              <w:rPr>
                <w:rFonts w:ascii="宋体" w:hAnsi="宋体" w:cs="宋体"/>
                <w:sz w:val="24"/>
                <w:szCs w:val="24"/>
                <w:highlight w:val="none"/>
              </w:rPr>
            </w:pPr>
            <w:r>
              <w:rPr>
                <w:rFonts w:hint="eastAsia" w:ascii="宋体" w:hAnsi="宋体" w:cs="宋体"/>
                <w:sz w:val="24"/>
                <w:szCs w:val="24"/>
                <w:highlight w:val="none"/>
              </w:rPr>
              <w:t>五、拆除工程</w:t>
            </w:r>
          </w:p>
        </w:tc>
        <w:tc>
          <w:tcPr>
            <w:tcW w:w="793" w:type="pct"/>
            <w:vAlign w:val="center"/>
          </w:tcPr>
          <w:p w14:paraId="7112E93F">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7D8B0F7E">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5ADE4D7B">
            <w:pPr>
              <w:spacing w:line="360" w:lineRule="auto"/>
              <w:jc w:val="center"/>
              <w:rPr>
                <w:rFonts w:ascii="宋体" w:hAnsi="宋体" w:cs="宋体"/>
                <w:sz w:val="24"/>
                <w:szCs w:val="24"/>
                <w:highlight w:val="none"/>
              </w:rPr>
            </w:pPr>
          </w:p>
        </w:tc>
      </w:tr>
      <w:tr w14:paraId="42C1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082959F9">
            <w:pPr>
              <w:spacing w:line="360" w:lineRule="auto"/>
              <w:jc w:val="left"/>
              <w:rPr>
                <w:rFonts w:ascii="宋体" w:hAnsi="宋体" w:cs="宋体"/>
                <w:sz w:val="24"/>
                <w:szCs w:val="24"/>
                <w:highlight w:val="none"/>
              </w:rPr>
            </w:pPr>
            <w:r>
              <w:rPr>
                <w:rFonts w:hint="eastAsia" w:ascii="宋体" w:hAnsi="宋体" w:cs="宋体"/>
                <w:sz w:val="24"/>
                <w:szCs w:val="24"/>
                <w:highlight w:val="none"/>
              </w:rPr>
              <w:t>（一）码头、桥梁、高架、烟囱、水塔或拆除中容易引起有毒有害气（液）体或粉尘扩散、易燃易爆事故发生的特殊建、构筑物的拆除工程。</w:t>
            </w:r>
          </w:p>
        </w:tc>
        <w:tc>
          <w:tcPr>
            <w:tcW w:w="793" w:type="pct"/>
            <w:vAlign w:val="center"/>
          </w:tcPr>
          <w:p w14:paraId="356D4A19">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3CC0741A">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3E32ED2D">
            <w:pPr>
              <w:spacing w:line="360" w:lineRule="auto"/>
              <w:jc w:val="center"/>
              <w:rPr>
                <w:rFonts w:ascii="宋体" w:hAnsi="宋体" w:cs="宋体"/>
                <w:sz w:val="24"/>
                <w:szCs w:val="24"/>
                <w:highlight w:val="none"/>
              </w:rPr>
            </w:pPr>
          </w:p>
        </w:tc>
      </w:tr>
      <w:tr w14:paraId="4F16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1A5B7FC3">
            <w:pPr>
              <w:spacing w:line="360" w:lineRule="auto"/>
              <w:jc w:val="left"/>
              <w:rPr>
                <w:rFonts w:ascii="宋体" w:hAnsi="宋体" w:cs="宋体"/>
                <w:sz w:val="24"/>
                <w:szCs w:val="24"/>
                <w:highlight w:val="none"/>
              </w:rPr>
            </w:pPr>
            <w:r>
              <w:rPr>
                <w:rFonts w:hint="eastAsia" w:ascii="宋体" w:hAnsi="宋体" w:cs="宋体"/>
                <w:sz w:val="24"/>
                <w:szCs w:val="24"/>
                <w:highlight w:val="none"/>
              </w:rPr>
              <w:t>（二）文物保护建筑、优秀历史建筑或历史文化风貌区影响范围内的拆除工程。</w:t>
            </w:r>
          </w:p>
        </w:tc>
        <w:tc>
          <w:tcPr>
            <w:tcW w:w="793" w:type="pct"/>
            <w:vAlign w:val="center"/>
          </w:tcPr>
          <w:p w14:paraId="43410ECB">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31E14901">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2ABA7B3D">
            <w:pPr>
              <w:spacing w:line="360" w:lineRule="auto"/>
              <w:jc w:val="center"/>
              <w:rPr>
                <w:rFonts w:ascii="宋体" w:hAnsi="宋体" w:cs="宋体"/>
                <w:sz w:val="24"/>
                <w:szCs w:val="24"/>
                <w:highlight w:val="none"/>
              </w:rPr>
            </w:pPr>
          </w:p>
        </w:tc>
      </w:tr>
      <w:tr w14:paraId="1680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31D5833F">
            <w:pPr>
              <w:spacing w:line="360" w:lineRule="auto"/>
              <w:jc w:val="left"/>
              <w:rPr>
                <w:rFonts w:ascii="宋体" w:hAnsi="宋体" w:cs="宋体"/>
                <w:sz w:val="24"/>
                <w:szCs w:val="24"/>
                <w:highlight w:val="none"/>
              </w:rPr>
            </w:pPr>
            <w:r>
              <w:rPr>
                <w:rFonts w:hint="eastAsia" w:ascii="宋体" w:hAnsi="宋体" w:cs="宋体"/>
                <w:sz w:val="24"/>
                <w:szCs w:val="24"/>
                <w:highlight w:val="none"/>
              </w:rPr>
              <w:t>六、暗挖工程</w:t>
            </w:r>
          </w:p>
        </w:tc>
        <w:tc>
          <w:tcPr>
            <w:tcW w:w="793" w:type="pct"/>
            <w:vAlign w:val="center"/>
          </w:tcPr>
          <w:p w14:paraId="6718CAA5">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3D231613">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0612B398">
            <w:pPr>
              <w:spacing w:line="360" w:lineRule="auto"/>
              <w:jc w:val="center"/>
              <w:rPr>
                <w:rFonts w:ascii="宋体" w:hAnsi="宋体" w:cs="宋体"/>
                <w:sz w:val="24"/>
                <w:szCs w:val="24"/>
                <w:highlight w:val="none"/>
              </w:rPr>
            </w:pPr>
          </w:p>
        </w:tc>
      </w:tr>
      <w:tr w14:paraId="730B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59334FE6">
            <w:pPr>
              <w:spacing w:line="360" w:lineRule="auto"/>
              <w:jc w:val="left"/>
              <w:rPr>
                <w:rFonts w:ascii="宋体" w:hAnsi="宋体" w:cs="宋体"/>
                <w:sz w:val="24"/>
                <w:szCs w:val="24"/>
                <w:highlight w:val="none"/>
              </w:rPr>
            </w:pPr>
            <w:r>
              <w:rPr>
                <w:rFonts w:hint="eastAsia" w:ascii="宋体" w:hAnsi="宋体" w:cs="宋体"/>
                <w:sz w:val="24"/>
                <w:szCs w:val="24"/>
                <w:highlight w:val="none"/>
              </w:rPr>
              <w:t>采用矿山法、盾构法、顶管法施工的隧道、洞室工程。</w:t>
            </w:r>
          </w:p>
        </w:tc>
        <w:tc>
          <w:tcPr>
            <w:tcW w:w="793" w:type="pct"/>
            <w:vAlign w:val="center"/>
          </w:tcPr>
          <w:p w14:paraId="208D0705">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5D5303D6">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54C70B59">
            <w:pPr>
              <w:spacing w:line="360" w:lineRule="auto"/>
              <w:jc w:val="center"/>
              <w:rPr>
                <w:rFonts w:ascii="宋体" w:hAnsi="宋体" w:cs="宋体"/>
                <w:sz w:val="24"/>
                <w:szCs w:val="24"/>
                <w:highlight w:val="none"/>
              </w:rPr>
            </w:pPr>
          </w:p>
        </w:tc>
      </w:tr>
      <w:tr w14:paraId="7FD8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0F56FA13">
            <w:pPr>
              <w:spacing w:line="360" w:lineRule="auto"/>
              <w:jc w:val="left"/>
              <w:rPr>
                <w:rFonts w:ascii="宋体" w:hAnsi="宋体" w:cs="宋体"/>
                <w:sz w:val="24"/>
                <w:szCs w:val="24"/>
                <w:highlight w:val="none"/>
              </w:rPr>
            </w:pPr>
            <w:r>
              <w:rPr>
                <w:rFonts w:hint="eastAsia" w:ascii="宋体" w:hAnsi="宋体" w:cs="宋体"/>
                <w:sz w:val="24"/>
                <w:szCs w:val="24"/>
                <w:highlight w:val="none"/>
              </w:rPr>
              <w:t>七、其它</w:t>
            </w:r>
          </w:p>
        </w:tc>
        <w:tc>
          <w:tcPr>
            <w:tcW w:w="793" w:type="pct"/>
            <w:vAlign w:val="center"/>
          </w:tcPr>
          <w:p w14:paraId="16C45863">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057F8B43">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090E2CC9">
            <w:pPr>
              <w:spacing w:line="360" w:lineRule="auto"/>
              <w:jc w:val="center"/>
              <w:rPr>
                <w:rFonts w:ascii="宋体" w:hAnsi="宋体" w:cs="宋体"/>
                <w:sz w:val="24"/>
                <w:szCs w:val="24"/>
                <w:highlight w:val="none"/>
              </w:rPr>
            </w:pPr>
          </w:p>
        </w:tc>
      </w:tr>
      <w:tr w14:paraId="6429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3AFB155F">
            <w:pPr>
              <w:spacing w:line="360" w:lineRule="auto"/>
              <w:jc w:val="left"/>
              <w:rPr>
                <w:rFonts w:ascii="宋体" w:hAnsi="宋体" w:cs="宋体"/>
                <w:sz w:val="24"/>
                <w:szCs w:val="24"/>
                <w:highlight w:val="none"/>
              </w:rPr>
            </w:pPr>
            <w:r>
              <w:rPr>
                <w:rFonts w:hint="eastAsia" w:ascii="宋体" w:hAnsi="宋体" w:cs="宋体"/>
                <w:sz w:val="24"/>
                <w:szCs w:val="24"/>
                <w:highlight w:val="none"/>
              </w:rPr>
              <w:t>（一）施工高度50m及以上的建筑幕墙安装工程。</w:t>
            </w:r>
          </w:p>
        </w:tc>
        <w:tc>
          <w:tcPr>
            <w:tcW w:w="793" w:type="pct"/>
            <w:vAlign w:val="center"/>
          </w:tcPr>
          <w:p w14:paraId="4D6FA85D">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4F9AE33B">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040C3A69">
            <w:pPr>
              <w:spacing w:line="360" w:lineRule="auto"/>
              <w:jc w:val="center"/>
              <w:rPr>
                <w:rFonts w:ascii="宋体" w:hAnsi="宋体" w:cs="宋体"/>
                <w:sz w:val="24"/>
                <w:szCs w:val="24"/>
                <w:highlight w:val="none"/>
              </w:rPr>
            </w:pPr>
          </w:p>
        </w:tc>
      </w:tr>
      <w:tr w14:paraId="7FB7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25E5F361">
            <w:pPr>
              <w:spacing w:line="360" w:lineRule="auto"/>
              <w:jc w:val="left"/>
              <w:rPr>
                <w:rFonts w:ascii="宋体" w:hAnsi="宋体" w:cs="宋体"/>
                <w:sz w:val="24"/>
                <w:szCs w:val="24"/>
                <w:highlight w:val="none"/>
              </w:rPr>
            </w:pPr>
            <w:r>
              <w:rPr>
                <w:rFonts w:hint="eastAsia" w:ascii="宋体" w:hAnsi="宋体" w:cs="宋体"/>
                <w:sz w:val="24"/>
                <w:szCs w:val="24"/>
                <w:highlight w:val="none"/>
              </w:rPr>
              <w:t>（二）跨度36m及以上的钢结构安装工程，或跨度60m及以上的网架和索膜结构安装工程。</w:t>
            </w:r>
          </w:p>
        </w:tc>
        <w:tc>
          <w:tcPr>
            <w:tcW w:w="793" w:type="pct"/>
            <w:vAlign w:val="center"/>
          </w:tcPr>
          <w:p w14:paraId="01B6860A">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5240F124">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206FE52C">
            <w:pPr>
              <w:spacing w:line="360" w:lineRule="auto"/>
              <w:jc w:val="center"/>
              <w:rPr>
                <w:rFonts w:ascii="宋体" w:hAnsi="宋体" w:cs="宋体"/>
                <w:sz w:val="24"/>
                <w:szCs w:val="24"/>
                <w:highlight w:val="none"/>
              </w:rPr>
            </w:pPr>
          </w:p>
        </w:tc>
      </w:tr>
      <w:tr w14:paraId="3DC3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40A104D6">
            <w:pPr>
              <w:spacing w:line="360" w:lineRule="auto"/>
              <w:jc w:val="left"/>
              <w:rPr>
                <w:rFonts w:ascii="宋体" w:hAnsi="宋体" w:cs="宋体"/>
                <w:sz w:val="24"/>
                <w:szCs w:val="24"/>
                <w:highlight w:val="none"/>
              </w:rPr>
            </w:pPr>
            <w:r>
              <w:rPr>
                <w:rFonts w:hint="eastAsia" w:ascii="宋体" w:hAnsi="宋体" w:cs="宋体"/>
                <w:sz w:val="24"/>
                <w:szCs w:val="24"/>
                <w:highlight w:val="none"/>
              </w:rPr>
              <w:t>（三）开挖深度16m及以上的人工挖孔桩工程。</w:t>
            </w:r>
          </w:p>
        </w:tc>
        <w:tc>
          <w:tcPr>
            <w:tcW w:w="793" w:type="pct"/>
            <w:vAlign w:val="center"/>
          </w:tcPr>
          <w:p w14:paraId="7C436007">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3FC7E806">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731D1534">
            <w:pPr>
              <w:spacing w:line="360" w:lineRule="auto"/>
              <w:jc w:val="center"/>
              <w:rPr>
                <w:rFonts w:ascii="宋体" w:hAnsi="宋体" w:cs="宋体"/>
                <w:sz w:val="24"/>
                <w:szCs w:val="24"/>
                <w:highlight w:val="none"/>
              </w:rPr>
            </w:pPr>
          </w:p>
        </w:tc>
      </w:tr>
      <w:tr w14:paraId="524B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0BAF56B6">
            <w:pPr>
              <w:spacing w:line="360" w:lineRule="auto"/>
              <w:jc w:val="left"/>
              <w:rPr>
                <w:rFonts w:ascii="宋体" w:hAnsi="宋体" w:cs="宋体"/>
                <w:sz w:val="24"/>
                <w:szCs w:val="24"/>
                <w:highlight w:val="none"/>
              </w:rPr>
            </w:pPr>
            <w:r>
              <w:rPr>
                <w:rFonts w:hint="eastAsia" w:ascii="宋体" w:hAnsi="宋体" w:cs="宋体"/>
                <w:sz w:val="24"/>
                <w:szCs w:val="24"/>
                <w:highlight w:val="none"/>
              </w:rPr>
              <w:t>（四）水下作业工程。</w:t>
            </w:r>
          </w:p>
        </w:tc>
        <w:tc>
          <w:tcPr>
            <w:tcW w:w="793" w:type="pct"/>
            <w:vAlign w:val="center"/>
          </w:tcPr>
          <w:p w14:paraId="609E2F20">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2F82C281">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466CAD93">
            <w:pPr>
              <w:spacing w:line="360" w:lineRule="auto"/>
              <w:jc w:val="center"/>
              <w:rPr>
                <w:rFonts w:ascii="宋体" w:hAnsi="宋体" w:cs="宋体"/>
                <w:sz w:val="24"/>
                <w:szCs w:val="24"/>
                <w:highlight w:val="none"/>
              </w:rPr>
            </w:pPr>
          </w:p>
        </w:tc>
      </w:tr>
      <w:tr w14:paraId="2B4A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3BDEC918">
            <w:pPr>
              <w:spacing w:line="360" w:lineRule="auto"/>
              <w:jc w:val="left"/>
              <w:rPr>
                <w:rFonts w:ascii="宋体" w:hAnsi="宋体" w:cs="宋体"/>
                <w:sz w:val="24"/>
                <w:szCs w:val="24"/>
                <w:highlight w:val="none"/>
              </w:rPr>
            </w:pPr>
            <w:r>
              <w:rPr>
                <w:rFonts w:hint="eastAsia" w:ascii="宋体" w:hAnsi="宋体" w:cs="宋体"/>
                <w:sz w:val="24"/>
                <w:szCs w:val="24"/>
                <w:highlight w:val="none"/>
              </w:rPr>
              <w:t>（五）重量1000kN及以上的大型结构整体顶升、平移、转体等施工工艺。</w:t>
            </w:r>
          </w:p>
        </w:tc>
        <w:tc>
          <w:tcPr>
            <w:tcW w:w="793" w:type="pct"/>
            <w:vAlign w:val="center"/>
          </w:tcPr>
          <w:p w14:paraId="6CD5844B">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564124A2">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1C275091">
            <w:pPr>
              <w:spacing w:line="360" w:lineRule="auto"/>
              <w:jc w:val="center"/>
              <w:rPr>
                <w:rFonts w:ascii="宋体" w:hAnsi="宋体" w:cs="宋体"/>
                <w:sz w:val="24"/>
                <w:szCs w:val="24"/>
                <w:highlight w:val="none"/>
              </w:rPr>
            </w:pPr>
          </w:p>
        </w:tc>
      </w:tr>
      <w:tr w14:paraId="0C93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2" w:type="pct"/>
          </w:tcPr>
          <w:p w14:paraId="65E4782C">
            <w:pPr>
              <w:spacing w:line="360" w:lineRule="auto"/>
              <w:jc w:val="left"/>
              <w:rPr>
                <w:rFonts w:ascii="宋体" w:hAnsi="宋体" w:cs="宋体"/>
                <w:sz w:val="24"/>
                <w:szCs w:val="24"/>
                <w:highlight w:val="none"/>
              </w:rPr>
            </w:pPr>
            <w:r>
              <w:rPr>
                <w:rFonts w:hint="eastAsia" w:ascii="宋体" w:hAnsi="宋体" w:cs="宋体"/>
                <w:sz w:val="24"/>
                <w:szCs w:val="24"/>
                <w:highlight w:val="none"/>
              </w:rPr>
              <w:t>（六）采用新技术、新工艺、新材料、新设备可能影响工程施工安全，尚无国家、行业及地方技术标准的分部分项工程。</w:t>
            </w:r>
          </w:p>
        </w:tc>
        <w:tc>
          <w:tcPr>
            <w:tcW w:w="793" w:type="pct"/>
            <w:vAlign w:val="center"/>
          </w:tcPr>
          <w:p w14:paraId="08E3167D">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793" w:type="pct"/>
            <w:vAlign w:val="center"/>
          </w:tcPr>
          <w:p w14:paraId="0AE27F79">
            <w:pPr>
              <w:spacing w:line="360" w:lineRule="auto"/>
              <w:jc w:val="center"/>
              <w:rPr>
                <w:rFonts w:ascii="宋体" w:hAnsi="宋体" w:cs="宋体"/>
                <w:sz w:val="24"/>
                <w:szCs w:val="24"/>
                <w:highlight w:val="none"/>
              </w:rPr>
            </w:pPr>
            <w:r>
              <w:rPr>
                <w:rFonts w:hint="eastAsia" w:ascii="宋体" w:hAnsi="宋体" w:cs="宋体"/>
                <w:sz w:val="24"/>
                <w:szCs w:val="24"/>
                <w:highlight w:val="none"/>
              </w:rPr>
              <w:t>(    )</w:t>
            </w:r>
          </w:p>
        </w:tc>
        <w:tc>
          <w:tcPr>
            <w:tcW w:w="619" w:type="pct"/>
            <w:vAlign w:val="center"/>
          </w:tcPr>
          <w:p w14:paraId="2E40F211">
            <w:pPr>
              <w:spacing w:line="360" w:lineRule="auto"/>
              <w:jc w:val="center"/>
              <w:rPr>
                <w:rFonts w:ascii="宋体" w:hAnsi="宋体" w:cs="宋体"/>
                <w:sz w:val="24"/>
                <w:szCs w:val="24"/>
                <w:highlight w:val="none"/>
              </w:rPr>
            </w:pPr>
          </w:p>
        </w:tc>
      </w:tr>
    </w:tbl>
    <w:p w14:paraId="5EAF2C88">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投标人：（盖章）</w:t>
      </w:r>
    </w:p>
    <w:p w14:paraId="014C47F5">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法定代表人或授权代理人（签字或盖章）：</w:t>
      </w:r>
    </w:p>
    <w:p w14:paraId="667140B8">
      <w:pPr>
        <w:topLinePunct/>
        <w:adjustRightInd w:val="0"/>
        <w:snapToGrid w:val="0"/>
        <w:spacing w:line="360" w:lineRule="auto"/>
        <w:ind w:firstLine="496" w:firstLineChars="200"/>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t xml:space="preserve">日期：   年    月    日 </w:t>
      </w:r>
    </w:p>
    <w:p w14:paraId="21CCADF6">
      <w:pPr>
        <w:pStyle w:val="18"/>
        <w:topLinePunct/>
        <w:adjustRightInd w:val="0"/>
        <w:snapToGrid w:val="0"/>
        <w:spacing w:line="360" w:lineRule="auto"/>
        <w:rPr>
          <w:rFonts w:hint="default" w:hAnsi="宋体" w:cs="宋体"/>
          <w:snapToGrid w:val="0"/>
          <w:spacing w:val="4"/>
          <w:kern w:val="0"/>
          <w:sz w:val="32"/>
          <w:szCs w:val="32"/>
          <w:highlight w:val="none"/>
        </w:rPr>
      </w:pPr>
    </w:p>
    <w:p w14:paraId="443A7083">
      <w:pPr>
        <w:topLinePunct/>
        <w:adjustRightInd w:val="0"/>
        <w:snapToGrid w:val="0"/>
        <w:spacing w:line="360" w:lineRule="auto"/>
        <w:jc w:val="center"/>
        <w:outlineLvl w:val="0"/>
        <w:rPr>
          <w:rFonts w:ascii="宋体" w:hAnsi="宋体" w:cs="宋体"/>
          <w:b/>
          <w:snapToGrid w:val="0"/>
          <w:spacing w:val="4"/>
          <w:kern w:val="0"/>
          <w:sz w:val="30"/>
          <w:szCs w:val="30"/>
          <w:highlight w:val="none"/>
        </w:rPr>
      </w:pPr>
      <w:bookmarkStart w:id="122" w:name="_Toc7019447"/>
      <w:bookmarkStart w:id="123" w:name="_Toc23301"/>
      <w:bookmarkStart w:id="124" w:name="_Toc5194"/>
      <w:bookmarkStart w:id="125" w:name="_Toc21343"/>
      <w:bookmarkStart w:id="126" w:name="_Toc14697669"/>
      <w:r>
        <w:rPr>
          <w:rFonts w:hint="eastAsia" w:ascii="宋体" w:hAnsi="宋体" w:cs="宋体"/>
          <w:b/>
          <w:snapToGrid w:val="0"/>
          <w:spacing w:val="4"/>
          <w:kern w:val="0"/>
          <w:sz w:val="30"/>
          <w:szCs w:val="30"/>
          <w:highlight w:val="none"/>
        </w:rPr>
        <w:t>二、经济标投标文件格式</w:t>
      </w:r>
      <w:bookmarkEnd w:id="122"/>
      <w:bookmarkEnd w:id="123"/>
      <w:bookmarkEnd w:id="124"/>
      <w:bookmarkEnd w:id="125"/>
      <w:bookmarkEnd w:id="126"/>
    </w:p>
    <w:p w14:paraId="10FB29A2">
      <w:pPr>
        <w:topLinePunct/>
        <w:adjustRightInd w:val="0"/>
        <w:snapToGrid w:val="0"/>
        <w:spacing w:line="360" w:lineRule="auto"/>
        <w:rPr>
          <w:rFonts w:ascii="宋体" w:hAnsi="宋体" w:cs="宋体"/>
          <w:snapToGrid w:val="0"/>
          <w:spacing w:val="4"/>
          <w:kern w:val="0"/>
          <w:sz w:val="32"/>
          <w:szCs w:val="32"/>
          <w:highlight w:val="none"/>
        </w:rPr>
      </w:pPr>
    </w:p>
    <w:p w14:paraId="0E78EFBD">
      <w:pPr>
        <w:widowControl/>
        <w:spacing w:line="360" w:lineRule="auto"/>
        <w:jc w:val="left"/>
        <w:outlineLvl w:val="2"/>
        <w:rPr>
          <w:rFonts w:ascii="宋体" w:hAnsi="宋体" w:cs="宋体"/>
          <w:bCs/>
          <w:kern w:val="0"/>
          <w:sz w:val="24"/>
          <w:szCs w:val="24"/>
          <w:highlight w:val="none"/>
        </w:rPr>
      </w:pPr>
      <w:r>
        <w:rPr>
          <w:rFonts w:hint="eastAsia" w:ascii="宋体" w:hAnsi="宋体" w:cs="宋体"/>
          <w:bCs/>
          <w:kern w:val="0"/>
          <w:sz w:val="24"/>
          <w:szCs w:val="24"/>
          <w:highlight w:val="none"/>
        </w:rPr>
        <w:br w:type="page"/>
      </w:r>
      <w:bookmarkStart w:id="127" w:name="_Toc12148"/>
      <w:r>
        <w:rPr>
          <w:rFonts w:hint="eastAsia" w:ascii="宋体" w:hAnsi="宋体" w:cs="宋体"/>
          <w:bCs/>
          <w:kern w:val="0"/>
          <w:sz w:val="24"/>
          <w:szCs w:val="24"/>
          <w:highlight w:val="none"/>
        </w:rPr>
        <w:t>格式一</w:t>
      </w:r>
      <w:bookmarkEnd w:id="127"/>
    </w:p>
    <w:p w14:paraId="5091EEDD">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09857FE3">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6187D4A5">
      <w:pPr>
        <w:topLinePunct/>
        <w:adjustRightInd w:val="0"/>
        <w:snapToGrid w:val="0"/>
        <w:spacing w:line="360" w:lineRule="auto"/>
        <w:jc w:val="center"/>
        <w:rPr>
          <w:rFonts w:ascii="宋体" w:hAnsi="宋体" w:cs="宋体"/>
          <w:b/>
          <w:bCs/>
          <w:snapToGrid w:val="0"/>
          <w:spacing w:val="4"/>
          <w:kern w:val="0"/>
          <w:sz w:val="44"/>
          <w:szCs w:val="44"/>
          <w:highlight w:val="none"/>
          <w:u w:val="single"/>
        </w:rPr>
      </w:pPr>
      <w:r>
        <w:rPr>
          <w:rFonts w:hint="eastAsia" w:ascii="宋体" w:hAnsi="宋体" w:cs="宋体"/>
          <w:b/>
          <w:bCs/>
          <w:snapToGrid w:val="0"/>
          <w:spacing w:val="4"/>
          <w:kern w:val="0"/>
          <w:sz w:val="44"/>
          <w:szCs w:val="44"/>
          <w:highlight w:val="none"/>
          <w:u w:val="single"/>
        </w:rPr>
        <w:t>[工程名称]</w:t>
      </w:r>
    </w:p>
    <w:p w14:paraId="32F5AC16">
      <w:pPr>
        <w:topLinePunct/>
        <w:adjustRightInd w:val="0"/>
        <w:snapToGrid w:val="0"/>
        <w:spacing w:line="360" w:lineRule="auto"/>
        <w:ind w:firstLine="659" w:firstLineChars="200"/>
        <w:rPr>
          <w:rFonts w:ascii="宋体" w:hAnsi="宋体" w:cs="宋体"/>
          <w:b/>
          <w:bCs/>
          <w:snapToGrid w:val="0"/>
          <w:spacing w:val="4"/>
          <w:kern w:val="0"/>
          <w:sz w:val="32"/>
          <w:szCs w:val="32"/>
          <w:highlight w:val="none"/>
        </w:rPr>
      </w:pPr>
    </w:p>
    <w:p w14:paraId="15D7A249">
      <w:pPr>
        <w:topLinePunct/>
        <w:adjustRightInd w:val="0"/>
        <w:snapToGrid w:val="0"/>
        <w:spacing w:line="360" w:lineRule="auto"/>
        <w:ind w:firstLine="659" w:firstLineChars="200"/>
        <w:rPr>
          <w:rFonts w:ascii="宋体" w:hAnsi="宋体" w:cs="宋体"/>
          <w:b/>
          <w:bCs/>
          <w:snapToGrid w:val="0"/>
          <w:spacing w:val="4"/>
          <w:kern w:val="0"/>
          <w:sz w:val="32"/>
          <w:szCs w:val="32"/>
          <w:highlight w:val="none"/>
        </w:rPr>
      </w:pPr>
    </w:p>
    <w:p w14:paraId="0C797947">
      <w:pPr>
        <w:topLinePunct/>
        <w:adjustRightInd w:val="0"/>
        <w:snapToGrid w:val="0"/>
        <w:spacing w:line="360" w:lineRule="auto"/>
        <w:ind w:firstLine="659" w:firstLineChars="200"/>
        <w:rPr>
          <w:rFonts w:ascii="宋体" w:hAnsi="宋体" w:cs="宋体"/>
          <w:b/>
          <w:bCs/>
          <w:snapToGrid w:val="0"/>
          <w:spacing w:val="4"/>
          <w:kern w:val="0"/>
          <w:sz w:val="32"/>
          <w:szCs w:val="32"/>
          <w:highlight w:val="none"/>
        </w:rPr>
      </w:pPr>
    </w:p>
    <w:p w14:paraId="2B2E5975">
      <w:pPr>
        <w:topLinePunct/>
        <w:adjustRightInd w:val="0"/>
        <w:snapToGrid w:val="0"/>
        <w:spacing w:line="360" w:lineRule="auto"/>
        <w:jc w:val="center"/>
        <w:rPr>
          <w:rFonts w:ascii="宋体" w:hAnsi="宋体" w:cs="宋体"/>
          <w:b/>
          <w:bCs/>
          <w:snapToGrid w:val="0"/>
          <w:spacing w:val="4"/>
          <w:kern w:val="0"/>
          <w:sz w:val="44"/>
          <w:szCs w:val="44"/>
          <w:highlight w:val="none"/>
        </w:rPr>
      </w:pPr>
      <w:r>
        <w:rPr>
          <w:rFonts w:hint="eastAsia" w:ascii="宋体" w:hAnsi="宋体" w:cs="宋体"/>
          <w:b/>
          <w:bCs/>
          <w:snapToGrid w:val="0"/>
          <w:spacing w:val="4"/>
          <w:kern w:val="0"/>
          <w:sz w:val="44"/>
          <w:szCs w:val="44"/>
          <w:highlight w:val="none"/>
        </w:rPr>
        <w:t>投标文件</w:t>
      </w:r>
    </w:p>
    <w:p w14:paraId="2C2AADFA">
      <w:pPr>
        <w:topLinePunct/>
        <w:adjustRightInd w:val="0"/>
        <w:snapToGrid w:val="0"/>
        <w:spacing w:line="360" w:lineRule="auto"/>
        <w:jc w:val="center"/>
        <w:rPr>
          <w:rFonts w:ascii="宋体" w:hAnsi="宋体" w:cs="宋体"/>
          <w:b/>
          <w:bCs/>
          <w:snapToGrid w:val="0"/>
          <w:spacing w:val="4"/>
          <w:kern w:val="0"/>
          <w:sz w:val="44"/>
          <w:szCs w:val="44"/>
          <w:highlight w:val="none"/>
        </w:rPr>
      </w:pPr>
      <w:r>
        <w:rPr>
          <w:rFonts w:hint="eastAsia" w:ascii="宋体" w:hAnsi="宋体" w:cs="宋体"/>
          <w:b/>
          <w:bCs/>
          <w:snapToGrid w:val="0"/>
          <w:spacing w:val="4"/>
          <w:kern w:val="0"/>
          <w:sz w:val="44"/>
          <w:szCs w:val="44"/>
          <w:highlight w:val="none"/>
        </w:rPr>
        <w:t>第二册  【经济部分】</w:t>
      </w:r>
    </w:p>
    <w:p w14:paraId="7C612CCE">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3700C4A3">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338466F9">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796F3C6A">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3B6DA62B">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788C9C9B">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4560D01B">
      <w:pPr>
        <w:topLinePunct/>
        <w:adjustRightInd w:val="0"/>
        <w:snapToGrid w:val="0"/>
        <w:spacing w:line="360" w:lineRule="auto"/>
        <w:ind w:firstLine="656" w:firstLineChars="200"/>
        <w:rPr>
          <w:rFonts w:ascii="宋体" w:hAnsi="宋体" w:cs="宋体"/>
          <w:snapToGrid w:val="0"/>
          <w:spacing w:val="4"/>
          <w:kern w:val="0"/>
          <w:sz w:val="32"/>
          <w:szCs w:val="32"/>
          <w:highlight w:val="none"/>
        </w:rPr>
      </w:pPr>
    </w:p>
    <w:p w14:paraId="2E1C87EE">
      <w:pPr>
        <w:topLinePunct/>
        <w:adjustRightInd w:val="0"/>
        <w:snapToGrid w:val="0"/>
        <w:spacing w:line="360" w:lineRule="auto"/>
        <w:ind w:firstLine="656" w:firstLineChars="200"/>
        <w:jc w:val="left"/>
        <w:rPr>
          <w:rFonts w:ascii="宋体" w:hAnsi="宋体" w:cs="宋体"/>
          <w:snapToGrid w:val="0"/>
          <w:spacing w:val="4"/>
          <w:kern w:val="0"/>
          <w:sz w:val="32"/>
          <w:szCs w:val="32"/>
          <w:highlight w:val="none"/>
        </w:rPr>
      </w:pPr>
      <w:r>
        <w:rPr>
          <w:rFonts w:hint="eastAsia" w:ascii="宋体" w:hAnsi="宋体" w:cs="宋体"/>
          <w:snapToGrid w:val="0"/>
          <w:spacing w:val="4"/>
          <w:kern w:val="0"/>
          <w:sz w:val="32"/>
          <w:szCs w:val="32"/>
          <w:highlight w:val="none"/>
        </w:rPr>
        <w:t>投标人：</w:t>
      </w:r>
      <w:r>
        <w:rPr>
          <w:rFonts w:hint="eastAsia" w:ascii="宋体" w:hAnsi="宋体" w:cs="宋体"/>
          <w:snapToGrid w:val="0"/>
          <w:spacing w:val="4"/>
          <w:kern w:val="0"/>
          <w:sz w:val="32"/>
          <w:szCs w:val="32"/>
          <w:highlight w:val="none"/>
          <w:u w:val="single"/>
        </w:rPr>
        <w:t xml:space="preserve">           （填写投标人单位名称）    （盖章）</w:t>
      </w:r>
    </w:p>
    <w:p w14:paraId="1797936C">
      <w:pPr>
        <w:topLinePunct/>
        <w:adjustRightInd w:val="0"/>
        <w:snapToGrid w:val="0"/>
        <w:spacing w:line="360" w:lineRule="auto"/>
        <w:ind w:firstLine="656" w:firstLineChars="200"/>
        <w:jc w:val="left"/>
        <w:rPr>
          <w:rFonts w:ascii="宋体" w:hAnsi="宋体" w:cs="宋体"/>
          <w:snapToGrid w:val="0"/>
          <w:spacing w:val="4"/>
          <w:kern w:val="0"/>
          <w:sz w:val="32"/>
          <w:szCs w:val="32"/>
          <w:highlight w:val="none"/>
        </w:rPr>
      </w:pPr>
      <w:r>
        <w:rPr>
          <w:rFonts w:hint="eastAsia" w:ascii="宋体" w:hAnsi="宋体" w:cs="宋体"/>
          <w:snapToGrid w:val="0"/>
          <w:spacing w:val="4"/>
          <w:kern w:val="0"/>
          <w:sz w:val="32"/>
          <w:szCs w:val="32"/>
          <w:highlight w:val="none"/>
        </w:rPr>
        <w:t>法定代表人或</w:t>
      </w:r>
    </w:p>
    <w:p w14:paraId="2CFF6788">
      <w:pPr>
        <w:topLinePunct/>
        <w:adjustRightInd w:val="0"/>
        <w:snapToGrid w:val="0"/>
        <w:spacing w:line="360" w:lineRule="auto"/>
        <w:ind w:firstLine="656" w:firstLineChars="200"/>
        <w:jc w:val="left"/>
        <w:rPr>
          <w:rFonts w:ascii="宋体" w:hAnsi="宋体" w:cs="宋体"/>
          <w:snapToGrid w:val="0"/>
          <w:spacing w:val="4"/>
          <w:kern w:val="0"/>
          <w:sz w:val="32"/>
          <w:szCs w:val="32"/>
          <w:highlight w:val="none"/>
        </w:rPr>
      </w:pPr>
      <w:r>
        <w:rPr>
          <w:rFonts w:hint="eastAsia" w:ascii="宋体" w:hAnsi="宋体" w:cs="宋体"/>
          <w:snapToGrid w:val="0"/>
          <w:spacing w:val="4"/>
          <w:kern w:val="0"/>
          <w:sz w:val="32"/>
          <w:szCs w:val="32"/>
          <w:highlight w:val="none"/>
        </w:rPr>
        <w:t>其委托代理人：</w:t>
      </w:r>
      <w:r>
        <w:rPr>
          <w:rFonts w:hint="eastAsia" w:ascii="宋体" w:hAnsi="宋体" w:cs="宋体"/>
          <w:snapToGrid w:val="0"/>
          <w:spacing w:val="4"/>
          <w:kern w:val="0"/>
          <w:sz w:val="32"/>
          <w:szCs w:val="32"/>
          <w:highlight w:val="none"/>
          <w:u w:val="single"/>
        </w:rPr>
        <w:t xml:space="preserve">                         （签名或盖章）</w:t>
      </w:r>
    </w:p>
    <w:p w14:paraId="5D33A951">
      <w:pPr>
        <w:topLinePunct/>
        <w:adjustRightInd w:val="0"/>
        <w:snapToGrid w:val="0"/>
        <w:spacing w:line="360" w:lineRule="auto"/>
        <w:ind w:firstLine="656" w:firstLineChars="200"/>
        <w:jc w:val="left"/>
        <w:rPr>
          <w:rFonts w:ascii="宋体" w:hAnsi="宋体" w:cs="宋体"/>
          <w:sz w:val="32"/>
          <w:szCs w:val="32"/>
          <w:highlight w:val="none"/>
        </w:rPr>
      </w:pPr>
      <w:r>
        <w:rPr>
          <w:rFonts w:hint="eastAsia" w:ascii="宋体" w:hAnsi="宋体" w:cs="宋体"/>
          <w:snapToGrid w:val="0"/>
          <w:spacing w:val="4"/>
          <w:kern w:val="0"/>
          <w:sz w:val="32"/>
          <w:szCs w:val="32"/>
          <w:highlight w:val="none"/>
        </w:rPr>
        <w:t>日  期：</w:t>
      </w:r>
      <w:r>
        <w:rPr>
          <w:rFonts w:hint="eastAsia" w:ascii="宋体" w:hAnsi="宋体" w:cs="宋体"/>
          <w:snapToGrid w:val="0"/>
          <w:spacing w:val="4"/>
          <w:kern w:val="0"/>
          <w:sz w:val="32"/>
          <w:szCs w:val="32"/>
          <w:highlight w:val="none"/>
          <w:u w:val="single"/>
        </w:rPr>
        <w:t xml:space="preserve">                                            </w:t>
      </w:r>
    </w:p>
    <w:p w14:paraId="21F36B42">
      <w:pPr>
        <w:widowControl/>
        <w:spacing w:line="360" w:lineRule="auto"/>
        <w:jc w:val="left"/>
        <w:outlineLvl w:val="2"/>
        <w:rPr>
          <w:rFonts w:ascii="宋体" w:hAnsi="宋体" w:cs="宋体"/>
          <w:bCs/>
          <w:kern w:val="0"/>
          <w:sz w:val="24"/>
          <w:szCs w:val="24"/>
          <w:highlight w:val="none"/>
        </w:rPr>
      </w:pPr>
      <w:r>
        <w:rPr>
          <w:rFonts w:hint="eastAsia" w:ascii="宋体" w:hAnsi="宋体" w:cs="宋体"/>
          <w:bCs/>
          <w:kern w:val="0"/>
          <w:sz w:val="24"/>
          <w:szCs w:val="24"/>
          <w:highlight w:val="none"/>
        </w:rPr>
        <w:br w:type="page"/>
      </w:r>
      <w:bookmarkStart w:id="128" w:name="_Toc14210"/>
      <w:r>
        <w:rPr>
          <w:rFonts w:hint="eastAsia" w:ascii="宋体" w:hAnsi="宋体" w:cs="宋体"/>
          <w:bCs/>
          <w:kern w:val="0"/>
          <w:sz w:val="24"/>
          <w:szCs w:val="24"/>
          <w:highlight w:val="none"/>
        </w:rPr>
        <w:t>格式二</w:t>
      </w:r>
      <w:bookmarkEnd w:id="128"/>
    </w:p>
    <w:p w14:paraId="12668CDC">
      <w:pPr>
        <w:topLinePunct/>
        <w:adjustRightInd w:val="0"/>
        <w:snapToGrid w:val="0"/>
        <w:spacing w:line="360" w:lineRule="auto"/>
        <w:jc w:val="center"/>
        <w:rPr>
          <w:rFonts w:ascii="宋体" w:hAnsi="宋体" w:cs="宋体"/>
          <w:b/>
          <w:snapToGrid w:val="0"/>
          <w:spacing w:val="4"/>
          <w:kern w:val="0"/>
          <w:sz w:val="32"/>
          <w:szCs w:val="32"/>
          <w:highlight w:val="none"/>
        </w:rPr>
      </w:pPr>
      <w:bookmarkStart w:id="129" w:name="_Toc58838606"/>
      <w:r>
        <w:rPr>
          <w:rFonts w:hint="eastAsia" w:ascii="宋体" w:hAnsi="宋体" w:cs="宋体"/>
          <w:b/>
          <w:snapToGrid w:val="0"/>
          <w:spacing w:val="4"/>
          <w:kern w:val="0"/>
          <w:sz w:val="32"/>
          <w:szCs w:val="32"/>
          <w:highlight w:val="none"/>
        </w:rPr>
        <w:t>广州建设工程施工招标投标书（经济标）</w:t>
      </w:r>
      <w:bookmarkEnd w:id="129"/>
    </w:p>
    <w:tbl>
      <w:tblPr>
        <w:tblStyle w:val="36"/>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6045"/>
      </w:tblGrid>
      <w:tr w14:paraId="2A75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334" w:type="dxa"/>
            <w:tcBorders>
              <w:top w:val="single" w:color="auto" w:sz="4" w:space="0"/>
              <w:left w:val="single" w:color="auto" w:sz="4" w:space="0"/>
              <w:bottom w:val="single" w:color="auto" w:sz="4" w:space="0"/>
              <w:right w:val="single" w:color="auto" w:sz="4" w:space="0"/>
            </w:tcBorders>
            <w:vAlign w:val="center"/>
          </w:tcPr>
          <w:p w14:paraId="03368B26">
            <w:pPr>
              <w:autoSpaceDE w:val="0"/>
              <w:autoSpaceDN w:val="0"/>
              <w:adjustRightInd w:val="0"/>
              <w:spacing w:line="360" w:lineRule="auto"/>
              <w:jc w:val="center"/>
              <w:rPr>
                <w:rFonts w:ascii="宋体" w:hAnsi="宋体" w:cs="宋体"/>
                <w:b/>
                <w:bCs/>
                <w:sz w:val="24"/>
                <w:szCs w:val="24"/>
                <w:highlight w:val="none"/>
                <w:lang w:val="zh-CN"/>
              </w:rPr>
            </w:pPr>
            <w:r>
              <w:rPr>
                <w:rFonts w:hint="eastAsia" w:ascii="宋体" w:hAnsi="宋体" w:cs="宋体"/>
                <w:b/>
                <w:bCs/>
                <w:sz w:val="24"/>
                <w:szCs w:val="24"/>
                <w:highlight w:val="none"/>
                <w:lang w:val="zh-CN"/>
              </w:rPr>
              <w:t>工程名称</w:t>
            </w:r>
          </w:p>
        </w:tc>
        <w:tc>
          <w:tcPr>
            <w:tcW w:w="6045" w:type="dxa"/>
            <w:tcBorders>
              <w:top w:val="single" w:color="auto" w:sz="4" w:space="0"/>
              <w:left w:val="single" w:color="auto" w:sz="4" w:space="0"/>
              <w:bottom w:val="single" w:color="auto" w:sz="4" w:space="0"/>
              <w:right w:val="single" w:color="auto" w:sz="4" w:space="0"/>
            </w:tcBorders>
          </w:tcPr>
          <w:p w14:paraId="5E84DF42">
            <w:pPr>
              <w:autoSpaceDE w:val="0"/>
              <w:autoSpaceDN w:val="0"/>
              <w:adjustRightInd w:val="0"/>
              <w:spacing w:line="360" w:lineRule="auto"/>
              <w:rPr>
                <w:rFonts w:ascii="宋体" w:hAnsi="宋体" w:cs="宋体"/>
                <w:bCs/>
                <w:sz w:val="24"/>
                <w:szCs w:val="24"/>
                <w:highlight w:val="none"/>
                <w:lang w:val="zh-CN"/>
              </w:rPr>
            </w:pPr>
          </w:p>
        </w:tc>
      </w:tr>
      <w:tr w14:paraId="3204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334" w:type="dxa"/>
            <w:vMerge w:val="restart"/>
            <w:tcBorders>
              <w:top w:val="single" w:color="auto" w:sz="4" w:space="0"/>
              <w:left w:val="single" w:color="auto" w:sz="4" w:space="0"/>
              <w:bottom w:val="single" w:color="auto" w:sz="4" w:space="0"/>
              <w:right w:val="single" w:color="auto" w:sz="4" w:space="0"/>
            </w:tcBorders>
            <w:vAlign w:val="center"/>
          </w:tcPr>
          <w:p w14:paraId="05FF51BD">
            <w:pPr>
              <w:autoSpaceDE w:val="0"/>
              <w:autoSpaceDN w:val="0"/>
              <w:adjustRightInd w:val="0"/>
              <w:spacing w:line="360" w:lineRule="auto"/>
              <w:jc w:val="center"/>
              <w:rPr>
                <w:rFonts w:ascii="宋体" w:hAnsi="宋体" w:cs="宋体"/>
                <w:b/>
                <w:bCs/>
                <w:sz w:val="24"/>
                <w:szCs w:val="24"/>
                <w:highlight w:val="none"/>
                <w:lang w:val="zh-CN"/>
              </w:rPr>
            </w:pPr>
            <w:r>
              <w:rPr>
                <w:rFonts w:hint="eastAsia" w:ascii="宋体" w:hAnsi="宋体" w:cs="宋体"/>
                <w:b/>
                <w:bCs/>
                <w:sz w:val="24"/>
                <w:szCs w:val="24"/>
                <w:highlight w:val="none"/>
                <w:lang w:val="zh-CN"/>
              </w:rPr>
              <w:t>投标总报价（元）</w:t>
            </w:r>
          </w:p>
        </w:tc>
        <w:tc>
          <w:tcPr>
            <w:tcW w:w="6045" w:type="dxa"/>
            <w:tcBorders>
              <w:top w:val="single" w:color="auto" w:sz="4" w:space="0"/>
              <w:left w:val="single" w:color="auto" w:sz="4" w:space="0"/>
              <w:bottom w:val="single" w:color="auto" w:sz="4" w:space="0"/>
              <w:right w:val="single" w:color="auto" w:sz="4" w:space="0"/>
            </w:tcBorders>
            <w:vAlign w:val="center"/>
          </w:tcPr>
          <w:p w14:paraId="2EEF6BB8">
            <w:pPr>
              <w:autoSpaceDE w:val="0"/>
              <w:autoSpaceDN w:val="0"/>
              <w:adjustRightInd w:val="0"/>
              <w:spacing w:line="360" w:lineRule="auto"/>
              <w:rPr>
                <w:rFonts w:ascii="宋体" w:hAnsi="宋体" w:cs="宋体"/>
                <w:bCs/>
                <w:sz w:val="24"/>
                <w:szCs w:val="24"/>
                <w:highlight w:val="none"/>
                <w:lang w:val="zh-CN"/>
              </w:rPr>
            </w:pPr>
            <w:r>
              <w:rPr>
                <w:rFonts w:hint="eastAsia" w:ascii="宋体" w:hAnsi="宋体"/>
                <w:b/>
                <w:bCs/>
                <w:sz w:val="24"/>
                <w:szCs w:val="24"/>
                <w:highlight w:val="none"/>
              </w:rPr>
              <w:t>大写：</w:t>
            </w:r>
          </w:p>
        </w:tc>
      </w:tr>
      <w:tr w14:paraId="76D1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34" w:type="dxa"/>
            <w:vMerge w:val="continue"/>
            <w:tcBorders>
              <w:top w:val="single" w:color="auto" w:sz="4" w:space="0"/>
              <w:left w:val="single" w:color="auto" w:sz="4" w:space="0"/>
              <w:bottom w:val="single" w:color="auto" w:sz="4" w:space="0"/>
              <w:right w:val="single" w:color="auto" w:sz="4" w:space="0"/>
            </w:tcBorders>
            <w:vAlign w:val="center"/>
          </w:tcPr>
          <w:p w14:paraId="68B8D72D">
            <w:pPr>
              <w:widowControl/>
              <w:spacing w:line="360" w:lineRule="auto"/>
              <w:jc w:val="left"/>
              <w:rPr>
                <w:rFonts w:ascii="宋体" w:hAnsi="宋体" w:cs="宋体"/>
                <w:b/>
                <w:bCs/>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1623CF36">
            <w:pPr>
              <w:autoSpaceDE w:val="0"/>
              <w:autoSpaceDN w:val="0"/>
              <w:adjustRightInd w:val="0"/>
              <w:spacing w:line="360" w:lineRule="auto"/>
              <w:rPr>
                <w:rFonts w:ascii="宋体" w:hAnsi="宋体" w:cs="宋体"/>
                <w:bCs/>
                <w:sz w:val="24"/>
                <w:szCs w:val="24"/>
                <w:highlight w:val="none"/>
                <w:lang w:val="zh-CN"/>
              </w:rPr>
            </w:pPr>
            <w:r>
              <w:rPr>
                <w:rFonts w:hint="eastAsia" w:ascii="宋体" w:hAnsi="宋体"/>
                <w:b/>
                <w:bCs/>
                <w:sz w:val="24"/>
                <w:szCs w:val="24"/>
                <w:highlight w:val="none"/>
              </w:rPr>
              <w:t>小写：</w:t>
            </w:r>
          </w:p>
        </w:tc>
      </w:tr>
      <w:tr w14:paraId="3D8F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334" w:type="dxa"/>
            <w:vMerge w:val="restart"/>
            <w:tcBorders>
              <w:top w:val="single" w:color="auto" w:sz="4" w:space="0"/>
              <w:left w:val="single" w:color="auto" w:sz="4" w:space="0"/>
              <w:bottom w:val="single" w:color="auto" w:sz="4" w:space="0"/>
              <w:right w:val="single" w:color="auto" w:sz="4" w:space="0"/>
            </w:tcBorders>
            <w:vAlign w:val="center"/>
          </w:tcPr>
          <w:p w14:paraId="4ED560AB">
            <w:pPr>
              <w:autoSpaceDE w:val="0"/>
              <w:autoSpaceDN w:val="0"/>
              <w:adjustRightInd w:val="0"/>
              <w:spacing w:line="360" w:lineRule="auto"/>
              <w:jc w:val="center"/>
              <w:rPr>
                <w:rFonts w:ascii="宋体" w:hAnsi="宋体" w:cs="宋体"/>
                <w:b/>
                <w:bCs/>
                <w:sz w:val="24"/>
                <w:szCs w:val="24"/>
                <w:highlight w:val="none"/>
                <w:lang w:val="zh-CN"/>
              </w:rPr>
            </w:pPr>
            <w:r>
              <w:rPr>
                <w:rFonts w:hint="eastAsia" w:ascii="宋体" w:hAnsi="宋体" w:cs="宋体"/>
                <w:b/>
                <w:bCs/>
                <w:sz w:val="24"/>
                <w:szCs w:val="24"/>
                <w:highlight w:val="none"/>
                <w:lang w:val="zh-CN"/>
              </w:rPr>
              <w:t>其中：人工费（元）</w:t>
            </w:r>
          </w:p>
        </w:tc>
        <w:tc>
          <w:tcPr>
            <w:tcW w:w="6045" w:type="dxa"/>
            <w:tcBorders>
              <w:top w:val="single" w:color="auto" w:sz="4" w:space="0"/>
              <w:left w:val="single" w:color="auto" w:sz="4" w:space="0"/>
              <w:bottom w:val="single" w:color="auto" w:sz="4" w:space="0"/>
              <w:right w:val="single" w:color="auto" w:sz="4" w:space="0"/>
            </w:tcBorders>
            <w:vAlign w:val="center"/>
          </w:tcPr>
          <w:p w14:paraId="6AEA6772">
            <w:pPr>
              <w:autoSpaceDE w:val="0"/>
              <w:autoSpaceDN w:val="0"/>
              <w:adjustRightInd w:val="0"/>
              <w:spacing w:line="360" w:lineRule="auto"/>
              <w:rPr>
                <w:rFonts w:ascii="宋体" w:hAnsi="宋体" w:cs="宋体"/>
                <w:bCs/>
                <w:sz w:val="24"/>
                <w:szCs w:val="24"/>
                <w:highlight w:val="none"/>
                <w:lang w:val="zh-CN"/>
              </w:rPr>
            </w:pPr>
            <w:r>
              <w:rPr>
                <w:rFonts w:hint="eastAsia" w:ascii="宋体" w:hAnsi="宋体"/>
                <w:b/>
                <w:bCs/>
                <w:sz w:val="24"/>
                <w:szCs w:val="24"/>
                <w:highlight w:val="none"/>
              </w:rPr>
              <w:t>大写：</w:t>
            </w:r>
          </w:p>
        </w:tc>
      </w:tr>
      <w:tr w14:paraId="033D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top w:val="single" w:color="auto" w:sz="4" w:space="0"/>
              <w:left w:val="single" w:color="auto" w:sz="4" w:space="0"/>
              <w:bottom w:val="single" w:color="auto" w:sz="4" w:space="0"/>
              <w:right w:val="single" w:color="auto" w:sz="4" w:space="0"/>
            </w:tcBorders>
            <w:vAlign w:val="center"/>
          </w:tcPr>
          <w:p w14:paraId="424C417E">
            <w:pPr>
              <w:widowControl/>
              <w:spacing w:line="360" w:lineRule="auto"/>
              <w:jc w:val="center"/>
              <w:rPr>
                <w:rFonts w:ascii="宋体" w:hAnsi="宋体" w:cs="宋体"/>
                <w:b/>
                <w:bCs/>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027951A6">
            <w:pPr>
              <w:autoSpaceDE w:val="0"/>
              <w:autoSpaceDN w:val="0"/>
              <w:adjustRightInd w:val="0"/>
              <w:spacing w:line="360" w:lineRule="auto"/>
              <w:rPr>
                <w:rFonts w:ascii="宋体" w:hAnsi="宋体" w:cs="宋体"/>
                <w:bCs/>
                <w:sz w:val="24"/>
                <w:szCs w:val="24"/>
                <w:highlight w:val="none"/>
                <w:lang w:val="zh-CN"/>
              </w:rPr>
            </w:pPr>
            <w:r>
              <w:rPr>
                <w:rFonts w:hint="eastAsia" w:ascii="宋体" w:hAnsi="宋体"/>
                <w:b/>
                <w:bCs/>
                <w:sz w:val="24"/>
                <w:szCs w:val="24"/>
                <w:highlight w:val="none"/>
              </w:rPr>
              <w:t>小写：</w:t>
            </w:r>
          </w:p>
        </w:tc>
      </w:tr>
      <w:tr w14:paraId="2D30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top w:val="single" w:color="auto" w:sz="4" w:space="0"/>
              <w:left w:val="single" w:color="auto" w:sz="4" w:space="0"/>
              <w:right w:val="single" w:color="auto" w:sz="4" w:space="0"/>
            </w:tcBorders>
            <w:vAlign w:val="center"/>
          </w:tcPr>
          <w:p w14:paraId="7C159150">
            <w:pPr>
              <w:widowControl/>
              <w:spacing w:line="360" w:lineRule="auto"/>
              <w:jc w:val="center"/>
              <w:rPr>
                <w:rFonts w:ascii="宋体" w:hAnsi="宋体" w:cs="宋体"/>
                <w:b/>
                <w:bCs/>
                <w:sz w:val="24"/>
                <w:szCs w:val="24"/>
                <w:highlight w:val="none"/>
                <w:lang w:val="zh-CN"/>
              </w:rPr>
            </w:pPr>
            <w:r>
              <w:rPr>
                <w:rFonts w:hint="eastAsia" w:ascii="宋体" w:hAnsi="宋体" w:cs="宋体"/>
                <w:b/>
                <w:bCs/>
                <w:sz w:val="24"/>
                <w:szCs w:val="24"/>
                <w:highlight w:val="none"/>
                <w:lang w:val="zh-CN"/>
              </w:rPr>
              <w:t>其中：绿色施工安全防护措施费（元）</w:t>
            </w:r>
          </w:p>
        </w:tc>
        <w:tc>
          <w:tcPr>
            <w:tcW w:w="6045" w:type="dxa"/>
            <w:tcBorders>
              <w:top w:val="single" w:color="auto" w:sz="4" w:space="0"/>
              <w:left w:val="single" w:color="auto" w:sz="4" w:space="0"/>
              <w:bottom w:val="single" w:color="auto" w:sz="4" w:space="0"/>
              <w:right w:val="single" w:color="auto" w:sz="4" w:space="0"/>
            </w:tcBorders>
            <w:vAlign w:val="center"/>
          </w:tcPr>
          <w:p w14:paraId="627492CE">
            <w:pPr>
              <w:autoSpaceDE w:val="0"/>
              <w:autoSpaceDN w:val="0"/>
              <w:adjustRightInd w:val="0"/>
              <w:spacing w:line="360" w:lineRule="auto"/>
              <w:rPr>
                <w:rFonts w:ascii="宋体" w:hAnsi="宋体" w:cs="宋体"/>
                <w:bCs/>
                <w:sz w:val="24"/>
                <w:szCs w:val="24"/>
                <w:highlight w:val="none"/>
                <w:lang w:val="zh-CN"/>
              </w:rPr>
            </w:pPr>
            <w:r>
              <w:rPr>
                <w:rFonts w:hint="eastAsia" w:ascii="宋体" w:hAnsi="宋体"/>
                <w:b/>
                <w:bCs/>
                <w:sz w:val="24"/>
                <w:szCs w:val="24"/>
                <w:highlight w:val="none"/>
              </w:rPr>
              <w:t>大写：</w:t>
            </w:r>
          </w:p>
        </w:tc>
      </w:tr>
      <w:tr w14:paraId="3F7D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vAlign w:val="center"/>
          </w:tcPr>
          <w:p w14:paraId="46E7C7A2">
            <w:pPr>
              <w:widowControl/>
              <w:spacing w:line="360" w:lineRule="auto"/>
              <w:jc w:val="center"/>
              <w:rPr>
                <w:rFonts w:ascii="宋体" w:hAnsi="宋体" w:cs="宋体"/>
                <w:b/>
                <w:bCs/>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44E27A60">
            <w:pPr>
              <w:autoSpaceDE w:val="0"/>
              <w:autoSpaceDN w:val="0"/>
              <w:adjustRightInd w:val="0"/>
              <w:spacing w:line="360" w:lineRule="auto"/>
              <w:rPr>
                <w:rFonts w:ascii="宋体" w:hAnsi="宋体" w:cs="宋体"/>
                <w:bCs/>
                <w:sz w:val="24"/>
                <w:szCs w:val="24"/>
                <w:highlight w:val="none"/>
                <w:lang w:val="zh-CN"/>
              </w:rPr>
            </w:pPr>
            <w:r>
              <w:rPr>
                <w:rFonts w:hint="eastAsia" w:ascii="宋体" w:hAnsi="宋体"/>
                <w:b/>
                <w:bCs/>
                <w:sz w:val="24"/>
                <w:szCs w:val="24"/>
                <w:highlight w:val="none"/>
              </w:rPr>
              <w:t>小写：</w:t>
            </w:r>
          </w:p>
        </w:tc>
      </w:tr>
      <w:tr w14:paraId="70475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restart"/>
            <w:tcBorders>
              <w:left w:val="single" w:color="auto" w:sz="4" w:space="0"/>
              <w:right w:val="single" w:color="auto" w:sz="4" w:space="0"/>
            </w:tcBorders>
            <w:vAlign w:val="center"/>
          </w:tcPr>
          <w:p w14:paraId="5114DA6A">
            <w:pPr>
              <w:widowControl/>
              <w:spacing w:line="360" w:lineRule="auto"/>
              <w:jc w:val="center"/>
              <w:rPr>
                <w:rFonts w:ascii="宋体" w:hAnsi="宋体" w:cs="宋体"/>
                <w:b/>
                <w:bCs/>
                <w:sz w:val="24"/>
                <w:szCs w:val="24"/>
                <w:highlight w:val="none"/>
                <w:lang w:val="zh-CN"/>
              </w:rPr>
            </w:pPr>
            <w:r>
              <w:rPr>
                <w:rFonts w:hint="eastAsia" w:ascii="宋体" w:hAnsi="宋体" w:cs="宋体"/>
                <w:b/>
                <w:bCs/>
                <w:sz w:val="24"/>
                <w:szCs w:val="24"/>
                <w:highlight w:val="none"/>
                <w:lang w:val="zh-CN"/>
              </w:rPr>
              <w:t>其中：暂列金额（元）</w:t>
            </w:r>
          </w:p>
        </w:tc>
        <w:tc>
          <w:tcPr>
            <w:tcW w:w="6045" w:type="dxa"/>
            <w:tcBorders>
              <w:top w:val="single" w:color="auto" w:sz="4" w:space="0"/>
              <w:left w:val="single" w:color="auto" w:sz="4" w:space="0"/>
              <w:bottom w:val="single" w:color="auto" w:sz="4" w:space="0"/>
              <w:right w:val="single" w:color="auto" w:sz="4" w:space="0"/>
            </w:tcBorders>
            <w:vAlign w:val="center"/>
          </w:tcPr>
          <w:p w14:paraId="280C05CD">
            <w:pPr>
              <w:widowControl/>
              <w:spacing w:line="360" w:lineRule="auto"/>
              <w:jc w:val="left"/>
              <w:rPr>
                <w:rFonts w:ascii="宋体" w:hAnsi="宋体" w:cs="宋体"/>
                <w:bCs/>
                <w:sz w:val="24"/>
                <w:szCs w:val="24"/>
                <w:highlight w:val="none"/>
                <w:lang w:val="zh-CN"/>
              </w:rPr>
            </w:pPr>
            <w:r>
              <w:rPr>
                <w:rFonts w:hint="eastAsia" w:ascii="宋体" w:hAnsi="宋体"/>
                <w:b/>
                <w:bCs/>
                <w:sz w:val="24"/>
                <w:szCs w:val="24"/>
                <w:highlight w:val="none"/>
                <w:lang w:val="zh-CN"/>
              </w:rPr>
              <w:t>大写：</w:t>
            </w:r>
          </w:p>
        </w:tc>
      </w:tr>
      <w:tr w14:paraId="0944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334" w:type="dxa"/>
            <w:vMerge w:val="continue"/>
            <w:tcBorders>
              <w:left w:val="single" w:color="auto" w:sz="4" w:space="0"/>
              <w:right w:val="single" w:color="auto" w:sz="4" w:space="0"/>
            </w:tcBorders>
            <w:vAlign w:val="center"/>
          </w:tcPr>
          <w:p w14:paraId="7BA8DD87">
            <w:pPr>
              <w:widowControl/>
              <w:spacing w:line="360" w:lineRule="auto"/>
              <w:jc w:val="left"/>
              <w:rPr>
                <w:rFonts w:ascii="宋体" w:hAnsi="宋体" w:cs="宋体"/>
                <w:bCs/>
                <w:sz w:val="24"/>
                <w:szCs w:val="24"/>
                <w:highlight w:val="none"/>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14:paraId="18477AF5">
            <w:pPr>
              <w:widowControl/>
              <w:spacing w:line="360" w:lineRule="auto"/>
              <w:jc w:val="left"/>
              <w:rPr>
                <w:rFonts w:ascii="宋体" w:hAnsi="宋体" w:cs="宋体"/>
                <w:bCs/>
                <w:sz w:val="24"/>
                <w:szCs w:val="24"/>
                <w:highlight w:val="none"/>
                <w:lang w:val="zh-CN"/>
              </w:rPr>
            </w:pPr>
            <w:r>
              <w:rPr>
                <w:rFonts w:hint="eastAsia" w:ascii="宋体" w:hAnsi="宋体"/>
                <w:b/>
                <w:bCs/>
                <w:sz w:val="24"/>
                <w:szCs w:val="24"/>
                <w:highlight w:val="none"/>
                <w:lang w:val="zh-CN"/>
              </w:rPr>
              <w:t>小写：</w:t>
            </w:r>
          </w:p>
        </w:tc>
      </w:tr>
    </w:tbl>
    <w:p w14:paraId="2E867AC5">
      <w:pPr>
        <w:rPr>
          <w:rFonts w:ascii="宋体" w:hAnsi="宋体" w:cs="宋体"/>
          <w:snapToGrid w:val="0"/>
          <w:spacing w:val="4"/>
          <w:kern w:val="0"/>
          <w:sz w:val="24"/>
          <w:szCs w:val="24"/>
          <w:highlight w:val="none"/>
        </w:rPr>
      </w:pPr>
      <w:r>
        <w:rPr>
          <w:rFonts w:hint="eastAsia" w:ascii="宋体" w:hAnsi="宋体" w:cs="宋体"/>
          <w:snapToGrid w:val="0"/>
          <w:spacing w:val="4"/>
          <w:kern w:val="0"/>
          <w:sz w:val="24"/>
          <w:szCs w:val="24"/>
          <w:highlight w:val="none"/>
        </w:rPr>
        <w:br w:type="page"/>
      </w:r>
    </w:p>
    <w:p w14:paraId="78209993">
      <w:pPr>
        <w:widowControl/>
        <w:spacing w:line="360" w:lineRule="auto"/>
        <w:jc w:val="left"/>
        <w:outlineLvl w:val="2"/>
        <w:rPr>
          <w:rFonts w:ascii="宋体" w:hAnsi="宋体" w:cs="宋体"/>
          <w:bCs/>
          <w:kern w:val="0"/>
          <w:sz w:val="24"/>
          <w:szCs w:val="24"/>
          <w:highlight w:val="none"/>
        </w:rPr>
      </w:pPr>
      <w:r>
        <w:rPr>
          <w:rFonts w:hint="eastAsia" w:ascii="宋体" w:hAnsi="宋体" w:cs="宋体"/>
          <w:bCs/>
          <w:kern w:val="0"/>
          <w:sz w:val="24"/>
          <w:szCs w:val="24"/>
          <w:highlight w:val="none"/>
        </w:rPr>
        <w:t>格式三</w:t>
      </w:r>
    </w:p>
    <w:p w14:paraId="15B09D95">
      <w:pPr>
        <w:topLinePunct/>
        <w:adjustRightInd w:val="0"/>
        <w:snapToGrid w:val="0"/>
        <w:spacing w:line="360" w:lineRule="auto"/>
        <w:ind w:firstLine="498" w:firstLineChars="200"/>
        <w:rPr>
          <w:rFonts w:ascii="宋体" w:hAnsi="宋体" w:cs="宋体"/>
          <w:b/>
          <w:snapToGrid w:val="0"/>
          <w:spacing w:val="4"/>
          <w:kern w:val="0"/>
          <w:sz w:val="24"/>
          <w:szCs w:val="24"/>
          <w:highlight w:val="none"/>
        </w:rPr>
      </w:pPr>
    </w:p>
    <w:p w14:paraId="339A164D">
      <w:pPr>
        <w:topLinePunct/>
        <w:adjustRightInd w:val="0"/>
        <w:snapToGrid w:val="0"/>
        <w:spacing w:line="360" w:lineRule="auto"/>
        <w:jc w:val="center"/>
        <w:rPr>
          <w:rFonts w:ascii="宋体" w:hAnsi="宋体" w:cs="宋体"/>
          <w:b/>
          <w:snapToGrid w:val="0"/>
          <w:spacing w:val="4"/>
          <w:kern w:val="0"/>
          <w:sz w:val="32"/>
          <w:szCs w:val="32"/>
          <w:highlight w:val="none"/>
        </w:rPr>
      </w:pPr>
      <w:r>
        <w:rPr>
          <w:rFonts w:hint="eastAsia" w:ascii="宋体" w:hAnsi="宋体" w:cs="宋体"/>
          <w:b/>
          <w:snapToGrid w:val="0"/>
          <w:spacing w:val="4"/>
          <w:kern w:val="0"/>
          <w:sz w:val="32"/>
          <w:szCs w:val="32"/>
          <w:highlight w:val="none"/>
        </w:rPr>
        <w:t>工程量清单计价表</w:t>
      </w:r>
    </w:p>
    <w:p w14:paraId="39565227">
      <w:pPr>
        <w:topLinePunct/>
        <w:adjustRightInd w:val="0"/>
        <w:snapToGrid w:val="0"/>
        <w:spacing w:line="360" w:lineRule="auto"/>
        <w:ind w:firstLine="498" w:firstLineChars="200"/>
        <w:rPr>
          <w:rFonts w:ascii="宋体" w:hAnsi="宋体" w:cs="宋体"/>
          <w:b/>
          <w:snapToGrid w:val="0"/>
          <w:spacing w:val="4"/>
          <w:kern w:val="0"/>
          <w:sz w:val="24"/>
          <w:szCs w:val="24"/>
          <w:highlight w:val="none"/>
        </w:rPr>
      </w:pPr>
    </w:p>
    <w:p w14:paraId="3F9A7544">
      <w:pPr>
        <w:topLinePunct/>
        <w:adjustRightInd w:val="0"/>
        <w:snapToGrid w:val="0"/>
        <w:spacing w:line="360" w:lineRule="auto"/>
        <w:ind w:firstLine="498" w:firstLineChars="200"/>
        <w:rPr>
          <w:rFonts w:ascii="宋体" w:hAnsi="宋体" w:cs="宋体"/>
          <w:b/>
          <w:snapToGrid w:val="0"/>
          <w:spacing w:val="4"/>
          <w:kern w:val="0"/>
          <w:sz w:val="24"/>
          <w:szCs w:val="24"/>
          <w:highlight w:val="none"/>
        </w:rPr>
      </w:pPr>
      <w:r>
        <w:rPr>
          <w:rFonts w:hint="eastAsia" w:ascii="宋体" w:hAnsi="宋体" w:cs="宋体"/>
          <w:b/>
          <w:snapToGrid w:val="0"/>
          <w:spacing w:val="4"/>
          <w:kern w:val="0"/>
          <w:sz w:val="24"/>
          <w:szCs w:val="24"/>
          <w:highlight w:val="none"/>
        </w:rPr>
        <w:t>本部分内容详见招标文件第七章工程量清单。</w:t>
      </w:r>
    </w:p>
    <w:p w14:paraId="2391760A">
      <w:pPr>
        <w:topLinePunct/>
        <w:adjustRightInd w:val="0"/>
        <w:snapToGrid w:val="0"/>
        <w:spacing w:line="360" w:lineRule="auto"/>
        <w:ind w:firstLine="496" w:firstLineChars="200"/>
        <w:rPr>
          <w:rFonts w:ascii="宋体" w:hAnsi="宋体" w:cs="宋体"/>
          <w:snapToGrid w:val="0"/>
          <w:spacing w:val="4"/>
          <w:kern w:val="0"/>
          <w:sz w:val="24"/>
          <w:szCs w:val="24"/>
          <w:highlight w:val="none"/>
        </w:rPr>
      </w:pPr>
    </w:p>
    <w:p w14:paraId="1E6A2A49">
      <w:pPr>
        <w:widowControl/>
        <w:spacing w:line="360" w:lineRule="auto"/>
        <w:jc w:val="left"/>
        <w:outlineLvl w:val="2"/>
        <w:rPr>
          <w:rFonts w:ascii="宋体" w:hAnsi="宋体" w:cs="宋体"/>
          <w:bCs/>
          <w:kern w:val="0"/>
          <w:sz w:val="24"/>
          <w:szCs w:val="24"/>
          <w:highlight w:val="none"/>
        </w:rPr>
      </w:pPr>
      <w:r>
        <w:rPr>
          <w:rFonts w:hint="eastAsia" w:ascii="宋体" w:hAnsi="宋体" w:cs="宋体"/>
          <w:bCs/>
          <w:kern w:val="0"/>
          <w:sz w:val="24"/>
          <w:szCs w:val="24"/>
          <w:highlight w:val="none"/>
        </w:rPr>
        <w:br w:type="page"/>
      </w:r>
      <w:bookmarkStart w:id="130" w:name="_Toc22521"/>
      <w:r>
        <w:rPr>
          <w:rFonts w:hint="eastAsia" w:ascii="宋体" w:hAnsi="宋体" w:cs="宋体"/>
          <w:bCs/>
          <w:kern w:val="0"/>
          <w:sz w:val="24"/>
          <w:szCs w:val="24"/>
          <w:highlight w:val="none"/>
        </w:rPr>
        <w:t>格式四</w:t>
      </w:r>
      <w:bookmarkEnd w:id="130"/>
    </w:p>
    <w:p w14:paraId="69E50563">
      <w:pPr>
        <w:tabs>
          <w:tab w:val="left" w:pos="720"/>
        </w:tabs>
        <w:snapToGrid w:val="0"/>
        <w:spacing w:line="360" w:lineRule="auto"/>
        <w:jc w:val="center"/>
        <w:rPr>
          <w:rFonts w:ascii="宋体" w:hAnsi="宋体" w:cs="宋体"/>
          <w:sz w:val="24"/>
          <w:highlight w:val="none"/>
        </w:rPr>
      </w:pPr>
    </w:p>
    <w:p w14:paraId="120CA320">
      <w:pPr>
        <w:topLinePunct/>
        <w:adjustRightInd w:val="0"/>
        <w:snapToGrid w:val="0"/>
        <w:spacing w:line="360" w:lineRule="auto"/>
        <w:jc w:val="center"/>
        <w:rPr>
          <w:rFonts w:ascii="宋体" w:hAnsi="宋体" w:cs="宋体"/>
          <w:b/>
          <w:snapToGrid w:val="0"/>
          <w:spacing w:val="4"/>
          <w:kern w:val="0"/>
          <w:sz w:val="32"/>
          <w:szCs w:val="32"/>
          <w:highlight w:val="none"/>
        </w:rPr>
      </w:pPr>
      <w:r>
        <w:rPr>
          <w:rFonts w:hint="eastAsia" w:ascii="宋体" w:hAnsi="宋体" w:cs="宋体"/>
          <w:b/>
          <w:snapToGrid w:val="0"/>
          <w:spacing w:val="4"/>
          <w:kern w:val="0"/>
          <w:sz w:val="32"/>
          <w:szCs w:val="32"/>
          <w:highlight w:val="none"/>
        </w:rPr>
        <w:t>参与编制经济标投标文件人员名单</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437"/>
        <w:gridCol w:w="2436"/>
        <w:gridCol w:w="2335"/>
        <w:gridCol w:w="2406"/>
      </w:tblGrid>
      <w:tr w14:paraId="2669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vAlign w:val="center"/>
          </w:tcPr>
          <w:p w14:paraId="09DAB548">
            <w:pPr>
              <w:tabs>
                <w:tab w:val="left" w:pos="720"/>
              </w:tabs>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投标单位名称</w:t>
            </w:r>
          </w:p>
        </w:tc>
      </w:tr>
      <w:tr w14:paraId="2466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9" w:type="pct"/>
            <w:vAlign w:val="center"/>
          </w:tcPr>
          <w:p w14:paraId="2D5E2C7E">
            <w:pPr>
              <w:tabs>
                <w:tab w:val="left" w:pos="720"/>
              </w:tabs>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姓名</w:t>
            </w:r>
          </w:p>
        </w:tc>
        <w:tc>
          <w:tcPr>
            <w:tcW w:w="729" w:type="pct"/>
            <w:vAlign w:val="center"/>
          </w:tcPr>
          <w:p w14:paraId="10DDA7E1">
            <w:pPr>
              <w:tabs>
                <w:tab w:val="left" w:pos="720"/>
              </w:tabs>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职务</w:t>
            </w:r>
          </w:p>
        </w:tc>
        <w:tc>
          <w:tcPr>
            <w:tcW w:w="1236" w:type="pct"/>
            <w:vAlign w:val="center"/>
          </w:tcPr>
          <w:p w14:paraId="227E2EDE">
            <w:pPr>
              <w:tabs>
                <w:tab w:val="left" w:pos="720"/>
              </w:tabs>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所承担工作</w:t>
            </w:r>
          </w:p>
        </w:tc>
        <w:tc>
          <w:tcPr>
            <w:tcW w:w="1185" w:type="pct"/>
            <w:vAlign w:val="center"/>
          </w:tcPr>
          <w:p w14:paraId="5DD8C31A">
            <w:pPr>
              <w:tabs>
                <w:tab w:val="left" w:pos="720"/>
              </w:tabs>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身份证号码</w:t>
            </w:r>
          </w:p>
        </w:tc>
        <w:tc>
          <w:tcPr>
            <w:tcW w:w="1218" w:type="pct"/>
            <w:vAlign w:val="center"/>
          </w:tcPr>
          <w:p w14:paraId="5FC1AF15">
            <w:pPr>
              <w:tabs>
                <w:tab w:val="left" w:pos="720"/>
              </w:tabs>
              <w:snapToGrid w:val="0"/>
              <w:spacing w:line="360" w:lineRule="auto"/>
              <w:jc w:val="center"/>
              <w:rPr>
                <w:rFonts w:ascii="宋体" w:hAnsi="宋体" w:cs="宋体"/>
                <w:b/>
                <w:bCs/>
                <w:sz w:val="24"/>
                <w:szCs w:val="24"/>
                <w:highlight w:val="none"/>
              </w:rPr>
            </w:pPr>
            <w:r>
              <w:rPr>
                <w:rFonts w:hint="eastAsia" w:ascii="宋体" w:hAnsi="宋体" w:cs="宋体"/>
                <w:b/>
                <w:bCs/>
                <w:sz w:val="24"/>
                <w:szCs w:val="24"/>
                <w:highlight w:val="none"/>
              </w:rPr>
              <w:t>本人签名栏</w:t>
            </w:r>
          </w:p>
        </w:tc>
      </w:tr>
      <w:tr w14:paraId="571E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29" w:type="pct"/>
            <w:vAlign w:val="center"/>
          </w:tcPr>
          <w:p w14:paraId="13495B01">
            <w:pPr>
              <w:tabs>
                <w:tab w:val="left" w:pos="720"/>
              </w:tabs>
              <w:snapToGrid w:val="0"/>
              <w:spacing w:line="360" w:lineRule="auto"/>
              <w:jc w:val="center"/>
              <w:rPr>
                <w:rFonts w:ascii="宋体" w:hAnsi="宋体" w:cs="宋体"/>
                <w:sz w:val="24"/>
                <w:szCs w:val="24"/>
                <w:highlight w:val="none"/>
              </w:rPr>
            </w:pPr>
          </w:p>
        </w:tc>
        <w:tc>
          <w:tcPr>
            <w:tcW w:w="729" w:type="pct"/>
            <w:vAlign w:val="center"/>
          </w:tcPr>
          <w:p w14:paraId="0034E625">
            <w:pPr>
              <w:tabs>
                <w:tab w:val="left" w:pos="720"/>
              </w:tabs>
              <w:snapToGrid w:val="0"/>
              <w:spacing w:line="360" w:lineRule="auto"/>
              <w:jc w:val="center"/>
              <w:rPr>
                <w:rFonts w:ascii="宋体" w:hAnsi="宋体" w:cs="宋体"/>
                <w:sz w:val="24"/>
                <w:szCs w:val="24"/>
                <w:highlight w:val="none"/>
              </w:rPr>
            </w:pPr>
          </w:p>
        </w:tc>
        <w:tc>
          <w:tcPr>
            <w:tcW w:w="1236" w:type="pct"/>
            <w:vAlign w:val="center"/>
          </w:tcPr>
          <w:p w14:paraId="086DD670">
            <w:pPr>
              <w:tabs>
                <w:tab w:val="left" w:pos="720"/>
              </w:tabs>
              <w:snapToGrid w:val="0"/>
              <w:spacing w:line="360" w:lineRule="auto"/>
              <w:jc w:val="center"/>
              <w:rPr>
                <w:rFonts w:ascii="宋体" w:hAnsi="宋体" w:cs="宋体"/>
                <w:sz w:val="24"/>
                <w:szCs w:val="24"/>
                <w:highlight w:val="none"/>
              </w:rPr>
            </w:pPr>
          </w:p>
        </w:tc>
        <w:tc>
          <w:tcPr>
            <w:tcW w:w="1185" w:type="pct"/>
            <w:vAlign w:val="center"/>
          </w:tcPr>
          <w:p w14:paraId="78C8349E">
            <w:pPr>
              <w:tabs>
                <w:tab w:val="left" w:pos="720"/>
              </w:tabs>
              <w:snapToGrid w:val="0"/>
              <w:spacing w:line="360" w:lineRule="auto"/>
              <w:jc w:val="center"/>
              <w:rPr>
                <w:rFonts w:ascii="宋体" w:hAnsi="宋体" w:cs="宋体"/>
                <w:sz w:val="24"/>
                <w:szCs w:val="24"/>
                <w:highlight w:val="none"/>
              </w:rPr>
            </w:pPr>
          </w:p>
        </w:tc>
        <w:tc>
          <w:tcPr>
            <w:tcW w:w="1218" w:type="pct"/>
            <w:vAlign w:val="center"/>
          </w:tcPr>
          <w:p w14:paraId="339786E1">
            <w:pPr>
              <w:tabs>
                <w:tab w:val="left" w:pos="720"/>
              </w:tabs>
              <w:snapToGrid w:val="0"/>
              <w:spacing w:line="360" w:lineRule="auto"/>
              <w:jc w:val="center"/>
              <w:rPr>
                <w:rFonts w:ascii="宋体" w:hAnsi="宋体" w:cs="宋体"/>
                <w:sz w:val="24"/>
                <w:szCs w:val="24"/>
                <w:highlight w:val="none"/>
              </w:rPr>
            </w:pPr>
          </w:p>
        </w:tc>
      </w:tr>
      <w:tr w14:paraId="732B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3B2148FA">
            <w:pPr>
              <w:tabs>
                <w:tab w:val="left" w:pos="720"/>
              </w:tabs>
              <w:snapToGrid w:val="0"/>
              <w:spacing w:line="360" w:lineRule="auto"/>
              <w:jc w:val="center"/>
              <w:rPr>
                <w:rFonts w:ascii="宋体" w:hAnsi="宋体" w:cs="宋体"/>
                <w:sz w:val="24"/>
                <w:szCs w:val="24"/>
                <w:highlight w:val="none"/>
              </w:rPr>
            </w:pPr>
          </w:p>
        </w:tc>
        <w:tc>
          <w:tcPr>
            <w:tcW w:w="729" w:type="pct"/>
            <w:vAlign w:val="center"/>
          </w:tcPr>
          <w:p w14:paraId="06F978AA">
            <w:pPr>
              <w:tabs>
                <w:tab w:val="left" w:pos="720"/>
              </w:tabs>
              <w:snapToGrid w:val="0"/>
              <w:spacing w:line="360" w:lineRule="auto"/>
              <w:jc w:val="center"/>
              <w:rPr>
                <w:rFonts w:ascii="宋体" w:hAnsi="宋体" w:cs="宋体"/>
                <w:sz w:val="24"/>
                <w:szCs w:val="24"/>
                <w:highlight w:val="none"/>
              </w:rPr>
            </w:pPr>
          </w:p>
        </w:tc>
        <w:tc>
          <w:tcPr>
            <w:tcW w:w="1236" w:type="pct"/>
            <w:vAlign w:val="center"/>
          </w:tcPr>
          <w:p w14:paraId="2B96BD11">
            <w:pPr>
              <w:tabs>
                <w:tab w:val="left" w:pos="720"/>
              </w:tabs>
              <w:snapToGrid w:val="0"/>
              <w:spacing w:line="360" w:lineRule="auto"/>
              <w:jc w:val="center"/>
              <w:rPr>
                <w:rFonts w:ascii="宋体" w:hAnsi="宋体" w:cs="宋体"/>
                <w:sz w:val="24"/>
                <w:szCs w:val="24"/>
                <w:highlight w:val="none"/>
              </w:rPr>
            </w:pPr>
          </w:p>
        </w:tc>
        <w:tc>
          <w:tcPr>
            <w:tcW w:w="1185" w:type="pct"/>
            <w:vAlign w:val="center"/>
          </w:tcPr>
          <w:p w14:paraId="50E00E91">
            <w:pPr>
              <w:tabs>
                <w:tab w:val="left" w:pos="720"/>
              </w:tabs>
              <w:snapToGrid w:val="0"/>
              <w:spacing w:line="360" w:lineRule="auto"/>
              <w:jc w:val="center"/>
              <w:rPr>
                <w:rFonts w:ascii="宋体" w:hAnsi="宋体" w:cs="宋体"/>
                <w:sz w:val="24"/>
                <w:szCs w:val="24"/>
                <w:highlight w:val="none"/>
              </w:rPr>
            </w:pPr>
          </w:p>
        </w:tc>
        <w:tc>
          <w:tcPr>
            <w:tcW w:w="1218" w:type="pct"/>
            <w:vAlign w:val="center"/>
          </w:tcPr>
          <w:p w14:paraId="3E9B9EE7">
            <w:pPr>
              <w:tabs>
                <w:tab w:val="left" w:pos="720"/>
              </w:tabs>
              <w:snapToGrid w:val="0"/>
              <w:spacing w:line="360" w:lineRule="auto"/>
              <w:jc w:val="center"/>
              <w:rPr>
                <w:rFonts w:ascii="宋体" w:hAnsi="宋体" w:cs="宋体"/>
                <w:sz w:val="24"/>
                <w:szCs w:val="24"/>
                <w:highlight w:val="none"/>
              </w:rPr>
            </w:pPr>
          </w:p>
        </w:tc>
      </w:tr>
      <w:tr w14:paraId="0A64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72CAC575">
            <w:pPr>
              <w:tabs>
                <w:tab w:val="left" w:pos="720"/>
              </w:tabs>
              <w:snapToGrid w:val="0"/>
              <w:spacing w:line="360" w:lineRule="auto"/>
              <w:jc w:val="center"/>
              <w:rPr>
                <w:rFonts w:ascii="宋体" w:hAnsi="宋体" w:cs="宋体"/>
                <w:sz w:val="24"/>
                <w:szCs w:val="24"/>
                <w:highlight w:val="none"/>
              </w:rPr>
            </w:pPr>
          </w:p>
        </w:tc>
        <w:tc>
          <w:tcPr>
            <w:tcW w:w="729" w:type="pct"/>
            <w:vAlign w:val="center"/>
          </w:tcPr>
          <w:p w14:paraId="680620E6">
            <w:pPr>
              <w:tabs>
                <w:tab w:val="left" w:pos="720"/>
              </w:tabs>
              <w:snapToGrid w:val="0"/>
              <w:spacing w:line="360" w:lineRule="auto"/>
              <w:jc w:val="center"/>
              <w:rPr>
                <w:rFonts w:ascii="宋体" w:hAnsi="宋体" w:cs="宋体"/>
                <w:sz w:val="24"/>
                <w:szCs w:val="24"/>
                <w:highlight w:val="none"/>
              </w:rPr>
            </w:pPr>
          </w:p>
        </w:tc>
        <w:tc>
          <w:tcPr>
            <w:tcW w:w="1236" w:type="pct"/>
            <w:vAlign w:val="center"/>
          </w:tcPr>
          <w:p w14:paraId="4E28FA16">
            <w:pPr>
              <w:tabs>
                <w:tab w:val="left" w:pos="720"/>
              </w:tabs>
              <w:snapToGrid w:val="0"/>
              <w:spacing w:line="360" w:lineRule="auto"/>
              <w:jc w:val="center"/>
              <w:rPr>
                <w:rFonts w:ascii="宋体" w:hAnsi="宋体" w:cs="宋体"/>
                <w:sz w:val="24"/>
                <w:szCs w:val="24"/>
                <w:highlight w:val="none"/>
              </w:rPr>
            </w:pPr>
          </w:p>
        </w:tc>
        <w:tc>
          <w:tcPr>
            <w:tcW w:w="1185" w:type="pct"/>
            <w:vAlign w:val="center"/>
          </w:tcPr>
          <w:p w14:paraId="150EF25D">
            <w:pPr>
              <w:tabs>
                <w:tab w:val="left" w:pos="720"/>
              </w:tabs>
              <w:snapToGrid w:val="0"/>
              <w:spacing w:line="360" w:lineRule="auto"/>
              <w:jc w:val="center"/>
              <w:rPr>
                <w:rFonts w:ascii="宋体" w:hAnsi="宋体" w:cs="宋体"/>
                <w:sz w:val="24"/>
                <w:szCs w:val="24"/>
                <w:highlight w:val="none"/>
              </w:rPr>
            </w:pPr>
          </w:p>
        </w:tc>
        <w:tc>
          <w:tcPr>
            <w:tcW w:w="1218" w:type="pct"/>
            <w:vAlign w:val="center"/>
          </w:tcPr>
          <w:p w14:paraId="7974A17D">
            <w:pPr>
              <w:tabs>
                <w:tab w:val="left" w:pos="720"/>
              </w:tabs>
              <w:snapToGrid w:val="0"/>
              <w:spacing w:line="360" w:lineRule="auto"/>
              <w:jc w:val="center"/>
              <w:rPr>
                <w:rFonts w:ascii="宋体" w:hAnsi="宋体" w:cs="宋体"/>
                <w:sz w:val="24"/>
                <w:szCs w:val="24"/>
                <w:highlight w:val="none"/>
              </w:rPr>
            </w:pPr>
          </w:p>
        </w:tc>
      </w:tr>
      <w:tr w14:paraId="4F1F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40E29BF5">
            <w:pPr>
              <w:tabs>
                <w:tab w:val="left" w:pos="720"/>
              </w:tabs>
              <w:snapToGrid w:val="0"/>
              <w:spacing w:line="360" w:lineRule="auto"/>
              <w:jc w:val="center"/>
              <w:rPr>
                <w:rFonts w:ascii="宋体" w:hAnsi="宋体" w:cs="宋体"/>
                <w:sz w:val="24"/>
                <w:szCs w:val="24"/>
                <w:highlight w:val="none"/>
              </w:rPr>
            </w:pPr>
          </w:p>
        </w:tc>
        <w:tc>
          <w:tcPr>
            <w:tcW w:w="729" w:type="pct"/>
            <w:vAlign w:val="center"/>
          </w:tcPr>
          <w:p w14:paraId="5085ECA8">
            <w:pPr>
              <w:tabs>
                <w:tab w:val="left" w:pos="720"/>
              </w:tabs>
              <w:snapToGrid w:val="0"/>
              <w:spacing w:line="360" w:lineRule="auto"/>
              <w:jc w:val="center"/>
              <w:rPr>
                <w:rFonts w:ascii="宋体" w:hAnsi="宋体" w:cs="宋体"/>
                <w:sz w:val="24"/>
                <w:szCs w:val="24"/>
                <w:highlight w:val="none"/>
              </w:rPr>
            </w:pPr>
          </w:p>
        </w:tc>
        <w:tc>
          <w:tcPr>
            <w:tcW w:w="1236" w:type="pct"/>
            <w:vAlign w:val="center"/>
          </w:tcPr>
          <w:p w14:paraId="3CD4BD07">
            <w:pPr>
              <w:tabs>
                <w:tab w:val="left" w:pos="720"/>
              </w:tabs>
              <w:snapToGrid w:val="0"/>
              <w:spacing w:line="360" w:lineRule="auto"/>
              <w:jc w:val="center"/>
              <w:rPr>
                <w:rFonts w:ascii="宋体" w:hAnsi="宋体" w:cs="宋体"/>
                <w:sz w:val="24"/>
                <w:szCs w:val="24"/>
                <w:highlight w:val="none"/>
              </w:rPr>
            </w:pPr>
          </w:p>
        </w:tc>
        <w:tc>
          <w:tcPr>
            <w:tcW w:w="1185" w:type="pct"/>
            <w:vAlign w:val="center"/>
          </w:tcPr>
          <w:p w14:paraId="486480C5">
            <w:pPr>
              <w:tabs>
                <w:tab w:val="left" w:pos="720"/>
              </w:tabs>
              <w:snapToGrid w:val="0"/>
              <w:spacing w:line="360" w:lineRule="auto"/>
              <w:jc w:val="center"/>
              <w:rPr>
                <w:rFonts w:ascii="宋体" w:hAnsi="宋体" w:cs="宋体"/>
                <w:sz w:val="24"/>
                <w:szCs w:val="24"/>
                <w:highlight w:val="none"/>
              </w:rPr>
            </w:pPr>
          </w:p>
        </w:tc>
        <w:tc>
          <w:tcPr>
            <w:tcW w:w="1218" w:type="pct"/>
            <w:vAlign w:val="center"/>
          </w:tcPr>
          <w:p w14:paraId="52ACED7E">
            <w:pPr>
              <w:tabs>
                <w:tab w:val="left" w:pos="720"/>
              </w:tabs>
              <w:snapToGrid w:val="0"/>
              <w:spacing w:line="360" w:lineRule="auto"/>
              <w:jc w:val="center"/>
              <w:rPr>
                <w:rFonts w:ascii="宋体" w:hAnsi="宋体" w:cs="宋体"/>
                <w:sz w:val="24"/>
                <w:szCs w:val="24"/>
                <w:highlight w:val="none"/>
              </w:rPr>
            </w:pPr>
          </w:p>
        </w:tc>
      </w:tr>
      <w:tr w14:paraId="64DB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12CD80FA">
            <w:pPr>
              <w:tabs>
                <w:tab w:val="left" w:pos="720"/>
              </w:tabs>
              <w:snapToGrid w:val="0"/>
              <w:spacing w:line="360" w:lineRule="auto"/>
              <w:jc w:val="center"/>
              <w:rPr>
                <w:rFonts w:ascii="宋体" w:hAnsi="宋体" w:cs="宋体"/>
                <w:sz w:val="24"/>
                <w:szCs w:val="24"/>
                <w:highlight w:val="none"/>
              </w:rPr>
            </w:pPr>
          </w:p>
        </w:tc>
        <w:tc>
          <w:tcPr>
            <w:tcW w:w="729" w:type="pct"/>
            <w:vAlign w:val="center"/>
          </w:tcPr>
          <w:p w14:paraId="70D9BEC0">
            <w:pPr>
              <w:tabs>
                <w:tab w:val="left" w:pos="720"/>
              </w:tabs>
              <w:snapToGrid w:val="0"/>
              <w:spacing w:line="360" w:lineRule="auto"/>
              <w:jc w:val="center"/>
              <w:rPr>
                <w:rFonts w:ascii="宋体" w:hAnsi="宋体" w:cs="宋体"/>
                <w:sz w:val="24"/>
                <w:szCs w:val="24"/>
                <w:highlight w:val="none"/>
              </w:rPr>
            </w:pPr>
          </w:p>
        </w:tc>
        <w:tc>
          <w:tcPr>
            <w:tcW w:w="1236" w:type="pct"/>
            <w:vAlign w:val="center"/>
          </w:tcPr>
          <w:p w14:paraId="6C77B3F9">
            <w:pPr>
              <w:tabs>
                <w:tab w:val="left" w:pos="720"/>
              </w:tabs>
              <w:snapToGrid w:val="0"/>
              <w:spacing w:line="360" w:lineRule="auto"/>
              <w:jc w:val="center"/>
              <w:rPr>
                <w:rFonts w:ascii="宋体" w:hAnsi="宋体" w:cs="宋体"/>
                <w:sz w:val="24"/>
                <w:szCs w:val="24"/>
                <w:highlight w:val="none"/>
              </w:rPr>
            </w:pPr>
          </w:p>
        </w:tc>
        <w:tc>
          <w:tcPr>
            <w:tcW w:w="1185" w:type="pct"/>
            <w:vAlign w:val="center"/>
          </w:tcPr>
          <w:p w14:paraId="47404AC6">
            <w:pPr>
              <w:tabs>
                <w:tab w:val="left" w:pos="720"/>
              </w:tabs>
              <w:snapToGrid w:val="0"/>
              <w:spacing w:line="360" w:lineRule="auto"/>
              <w:jc w:val="center"/>
              <w:rPr>
                <w:rFonts w:ascii="宋体" w:hAnsi="宋体" w:cs="宋体"/>
                <w:sz w:val="24"/>
                <w:szCs w:val="24"/>
                <w:highlight w:val="none"/>
              </w:rPr>
            </w:pPr>
          </w:p>
        </w:tc>
        <w:tc>
          <w:tcPr>
            <w:tcW w:w="1218" w:type="pct"/>
            <w:vAlign w:val="center"/>
          </w:tcPr>
          <w:p w14:paraId="08815664">
            <w:pPr>
              <w:tabs>
                <w:tab w:val="left" w:pos="720"/>
              </w:tabs>
              <w:snapToGrid w:val="0"/>
              <w:spacing w:line="360" w:lineRule="auto"/>
              <w:jc w:val="center"/>
              <w:rPr>
                <w:rFonts w:ascii="宋体" w:hAnsi="宋体" w:cs="宋体"/>
                <w:sz w:val="24"/>
                <w:szCs w:val="24"/>
                <w:highlight w:val="none"/>
              </w:rPr>
            </w:pPr>
          </w:p>
        </w:tc>
      </w:tr>
      <w:tr w14:paraId="64E4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9" w:type="pct"/>
            <w:vAlign w:val="center"/>
          </w:tcPr>
          <w:p w14:paraId="623680EA">
            <w:pPr>
              <w:tabs>
                <w:tab w:val="left" w:pos="720"/>
              </w:tabs>
              <w:snapToGrid w:val="0"/>
              <w:spacing w:line="360" w:lineRule="auto"/>
              <w:jc w:val="center"/>
              <w:rPr>
                <w:rFonts w:ascii="宋体" w:hAnsi="宋体" w:cs="宋体"/>
                <w:sz w:val="24"/>
                <w:szCs w:val="24"/>
                <w:highlight w:val="none"/>
              </w:rPr>
            </w:pPr>
          </w:p>
        </w:tc>
        <w:tc>
          <w:tcPr>
            <w:tcW w:w="729" w:type="pct"/>
            <w:vAlign w:val="center"/>
          </w:tcPr>
          <w:p w14:paraId="5FFC7B68">
            <w:pPr>
              <w:tabs>
                <w:tab w:val="left" w:pos="720"/>
              </w:tabs>
              <w:snapToGrid w:val="0"/>
              <w:spacing w:line="360" w:lineRule="auto"/>
              <w:jc w:val="center"/>
              <w:rPr>
                <w:rFonts w:ascii="宋体" w:hAnsi="宋体" w:cs="宋体"/>
                <w:sz w:val="24"/>
                <w:szCs w:val="24"/>
                <w:highlight w:val="none"/>
              </w:rPr>
            </w:pPr>
          </w:p>
        </w:tc>
        <w:tc>
          <w:tcPr>
            <w:tcW w:w="1236" w:type="pct"/>
            <w:vAlign w:val="center"/>
          </w:tcPr>
          <w:p w14:paraId="74171BEC">
            <w:pPr>
              <w:tabs>
                <w:tab w:val="left" w:pos="720"/>
              </w:tabs>
              <w:snapToGrid w:val="0"/>
              <w:spacing w:line="360" w:lineRule="auto"/>
              <w:jc w:val="center"/>
              <w:rPr>
                <w:rFonts w:ascii="宋体" w:hAnsi="宋体" w:cs="宋体"/>
                <w:sz w:val="24"/>
                <w:szCs w:val="24"/>
                <w:highlight w:val="none"/>
              </w:rPr>
            </w:pPr>
          </w:p>
        </w:tc>
        <w:tc>
          <w:tcPr>
            <w:tcW w:w="1185" w:type="pct"/>
            <w:vAlign w:val="center"/>
          </w:tcPr>
          <w:p w14:paraId="35971017">
            <w:pPr>
              <w:tabs>
                <w:tab w:val="left" w:pos="720"/>
              </w:tabs>
              <w:snapToGrid w:val="0"/>
              <w:spacing w:line="360" w:lineRule="auto"/>
              <w:jc w:val="center"/>
              <w:rPr>
                <w:rFonts w:ascii="宋体" w:hAnsi="宋体" w:cs="宋体"/>
                <w:sz w:val="24"/>
                <w:szCs w:val="24"/>
                <w:highlight w:val="none"/>
              </w:rPr>
            </w:pPr>
          </w:p>
        </w:tc>
        <w:tc>
          <w:tcPr>
            <w:tcW w:w="1218" w:type="pct"/>
            <w:vAlign w:val="center"/>
          </w:tcPr>
          <w:p w14:paraId="7F5116CC">
            <w:pPr>
              <w:tabs>
                <w:tab w:val="left" w:pos="720"/>
              </w:tabs>
              <w:snapToGrid w:val="0"/>
              <w:spacing w:line="360" w:lineRule="auto"/>
              <w:jc w:val="center"/>
              <w:rPr>
                <w:rFonts w:ascii="宋体" w:hAnsi="宋体" w:cs="宋体"/>
                <w:sz w:val="24"/>
                <w:szCs w:val="24"/>
                <w:highlight w:val="none"/>
              </w:rPr>
            </w:pPr>
          </w:p>
        </w:tc>
      </w:tr>
      <w:tr w14:paraId="62AEE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9" w:type="pct"/>
            <w:vAlign w:val="center"/>
          </w:tcPr>
          <w:p w14:paraId="2DD4D228">
            <w:pPr>
              <w:tabs>
                <w:tab w:val="left" w:pos="720"/>
              </w:tabs>
              <w:snapToGrid w:val="0"/>
              <w:spacing w:line="360" w:lineRule="auto"/>
              <w:jc w:val="center"/>
              <w:rPr>
                <w:rFonts w:ascii="宋体" w:hAnsi="宋体" w:cs="宋体"/>
                <w:sz w:val="24"/>
                <w:szCs w:val="24"/>
                <w:highlight w:val="none"/>
              </w:rPr>
            </w:pPr>
          </w:p>
        </w:tc>
        <w:tc>
          <w:tcPr>
            <w:tcW w:w="729" w:type="pct"/>
            <w:vAlign w:val="center"/>
          </w:tcPr>
          <w:p w14:paraId="588F09B8">
            <w:pPr>
              <w:tabs>
                <w:tab w:val="left" w:pos="720"/>
              </w:tabs>
              <w:snapToGrid w:val="0"/>
              <w:spacing w:line="360" w:lineRule="auto"/>
              <w:jc w:val="center"/>
              <w:rPr>
                <w:rFonts w:ascii="宋体" w:hAnsi="宋体" w:cs="宋体"/>
                <w:sz w:val="24"/>
                <w:szCs w:val="24"/>
                <w:highlight w:val="none"/>
              </w:rPr>
            </w:pPr>
          </w:p>
        </w:tc>
        <w:tc>
          <w:tcPr>
            <w:tcW w:w="1236" w:type="pct"/>
            <w:vAlign w:val="center"/>
          </w:tcPr>
          <w:p w14:paraId="0274B2BC">
            <w:pPr>
              <w:tabs>
                <w:tab w:val="left" w:pos="720"/>
              </w:tabs>
              <w:snapToGrid w:val="0"/>
              <w:spacing w:line="360" w:lineRule="auto"/>
              <w:jc w:val="center"/>
              <w:rPr>
                <w:rFonts w:ascii="宋体" w:hAnsi="宋体" w:cs="宋体"/>
                <w:sz w:val="24"/>
                <w:szCs w:val="24"/>
                <w:highlight w:val="none"/>
              </w:rPr>
            </w:pPr>
          </w:p>
        </w:tc>
        <w:tc>
          <w:tcPr>
            <w:tcW w:w="1185" w:type="pct"/>
            <w:vAlign w:val="center"/>
          </w:tcPr>
          <w:p w14:paraId="51F9966F">
            <w:pPr>
              <w:tabs>
                <w:tab w:val="left" w:pos="720"/>
              </w:tabs>
              <w:snapToGrid w:val="0"/>
              <w:spacing w:line="360" w:lineRule="auto"/>
              <w:jc w:val="center"/>
              <w:rPr>
                <w:rFonts w:ascii="宋体" w:hAnsi="宋体" w:cs="宋体"/>
                <w:sz w:val="24"/>
                <w:szCs w:val="24"/>
                <w:highlight w:val="none"/>
              </w:rPr>
            </w:pPr>
          </w:p>
        </w:tc>
        <w:tc>
          <w:tcPr>
            <w:tcW w:w="1218" w:type="pct"/>
            <w:vAlign w:val="center"/>
          </w:tcPr>
          <w:p w14:paraId="6F0D0CBF">
            <w:pPr>
              <w:tabs>
                <w:tab w:val="left" w:pos="720"/>
              </w:tabs>
              <w:snapToGrid w:val="0"/>
              <w:spacing w:line="360" w:lineRule="auto"/>
              <w:jc w:val="center"/>
              <w:rPr>
                <w:rFonts w:ascii="宋体" w:hAnsi="宋体" w:cs="宋体"/>
                <w:sz w:val="24"/>
                <w:szCs w:val="24"/>
                <w:highlight w:val="none"/>
              </w:rPr>
            </w:pPr>
          </w:p>
        </w:tc>
      </w:tr>
      <w:tr w14:paraId="5FAB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29" w:type="pct"/>
            <w:vAlign w:val="center"/>
          </w:tcPr>
          <w:p w14:paraId="6AB5071B">
            <w:pPr>
              <w:tabs>
                <w:tab w:val="left" w:pos="720"/>
              </w:tabs>
              <w:snapToGrid w:val="0"/>
              <w:spacing w:line="360" w:lineRule="auto"/>
              <w:jc w:val="center"/>
              <w:rPr>
                <w:rFonts w:ascii="宋体" w:hAnsi="宋体" w:cs="宋体"/>
                <w:sz w:val="24"/>
                <w:szCs w:val="24"/>
                <w:highlight w:val="none"/>
              </w:rPr>
            </w:pPr>
          </w:p>
        </w:tc>
        <w:tc>
          <w:tcPr>
            <w:tcW w:w="729" w:type="pct"/>
            <w:vAlign w:val="center"/>
          </w:tcPr>
          <w:p w14:paraId="3DDE7D03">
            <w:pPr>
              <w:tabs>
                <w:tab w:val="left" w:pos="720"/>
              </w:tabs>
              <w:snapToGrid w:val="0"/>
              <w:spacing w:line="360" w:lineRule="auto"/>
              <w:jc w:val="center"/>
              <w:rPr>
                <w:rFonts w:ascii="宋体" w:hAnsi="宋体" w:cs="宋体"/>
                <w:sz w:val="24"/>
                <w:szCs w:val="24"/>
                <w:highlight w:val="none"/>
              </w:rPr>
            </w:pPr>
          </w:p>
        </w:tc>
        <w:tc>
          <w:tcPr>
            <w:tcW w:w="1236" w:type="pct"/>
            <w:vAlign w:val="center"/>
          </w:tcPr>
          <w:p w14:paraId="1B6EACA4">
            <w:pPr>
              <w:tabs>
                <w:tab w:val="left" w:pos="720"/>
              </w:tabs>
              <w:snapToGrid w:val="0"/>
              <w:spacing w:line="360" w:lineRule="auto"/>
              <w:jc w:val="center"/>
              <w:rPr>
                <w:rFonts w:ascii="宋体" w:hAnsi="宋体" w:cs="宋体"/>
                <w:sz w:val="24"/>
                <w:szCs w:val="24"/>
                <w:highlight w:val="none"/>
              </w:rPr>
            </w:pPr>
          </w:p>
        </w:tc>
        <w:tc>
          <w:tcPr>
            <w:tcW w:w="1185" w:type="pct"/>
            <w:vAlign w:val="center"/>
          </w:tcPr>
          <w:p w14:paraId="7FE1CD2A">
            <w:pPr>
              <w:tabs>
                <w:tab w:val="left" w:pos="720"/>
              </w:tabs>
              <w:snapToGrid w:val="0"/>
              <w:spacing w:line="360" w:lineRule="auto"/>
              <w:jc w:val="center"/>
              <w:rPr>
                <w:rFonts w:ascii="宋体" w:hAnsi="宋体" w:cs="宋体"/>
                <w:sz w:val="24"/>
                <w:szCs w:val="24"/>
                <w:highlight w:val="none"/>
              </w:rPr>
            </w:pPr>
          </w:p>
        </w:tc>
        <w:tc>
          <w:tcPr>
            <w:tcW w:w="1218" w:type="pct"/>
            <w:vAlign w:val="center"/>
          </w:tcPr>
          <w:p w14:paraId="1488D04D">
            <w:pPr>
              <w:tabs>
                <w:tab w:val="left" w:pos="720"/>
              </w:tabs>
              <w:snapToGrid w:val="0"/>
              <w:spacing w:line="360" w:lineRule="auto"/>
              <w:jc w:val="center"/>
              <w:rPr>
                <w:rFonts w:ascii="宋体" w:hAnsi="宋体" w:cs="宋体"/>
                <w:sz w:val="24"/>
                <w:szCs w:val="24"/>
                <w:highlight w:val="none"/>
              </w:rPr>
            </w:pPr>
          </w:p>
        </w:tc>
      </w:tr>
    </w:tbl>
    <w:p w14:paraId="5FC4261E">
      <w:pPr>
        <w:autoSpaceDE w:val="0"/>
        <w:autoSpaceDN w:val="0"/>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注：参与编制经济标书所有人员名单应包括如编制各种专业工程量清单投标报价、负责清样校对、负责打印及扫描等所有人员在内的人员名单。</w:t>
      </w:r>
    </w:p>
    <w:p w14:paraId="02F72BD6">
      <w:pPr>
        <w:widowControl/>
        <w:spacing w:line="360" w:lineRule="auto"/>
        <w:jc w:val="left"/>
        <w:outlineLvl w:val="2"/>
        <w:rPr>
          <w:rFonts w:ascii="宋体" w:hAnsi="宋体" w:cs="宋体"/>
          <w:bCs/>
          <w:kern w:val="0"/>
          <w:sz w:val="24"/>
          <w:szCs w:val="24"/>
          <w:highlight w:val="none"/>
        </w:rPr>
      </w:pPr>
      <w:r>
        <w:rPr>
          <w:rFonts w:hint="eastAsia" w:ascii="宋体" w:hAnsi="宋体" w:cs="宋体"/>
          <w:sz w:val="24"/>
          <w:highlight w:val="none"/>
        </w:rPr>
        <w:br w:type="page"/>
      </w:r>
      <w:bookmarkStart w:id="131" w:name="_Toc12961"/>
      <w:r>
        <w:rPr>
          <w:rFonts w:hint="eastAsia" w:ascii="宋体" w:hAnsi="宋体" w:cs="宋体"/>
          <w:bCs/>
          <w:kern w:val="0"/>
          <w:sz w:val="24"/>
          <w:szCs w:val="24"/>
          <w:highlight w:val="none"/>
        </w:rPr>
        <w:t>格式五</w:t>
      </w:r>
      <w:bookmarkEnd w:id="131"/>
    </w:p>
    <w:p w14:paraId="5F596989">
      <w:pPr>
        <w:autoSpaceDE w:val="0"/>
        <w:autoSpaceDN w:val="0"/>
        <w:adjustRightInd w:val="0"/>
        <w:rPr>
          <w:rFonts w:ascii="宋体" w:hAnsi="宋体" w:cs="宋体"/>
          <w:szCs w:val="21"/>
          <w:highlight w:val="none"/>
        </w:rPr>
      </w:pPr>
    </w:p>
    <w:p w14:paraId="0432A0D7">
      <w:pPr>
        <w:topLinePunct/>
        <w:adjustRightInd w:val="0"/>
        <w:snapToGrid w:val="0"/>
        <w:spacing w:line="360" w:lineRule="auto"/>
        <w:jc w:val="center"/>
        <w:rPr>
          <w:rFonts w:ascii="宋体" w:hAnsi="宋体" w:cs="宋体"/>
          <w:b/>
          <w:snapToGrid w:val="0"/>
          <w:spacing w:val="4"/>
          <w:kern w:val="0"/>
          <w:sz w:val="32"/>
          <w:szCs w:val="32"/>
          <w:highlight w:val="none"/>
        </w:rPr>
      </w:pPr>
      <w:r>
        <w:rPr>
          <w:rFonts w:hint="eastAsia" w:ascii="宋体" w:hAnsi="宋体" w:cs="宋体"/>
          <w:b/>
          <w:snapToGrid w:val="0"/>
          <w:spacing w:val="4"/>
          <w:kern w:val="0"/>
          <w:sz w:val="32"/>
          <w:szCs w:val="32"/>
          <w:highlight w:val="none"/>
        </w:rPr>
        <w:t>对投标文件编制的承诺</w:t>
      </w:r>
    </w:p>
    <w:p w14:paraId="25510A16">
      <w:pPr>
        <w:spacing w:line="360" w:lineRule="auto"/>
        <w:ind w:firstLine="540" w:firstLineChars="225"/>
        <w:rPr>
          <w:rFonts w:ascii="宋体" w:hAnsi="宋体" w:cs="宋体"/>
          <w:kern w:val="0"/>
          <w:sz w:val="24"/>
          <w:szCs w:val="24"/>
          <w:highlight w:val="none"/>
        </w:rPr>
      </w:pPr>
      <w:r>
        <w:rPr>
          <w:rFonts w:hint="eastAsia" w:ascii="宋体" w:hAnsi="宋体" w:cs="宋体"/>
          <w:kern w:val="0"/>
          <w:sz w:val="24"/>
          <w:szCs w:val="24"/>
          <w:highlight w:val="none"/>
        </w:rPr>
        <w:t>本公司授权</w:t>
      </w:r>
      <w:r>
        <w:rPr>
          <w:rFonts w:hint="eastAsia" w:ascii="宋体" w:hAnsi="宋体" w:cs="宋体"/>
          <w:kern w:val="0"/>
          <w:sz w:val="24"/>
          <w:szCs w:val="24"/>
          <w:highlight w:val="none"/>
          <w:u w:val="single"/>
        </w:rPr>
        <w:t xml:space="preserve">         （身份证号：               ）</w:t>
      </w:r>
      <w:r>
        <w:rPr>
          <w:rFonts w:hint="eastAsia" w:ascii="宋体" w:hAnsi="宋体" w:cs="宋体"/>
          <w:kern w:val="0"/>
          <w:sz w:val="24"/>
          <w:szCs w:val="24"/>
          <w:highlight w:val="none"/>
        </w:rPr>
        <w:t>负责对投标文件的编制及内容进行解释、说明，并承诺以下事项：</w:t>
      </w:r>
    </w:p>
    <w:p w14:paraId="30FCA763">
      <w:pPr>
        <w:spacing w:line="360" w:lineRule="auto"/>
        <w:ind w:firstLine="540" w:firstLineChars="225"/>
        <w:rPr>
          <w:rFonts w:ascii="宋体" w:hAnsi="宋体" w:cs="宋体"/>
          <w:kern w:val="0"/>
          <w:sz w:val="24"/>
          <w:szCs w:val="24"/>
          <w:highlight w:val="none"/>
        </w:rPr>
      </w:pPr>
      <w:r>
        <w:rPr>
          <w:rFonts w:hint="eastAsia" w:ascii="宋体" w:hAnsi="宋体" w:cs="宋体"/>
          <w:kern w:val="0"/>
          <w:sz w:val="24"/>
          <w:szCs w:val="24"/>
          <w:highlight w:val="none"/>
        </w:rPr>
        <w:t>1.被授权人清楚投标文件编制的具体情况，包括技术方案文件、工程量清单、以及投标文件的加密打包的理解；</w:t>
      </w:r>
    </w:p>
    <w:p w14:paraId="67AE600C">
      <w:pPr>
        <w:spacing w:line="360" w:lineRule="auto"/>
        <w:ind w:firstLine="540" w:firstLineChars="225"/>
        <w:rPr>
          <w:rFonts w:ascii="宋体" w:hAnsi="宋体" w:cs="宋体"/>
          <w:kern w:val="0"/>
          <w:sz w:val="24"/>
          <w:szCs w:val="24"/>
          <w:highlight w:val="none"/>
        </w:rPr>
      </w:pPr>
      <w:r>
        <w:rPr>
          <w:rFonts w:hint="eastAsia" w:ascii="宋体" w:hAnsi="宋体" w:cs="宋体"/>
          <w:kern w:val="0"/>
          <w:sz w:val="24"/>
          <w:szCs w:val="24"/>
          <w:highlight w:val="none"/>
        </w:rPr>
        <w:t>2.在本项目开标至评标结束前，努力确保被授权人在项目评标所在地附近；</w:t>
      </w:r>
    </w:p>
    <w:p w14:paraId="27A79975">
      <w:pPr>
        <w:spacing w:line="360" w:lineRule="auto"/>
        <w:ind w:firstLine="540" w:firstLineChars="225"/>
        <w:rPr>
          <w:rFonts w:ascii="宋体" w:hAnsi="宋体" w:cs="宋体"/>
          <w:kern w:val="0"/>
          <w:sz w:val="24"/>
          <w:szCs w:val="24"/>
          <w:highlight w:val="none"/>
        </w:rPr>
      </w:pPr>
      <w:r>
        <w:rPr>
          <w:rFonts w:hint="eastAsia" w:ascii="宋体" w:hAnsi="宋体" w:cs="宋体"/>
          <w:kern w:val="0"/>
          <w:sz w:val="24"/>
          <w:szCs w:val="24"/>
          <w:highlight w:val="none"/>
        </w:rPr>
        <w:t>3.从评标委员会要求澄清起二小时内，被授权人应如实地书面澄清。</w:t>
      </w:r>
    </w:p>
    <w:p w14:paraId="63B6E2F6">
      <w:pPr>
        <w:spacing w:line="360" w:lineRule="auto"/>
        <w:ind w:firstLine="540" w:firstLineChars="225"/>
        <w:rPr>
          <w:rFonts w:ascii="宋体" w:hAnsi="宋体" w:cs="宋体"/>
          <w:kern w:val="0"/>
          <w:sz w:val="24"/>
          <w:szCs w:val="24"/>
          <w:highlight w:val="none"/>
        </w:rPr>
      </w:pPr>
      <w:r>
        <w:rPr>
          <w:rFonts w:hint="eastAsia" w:ascii="宋体" w:hAnsi="宋体" w:cs="宋体"/>
          <w:kern w:val="0"/>
          <w:sz w:val="24"/>
          <w:szCs w:val="24"/>
          <w:highlight w:val="none"/>
        </w:rPr>
        <w:t>如由于未遵守上述承诺内容之一导致无法进行澄清的，我公司认可和接受评标委员会作出的评审结论。</w:t>
      </w:r>
    </w:p>
    <w:p w14:paraId="7A2DDFD0">
      <w:pPr>
        <w:spacing w:line="360" w:lineRule="auto"/>
        <w:ind w:firstLine="360" w:firstLineChars="150"/>
        <w:rPr>
          <w:rFonts w:ascii="宋体" w:hAnsi="宋体" w:cs="宋体"/>
          <w:kern w:val="0"/>
          <w:sz w:val="24"/>
          <w:szCs w:val="24"/>
          <w:highlight w:val="none"/>
        </w:rPr>
      </w:pPr>
    </w:p>
    <w:p w14:paraId="4CF036B5">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附件：《投标文件编制情况》</w:t>
      </w:r>
    </w:p>
    <w:p w14:paraId="366F993E">
      <w:pPr>
        <w:spacing w:line="360" w:lineRule="auto"/>
        <w:ind w:firstLine="3240" w:firstLineChars="1350"/>
        <w:rPr>
          <w:rFonts w:ascii="宋体" w:hAnsi="宋体" w:cs="宋体"/>
          <w:sz w:val="24"/>
          <w:szCs w:val="24"/>
          <w:highlight w:val="none"/>
          <w:u w:val="single"/>
        </w:rPr>
      </w:pPr>
      <w:r>
        <w:rPr>
          <w:rFonts w:hint="eastAsia" w:ascii="宋体" w:hAnsi="宋体" w:cs="宋体"/>
          <w:sz w:val="24"/>
          <w:szCs w:val="24"/>
          <w:highlight w:val="none"/>
        </w:rPr>
        <w:t xml:space="preserve"> 投标人名称（盖法人公章）：</w:t>
      </w:r>
      <w:r>
        <w:rPr>
          <w:rFonts w:hint="eastAsia" w:ascii="宋体" w:hAnsi="宋体" w:cs="宋体"/>
          <w:sz w:val="24"/>
          <w:szCs w:val="24"/>
          <w:highlight w:val="none"/>
          <w:u w:val="single"/>
        </w:rPr>
        <w:t xml:space="preserve">                  </w:t>
      </w:r>
    </w:p>
    <w:p w14:paraId="7256B10B">
      <w:pPr>
        <w:spacing w:line="360" w:lineRule="auto"/>
        <w:ind w:firstLine="2160" w:firstLineChars="900"/>
        <w:rPr>
          <w:rFonts w:ascii="宋体" w:hAnsi="宋体" w:cs="宋体"/>
          <w:sz w:val="24"/>
          <w:szCs w:val="24"/>
          <w:highlight w:val="none"/>
          <w:u w:val="single"/>
        </w:rPr>
      </w:pPr>
      <w:r>
        <w:rPr>
          <w:rFonts w:hint="eastAsia" w:ascii="宋体" w:hAnsi="宋体" w:cs="宋体"/>
          <w:sz w:val="24"/>
          <w:szCs w:val="24"/>
          <w:highlight w:val="none"/>
        </w:rPr>
        <w:t>法定代表人或被授权人（签字或盖章）：</w:t>
      </w:r>
      <w:r>
        <w:rPr>
          <w:rFonts w:hint="eastAsia" w:ascii="宋体" w:hAnsi="宋体" w:cs="宋体"/>
          <w:sz w:val="24"/>
          <w:szCs w:val="24"/>
          <w:highlight w:val="none"/>
          <w:u w:val="single"/>
        </w:rPr>
        <w:t xml:space="preserve">                  </w:t>
      </w:r>
    </w:p>
    <w:p w14:paraId="02D2E4D1">
      <w:pPr>
        <w:spacing w:line="360" w:lineRule="auto"/>
        <w:ind w:firstLine="4440" w:firstLineChars="1850"/>
        <w:jc w:val="center"/>
        <w:rPr>
          <w:rFonts w:ascii="宋体" w:hAnsi="宋体" w:cs="宋体"/>
          <w:sz w:val="24"/>
          <w:szCs w:val="24"/>
          <w:highlight w:val="none"/>
        </w:rPr>
      </w:pPr>
      <w:r>
        <w:rPr>
          <w:rFonts w:hint="eastAsia" w:ascii="宋体" w:hAnsi="宋体" w:cs="宋体"/>
          <w:sz w:val="24"/>
          <w:szCs w:val="24"/>
          <w:highlight w:val="none"/>
        </w:rPr>
        <w:t xml:space="preserve">日期：      年   月   日      </w:t>
      </w:r>
    </w:p>
    <w:p w14:paraId="6FA0D61A">
      <w:pPr>
        <w:topLinePunct/>
        <w:adjustRightInd w:val="0"/>
        <w:snapToGrid w:val="0"/>
        <w:spacing w:line="360" w:lineRule="auto"/>
        <w:jc w:val="center"/>
        <w:rPr>
          <w:rFonts w:ascii="宋体" w:hAnsi="宋体" w:cs="宋体"/>
          <w:b/>
          <w:snapToGrid w:val="0"/>
          <w:spacing w:val="4"/>
          <w:kern w:val="0"/>
          <w:sz w:val="32"/>
          <w:szCs w:val="32"/>
          <w:highlight w:val="none"/>
        </w:rPr>
      </w:pPr>
      <w:r>
        <w:rPr>
          <w:rFonts w:hint="eastAsia" w:ascii="宋体" w:hAnsi="宋体" w:cs="宋体"/>
          <w:b/>
          <w:snapToGrid w:val="0"/>
          <w:spacing w:val="4"/>
          <w:kern w:val="0"/>
          <w:sz w:val="32"/>
          <w:szCs w:val="32"/>
          <w:highlight w:val="none"/>
        </w:rPr>
        <w:t>投标文件编制情况</w:t>
      </w:r>
    </w:p>
    <w:tbl>
      <w:tblPr>
        <w:tblStyle w:val="36"/>
        <w:tblW w:w="5000" w:type="pct"/>
        <w:tblInd w:w="0" w:type="dxa"/>
        <w:tblLayout w:type="autofit"/>
        <w:tblCellMar>
          <w:top w:w="0" w:type="dxa"/>
          <w:left w:w="108" w:type="dxa"/>
          <w:bottom w:w="0" w:type="dxa"/>
          <w:right w:w="108" w:type="dxa"/>
        </w:tblCellMar>
      </w:tblPr>
      <w:tblGrid>
        <w:gridCol w:w="9853"/>
      </w:tblGrid>
      <w:tr w14:paraId="1BA10A29">
        <w:tblPrEx>
          <w:tblCellMar>
            <w:top w:w="0" w:type="dxa"/>
            <w:left w:w="108" w:type="dxa"/>
            <w:bottom w:w="0" w:type="dxa"/>
            <w:right w:w="108" w:type="dxa"/>
          </w:tblCellMar>
        </w:tblPrEx>
        <w:trPr>
          <w:trHeight w:val="2819" w:hRule="atLeast"/>
        </w:trPr>
        <w:tc>
          <w:tcPr>
            <w:tcW w:w="5000" w:type="pct"/>
          </w:tcPr>
          <w:p w14:paraId="08429BC9">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1.投标文件报价编制方式： □自行编制的，编制的负责人：</w:t>
            </w:r>
            <w:r>
              <w:rPr>
                <w:rFonts w:hint="eastAsia" w:ascii="宋体" w:hAnsi="宋体" w:cs="宋体"/>
                <w:sz w:val="24"/>
                <w:szCs w:val="20"/>
                <w:highlight w:val="none"/>
                <w:u w:val="single"/>
              </w:rPr>
              <w:t xml:space="preserve"> （盖造价工程师执业专用章或全国建设工程造价员章，执业单位应与投标人一致） </w:t>
            </w:r>
            <w:r>
              <w:rPr>
                <w:rFonts w:hint="eastAsia" w:ascii="宋体" w:hAnsi="宋体" w:cs="宋体"/>
                <w:sz w:val="24"/>
                <w:szCs w:val="20"/>
                <w:highlight w:val="none"/>
              </w:rPr>
              <w:t>。□委托编制的，受委托单位</w:t>
            </w:r>
            <w:r>
              <w:rPr>
                <w:rFonts w:hint="eastAsia" w:ascii="宋体" w:hAnsi="宋体" w:cs="宋体"/>
                <w:sz w:val="24"/>
                <w:szCs w:val="20"/>
                <w:highlight w:val="none"/>
                <w:u w:val="single"/>
              </w:rPr>
              <w:t xml:space="preserve">                    </w:t>
            </w:r>
            <w:r>
              <w:rPr>
                <w:rFonts w:hint="eastAsia" w:ascii="宋体" w:hAnsi="宋体" w:cs="宋体"/>
                <w:sz w:val="24"/>
                <w:szCs w:val="20"/>
                <w:highlight w:val="none"/>
              </w:rPr>
              <w:t>，编制的负责人：</w:t>
            </w:r>
            <w:r>
              <w:rPr>
                <w:rFonts w:hint="eastAsia" w:ascii="宋体" w:hAnsi="宋体" w:cs="宋体"/>
                <w:sz w:val="24"/>
                <w:szCs w:val="20"/>
                <w:highlight w:val="none"/>
                <w:u w:val="single"/>
              </w:rPr>
              <w:t xml:space="preserve"> （盖造价工程师执业专用章或全国建设工程造价员章，执业单位应与受委托单位一致） </w:t>
            </w:r>
            <w:r>
              <w:rPr>
                <w:rFonts w:hint="eastAsia" w:ascii="宋体" w:hAnsi="宋体" w:cs="宋体"/>
                <w:sz w:val="24"/>
                <w:szCs w:val="20"/>
                <w:highlight w:val="none"/>
              </w:rPr>
              <w:t>。</w:t>
            </w:r>
          </w:p>
          <w:p w14:paraId="7E5F2DA1">
            <w:pPr>
              <w:spacing w:line="360" w:lineRule="auto"/>
              <w:ind w:firstLine="480" w:firstLineChars="200"/>
              <w:rPr>
                <w:rFonts w:ascii="宋体" w:hAnsi="宋体" w:cs="宋体"/>
                <w:sz w:val="24"/>
                <w:szCs w:val="20"/>
                <w:highlight w:val="none"/>
              </w:rPr>
            </w:pPr>
            <w:r>
              <w:rPr>
                <w:rFonts w:hint="eastAsia" w:ascii="宋体" w:hAnsi="宋体" w:cs="宋体"/>
                <w:sz w:val="24"/>
                <w:szCs w:val="20"/>
                <w:highlight w:val="none"/>
              </w:rPr>
              <w:t>2.投标文件加密打包的电脑情况投标文件加密打包的电脑     自有    □      外包    □     其他    □</w:t>
            </w:r>
          </w:p>
          <w:p w14:paraId="246681DC">
            <w:pPr>
              <w:spacing w:line="360" w:lineRule="auto"/>
              <w:rPr>
                <w:rFonts w:ascii="宋体" w:hAnsi="宋体" w:cs="宋体"/>
                <w:sz w:val="24"/>
                <w:szCs w:val="20"/>
                <w:highlight w:val="none"/>
              </w:rPr>
            </w:pPr>
            <w:r>
              <w:rPr>
                <w:rFonts w:hint="eastAsia" w:ascii="宋体" w:hAnsi="宋体" w:cs="宋体"/>
                <w:sz w:val="24"/>
                <w:szCs w:val="20"/>
                <w:highlight w:val="none"/>
              </w:rPr>
              <w:t>电脑类型</w:t>
            </w:r>
          </w:p>
          <w:p w14:paraId="0B909EE1">
            <w:pPr>
              <w:spacing w:line="360" w:lineRule="auto"/>
              <w:rPr>
                <w:rFonts w:ascii="宋体" w:hAnsi="宋体" w:cs="宋体"/>
                <w:sz w:val="24"/>
                <w:szCs w:val="20"/>
                <w:highlight w:val="none"/>
              </w:rPr>
            </w:pPr>
            <w:r>
              <w:rPr>
                <w:rFonts w:hint="eastAsia" w:ascii="宋体" w:hAnsi="宋体" w:cs="宋体"/>
                <w:sz w:val="24"/>
                <w:szCs w:val="20"/>
                <w:highlight w:val="none"/>
              </w:rPr>
              <w:t>电脑所属单位</w:t>
            </w:r>
          </w:p>
          <w:p w14:paraId="462BDBEE">
            <w:pPr>
              <w:spacing w:line="360" w:lineRule="auto"/>
              <w:rPr>
                <w:rFonts w:ascii="宋体" w:hAnsi="宋体" w:cs="宋体"/>
                <w:sz w:val="24"/>
                <w:szCs w:val="20"/>
                <w:highlight w:val="none"/>
              </w:rPr>
            </w:pPr>
            <w:r>
              <w:rPr>
                <w:rFonts w:hint="eastAsia" w:ascii="宋体" w:hAnsi="宋体" w:cs="宋体"/>
                <w:sz w:val="24"/>
                <w:szCs w:val="20"/>
                <w:highlight w:val="none"/>
              </w:rPr>
              <w:t>电脑所在地址        （如××市××区（县） ××街（路）××号××大厦××房）</w:t>
            </w:r>
          </w:p>
        </w:tc>
      </w:tr>
    </w:tbl>
    <w:p w14:paraId="0C0F926D">
      <w:pPr>
        <w:spacing w:line="320" w:lineRule="exact"/>
        <w:rPr>
          <w:rFonts w:ascii="宋体" w:hAnsi="宋体" w:cs="宋体"/>
          <w:szCs w:val="21"/>
          <w:highlight w:val="none"/>
        </w:rPr>
      </w:pPr>
    </w:p>
    <w:p w14:paraId="4C7116AB">
      <w:pPr>
        <w:pStyle w:val="2"/>
        <w:snapToGrid w:val="0"/>
        <w:jc w:val="center"/>
        <w:rPr>
          <w:rFonts w:ascii="宋体" w:hAnsi="宋体" w:cs="宋体"/>
          <w:b/>
          <w:bCs/>
          <w:sz w:val="32"/>
          <w:szCs w:val="32"/>
          <w:highlight w:val="none"/>
        </w:rPr>
      </w:pPr>
      <w:r>
        <w:rPr>
          <w:rFonts w:hint="eastAsia" w:ascii="宋体" w:hAnsi="宋体" w:cs="宋体"/>
          <w:sz w:val="24"/>
          <w:szCs w:val="24"/>
          <w:highlight w:val="none"/>
        </w:rPr>
        <w:br w:type="page"/>
      </w:r>
      <w:bookmarkStart w:id="132" w:name="_Toc2272568"/>
      <w:bookmarkStart w:id="133" w:name="_Toc31919"/>
      <w:r>
        <w:rPr>
          <w:rFonts w:hint="eastAsia" w:ascii="宋体" w:hAnsi="宋体" w:cs="宋体"/>
          <w:b/>
          <w:bCs/>
          <w:sz w:val="32"/>
          <w:szCs w:val="32"/>
          <w:highlight w:val="none"/>
        </w:rPr>
        <w:t>第五章  技术条件（工程建设标准）</w:t>
      </w:r>
      <w:bookmarkEnd w:id="132"/>
      <w:bookmarkEnd w:id="133"/>
    </w:p>
    <w:p w14:paraId="297F8B5E">
      <w:pPr>
        <w:spacing w:line="360"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以中华人民共和国现行技术和验收规范、图纸中规定的其他技术和验收标准、遵照招标人相关规定要求为准。</w:t>
      </w:r>
    </w:p>
    <w:p w14:paraId="1D12688C">
      <w:pPr>
        <w:spacing w:line="360" w:lineRule="auto"/>
        <w:ind w:firstLine="482" w:firstLineChars="200"/>
        <w:rPr>
          <w:rFonts w:ascii="宋体" w:hAnsi="宋体" w:cs="宋体"/>
          <w:b/>
          <w:sz w:val="24"/>
          <w:szCs w:val="24"/>
          <w:highlight w:val="none"/>
          <w:lang w:bidi="ar"/>
        </w:rPr>
      </w:pPr>
      <w:r>
        <w:rPr>
          <w:rFonts w:hint="eastAsia" w:ascii="宋体" w:hAnsi="宋体" w:cs="宋体"/>
          <w:b/>
          <w:sz w:val="24"/>
          <w:szCs w:val="24"/>
          <w:highlight w:val="none"/>
          <w:lang w:bidi="ar"/>
        </w:rPr>
        <w:t>一、项目需求</w:t>
      </w:r>
    </w:p>
    <w:p w14:paraId="66417CB4">
      <w:pPr>
        <w:spacing w:line="360" w:lineRule="auto"/>
        <w:ind w:firstLine="482" w:firstLineChars="200"/>
        <w:rPr>
          <w:rFonts w:ascii="宋体" w:hAnsi="宋体" w:cs="宋体"/>
          <w:b/>
          <w:sz w:val="24"/>
          <w:szCs w:val="24"/>
          <w:highlight w:val="none"/>
          <w:lang w:bidi="ar"/>
        </w:rPr>
      </w:pPr>
      <w:r>
        <w:rPr>
          <w:rFonts w:hint="eastAsia" w:ascii="宋体" w:hAnsi="宋体" w:cs="宋体"/>
          <w:b/>
          <w:sz w:val="24"/>
          <w:szCs w:val="24"/>
          <w:highlight w:val="none"/>
          <w:lang w:bidi="ar"/>
        </w:rPr>
        <w:t>（一）标准</w:t>
      </w:r>
    </w:p>
    <w:p w14:paraId="7959E7EB">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本工程按照国家有关规定、规范进行、施工、验收，具体以施工图纸及相关技术和验收标准、遵照招标人相关规定要求为准。</w:t>
      </w:r>
    </w:p>
    <w:p w14:paraId="09231D1B">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（1）本工程采用的工程建设标准、规范必须遵守现行中华人民共和国以及广东省、广州市或行业最新的工程建设标准及规范，且必须满足设计文件以及</w:t>
      </w:r>
      <w:r>
        <w:rPr>
          <w:rFonts w:hint="eastAsia" w:ascii="宋体" w:hAnsi="宋体" w:cs="宋体"/>
          <w:sz w:val="24"/>
          <w:szCs w:val="24"/>
          <w:highlight w:val="none"/>
          <w:lang w:eastAsia="zh-CN" w:bidi="ar"/>
        </w:rPr>
        <w:t>招标人</w:t>
      </w:r>
      <w:r>
        <w:rPr>
          <w:rFonts w:hint="eastAsia" w:ascii="宋体" w:hAnsi="宋体" w:cs="宋体"/>
          <w:sz w:val="24"/>
          <w:szCs w:val="24"/>
          <w:highlight w:val="none"/>
          <w:lang w:bidi="ar"/>
        </w:rPr>
        <w:t>相关规章制度的要求。</w:t>
      </w:r>
    </w:p>
    <w:p w14:paraId="23205CAB">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（2）本工程实施中的材料、设备与工艺，都必须符合上述标准、规范及设计文件、</w:t>
      </w:r>
      <w:r>
        <w:rPr>
          <w:rFonts w:hint="eastAsia" w:ascii="宋体" w:hAnsi="宋体" w:cs="宋体"/>
          <w:sz w:val="24"/>
          <w:szCs w:val="24"/>
          <w:highlight w:val="none"/>
          <w:lang w:eastAsia="zh-CN" w:bidi="ar"/>
        </w:rPr>
        <w:t>招标人</w:t>
      </w:r>
      <w:r>
        <w:rPr>
          <w:rFonts w:hint="eastAsia" w:ascii="宋体" w:hAnsi="宋体" w:cs="宋体"/>
          <w:sz w:val="24"/>
          <w:szCs w:val="24"/>
          <w:highlight w:val="none"/>
          <w:lang w:bidi="ar"/>
        </w:rPr>
        <w:t>规章制度的相应要求。</w:t>
      </w:r>
    </w:p>
    <w:p w14:paraId="2B8FC704">
      <w:pPr>
        <w:spacing w:line="360" w:lineRule="auto"/>
        <w:ind w:firstLine="482" w:firstLineChars="200"/>
        <w:rPr>
          <w:rFonts w:ascii="宋体" w:hAnsi="宋体" w:cs="宋体"/>
          <w:b/>
          <w:sz w:val="24"/>
          <w:szCs w:val="24"/>
          <w:highlight w:val="none"/>
          <w:lang w:bidi="ar"/>
        </w:rPr>
      </w:pPr>
      <w:r>
        <w:rPr>
          <w:rFonts w:hint="eastAsia" w:ascii="宋体" w:hAnsi="宋体" w:cs="宋体"/>
          <w:b/>
          <w:sz w:val="24"/>
          <w:szCs w:val="24"/>
          <w:highlight w:val="none"/>
          <w:lang w:bidi="ar"/>
        </w:rPr>
        <w:t>（二）质量标准和要求</w:t>
      </w:r>
    </w:p>
    <w:p w14:paraId="45D2B573">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1.工程质量标准和要求（施工质量及项目成效目标）：确保符合国家、省、市或行业现行的《建筑工程施工质量验收统一标准》及相应配套的各专业验收规范（如在合同执行期间有新规范标准，则按新的规范标准执行），单位工程验收合格率100%，并达到合格或（以上标准），确保一次验收合格，满足</w:t>
      </w:r>
      <w:r>
        <w:rPr>
          <w:rFonts w:hint="eastAsia" w:ascii="宋体" w:hAnsi="宋体" w:cs="宋体"/>
          <w:sz w:val="24"/>
          <w:szCs w:val="24"/>
          <w:highlight w:val="none"/>
          <w:lang w:eastAsia="zh-CN" w:bidi="ar"/>
        </w:rPr>
        <w:t>招标人</w:t>
      </w:r>
      <w:r>
        <w:rPr>
          <w:rFonts w:hint="eastAsia" w:ascii="宋体" w:hAnsi="宋体" w:cs="宋体"/>
          <w:sz w:val="24"/>
          <w:szCs w:val="24"/>
          <w:highlight w:val="none"/>
          <w:lang w:bidi="ar"/>
        </w:rPr>
        <w:t>的工程质量要求。</w:t>
      </w:r>
    </w:p>
    <w:p w14:paraId="3F87E42E">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2.本工程按照国家有关规定、规范进行、施工、验收，具体以施工图纸及相关技术和验收标准、遵照</w:t>
      </w:r>
      <w:r>
        <w:rPr>
          <w:rFonts w:hint="eastAsia" w:ascii="宋体" w:hAnsi="宋体" w:cs="宋体"/>
          <w:sz w:val="24"/>
          <w:szCs w:val="24"/>
          <w:highlight w:val="none"/>
          <w:lang w:eastAsia="zh-CN" w:bidi="ar"/>
        </w:rPr>
        <w:t>招标人</w:t>
      </w:r>
      <w:r>
        <w:rPr>
          <w:rFonts w:hint="eastAsia" w:ascii="宋体" w:hAnsi="宋体" w:cs="宋体"/>
          <w:sz w:val="24"/>
          <w:szCs w:val="24"/>
          <w:highlight w:val="none"/>
          <w:lang w:bidi="ar"/>
        </w:rPr>
        <w:t>相关规定要求为准。</w:t>
      </w:r>
    </w:p>
    <w:p w14:paraId="5B4985A9">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（1）本工程采用的工程建设标准、规范必须遵守现行中华人民共和国以及广东省、广州市或行业最新的工程建设标准及规范，且必须满足设计文件以及</w:t>
      </w:r>
      <w:r>
        <w:rPr>
          <w:rFonts w:hint="eastAsia" w:ascii="宋体" w:hAnsi="宋体" w:cs="宋体"/>
          <w:sz w:val="24"/>
          <w:szCs w:val="24"/>
          <w:highlight w:val="none"/>
          <w:lang w:eastAsia="zh-CN" w:bidi="ar"/>
        </w:rPr>
        <w:t>招标人</w:t>
      </w:r>
      <w:r>
        <w:rPr>
          <w:rFonts w:hint="eastAsia" w:ascii="宋体" w:hAnsi="宋体" w:cs="宋体"/>
          <w:sz w:val="24"/>
          <w:szCs w:val="24"/>
          <w:highlight w:val="none"/>
          <w:lang w:bidi="ar"/>
        </w:rPr>
        <w:t>相关规章制度的要求。</w:t>
      </w:r>
    </w:p>
    <w:p w14:paraId="2E999324">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（2）本工程实施中的材料、设备与工艺，都必须符合上述标准、规范及设计文件、</w:t>
      </w:r>
      <w:r>
        <w:rPr>
          <w:rFonts w:hint="eastAsia" w:ascii="宋体" w:hAnsi="宋体" w:cs="宋体"/>
          <w:sz w:val="24"/>
          <w:szCs w:val="24"/>
          <w:highlight w:val="none"/>
          <w:lang w:eastAsia="zh-CN" w:bidi="ar"/>
        </w:rPr>
        <w:t>招标人</w:t>
      </w:r>
      <w:r>
        <w:rPr>
          <w:rFonts w:hint="eastAsia" w:ascii="宋体" w:hAnsi="宋体" w:cs="宋体"/>
          <w:sz w:val="24"/>
          <w:szCs w:val="24"/>
          <w:highlight w:val="none"/>
          <w:lang w:bidi="ar"/>
        </w:rPr>
        <w:t>规章制度的相应要求。</w:t>
      </w:r>
    </w:p>
    <w:p w14:paraId="54AE9163">
      <w:pPr>
        <w:spacing w:line="360" w:lineRule="auto"/>
        <w:ind w:firstLine="482" w:firstLineChars="200"/>
        <w:rPr>
          <w:rFonts w:ascii="宋体" w:hAnsi="宋体" w:cs="宋体"/>
          <w:b/>
          <w:sz w:val="24"/>
          <w:szCs w:val="24"/>
          <w:highlight w:val="none"/>
          <w:lang w:bidi="ar"/>
        </w:rPr>
      </w:pPr>
      <w:r>
        <w:rPr>
          <w:rFonts w:hint="eastAsia" w:ascii="宋体" w:hAnsi="宋体" w:cs="宋体"/>
          <w:b/>
          <w:sz w:val="24"/>
          <w:szCs w:val="24"/>
          <w:highlight w:val="none"/>
          <w:lang w:bidi="ar"/>
        </w:rPr>
        <w:t>（三）管理目标</w:t>
      </w:r>
    </w:p>
    <w:p w14:paraId="480C5D7A">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1.职业健康安全管理目标：杜绝发生一般事故等级及以上的伤亡事故且工伤责任事故死亡人数为零。</w:t>
      </w:r>
    </w:p>
    <w:p w14:paraId="1D6AFB59">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2.环境管理目标：严格按照国家、省、市最新颁布的法律法规、规章制度及建设行政主管部门最新发布的相关文件等执行，杜绝环境破坏、环境污染和水体污染事故等。</w:t>
      </w:r>
    </w:p>
    <w:p w14:paraId="2C3939A2">
      <w:pPr>
        <w:spacing w:line="360" w:lineRule="auto"/>
        <w:ind w:firstLine="482" w:firstLineChars="200"/>
        <w:rPr>
          <w:rFonts w:ascii="宋体" w:hAnsi="宋体" w:cs="宋体"/>
          <w:b/>
          <w:sz w:val="24"/>
          <w:szCs w:val="24"/>
          <w:highlight w:val="none"/>
          <w:lang w:bidi="ar"/>
        </w:rPr>
      </w:pPr>
      <w:r>
        <w:rPr>
          <w:rFonts w:hint="eastAsia" w:ascii="宋体" w:hAnsi="宋体" w:cs="宋体"/>
          <w:b/>
          <w:sz w:val="24"/>
          <w:szCs w:val="24"/>
          <w:highlight w:val="none"/>
          <w:lang w:bidi="ar"/>
        </w:rPr>
        <w:t>二、施工组织设计要点</w:t>
      </w:r>
    </w:p>
    <w:p w14:paraId="2A64CD7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如果中标，中标人应按项目的进展需求，并在规定的时间内按要点要求，编制详细的施工组织设计，作为工程施工的指导性文件，向建设单位提交一式五份的《施工组织设计方案》，内容包括（不限于）以下：</w:t>
      </w:r>
    </w:p>
    <w:p w14:paraId="782A8732">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lang w:bidi="ar"/>
        </w:rPr>
        <w:t>（一）工程概况及特点</w:t>
      </w:r>
    </w:p>
    <w:p w14:paraId="129181E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1.1工程概况</w:t>
      </w:r>
    </w:p>
    <w:p w14:paraId="733039D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工程简述，工程规模，工程承包范围等。</w:t>
      </w:r>
    </w:p>
    <w:p w14:paraId="1C27507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1.2工程特点</w:t>
      </w:r>
    </w:p>
    <w:p w14:paraId="2B47703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设计特点、工程特点、影响施工的主要和特殊环节分析等。</w:t>
      </w:r>
    </w:p>
    <w:p w14:paraId="6EA8357B">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lang w:bidi="ar"/>
        </w:rPr>
        <w:t>（二）施工现场组织机构</w:t>
      </w:r>
    </w:p>
    <w:p w14:paraId="4618B18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2.1组织机构关系图</w:t>
      </w:r>
    </w:p>
    <w:p w14:paraId="3C5FA65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2.2工程主要负责人简介。</w:t>
      </w:r>
    </w:p>
    <w:p w14:paraId="3C7E3692">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lang w:bidi="ar"/>
        </w:rPr>
        <w:t>（三）施工现场总平面布置图</w:t>
      </w:r>
    </w:p>
    <w:p w14:paraId="5100516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3.1施工现场平面布置图</w:t>
      </w:r>
    </w:p>
    <w:p w14:paraId="143F0E5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平面布置要求内容全面，充分利用现场条件，合理布置。平面布置图采用A3纸，图面要求线条清晰、标志明确。</w:t>
      </w:r>
    </w:p>
    <w:p w14:paraId="52161578">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lang w:bidi="ar"/>
        </w:rPr>
        <w:t>（四）施工方案</w:t>
      </w:r>
    </w:p>
    <w:p w14:paraId="34426BB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4.1施工准备</w:t>
      </w:r>
    </w:p>
    <w:p w14:paraId="732B447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简要叙述施工技术资料、材料、通讯、施工场地的准备，施工机械、施工力量的配置，以及生活设施等的准备情况。主要施工机械设备表。</w:t>
      </w:r>
    </w:p>
    <w:p w14:paraId="5DEF56A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4.2施工工序总体安排</w:t>
      </w:r>
    </w:p>
    <w:p w14:paraId="41DC76E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4.3主要工序和特殊工序的施工方法和施工效率估计，潜在问题的分析。</w:t>
      </w:r>
    </w:p>
    <w:p w14:paraId="41CB1A4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4.4工程成本的控制措施为控制成本，提高效益，拟采取的措施。</w:t>
      </w:r>
    </w:p>
    <w:p w14:paraId="27BC91EE">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lang w:bidi="ar"/>
        </w:rPr>
        <w:t>（五）工期及施工进度计划</w:t>
      </w:r>
    </w:p>
    <w:p w14:paraId="0837136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5.1工期规划及要求</w:t>
      </w:r>
    </w:p>
    <w:p w14:paraId="43F03C3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用横道图反映各主要施工过程的计划进度，深度达到全面、准确、清楚的描述工程实施过程，从中可衍生出各种施工资源计划及其过程管理信息。</w:t>
      </w:r>
    </w:p>
    <w:p w14:paraId="724410F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5.2施工进度计划网络图</w:t>
      </w:r>
    </w:p>
    <w:p w14:paraId="384B593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施工网络图应明确工程开工、竣工日期，工程施工的关键路线，并针对关键工序，提出确保工期拟采取的措施。</w:t>
      </w:r>
    </w:p>
    <w:p w14:paraId="3DA9DD6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5.3施工资源（人力、材料、机具、场地及进场道路、公共关系）计划</w:t>
      </w:r>
    </w:p>
    <w:p w14:paraId="389FBD7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5.4施工进度计划分析</w:t>
      </w:r>
    </w:p>
    <w:p w14:paraId="6335550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计划潜在问题，计划中的潜力及其开发途径等。</w:t>
      </w:r>
    </w:p>
    <w:p w14:paraId="100BC7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5.5计划控制</w:t>
      </w:r>
    </w:p>
    <w:p w14:paraId="2EF56BE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程序、方法及制度等。</w:t>
      </w:r>
    </w:p>
    <w:p w14:paraId="1838B07E">
      <w:pPr>
        <w:spacing w:line="360" w:lineRule="auto"/>
        <w:ind w:firstLine="482" w:firstLineChars="200"/>
        <w:rPr>
          <w:rFonts w:ascii="宋体" w:hAnsi="宋体" w:cs="宋体"/>
          <w:b/>
          <w:bCs/>
          <w:sz w:val="24"/>
          <w:szCs w:val="24"/>
          <w:highlight w:val="none"/>
          <w:lang w:bidi="ar"/>
        </w:rPr>
      </w:pPr>
      <w:r>
        <w:rPr>
          <w:rFonts w:hint="eastAsia" w:ascii="宋体" w:hAnsi="宋体" w:cs="宋体"/>
          <w:b/>
          <w:bCs/>
          <w:sz w:val="24"/>
          <w:szCs w:val="24"/>
          <w:highlight w:val="none"/>
          <w:lang w:bidi="ar"/>
        </w:rPr>
        <w:t>（六）质量目标、质量保证体系及技术组织措施</w:t>
      </w:r>
    </w:p>
    <w:p w14:paraId="51D7A11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6.1质量目标</w:t>
      </w:r>
    </w:p>
    <w:p w14:paraId="584D09D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本工程要求的质量目标：确保符合国家、省、市或行业现行的《建筑工程施工质量验收统一标准》及相应配套的各专业验收规范（如在合同执行期间有新规范标准则，按新的规范标准执行），单位工程验收合格率100%，并达到合格或（以上标准），确保一次验收合格，满足招标人的工程质量要求。</w:t>
      </w:r>
    </w:p>
    <w:p w14:paraId="1E7E4B7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用单位工程和分项工程合格率、优良品率表示，欲达到的工程质量等级。</w:t>
      </w:r>
    </w:p>
    <w:p w14:paraId="6E21614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6.2质量管理组织机构及主要职责</w:t>
      </w:r>
    </w:p>
    <w:p w14:paraId="119DCD3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用框图表示质量管理组织机构，并简要叙述各质量管理部门的主要职责。</w:t>
      </w:r>
    </w:p>
    <w:p w14:paraId="6DD68A8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6.3质量管理的措施</w:t>
      </w:r>
    </w:p>
    <w:p w14:paraId="5A8D24D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简要叙述质量管理的措施和关键工序的质量控制。</w:t>
      </w:r>
    </w:p>
    <w:p w14:paraId="73CA8D1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6.4质量管理及检验的标准</w:t>
      </w:r>
    </w:p>
    <w:p w14:paraId="3C938E6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执行的主要质量标准、规范。</w:t>
      </w:r>
    </w:p>
    <w:p w14:paraId="03CB311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6.5质量保证技术措施</w:t>
      </w:r>
    </w:p>
    <w:p w14:paraId="2526AB6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针对本工程特点，分析质量薄弱环节，拟将采取的技术措施。</w:t>
      </w:r>
    </w:p>
    <w:p w14:paraId="578B424C">
      <w:pPr>
        <w:spacing w:line="360" w:lineRule="auto"/>
        <w:ind w:firstLine="482" w:firstLineChars="200"/>
        <w:rPr>
          <w:rFonts w:ascii="宋体" w:hAnsi="宋体" w:cs="宋体"/>
          <w:b/>
          <w:bCs/>
          <w:sz w:val="24"/>
          <w:szCs w:val="24"/>
          <w:highlight w:val="none"/>
          <w:lang w:bidi="ar"/>
        </w:rPr>
      </w:pPr>
      <w:r>
        <w:rPr>
          <w:rFonts w:hint="eastAsia" w:ascii="宋体" w:hAnsi="宋体" w:cs="宋体"/>
          <w:b/>
          <w:bCs/>
          <w:sz w:val="24"/>
          <w:szCs w:val="24"/>
          <w:highlight w:val="none"/>
          <w:lang w:bidi="ar"/>
        </w:rPr>
        <w:t>（七）安全目标、安全保证体系及技术组织措施</w:t>
      </w:r>
    </w:p>
    <w:p w14:paraId="147B455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7.1安全管理目标</w:t>
      </w:r>
    </w:p>
    <w:p w14:paraId="581ED08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7.2安全管理组织机构及主要职责</w:t>
      </w:r>
    </w:p>
    <w:p w14:paraId="313282F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用框图表示安全管理组织机构，并简要叙述各安全管理部门及人员的主要职责。</w:t>
      </w:r>
    </w:p>
    <w:p w14:paraId="79D61E5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7.3安全管理制度及办法</w:t>
      </w:r>
    </w:p>
    <w:p w14:paraId="26577BD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7.4安全组织技术措施</w:t>
      </w:r>
    </w:p>
    <w:p w14:paraId="0537182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针对本工程特点，分析安全薄弱环节，拟将采取的技术措施。</w:t>
      </w:r>
    </w:p>
    <w:p w14:paraId="2DA6BF0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7.5重要施工方案和特殊施工工序的安全过程控制</w:t>
      </w:r>
    </w:p>
    <w:p w14:paraId="70FC2D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7.6严格执行《建筑施工安全检查标准》（JGJ59-2011）和省、市建设主管部门有关文明施工的规定。并按照甲方要求安排工作时间，在施工中尽量减少噪音，必要时采取有效的隔音措施，混凝土浇灌需连续不间断作业时，按有关规定申报夜间施工许可证。</w:t>
      </w:r>
    </w:p>
    <w:p w14:paraId="156EBC5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职业健康安全管理目标：杜绝发生一般事故等级及以上的伤亡事故且工伤责任事故死亡人数为零。</w:t>
      </w:r>
    </w:p>
    <w:p w14:paraId="543C73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文明施工目标：标准化管理。</w:t>
      </w:r>
    </w:p>
    <w:p w14:paraId="2E328424">
      <w:pPr>
        <w:spacing w:line="360" w:lineRule="auto"/>
        <w:ind w:firstLine="482" w:firstLineChars="200"/>
        <w:rPr>
          <w:rFonts w:ascii="宋体" w:hAnsi="宋体" w:cs="宋体"/>
          <w:b/>
          <w:bCs/>
          <w:sz w:val="24"/>
          <w:szCs w:val="24"/>
          <w:highlight w:val="none"/>
          <w:lang w:bidi="ar"/>
        </w:rPr>
      </w:pPr>
      <w:r>
        <w:rPr>
          <w:rFonts w:hint="eastAsia" w:ascii="宋体" w:hAnsi="宋体" w:cs="宋体"/>
          <w:b/>
          <w:bCs/>
          <w:sz w:val="24"/>
          <w:szCs w:val="24"/>
          <w:highlight w:val="none"/>
          <w:lang w:bidi="ar"/>
        </w:rPr>
        <w:t>（八）环境保护及文明施工</w:t>
      </w:r>
    </w:p>
    <w:p w14:paraId="630433AA">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8.1环境管理目标：严格按照国家、省、市最新颁布的法律法规、规章制度及建设行政主管部门最新发布的相关文件等执行，杜绝环境破坏、环境污染和水体污染事故等。</w:t>
      </w:r>
    </w:p>
    <w:p w14:paraId="333EF1C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8.2环境保护</w:t>
      </w:r>
    </w:p>
    <w:p w14:paraId="10CD294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分析因施工可能引起的环境保护方面的问题。</w:t>
      </w:r>
    </w:p>
    <w:p w14:paraId="29B5F43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8.3加强施工管理、严格保护环境</w:t>
      </w:r>
    </w:p>
    <w:p w14:paraId="4466D73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提出环境保护的目标及采取的具体措施。</w:t>
      </w:r>
    </w:p>
    <w:p w14:paraId="385C49A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8.4文明施工的目标、组织机构和实施方案</w:t>
      </w:r>
    </w:p>
    <w:p w14:paraId="478172B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8.5文明施工考核、管理办法</w:t>
      </w:r>
    </w:p>
    <w:p w14:paraId="4C1BA0EA">
      <w:pPr>
        <w:spacing w:line="360" w:lineRule="auto"/>
        <w:ind w:firstLine="482" w:firstLineChars="200"/>
        <w:rPr>
          <w:rFonts w:ascii="宋体" w:hAnsi="宋体" w:cs="宋体"/>
          <w:b/>
          <w:bCs/>
          <w:sz w:val="24"/>
          <w:szCs w:val="24"/>
          <w:highlight w:val="none"/>
          <w:lang w:bidi="ar"/>
        </w:rPr>
      </w:pPr>
      <w:r>
        <w:rPr>
          <w:rFonts w:hint="eastAsia" w:ascii="宋体" w:hAnsi="宋体" w:cs="宋体"/>
          <w:b/>
          <w:bCs/>
          <w:sz w:val="24"/>
          <w:szCs w:val="24"/>
          <w:highlight w:val="none"/>
          <w:lang w:bidi="ar"/>
        </w:rPr>
        <w:t>（九）计划、统计和信息管理</w:t>
      </w:r>
    </w:p>
    <w:p w14:paraId="5AF90C3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9.1计划、统计报表的编制与传递；</w:t>
      </w:r>
    </w:p>
    <w:p w14:paraId="1F55B62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9.2信息管理</w:t>
      </w:r>
    </w:p>
    <w:p w14:paraId="363AB84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lang w:bidi="ar"/>
        </w:rPr>
        <w:t>提出信息管理的目标及拟将采取的措施。</w:t>
      </w:r>
    </w:p>
    <w:p w14:paraId="05BC9D7E">
      <w:pPr>
        <w:spacing w:line="360" w:lineRule="auto"/>
        <w:ind w:firstLine="482" w:firstLineChars="200"/>
        <w:rPr>
          <w:rFonts w:ascii="宋体" w:hAnsi="宋体" w:cs="宋体"/>
          <w:b/>
          <w:sz w:val="24"/>
          <w:szCs w:val="24"/>
          <w:highlight w:val="none"/>
          <w:lang w:bidi="ar"/>
        </w:rPr>
      </w:pPr>
      <w:r>
        <w:rPr>
          <w:rFonts w:hint="eastAsia" w:ascii="宋体" w:hAnsi="宋体" w:cs="宋体"/>
          <w:b/>
          <w:sz w:val="24"/>
          <w:szCs w:val="24"/>
          <w:highlight w:val="none"/>
          <w:lang w:bidi="ar"/>
        </w:rPr>
        <w:t>二、施工现场建筑垃圾源头减量的具体要求和建筑垃圾综合利用产品的使用要求：</w:t>
      </w:r>
    </w:p>
    <w:p w14:paraId="2FF29D80">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1</w:t>
      </w:r>
      <w:r>
        <w:rPr>
          <w:rFonts w:hint="eastAsia" w:ascii="宋体" w:hAnsi="宋体" w:cs="宋体"/>
          <w:sz w:val="24"/>
          <w:szCs w:val="24"/>
          <w:highlight w:val="none"/>
          <w:lang w:val="en-US" w:eastAsia="zh-CN" w:bidi="ar"/>
        </w:rPr>
        <w:t>.</w:t>
      </w:r>
      <w:r>
        <w:rPr>
          <w:rFonts w:hint="eastAsia" w:ascii="宋体" w:hAnsi="宋体" w:cs="宋体"/>
          <w:sz w:val="24"/>
          <w:szCs w:val="24"/>
          <w:highlight w:val="none"/>
          <w:lang w:bidi="ar"/>
        </w:rPr>
        <w:t>工程施工单位应当编制建筑垃圾处理方案，采取污染防治措施。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09911038">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2</w:t>
      </w:r>
      <w:r>
        <w:rPr>
          <w:rFonts w:hint="eastAsia" w:ascii="宋体" w:hAnsi="宋体" w:cs="宋体"/>
          <w:sz w:val="24"/>
          <w:szCs w:val="24"/>
          <w:highlight w:val="none"/>
          <w:lang w:val="en-US" w:eastAsia="zh-CN" w:bidi="ar"/>
        </w:rPr>
        <w:t>.</w:t>
      </w:r>
      <w:r>
        <w:rPr>
          <w:rFonts w:hint="eastAsia" w:ascii="宋体" w:hAnsi="宋体" w:cs="宋体"/>
          <w:sz w:val="24"/>
          <w:szCs w:val="24"/>
          <w:highlight w:val="none"/>
          <w:lang w:bidi="ar"/>
        </w:rPr>
        <w:t>建筑垃圾应当按照国家有关规定进行分类，实行分类收集、分类贮存、分类运输、分类处置。</w:t>
      </w:r>
    </w:p>
    <w:p w14:paraId="1D27EA38">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3</w:t>
      </w:r>
      <w:r>
        <w:rPr>
          <w:rFonts w:hint="eastAsia" w:ascii="宋体" w:hAnsi="宋体" w:cs="宋体"/>
          <w:sz w:val="24"/>
          <w:szCs w:val="24"/>
          <w:highlight w:val="none"/>
          <w:lang w:val="en-US" w:eastAsia="zh-CN" w:bidi="ar"/>
        </w:rPr>
        <w:t>.</w:t>
      </w:r>
      <w:r>
        <w:rPr>
          <w:rFonts w:hint="eastAsia" w:ascii="宋体" w:hAnsi="宋体" w:cs="宋体"/>
          <w:sz w:val="24"/>
          <w:szCs w:val="24"/>
          <w:highlight w:val="none"/>
          <w:lang w:bidi="ar"/>
        </w:rPr>
        <w:t>建设单位应当建立建筑垃圾分类收集、贮存以及台账管理等制度，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1F5130D3">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4</w:t>
      </w:r>
      <w:r>
        <w:rPr>
          <w:rFonts w:hint="eastAsia" w:ascii="宋体" w:hAnsi="宋体" w:cs="宋体"/>
          <w:sz w:val="24"/>
          <w:szCs w:val="24"/>
          <w:highlight w:val="none"/>
          <w:lang w:val="en-US" w:eastAsia="zh-CN" w:bidi="ar"/>
        </w:rPr>
        <w:t>.</w:t>
      </w:r>
      <w:r>
        <w:rPr>
          <w:rFonts w:hint="eastAsia" w:ascii="宋体" w:hAnsi="宋体" w:cs="宋体"/>
          <w:sz w:val="24"/>
          <w:szCs w:val="24"/>
          <w:highlight w:val="none"/>
          <w:lang w:bidi="ar"/>
        </w:rPr>
        <w:t>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08CAD743">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5</w:t>
      </w:r>
      <w:r>
        <w:rPr>
          <w:rFonts w:hint="eastAsia" w:ascii="宋体" w:hAnsi="宋体" w:cs="宋体"/>
          <w:sz w:val="24"/>
          <w:szCs w:val="24"/>
          <w:highlight w:val="none"/>
          <w:lang w:val="en-US" w:eastAsia="zh-CN" w:bidi="ar"/>
        </w:rPr>
        <w:t>.</w:t>
      </w:r>
      <w:r>
        <w:rPr>
          <w:rFonts w:hint="eastAsia" w:ascii="宋体" w:hAnsi="宋体" w:cs="宋体"/>
          <w:sz w:val="24"/>
          <w:szCs w:val="24"/>
          <w:highlight w:val="none"/>
          <w:lang w:bidi="ar"/>
        </w:rPr>
        <w:t>工程泥浆应当在施工现场进行脱水固化处理。施工现场不具备条件的，应当采用罐装器具密闭运输至依法设置的建筑垃圾处置场所进行处置。水上工程中依法无需经脱水处理的除外。</w:t>
      </w:r>
    </w:p>
    <w:p w14:paraId="68B0D930">
      <w:pPr>
        <w:spacing w:line="360" w:lineRule="auto"/>
        <w:ind w:firstLine="480" w:firstLineChars="200"/>
        <w:rPr>
          <w:rFonts w:ascii="宋体" w:hAnsi="宋体" w:cs="宋体"/>
          <w:sz w:val="24"/>
          <w:szCs w:val="24"/>
          <w:highlight w:val="none"/>
          <w:lang w:bidi="ar"/>
        </w:rPr>
      </w:pPr>
      <w:r>
        <w:rPr>
          <w:rFonts w:hint="eastAsia" w:ascii="宋体" w:hAnsi="宋体" w:cs="宋体"/>
          <w:sz w:val="24"/>
          <w:szCs w:val="24"/>
          <w:highlight w:val="none"/>
          <w:lang w:bidi="ar"/>
        </w:rPr>
        <w:t>6</w:t>
      </w:r>
      <w:r>
        <w:rPr>
          <w:rFonts w:hint="eastAsia" w:ascii="宋体" w:hAnsi="宋体" w:cs="宋体"/>
          <w:sz w:val="24"/>
          <w:szCs w:val="24"/>
          <w:highlight w:val="none"/>
          <w:lang w:val="en-US" w:eastAsia="zh-CN" w:bidi="ar"/>
        </w:rPr>
        <w:t>.</w:t>
      </w:r>
      <w:r>
        <w:rPr>
          <w:rFonts w:hint="eastAsia" w:ascii="宋体" w:hAnsi="宋体" w:cs="宋体"/>
          <w:sz w:val="24"/>
          <w:szCs w:val="24"/>
          <w:highlight w:val="none"/>
          <w:lang w:bidi="ar"/>
        </w:rPr>
        <w:t>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6388FAF3">
      <w:pPr>
        <w:topLinePunct/>
        <w:adjustRightInd w:val="0"/>
        <w:snapToGrid w:val="0"/>
        <w:spacing w:line="360" w:lineRule="auto"/>
        <w:ind w:firstLine="480" w:firstLineChars="200"/>
        <w:rPr>
          <w:rFonts w:ascii="宋体" w:hAnsi="宋体" w:cs="宋体"/>
          <w:snapToGrid w:val="0"/>
          <w:spacing w:val="4"/>
          <w:sz w:val="24"/>
          <w:szCs w:val="24"/>
          <w:highlight w:val="none"/>
        </w:rPr>
      </w:pPr>
      <w:r>
        <w:rPr>
          <w:rFonts w:hint="eastAsia" w:ascii="宋体" w:hAnsi="宋体" w:cs="宋体"/>
          <w:sz w:val="24"/>
          <w:szCs w:val="24"/>
          <w:highlight w:val="none"/>
          <w:lang w:bidi="ar"/>
        </w:rPr>
        <w:t>7</w:t>
      </w:r>
      <w:r>
        <w:rPr>
          <w:rFonts w:hint="eastAsia" w:ascii="宋体" w:hAnsi="宋体" w:cs="宋体"/>
          <w:sz w:val="24"/>
          <w:szCs w:val="24"/>
          <w:highlight w:val="none"/>
          <w:lang w:val="en-US" w:eastAsia="zh-CN" w:bidi="ar"/>
        </w:rPr>
        <w:t>.</w:t>
      </w:r>
      <w:r>
        <w:rPr>
          <w:rFonts w:hint="eastAsia" w:ascii="宋体" w:hAnsi="宋体" w:cs="宋体"/>
          <w:sz w:val="24"/>
          <w:szCs w:val="24"/>
          <w:highlight w:val="none"/>
          <w:lang w:bidi="ar"/>
        </w:rPr>
        <w:t>建设单位和施工单位严格遵守并执行《广东省建筑垃圾管理条例》。</w:t>
      </w:r>
    </w:p>
    <w:p w14:paraId="1910276D">
      <w:pPr>
        <w:topLinePunct/>
        <w:adjustRightInd w:val="0"/>
        <w:snapToGrid w:val="0"/>
        <w:spacing w:line="360" w:lineRule="auto"/>
        <w:ind w:firstLine="496" w:firstLineChars="200"/>
        <w:rPr>
          <w:rFonts w:hint="eastAsia" w:ascii="宋体" w:hAnsi="宋体" w:cs="宋体"/>
          <w:spacing w:val="4"/>
          <w:kern w:val="0"/>
          <w:sz w:val="24"/>
          <w:szCs w:val="24"/>
          <w:highlight w:val="none"/>
        </w:rPr>
      </w:pPr>
      <w:r>
        <w:rPr>
          <w:rFonts w:hint="eastAsia" w:ascii="宋体" w:hAnsi="宋体" w:cs="宋体"/>
          <w:spacing w:val="4"/>
          <w:kern w:val="0"/>
          <w:sz w:val="24"/>
          <w:szCs w:val="24"/>
          <w:highlight w:val="none"/>
        </w:rPr>
        <w:t>由投标人有针对性的描述，各部分文字直接简练，不得出现大量宣传性及无实质性意义或直接引用范本照搬照套的文字。</w:t>
      </w:r>
    </w:p>
    <w:p w14:paraId="7BB59D2B">
      <w:pPr>
        <w:rPr>
          <w:rFonts w:ascii="宋体" w:hAnsi="宋体" w:cs="宋体"/>
          <w:bCs/>
          <w:sz w:val="24"/>
          <w:szCs w:val="24"/>
          <w:highlight w:val="none"/>
        </w:rPr>
      </w:pPr>
      <w:r>
        <w:rPr>
          <w:rFonts w:hint="eastAsia" w:ascii="宋体" w:hAnsi="宋体" w:cs="宋体"/>
          <w:bCs/>
          <w:sz w:val="24"/>
          <w:szCs w:val="24"/>
          <w:highlight w:val="none"/>
        </w:rPr>
        <w:br w:type="page"/>
      </w:r>
    </w:p>
    <w:p w14:paraId="015B7907">
      <w:pPr>
        <w:pStyle w:val="2"/>
        <w:jc w:val="center"/>
        <w:rPr>
          <w:rFonts w:ascii="宋体" w:hAnsi="宋体" w:cs="宋体"/>
          <w:b/>
          <w:bCs/>
          <w:sz w:val="32"/>
          <w:szCs w:val="32"/>
          <w:highlight w:val="none"/>
        </w:rPr>
      </w:pPr>
      <w:bookmarkStart w:id="134" w:name="_Toc9697"/>
      <w:bookmarkStart w:id="135" w:name="_Toc2272569"/>
      <w:r>
        <w:rPr>
          <w:rFonts w:hint="eastAsia" w:ascii="宋体" w:hAnsi="宋体" w:cs="宋体"/>
          <w:b/>
          <w:bCs/>
          <w:sz w:val="32"/>
          <w:szCs w:val="32"/>
          <w:highlight w:val="none"/>
        </w:rPr>
        <w:t>第六章  图纸及勘察资料</w:t>
      </w:r>
      <w:bookmarkEnd w:id="134"/>
      <w:bookmarkEnd w:id="135"/>
    </w:p>
    <w:p w14:paraId="2D3EC581">
      <w:pPr>
        <w:jc w:val="center"/>
        <w:rPr>
          <w:rFonts w:ascii="宋体" w:hAnsi="宋体" w:cs="宋体"/>
          <w:sz w:val="24"/>
          <w:szCs w:val="24"/>
          <w:highlight w:val="none"/>
        </w:rPr>
      </w:pPr>
      <w:r>
        <w:rPr>
          <w:rFonts w:hint="eastAsia" w:ascii="宋体" w:hAnsi="宋体" w:cs="宋体"/>
          <w:sz w:val="24"/>
          <w:szCs w:val="24"/>
          <w:highlight w:val="none"/>
        </w:rPr>
        <w:t>注：另册。</w:t>
      </w:r>
    </w:p>
    <w:p w14:paraId="5C2BB609">
      <w:pPr>
        <w:pStyle w:val="6"/>
        <w:rPr>
          <w:rFonts w:ascii="宋体" w:hAnsi="宋体" w:cs="宋体"/>
          <w:highlight w:val="none"/>
        </w:rPr>
      </w:pPr>
    </w:p>
    <w:p w14:paraId="13F36A40">
      <w:pPr>
        <w:topLinePunct/>
        <w:adjustRightInd w:val="0"/>
        <w:snapToGrid w:val="0"/>
        <w:spacing w:before="156" w:after="156" w:line="360" w:lineRule="auto"/>
        <w:ind w:firstLine="496" w:firstLineChars="200"/>
        <w:rPr>
          <w:rFonts w:ascii="宋体" w:hAnsi="宋体" w:cs="宋体"/>
          <w:spacing w:val="4"/>
          <w:kern w:val="0"/>
          <w:sz w:val="24"/>
          <w:szCs w:val="24"/>
          <w:highlight w:val="none"/>
        </w:rPr>
      </w:pPr>
      <w:r>
        <w:rPr>
          <w:rFonts w:hint="eastAsia" w:ascii="宋体" w:hAnsi="宋体" w:cs="宋体"/>
          <w:spacing w:val="4"/>
          <w:kern w:val="0"/>
          <w:sz w:val="24"/>
          <w:szCs w:val="24"/>
          <w:highlight w:val="none"/>
          <w:lang w:bidi="ar"/>
        </w:rPr>
        <w:t>注：本项目所有招标图纸、资料知识产权属招标人所有，不得用于除本次招标项目外的其他用途，否则应承担由此所引起的全部法律责任。</w:t>
      </w:r>
    </w:p>
    <w:p w14:paraId="7C3FD57D">
      <w:pPr>
        <w:pStyle w:val="2"/>
        <w:jc w:val="center"/>
        <w:rPr>
          <w:rFonts w:ascii="宋体" w:hAnsi="宋体" w:cs="宋体"/>
          <w:b/>
          <w:bCs/>
          <w:sz w:val="32"/>
          <w:szCs w:val="32"/>
          <w:highlight w:val="none"/>
        </w:rPr>
      </w:pPr>
      <w:r>
        <w:rPr>
          <w:rFonts w:hint="eastAsia" w:ascii="宋体" w:hAnsi="宋体" w:cs="宋体"/>
          <w:sz w:val="24"/>
          <w:szCs w:val="24"/>
          <w:highlight w:val="none"/>
        </w:rPr>
        <w:br w:type="page"/>
      </w:r>
      <w:bookmarkStart w:id="136" w:name="_Toc2272570"/>
      <w:bookmarkStart w:id="137" w:name="_Toc5094"/>
      <w:r>
        <w:rPr>
          <w:rFonts w:hint="eastAsia" w:ascii="宋体" w:hAnsi="宋体" w:cs="宋体"/>
          <w:b/>
          <w:bCs/>
          <w:sz w:val="32"/>
          <w:szCs w:val="32"/>
          <w:highlight w:val="none"/>
        </w:rPr>
        <w:t>第七章  工程量清单</w:t>
      </w:r>
      <w:bookmarkEnd w:id="136"/>
      <w:bookmarkEnd w:id="137"/>
    </w:p>
    <w:p w14:paraId="37EE1E1D">
      <w:pPr>
        <w:spacing w:line="360" w:lineRule="auto"/>
        <w:jc w:val="center"/>
        <w:rPr>
          <w:rFonts w:ascii="宋体" w:hAnsi="宋体" w:cs="宋体"/>
          <w:b/>
          <w:sz w:val="24"/>
          <w:szCs w:val="24"/>
          <w:highlight w:val="none"/>
        </w:rPr>
      </w:pPr>
      <w:r>
        <w:rPr>
          <w:rFonts w:hint="eastAsia" w:ascii="宋体" w:hAnsi="宋体" w:cs="宋体"/>
          <w:sz w:val="24"/>
          <w:szCs w:val="24"/>
          <w:highlight w:val="none"/>
        </w:rPr>
        <w:t>注：另册。</w:t>
      </w:r>
    </w:p>
    <w:p w14:paraId="45060232">
      <w:pPr>
        <w:pStyle w:val="34"/>
        <w:spacing w:after="0" w:line="360" w:lineRule="auto"/>
        <w:ind w:firstLine="0"/>
        <w:rPr>
          <w:rFonts w:ascii="宋体" w:hAnsi="宋体" w:cs="宋体"/>
          <w:sz w:val="24"/>
          <w:highlight w:val="none"/>
        </w:rPr>
      </w:pPr>
    </w:p>
    <w:p w14:paraId="128F12D5">
      <w:pPr>
        <w:pStyle w:val="2"/>
        <w:spacing w:after="0"/>
        <w:jc w:val="center"/>
        <w:rPr>
          <w:rFonts w:ascii="宋体" w:hAnsi="宋体" w:cs="宋体"/>
          <w:b/>
          <w:bCs/>
          <w:sz w:val="32"/>
          <w:szCs w:val="32"/>
          <w:highlight w:val="none"/>
        </w:rPr>
      </w:pPr>
      <w:r>
        <w:rPr>
          <w:rFonts w:hint="eastAsia" w:ascii="宋体" w:hAnsi="宋体" w:cs="宋体"/>
          <w:sz w:val="24"/>
          <w:szCs w:val="24"/>
          <w:highlight w:val="none"/>
        </w:rPr>
        <w:br w:type="page"/>
      </w:r>
      <w:bookmarkStart w:id="138" w:name="_Toc2272571"/>
      <w:bookmarkStart w:id="139" w:name="_Toc19958"/>
      <w:r>
        <w:rPr>
          <w:rFonts w:hint="eastAsia" w:ascii="宋体" w:hAnsi="宋体" w:cs="宋体"/>
          <w:b/>
          <w:bCs/>
          <w:sz w:val="32"/>
          <w:szCs w:val="32"/>
          <w:highlight w:val="none"/>
        </w:rPr>
        <w:t>第八章  最高投标限价</w:t>
      </w:r>
      <w:bookmarkEnd w:id="138"/>
      <w:bookmarkEnd w:id="139"/>
    </w:p>
    <w:p w14:paraId="15D2209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招标人应当在发布招标文件时，公布最高投标限价的总价，分部分项工程费、措施项目费、其他项目费、税金，以及绿色施工安全防护措施费、暂列金额等投标人不可竞争的固定报价。</w:t>
      </w:r>
    </w:p>
    <w:p w14:paraId="3939F975">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具体见本项目《最高投标限价公布函》。</w:t>
      </w:r>
    </w:p>
    <w:p w14:paraId="0023CFDB">
      <w:pPr>
        <w:spacing w:line="360" w:lineRule="auto"/>
        <w:ind w:firstLine="480" w:firstLineChars="200"/>
        <w:rPr>
          <w:rFonts w:ascii="宋体" w:hAnsi="宋体" w:cs="宋体"/>
          <w:sz w:val="24"/>
          <w:szCs w:val="24"/>
          <w:highlight w:val="none"/>
        </w:rPr>
      </w:pPr>
    </w:p>
    <w:sectPr>
      <w:headerReference r:id="rId15" w:type="default"/>
      <w:footerReference r:id="rId16" w:type="default"/>
      <w:pgSz w:w="11905" w:h="16838"/>
      <w:pgMar w:top="1134" w:right="1134" w:bottom="1134" w:left="1134" w:header="851" w:footer="907" w:gutter="0"/>
      <w:cols w:space="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Century Schoolbook">
    <w:panose1 w:val="0204060405050502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9570">
    <w:pPr>
      <w:pStyle w:val="23"/>
      <w:ind w:firstLine="392"/>
      <w:jc w:val="right"/>
      <w:rPr>
        <w:rStyle w:val="41"/>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3B592">
                          <w:pPr>
                            <w:pStyle w:val="23"/>
                            <w:ind w:firstLine="392"/>
                            <w:jc w:val="right"/>
                          </w:pPr>
                          <w:r>
                            <w:rPr>
                              <w:rStyle w:val="41"/>
                            </w:rPr>
                            <w:fldChar w:fldCharType="begin"/>
                          </w:r>
                          <w:r>
                            <w:rPr>
                              <w:rStyle w:val="41"/>
                            </w:rPr>
                            <w:instrText xml:space="preserve">PAGE  </w:instrText>
                          </w:r>
                          <w:r>
                            <w:rPr>
                              <w:rStyle w:val="41"/>
                            </w:rPr>
                            <w:fldChar w:fldCharType="separate"/>
                          </w:r>
                          <w:r>
                            <w:rPr>
                              <w:rStyle w:val="41"/>
                            </w:rPr>
                            <w:t>66</w:t>
                          </w:r>
                          <w:r>
                            <w:rPr>
                              <w:rStyle w:val="4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B23B592">
                    <w:pPr>
                      <w:pStyle w:val="23"/>
                      <w:ind w:firstLine="392"/>
                      <w:jc w:val="right"/>
                    </w:pPr>
                    <w:r>
                      <w:rPr>
                        <w:rStyle w:val="41"/>
                      </w:rPr>
                      <w:fldChar w:fldCharType="begin"/>
                    </w:r>
                    <w:r>
                      <w:rPr>
                        <w:rStyle w:val="41"/>
                      </w:rPr>
                      <w:instrText xml:space="preserve">PAGE  </w:instrText>
                    </w:r>
                    <w:r>
                      <w:rPr>
                        <w:rStyle w:val="41"/>
                      </w:rPr>
                      <w:fldChar w:fldCharType="separate"/>
                    </w:r>
                    <w:r>
                      <w:rPr>
                        <w:rStyle w:val="41"/>
                      </w:rPr>
                      <w:t>66</w:t>
                    </w:r>
                    <w:r>
                      <w:rPr>
                        <w:rStyle w:val="4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5229">
    <w:pPr>
      <w:pStyle w:val="23"/>
      <w:ind w:firstLine="39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2DF28">
    <w:pPr>
      <w:pStyle w:val="23"/>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829EC">
                          <w:pPr>
                            <w:pStyle w:val="23"/>
                            <w:jc w:val="center"/>
                            <w:rPr>
                              <w:rStyle w:val="41"/>
                            </w:rPr>
                          </w:pPr>
                          <w:r>
                            <w:rPr>
                              <w:rStyle w:val="41"/>
                            </w:rPr>
                            <w:fldChar w:fldCharType="begin"/>
                          </w:r>
                          <w:r>
                            <w:rPr>
                              <w:rStyle w:val="41"/>
                            </w:rPr>
                            <w:instrText xml:space="preserve">PAGE  </w:instrText>
                          </w:r>
                          <w:r>
                            <w:rPr>
                              <w:rStyle w:val="41"/>
                            </w:rPr>
                            <w:fldChar w:fldCharType="separate"/>
                          </w:r>
                          <w:r>
                            <w:rPr>
                              <w:rStyle w:val="41"/>
                            </w:rPr>
                            <w:t>68</w:t>
                          </w:r>
                          <w:r>
                            <w:rPr>
                              <w:rStyle w:val="41"/>
                            </w:rPr>
                            <w:fldChar w:fldCharType="end"/>
                          </w:r>
                        </w:p>
                        <w:p w14:paraId="448CF3AA">
                          <w:pPr>
                            <w:pStyle w:val="23"/>
                            <w:ind w:left="-4410" w:leftChars="-2100" w:right="-4439" w:rightChars="-2114"/>
                            <w:rPr>
                              <w:rStyle w:val="41"/>
                            </w:rPr>
                          </w:pPr>
                        </w:p>
                        <w:p w14:paraId="6E6C8BA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C9829EC">
                    <w:pPr>
                      <w:pStyle w:val="23"/>
                      <w:jc w:val="center"/>
                      <w:rPr>
                        <w:rStyle w:val="41"/>
                      </w:rPr>
                    </w:pPr>
                    <w:r>
                      <w:rPr>
                        <w:rStyle w:val="41"/>
                      </w:rPr>
                      <w:fldChar w:fldCharType="begin"/>
                    </w:r>
                    <w:r>
                      <w:rPr>
                        <w:rStyle w:val="41"/>
                      </w:rPr>
                      <w:instrText xml:space="preserve">PAGE  </w:instrText>
                    </w:r>
                    <w:r>
                      <w:rPr>
                        <w:rStyle w:val="41"/>
                      </w:rPr>
                      <w:fldChar w:fldCharType="separate"/>
                    </w:r>
                    <w:r>
                      <w:rPr>
                        <w:rStyle w:val="41"/>
                      </w:rPr>
                      <w:t>68</w:t>
                    </w:r>
                    <w:r>
                      <w:rPr>
                        <w:rStyle w:val="41"/>
                      </w:rPr>
                      <w:fldChar w:fldCharType="end"/>
                    </w:r>
                  </w:p>
                  <w:p w14:paraId="448CF3AA">
                    <w:pPr>
                      <w:pStyle w:val="23"/>
                      <w:ind w:left="-4410" w:leftChars="-2100" w:right="-4439" w:rightChars="-2114"/>
                      <w:rPr>
                        <w:rStyle w:val="41"/>
                      </w:rPr>
                    </w:pPr>
                  </w:p>
                  <w:p w14:paraId="6E6C8BAF"/>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B178E">
    <w:pPr>
      <w:pStyle w:val="23"/>
      <w:framePr w:wrap="around" w:vAnchor="text" w:hAnchor="margin" w:xAlign="outside" w:y="1"/>
      <w:rPr>
        <w:rStyle w:val="41"/>
      </w:rPr>
    </w:pPr>
    <w:r>
      <w:rPr>
        <w:rStyle w:val="41"/>
      </w:rPr>
      <w:fldChar w:fldCharType="begin"/>
    </w:r>
    <w:r>
      <w:rPr>
        <w:rStyle w:val="41"/>
      </w:rPr>
      <w:instrText xml:space="preserve">PAGE  </w:instrText>
    </w:r>
    <w:r>
      <w:rPr>
        <w:rStyle w:val="41"/>
      </w:rPr>
      <w:fldChar w:fldCharType="separate"/>
    </w:r>
    <w:r>
      <w:rPr>
        <w:rStyle w:val="41"/>
        <w:rFonts w:hint="eastAsia"/>
      </w:rPr>
      <w:t>一</w:t>
    </w:r>
    <w:r>
      <w:rPr>
        <w:rStyle w:val="41"/>
      </w:rPr>
      <w:t>–2</w:t>
    </w:r>
    <w:r>
      <w:rPr>
        <w:rStyle w:val="41"/>
      </w:rPr>
      <w:fldChar w:fldCharType="end"/>
    </w:r>
  </w:p>
  <w:p w14:paraId="1CE35384">
    <w:pPr>
      <w:pStyle w:val="23"/>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EA8E">
    <w:pPr>
      <w:pStyle w:val="2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3ADA0">
                          <w:pPr>
                            <w:pStyle w:val="23"/>
                            <w:jc w:val="center"/>
                          </w:pPr>
                          <w:r>
                            <w:rPr>
                              <w:rStyle w:val="41"/>
                            </w:rPr>
                            <w:fldChar w:fldCharType="begin"/>
                          </w:r>
                          <w:r>
                            <w:rPr>
                              <w:rStyle w:val="41"/>
                            </w:rPr>
                            <w:instrText xml:space="preserve"> PAGE </w:instrText>
                          </w:r>
                          <w:r>
                            <w:rPr>
                              <w:rStyle w:val="41"/>
                            </w:rPr>
                            <w:fldChar w:fldCharType="separate"/>
                          </w:r>
                          <w:r>
                            <w:rPr>
                              <w:rStyle w:val="41"/>
                            </w:rPr>
                            <w:t>109</w:t>
                          </w:r>
                          <w:r>
                            <w:rPr>
                              <w:rStyle w:val="4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603ADA0">
                    <w:pPr>
                      <w:pStyle w:val="23"/>
                      <w:jc w:val="center"/>
                    </w:pPr>
                    <w:r>
                      <w:rPr>
                        <w:rStyle w:val="41"/>
                      </w:rPr>
                      <w:fldChar w:fldCharType="begin"/>
                    </w:r>
                    <w:r>
                      <w:rPr>
                        <w:rStyle w:val="41"/>
                      </w:rPr>
                      <w:instrText xml:space="preserve"> PAGE </w:instrText>
                    </w:r>
                    <w:r>
                      <w:rPr>
                        <w:rStyle w:val="41"/>
                      </w:rPr>
                      <w:fldChar w:fldCharType="separate"/>
                    </w:r>
                    <w:r>
                      <w:rPr>
                        <w:rStyle w:val="41"/>
                      </w:rPr>
                      <w:t>109</w:t>
                    </w:r>
                    <w:r>
                      <w:rPr>
                        <w:rStyle w:val="4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06DDB">
    <w:pPr>
      <w:pStyle w:val="2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793D6">
                          <w:pPr>
                            <w:pStyle w:val="23"/>
                            <w:jc w:val="center"/>
                          </w:pPr>
                          <w:r>
                            <w:fldChar w:fldCharType="begin"/>
                          </w:r>
                          <w:r>
                            <w:instrText xml:space="preserve">PAGE   \* MERGEFORMAT</w:instrText>
                          </w:r>
                          <w:r>
                            <w:fldChar w:fldCharType="separate"/>
                          </w:r>
                          <w:r>
                            <w:rPr>
                              <w:lang w:val="zh-CN"/>
                            </w:rP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3A793D6">
                    <w:pPr>
                      <w:pStyle w:val="23"/>
                      <w:jc w:val="center"/>
                    </w:pPr>
                    <w:r>
                      <w:fldChar w:fldCharType="begin"/>
                    </w:r>
                    <w:r>
                      <w:instrText xml:space="preserve">PAGE   \* MERGEFORMAT</w:instrText>
                    </w:r>
                    <w:r>
                      <w:fldChar w:fldCharType="separate"/>
                    </w:r>
                    <w:r>
                      <w:rPr>
                        <w:lang w:val="zh-CN"/>
                      </w:rPr>
                      <w:t>104</w:t>
                    </w:r>
                    <w:r>
                      <w:fldChar w:fldCharType="end"/>
                    </w:r>
                  </w:p>
                </w:txbxContent>
              </v:textbox>
            </v:shape>
          </w:pict>
        </mc:Fallback>
      </mc:AlternateContent>
    </w:r>
  </w:p>
  <w:p w14:paraId="33532E38">
    <w:pPr>
      <w:pStyle w:val="23"/>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B2AC0">
    <w:pPr>
      <w:pStyle w:val="2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11412">
                          <w:pPr>
                            <w:pStyle w:val="23"/>
                            <w:jc w:val="center"/>
                          </w:pPr>
                          <w:r>
                            <w:fldChar w:fldCharType="begin"/>
                          </w:r>
                          <w:r>
                            <w:instrText xml:space="preserve">PAGE   \* MERGEFORMAT</w:instrText>
                          </w:r>
                          <w:r>
                            <w:fldChar w:fldCharType="separate"/>
                          </w:r>
                          <w:r>
                            <w:rPr>
                              <w:lang w:val="zh-CN"/>
                            </w:rPr>
                            <w:t>108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8111412">
                    <w:pPr>
                      <w:pStyle w:val="23"/>
                      <w:jc w:val="center"/>
                    </w:pPr>
                    <w:r>
                      <w:fldChar w:fldCharType="begin"/>
                    </w:r>
                    <w:r>
                      <w:instrText xml:space="preserve">PAGE   \* MERGEFORMAT</w:instrText>
                    </w:r>
                    <w:r>
                      <w:fldChar w:fldCharType="separate"/>
                    </w:r>
                    <w:r>
                      <w:rPr>
                        <w:lang w:val="zh-CN"/>
                      </w:rPr>
                      <w:t>108</w:t>
                    </w:r>
                    <w:r>
                      <w:fldChar w:fldCharType="end"/>
                    </w:r>
                  </w:p>
                </w:txbxContent>
              </v:textbox>
            </v:shape>
          </w:pict>
        </mc:Fallback>
      </mc:AlternateContent>
    </w:r>
  </w:p>
  <w:p w14:paraId="34C3D321">
    <w:pPr>
      <w:pStyle w:val="23"/>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2E8D0">
    <w:pPr>
      <w:pStyle w:val="24"/>
      <w:pBdr>
        <w:bottom w:val="none" w:color="auto" w:sz="0" w:space="1"/>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D9A17">
    <w:pPr>
      <w:pStyle w:val="24"/>
      <w:pBdr>
        <w:bottom w:val="none" w:color="auto" w:sz="0" w:space="1"/>
      </w:pBdr>
      <w:tabs>
        <w:tab w:val="left" w:pos="7902"/>
        <w:tab w:val="clear" w:pos="4153"/>
      </w:tabs>
      <w:jc w:val="both"/>
    </w:pP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EE4A7">
    <w:pPr>
      <w:pStyle w:val="24"/>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E62B">
    <w:pPr>
      <w:pStyle w:val="24"/>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16738">
    <w:pPr>
      <w:pStyle w:val="24"/>
      <w:pBdr>
        <w:bottom w:val="none" w:color="auto" w:sz="0" w:space="0"/>
      </w:pBdr>
      <w:jc w:val="right"/>
      <w:rPr>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AEDC0">
    <w:pPr>
      <w:pStyle w:val="24"/>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41F53">
    <w:pPr>
      <w:pStyle w:val="24"/>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259905B5"/>
    <w:multiLevelType w:val="multilevel"/>
    <w:tmpl w:val="259905B5"/>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5"/>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trackRevisions w:val="1"/>
  <w:documentProtection w:enforcement="0"/>
  <w:defaultTabStop w:val="420"/>
  <w:drawingGridVerticalSpacing w:val="160"/>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ZjQ5ZjZmZjEwZTIyZWM5ZDUxYmFkOGM2MzY0ZTYifQ=="/>
  </w:docVars>
  <w:rsids>
    <w:rsidRoot w:val="007B41BE"/>
    <w:rsid w:val="000200EE"/>
    <w:rsid w:val="000575F8"/>
    <w:rsid w:val="00074FD1"/>
    <w:rsid w:val="000773ED"/>
    <w:rsid w:val="000822D5"/>
    <w:rsid w:val="000913EE"/>
    <w:rsid w:val="000B279F"/>
    <w:rsid w:val="000B41E3"/>
    <w:rsid w:val="000C1007"/>
    <w:rsid w:val="000C11E0"/>
    <w:rsid w:val="000C2710"/>
    <w:rsid w:val="000C7DC5"/>
    <w:rsid w:val="000D396E"/>
    <w:rsid w:val="000E78DE"/>
    <w:rsid w:val="000F5DF9"/>
    <w:rsid w:val="001137F7"/>
    <w:rsid w:val="001226D6"/>
    <w:rsid w:val="00151FD9"/>
    <w:rsid w:val="00156A30"/>
    <w:rsid w:val="00180871"/>
    <w:rsid w:val="00181CAA"/>
    <w:rsid w:val="00193EB2"/>
    <w:rsid w:val="001C6B2F"/>
    <w:rsid w:val="00203743"/>
    <w:rsid w:val="00240B48"/>
    <w:rsid w:val="00244D7B"/>
    <w:rsid w:val="00247E60"/>
    <w:rsid w:val="002578A9"/>
    <w:rsid w:val="00295918"/>
    <w:rsid w:val="002B766C"/>
    <w:rsid w:val="002F1F10"/>
    <w:rsid w:val="002F750B"/>
    <w:rsid w:val="0032332C"/>
    <w:rsid w:val="00336AA3"/>
    <w:rsid w:val="00342831"/>
    <w:rsid w:val="003472A0"/>
    <w:rsid w:val="0037590B"/>
    <w:rsid w:val="003916D6"/>
    <w:rsid w:val="003C621A"/>
    <w:rsid w:val="003F48CD"/>
    <w:rsid w:val="004203A3"/>
    <w:rsid w:val="0042586B"/>
    <w:rsid w:val="004370EC"/>
    <w:rsid w:val="004424B8"/>
    <w:rsid w:val="0045033D"/>
    <w:rsid w:val="004531E5"/>
    <w:rsid w:val="00455B5E"/>
    <w:rsid w:val="00467190"/>
    <w:rsid w:val="004721A3"/>
    <w:rsid w:val="004A6946"/>
    <w:rsid w:val="004B295D"/>
    <w:rsid w:val="00505708"/>
    <w:rsid w:val="00581505"/>
    <w:rsid w:val="005866FB"/>
    <w:rsid w:val="005C212B"/>
    <w:rsid w:val="005E638C"/>
    <w:rsid w:val="006036EF"/>
    <w:rsid w:val="006322AD"/>
    <w:rsid w:val="00673B83"/>
    <w:rsid w:val="00680BFD"/>
    <w:rsid w:val="006B6B0D"/>
    <w:rsid w:val="006C2BDB"/>
    <w:rsid w:val="006C7ECB"/>
    <w:rsid w:val="006E7C92"/>
    <w:rsid w:val="006F3576"/>
    <w:rsid w:val="00713EE3"/>
    <w:rsid w:val="00726891"/>
    <w:rsid w:val="0073229B"/>
    <w:rsid w:val="00757645"/>
    <w:rsid w:val="00780EC8"/>
    <w:rsid w:val="0079192D"/>
    <w:rsid w:val="00794D8A"/>
    <w:rsid w:val="00797EE3"/>
    <w:rsid w:val="007A16E8"/>
    <w:rsid w:val="007B41BE"/>
    <w:rsid w:val="007D6D06"/>
    <w:rsid w:val="007E722A"/>
    <w:rsid w:val="00835C9E"/>
    <w:rsid w:val="00865997"/>
    <w:rsid w:val="008D2515"/>
    <w:rsid w:val="008D7FE2"/>
    <w:rsid w:val="008E4AD1"/>
    <w:rsid w:val="008F3173"/>
    <w:rsid w:val="00920E49"/>
    <w:rsid w:val="00931A7E"/>
    <w:rsid w:val="0093319A"/>
    <w:rsid w:val="00976D18"/>
    <w:rsid w:val="00991949"/>
    <w:rsid w:val="009A704D"/>
    <w:rsid w:val="009B4E3F"/>
    <w:rsid w:val="009B7ABB"/>
    <w:rsid w:val="009E699D"/>
    <w:rsid w:val="00A0387A"/>
    <w:rsid w:val="00A0619D"/>
    <w:rsid w:val="00A20AF3"/>
    <w:rsid w:val="00A2579D"/>
    <w:rsid w:val="00A50D34"/>
    <w:rsid w:val="00A5690B"/>
    <w:rsid w:val="00A64E29"/>
    <w:rsid w:val="00A72368"/>
    <w:rsid w:val="00AD3DEE"/>
    <w:rsid w:val="00AD5D8E"/>
    <w:rsid w:val="00AD6716"/>
    <w:rsid w:val="00B1306C"/>
    <w:rsid w:val="00BB408F"/>
    <w:rsid w:val="00BC7B91"/>
    <w:rsid w:val="00BC7D1D"/>
    <w:rsid w:val="00BE1732"/>
    <w:rsid w:val="00BE216D"/>
    <w:rsid w:val="00C267C0"/>
    <w:rsid w:val="00C32C1E"/>
    <w:rsid w:val="00C408D3"/>
    <w:rsid w:val="00C74FBA"/>
    <w:rsid w:val="00C81F53"/>
    <w:rsid w:val="00C82C8A"/>
    <w:rsid w:val="00C9167C"/>
    <w:rsid w:val="00CD156B"/>
    <w:rsid w:val="00D102D2"/>
    <w:rsid w:val="00D24EB3"/>
    <w:rsid w:val="00D75B45"/>
    <w:rsid w:val="00D84E64"/>
    <w:rsid w:val="00D90BC3"/>
    <w:rsid w:val="00DB074A"/>
    <w:rsid w:val="00DD5659"/>
    <w:rsid w:val="00E22EAB"/>
    <w:rsid w:val="00E457F6"/>
    <w:rsid w:val="00E638F3"/>
    <w:rsid w:val="00E90FA9"/>
    <w:rsid w:val="00E919DF"/>
    <w:rsid w:val="00EA2D6C"/>
    <w:rsid w:val="00EB6530"/>
    <w:rsid w:val="00EC014E"/>
    <w:rsid w:val="00EF3DFA"/>
    <w:rsid w:val="00F00498"/>
    <w:rsid w:val="00F34BD3"/>
    <w:rsid w:val="00F40301"/>
    <w:rsid w:val="00F65E19"/>
    <w:rsid w:val="00F86FB6"/>
    <w:rsid w:val="00FA5926"/>
    <w:rsid w:val="00FC5596"/>
    <w:rsid w:val="00FD526D"/>
    <w:rsid w:val="00FD6FEB"/>
    <w:rsid w:val="00FE47A2"/>
    <w:rsid w:val="00FF796E"/>
    <w:rsid w:val="015D6BAC"/>
    <w:rsid w:val="019D2B2C"/>
    <w:rsid w:val="01A0478C"/>
    <w:rsid w:val="01BA54E3"/>
    <w:rsid w:val="02217FDE"/>
    <w:rsid w:val="022911C9"/>
    <w:rsid w:val="02671768"/>
    <w:rsid w:val="027340A6"/>
    <w:rsid w:val="029C0533"/>
    <w:rsid w:val="02A83ED7"/>
    <w:rsid w:val="02BF7DDC"/>
    <w:rsid w:val="03050F83"/>
    <w:rsid w:val="0333359B"/>
    <w:rsid w:val="03630182"/>
    <w:rsid w:val="036C6FE6"/>
    <w:rsid w:val="03B46380"/>
    <w:rsid w:val="03E965C9"/>
    <w:rsid w:val="04722D72"/>
    <w:rsid w:val="0476094D"/>
    <w:rsid w:val="047C731C"/>
    <w:rsid w:val="04CB1B24"/>
    <w:rsid w:val="04FD1252"/>
    <w:rsid w:val="058D22A7"/>
    <w:rsid w:val="05935ABA"/>
    <w:rsid w:val="059B24B4"/>
    <w:rsid w:val="059C5FC0"/>
    <w:rsid w:val="05A02813"/>
    <w:rsid w:val="062D6C70"/>
    <w:rsid w:val="063E2D36"/>
    <w:rsid w:val="064E487B"/>
    <w:rsid w:val="065D710A"/>
    <w:rsid w:val="066307E1"/>
    <w:rsid w:val="0673692E"/>
    <w:rsid w:val="067909A4"/>
    <w:rsid w:val="067C7ACB"/>
    <w:rsid w:val="069A73C8"/>
    <w:rsid w:val="06CE078F"/>
    <w:rsid w:val="06E200F9"/>
    <w:rsid w:val="070F1E96"/>
    <w:rsid w:val="072F44E3"/>
    <w:rsid w:val="076B33F7"/>
    <w:rsid w:val="078C74B7"/>
    <w:rsid w:val="07921B17"/>
    <w:rsid w:val="07A174CB"/>
    <w:rsid w:val="07D44710"/>
    <w:rsid w:val="08534345"/>
    <w:rsid w:val="085409E1"/>
    <w:rsid w:val="08780713"/>
    <w:rsid w:val="088E5B63"/>
    <w:rsid w:val="08B15062"/>
    <w:rsid w:val="08C069A3"/>
    <w:rsid w:val="08F12D3B"/>
    <w:rsid w:val="08FE199D"/>
    <w:rsid w:val="09286A8B"/>
    <w:rsid w:val="09542615"/>
    <w:rsid w:val="09B0713A"/>
    <w:rsid w:val="09B2776D"/>
    <w:rsid w:val="09F33618"/>
    <w:rsid w:val="0A161087"/>
    <w:rsid w:val="0A286504"/>
    <w:rsid w:val="0A424F95"/>
    <w:rsid w:val="0A4F764D"/>
    <w:rsid w:val="0A5D12A8"/>
    <w:rsid w:val="0A731A6B"/>
    <w:rsid w:val="0A876E4C"/>
    <w:rsid w:val="0AB56889"/>
    <w:rsid w:val="0B596231"/>
    <w:rsid w:val="0BC01EDB"/>
    <w:rsid w:val="0BDD7B15"/>
    <w:rsid w:val="0BF12216"/>
    <w:rsid w:val="0C2F7146"/>
    <w:rsid w:val="0C5F0DEB"/>
    <w:rsid w:val="0C9C64B3"/>
    <w:rsid w:val="0CA02447"/>
    <w:rsid w:val="0CB56B4C"/>
    <w:rsid w:val="0D121454"/>
    <w:rsid w:val="0D7A3E6E"/>
    <w:rsid w:val="0D8F6DD9"/>
    <w:rsid w:val="0DA71FE9"/>
    <w:rsid w:val="0DC85D59"/>
    <w:rsid w:val="0DF21C84"/>
    <w:rsid w:val="0DF333F9"/>
    <w:rsid w:val="0E017470"/>
    <w:rsid w:val="0E1755A8"/>
    <w:rsid w:val="0E2F0D43"/>
    <w:rsid w:val="0E4E528A"/>
    <w:rsid w:val="0E681323"/>
    <w:rsid w:val="0E7E4991"/>
    <w:rsid w:val="0E9C1BC7"/>
    <w:rsid w:val="0EB4052B"/>
    <w:rsid w:val="0EED1EA7"/>
    <w:rsid w:val="0EF12AE6"/>
    <w:rsid w:val="0EF63BD5"/>
    <w:rsid w:val="0EF83861"/>
    <w:rsid w:val="0F072309"/>
    <w:rsid w:val="0F2E2C5F"/>
    <w:rsid w:val="0F7E4AB5"/>
    <w:rsid w:val="0F8135EC"/>
    <w:rsid w:val="0FB74F6A"/>
    <w:rsid w:val="0FE30C46"/>
    <w:rsid w:val="0FEF45D8"/>
    <w:rsid w:val="0FF62C31"/>
    <w:rsid w:val="1021564D"/>
    <w:rsid w:val="10527A4B"/>
    <w:rsid w:val="10615A49"/>
    <w:rsid w:val="106519DD"/>
    <w:rsid w:val="115F24B8"/>
    <w:rsid w:val="1166277B"/>
    <w:rsid w:val="117A14B8"/>
    <w:rsid w:val="117F5CF6"/>
    <w:rsid w:val="118E6D12"/>
    <w:rsid w:val="119B31DD"/>
    <w:rsid w:val="11C95F9C"/>
    <w:rsid w:val="11E8746F"/>
    <w:rsid w:val="1210249A"/>
    <w:rsid w:val="12593371"/>
    <w:rsid w:val="126C28B6"/>
    <w:rsid w:val="12D45BE0"/>
    <w:rsid w:val="12DA2EBE"/>
    <w:rsid w:val="12DF38EE"/>
    <w:rsid w:val="12F75F60"/>
    <w:rsid w:val="132261FA"/>
    <w:rsid w:val="132F3D8E"/>
    <w:rsid w:val="13350A62"/>
    <w:rsid w:val="13AC2489"/>
    <w:rsid w:val="13D05D10"/>
    <w:rsid w:val="13F204F3"/>
    <w:rsid w:val="14030B32"/>
    <w:rsid w:val="140D2734"/>
    <w:rsid w:val="141334FE"/>
    <w:rsid w:val="144E399D"/>
    <w:rsid w:val="14571173"/>
    <w:rsid w:val="14D34591"/>
    <w:rsid w:val="14D91ED9"/>
    <w:rsid w:val="14DD1BC4"/>
    <w:rsid w:val="14E03B07"/>
    <w:rsid w:val="150574C6"/>
    <w:rsid w:val="155B4051"/>
    <w:rsid w:val="156601DB"/>
    <w:rsid w:val="15A525B9"/>
    <w:rsid w:val="15B85BCB"/>
    <w:rsid w:val="15CE5BDF"/>
    <w:rsid w:val="15DC6081"/>
    <w:rsid w:val="15E84B86"/>
    <w:rsid w:val="1602382A"/>
    <w:rsid w:val="16196E47"/>
    <w:rsid w:val="16583306"/>
    <w:rsid w:val="166F5CE4"/>
    <w:rsid w:val="168B5EDA"/>
    <w:rsid w:val="1695107C"/>
    <w:rsid w:val="16E9019E"/>
    <w:rsid w:val="17053F54"/>
    <w:rsid w:val="175058D5"/>
    <w:rsid w:val="18026F2F"/>
    <w:rsid w:val="18151F96"/>
    <w:rsid w:val="181C07FE"/>
    <w:rsid w:val="18204640"/>
    <w:rsid w:val="18697B91"/>
    <w:rsid w:val="18766B3F"/>
    <w:rsid w:val="18972B56"/>
    <w:rsid w:val="18B32A58"/>
    <w:rsid w:val="18B55645"/>
    <w:rsid w:val="18D53262"/>
    <w:rsid w:val="192B2A0B"/>
    <w:rsid w:val="19885047"/>
    <w:rsid w:val="19B050C4"/>
    <w:rsid w:val="19B412DF"/>
    <w:rsid w:val="19E177A1"/>
    <w:rsid w:val="19FBC9E8"/>
    <w:rsid w:val="1A166D8F"/>
    <w:rsid w:val="1A2F4635"/>
    <w:rsid w:val="1A7C0A9C"/>
    <w:rsid w:val="1A9414C9"/>
    <w:rsid w:val="1AD03189"/>
    <w:rsid w:val="1AF5A6B8"/>
    <w:rsid w:val="1B0E129D"/>
    <w:rsid w:val="1B912A8E"/>
    <w:rsid w:val="1B9A3F0E"/>
    <w:rsid w:val="1B9F5AC1"/>
    <w:rsid w:val="1BB500A8"/>
    <w:rsid w:val="1BE30BF5"/>
    <w:rsid w:val="1BED042C"/>
    <w:rsid w:val="1BEE2846"/>
    <w:rsid w:val="1BF310EE"/>
    <w:rsid w:val="1BFB958E"/>
    <w:rsid w:val="1BFCD73D"/>
    <w:rsid w:val="1BFE4A84"/>
    <w:rsid w:val="1C482878"/>
    <w:rsid w:val="1CA94A00"/>
    <w:rsid w:val="1CE04390"/>
    <w:rsid w:val="1DAE57A9"/>
    <w:rsid w:val="1DBB7F27"/>
    <w:rsid w:val="1DC124FB"/>
    <w:rsid w:val="1DE313F6"/>
    <w:rsid w:val="1E315F6A"/>
    <w:rsid w:val="1E486D96"/>
    <w:rsid w:val="1E625A1B"/>
    <w:rsid w:val="1EBA5A37"/>
    <w:rsid w:val="1EC02FA4"/>
    <w:rsid w:val="1EEF5E26"/>
    <w:rsid w:val="1F3E7AD1"/>
    <w:rsid w:val="1F525822"/>
    <w:rsid w:val="1FF450C0"/>
    <w:rsid w:val="1FF67E4C"/>
    <w:rsid w:val="20041E37"/>
    <w:rsid w:val="202030BB"/>
    <w:rsid w:val="20B001A3"/>
    <w:rsid w:val="20DB4900"/>
    <w:rsid w:val="20E43F8B"/>
    <w:rsid w:val="20E95957"/>
    <w:rsid w:val="21000258"/>
    <w:rsid w:val="215A09BE"/>
    <w:rsid w:val="216C7802"/>
    <w:rsid w:val="21723890"/>
    <w:rsid w:val="217C26E3"/>
    <w:rsid w:val="21AC4814"/>
    <w:rsid w:val="21CB433B"/>
    <w:rsid w:val="220F3557"/>
    <w:rsid w:val="220F4EBC"/>
    <w:rsid w:val="222F404C"/>
    <w:rsid w:val="22527932"/>
    <w:rsid w:val="226B42AC"/>
    <w:rsid w:val="227B5090"/>
    <w:rsid w:val="22AD29BB"/>
    <w:rsid w:val="22BE6D2B"/>
    <w:rsid w:val="23003580"/>
    <w:rsid w:val="232F2B9F"/>
    <w:rsid w:val="23342946"/>
    <w:rsid w:val="234D2FF1"/>
    <w:rsid w:val="23563407"/>
    <w:rsid w:val="23AE66CF"/>
    <w:rsid w:val="23BF762A"/>
    <w:rsid w:val="23F7E1B3"/>
    <w:rsid w:val="244944E7"/>
    <w:rsid w:val="2450155D"/>
    <w:rsid w:val="249B37C8"/>
    <w:rsid w:val="24A972CC"/>
    <w:rsid w:val="24B146FC"/>
    <w:rsid w:val="24C0498A"/>
    <w:rsid w:val="24EF75A7"/>
    <w:rsid w:val="25065249"/>
    <w:rsid w:val="251B2213"/>
    <w:rsid w:val="251F044B"/>
    <w:rsid w:val="25227330"/>
    <w:rsid w:val="256911D0"/>
    <w:rsid w:val="257858B7"/>
    <w:rsid w:val="25A466AC"/>
    <w:rsid w:val="25E50266"/>
    <w:rsid w:val="25E56F8E"/>
    <w:rsid w:val="261C59BC"/>
    <w:rsid w:val="26243349"/>
    <w:rsid w:val="26541E80"/>
    <w:rsid w:val="265555C1"/>
    <w:rsid w:val="26557F83"/>
    <w:rsid w:val="265C6F87"/>
    <w:rsid w:val="26795443"/>
    <w:rsid w:val="26896A21"/>
    <w:rsid w:val="26896DA8"/>
    <w:rsid w:val="26C72342"/>
    <w:rsid w:val="270601BC"/>
    <w:rsid w:val="27112E8C"/>
    <w:rsid w:val="27403E8E"/>
    <w:rsid w:val="276832E8"/>
    <w:rsid w:val="27DE76EF"/>
    <w:rsid w:val="27E92460"/>
    <w:rsid w:val="27EF8EE8"/>
    <w:rsid w:val="2821111F"/>
    <w:rsid w:val="28790229"/>
    <w:rsid w:val="28853A3B"/>
    <w:rsid w:val="29BC137D"/>
    <w:rsid w:val="2A407D72"/>
    <w:rsid w:val="2A566CBA"/>
    <w:rsid w:val="2A827CFE"/>
    <w:rsid w:val="2A880A7B"/>
    <w:rsid w:val="2A9E7228"/>
    <w:rsid w:val="2AB02639"/>
    <w:rsid w:val="2AE020DC"/>
    <w:rsid w:val="2AF208E9"/>
    <w:rsid w:val="2B1F1C69"/>
    <w:rsid w:val="2B342280"/>
    <w:rsid w:val="2B41215C"/>
    <w:rsid w:val="2B6D1875"/>
    <w:rsid w:val="2BB8369C"/>
    <w:rsid w:val="2BFB709E"/>
    <w:rsid w:val="2BFCE934"/>
    <w:rsid w:val="2C175C3D"/>
    <w:rsid w:val="2C4A5DB8"/>
    <w:rsid w:val="2C6923DE"/>
    <w:rsid w:val="2C782CF7"/>
    <w:rsid w:val="2C7D1A05"/>
    <w:rsid w:val="2CA1119D"/>
    <w:rsid w:val="2CC47634"/>
    <w:rsid w:val="2CD2240F"/>
    <w:rsid w:val="2D360531"/>
    <w:rsid w:val="2D370CD5"/>
    <w:rsid w:val="2D3734E5"/>
    <w:rsid w:val="2D56770C"/>
    <w:rsid w:val="2D7DFE25"/>
    <w:rsid w:val="2DAF2092"/>
    <w:rsid w:val="2DC4660F"/>
    <w:rsid w:val="2DDFC2E3"/>
    <w:rsid w:val="2E1D77F5"/>
    <w:rsid w:val="2E332EEF"/>
    <w:rsid w:val="2E385BE3"/>
    <w:rsid w:val="2E4B5171"/>
    <w:rsid w:val="2E7769F2"/>
    <w:rsid w:val="2E7B254B"/>
    <w:rsid w:val="2EAC0F61"/>
    <w:rsid w:val="2EC053D7"/>
    <w:rsid w:val="2EC8358C"/>
    <w:rsid w:val="2ED6380B"/>
    <w:rsid w:val="2EDE09A2"/>
    <w:rsid w:val="2EF17A12"/>
    <w:rsid w:val="2F293DE3"/>
    <w:rsid w:val="2F39258A"/>
    <w:rsid w:val="2F4FCE28"/>
    <w:rsid w:val="2F56205E"/>
    <w:rsid w:val="2F5E0128"/>
    <w:rsid w:val="2FDEC510"/>
    <w:rsid w:val="2FE540FC"/>
    <w:rsid w:val="301B428D"/>
    <w:rsid w:val="302046BF"/>
    <w:rsid w:val="305B7641"/>
    <w:rsid w:val="3061199F"/>
    <w:rsid w:val="308570DA"/>
    <w:rsid w:val="308A71C5"/>
    <w:rsid w:val="308D5660"/>
    <w:rsid w:val="30997F39"/>
    <w:rsid w:val="30C7559F"/>
    <w:rsid w:val="30D00355"/>
    <w:rsid w:val="30E1323A"/>
    <w:rsid w:val="31723B02"/>
    <w:rsid w:val="317FB084"/>
    <w:rsid w:val="31866B7C"/>
    <w:rsid w:val="319335D6"/>
    <w:rsid w:val="31B9528D"/>
    <w:rsid w:val="31C418C9"/>
    <w:rsid w:val="31D9265F"/>
    <w:rsid w:val="32861A61"/>
    <w:rsid w:val="32BF3509"/>
    <w:rsid w:val="32DD7BB7"/>
    <w:rsid w:val="33016A38"/>
    <w:rsid w:val="33264E02"/>
    <w:rsid w:val="337214DE"/>
    <w:rsid w:val="337F43BA"/>
    <w:rsid w:val="338379A1"/>
    <w:rsid w:val="33E51DAF"/>
    <w:rsid w:val="33EEA8AE"/>
    <w:rsid w:val="33FF774A"/>
    <w:rsid w:val="34533777"/>
    <w:rsid w:val="345D6D43"/>
    <w:rsid w:val="34607B8E"/>
    <w:rsid w:val="34711BC9"/>
    <w:rsid w:val="347F7807"/>
    <w:rsid w:val="34CD9E1C"/>
    <w:rsid w:val="34D97E94"/>
    <w:rsid w:val="34DA163C"/>
    <w:rsid w:val="34F68C92"/>
    <w:rsid w:val="34FF51C3"/>
    <w:rsid w:val="3509652C"/>
    <w:rsid w:val="352719DE"/>
    <w:rsid w:val="35465977"/>
    <w:rsid w:val="357DAEA7"/>
    <w:rsid w:val="359B1C1F"/>
    <w:rsid w:val="35C05ADD"/>
    <w:rsid w:val="35D02F2A"/>
    <w:rsid w:val="36346A47"/>
    <w:rsid w:val="364A2ADA"/>
    <w:rsid w:val="36807F5F"/>
    <w:rsid w:val="36B22D87"/>
    <w:rsid w:val="36FA4997"/>
    <w:rsid w:val="3718115C"/>
    <w:rsid w:val="374F7820"/>
    <w:rsid w:val="375D203C"/>
    <w:rsid w:val="375E3875"/>
    <w:rsid w:val="3777989F"/>
    <w:rsid w:val="378B1BC7"/>
    <w:rsid w:val="37AA5210"/>
    <w:rsid w:val="37C23050"/>
    <w:rsid w:val="37CC2753"/>
    <w:rsid w:val="37DC566C"/>
    <w:rsid w:val="37F3AAAA"/>
    <w:rsid w:val="37FFFE5F"/>
    <w:rsid w:val="38026A6F"/>
    <w:rsid w:val="38055BA4"/>
    <w:rsid w:val="38700EFC"/>
    <w:rsid w:val="387C0E3A"/>
    <w:rsid w:val="38B92017"/>
    <w:rsid w:val="38CD161E"/>
    <w:rsid w:val="38FDAAF6"/>
    <w:rsid w:val="39AB4B1A"/>
    <w:rsid w:val="39BB497D"/>
    <w:rsid w:val="39C15447"/>
    <w:rsid w:val="39F8CB88"/>
    <w:rsid w:val="3A2F41E1"/>
    <w:rsid w:val="3A463C53"/>
    <w:rsid w:val="3A4A5335"/>
    <w:rsid w:val="3A5133C8"/>
    <w:rsid w:val="3A5C26F2"/>
    <w:rsid w:val="3A704957"/>
    <w:rsid w:val="3A7B3A87"/>
    <w:rsid w:val="3A962F24"/>
    <w:rsid w:val="3AA88CD8"/>
    <w:rsid w:val="3AAF4DCB"/>
    <w:rsid w:val="3B3F6DCF"/>
    <w:rsid w:val="3B416914"/>
    <w:rsid w:val="3B4B72FC"/>
    <w:rsid w:val="3B603701"/>
    <w:rsid w:val="3B677B08"/>
    <w:rsid w:val="3B881B73"/>
    <w:rsid w:val="3BAA60C8"/>
    <w:rsid w:val="3BE23F87"/>
    <w:rsid w:val="3C297B25"/>
    <w:rsid w:val="3C597D99"/>
    <w:rsid w:val="3C5F17B1"/>
    <w:rsid w:val="3CA01EE5"/>
    <w:rsid w:val="3CE06EA6"/>
    <w:rsid w:val="3CF7C35F"/>
    <w:rsid w:val="3D0D0F46"/>
    <w:rsid w:val="3D0D192A"/>
    <w:rsid w:val="3D2B1913"/>
    <w:rsid w:val="3D5E25E7"/>
    <w:rsid w:val="3D60411F"/>
    <w:rsid w:val="3D766728"/>
    <w:rsid w:val="3D816B9A"/>
    <w:rsid w:val="3DBE62FD"/>
    <w:rsid w:val="3DD3253C"/>
    <w:rsid w:val="3DEEA6EA"/>
    <w:rsid w:val="3DF58681"/>
    <w:rsid w:val="3DFA5EA3"/>
    <w:rsid w:val="3DFE3FFE"/>
    <w:rsid w:val="3E003F41"/>
    <w:rsid w:val="3E2E6A01"/>
    <w:rsid w:val="3E5B2838"/>
    <w:rsid w:val="3E605E81"/>
    <w:rsid w:val="3E783AC5"/>
    <w:rsid w:val="3E7F661A"/>
    <w:rsid w:val="3E847B24"/>
    <w:rsid w:val="3E8B47D6"/>
    <w:rsid w:val="3EA045BE"/>
    <w:rsid w:val="3EA10027"/>
    <w:rsid w:val="3EB07CE5"/>
    <w:rsid w:val="3ECF7E18"/>
    <w:rsid w:val="3EDB6F8E"/>
    <w:rsid w:val="3EFFB3E3"/>
    <w:rsid w:val="3F58148C"/>
    <w:rsid w:val="3F5E8066"/>
    <w:rsid w:val="3F6221C1"/>
    <w:rsid w:val="3F6818D7"/>
    <w:rsid w:val="3F6B7E03"/>
    <w:rsid w:val="3F6D27BA"/>
    <w:rsid w:val="3F7507FE"/>
    <w:rsid w:val="3F7D9C36"/>
    <w:rsid w:val="3F8F2136"/>
    <w:rsid w:val="3F9DFBA3"/>
    <w:rsid w:val="3F9FA4D1"/>
    <w:rsid w:val="3FAF3CC7"/>
    <w:rsid w:val="3FB97407"/>
    <w:rsid w:val="3FBDE290"/>
    <w:rsid w:val="3FBF8607"/>
    <w:rsid w:val="3FC71CE6"/>
    <w:rsid w:val="3FC76DC7"/>
    <w:rsid w:val="3FD26CD3"/>
    <w:rsid w:val="3FD7201D"/>
    <w:rsid w:val="3FE1270D"/>
    <w:rsid w:val="3FE6A767"/>
    <w:rsid w:val="3FEE25A6"/>
    <w:rsid w:val="3FF310E9"/>
    <w:rsid w:val="3FF7E40C"/>
    <w:rsid w:val="3FFF102F"/>
    <w:rsid w:val="40043599"/>
    <w:rsid w:val="403F2777"/>
    <w:rsid w:val="40503261"/>
    <w:rsid w:val="405A7E3C"/>
    <w:rsid w:val="406E1939"/>
    <w:rsid w:val="408E5B37"/>
    <w:rsid w:val="41220E6C"/>
    <w:rsid w:val="412F2079"/>
    <w:rsid w:val="4149006D"/>
    <w:rsid w:val="417A7471"/>
    <w:rsid w:val="4196ED87"/>
    <w:rsid w:val="41E03E79"/>
    <w:rsid w:val="41E657FF"/>
    <w:rsid w:val="42882708"/>
    <w:rsid w:val="42B11027"/>
    <w:rsid w:val="42B86E9B"/>
    <w:rsid w:val="42BC1343"/>
    <w:rsid w:val="42E962CD"/>
    <w:rsid w:val="433C5D1E"/>
    <w:rsid w:val="434303EE"/>
    <w:rsid w:val="43A2257F"/>
    <w:rsid w:val="43C30AF6"/>
    <w:rsid w:val="43D40544"/>
    <w:rsid w:val="44103BAB"/>
    <w:rsid w:val="448932E7"/>
    <w:rsid w:val="44E97031"/>
    <w:rsid w:val="452B604A"/>
    <w:rsid w:val="452D591E"/>
    <w:rsid w:val="45C00B37"/>
    <w:rsid w:val="46061B84"/>
    <w:rsid w:val="46110169"/>
    <w:rsid w:val="465670F7"/>
    <w:rsid w:val="46CD2026"/>
    <w:rsid w:val="47A41ED7"/>
    <w:rsid w:val="47B72674"/>
    <w:rsid w:val="47E04E54"/>
    <w:rsid w:val="47F7F475"/>
    <w:rsid w:val="47FF3E49"/>
    <w:rsid w:val="48523C0A"/>
    <w:rsid w:val="48896570"/>
    <w:rsid w:val="48BB1493"/>
    <w:rsid w:val="48BC61D0"/>
    <w:rsid w:val="48C51C73"/>
    <w:rsid w:val="48FE18F2"/>
    <w:rsid w:val="493C7248"/>
    <w:rsid w:val="49861EAC"/>
    <w:rsid w:val="49920A87"/>
    <w:rsid w:val="49D0371F"/>
    <w:rsid w:val="49D96075"/>
    <w:rsid w:val="4A000C13"/>
    <w:rsid w:val="4A5015E7"/>
    <w:rsid w:val="4AA51C67"/>
    <w:rsid w:val="4AB14214"/>
    <w:rsid w:val="4AE809F5"/>
    <w:rsid w:val="4AF072B2"/>
    <w:rsid w:val="4AFA64D4"/>
    <w:rsid w:val="4B213177"/>
    <w:rsid w:val="4B3F6B82"/>
    <w:rsid w:val="4B506E59"/>
    <w:rsid w:val="4B5D1BCB"/>
    <w:rsid w:val="4B6B7860"/>
    <w:rsid w:val="4BC778F7"/>
    <w:rsid w:val="4BE16E69"/>
    <w:rsid w:val="4C083641"/>
    <w:rsid w:val="4C1940B7"/>
    <w:rsid w:val="4C2C12EC"/>
    <w:rsid w:val="4C451319"/>
    <w:rsid w:val="4C61505C"/>
    <w:rsid w:val="4C89475C"/>
    <w:rsid w:val="4C926830"/>
    <w:rsid w:val="4CF55A5E"/>
    <w:rsid w:val="4D106251"/>
    <w:rsid w:val="4D1078D4"/>
    <w:rsid w:val="4D491763"/>
    <w:rsid w:val="4D5B4BE5"/>
    <w:rsid w:val="4D986247"/>
    <w:rsid w:val="4DCF7EBB"/>
    <w:rsid w:val="4DD92FF6"/>
    <w:rsid w:val="4DF60DB9"/>
    <w:rsid w:val="4DFE84C0"/>
    <w:rsid w:val="4E011542"/>
    <w:rsid w:val="4E0D64B2"/>
    <w:rsid w:val="4E383671"/>
    <w:rsid w:val="4E490579"/>
    <w:rsid w:val="4E594B11"/>
    <w:rsid w:val="4E6C325B"/>
    <w:rsid w:val="4E793C55"/>
    <w:rsid w:val="4E9930A8"/>
    <w:rsid w:val="4E9E6D13"/>
    <w:rsid w:val="4ECA783E"/>
    <w:rsid w:val="4ED13DED"/>
    <w:rsid w:val="4EE97AFD"/>
    <w:rsid w:val="4F017FEE"/>
    <w:rsid w:val="4F10531E"/>
    <w:rsid w:val="4F161DF9"/>
    <w:rsid w:val="4F6A6F61"/>
    <w:rsid w:val="4F702AB6"/>
    <w:rsid w:val="4FA74D84"/>
    <w:rsid w:val="4FB07B78"/>
    <w:rsid w:val="50241A67"/>
    <w:rsid w:val="503F29AA"/>
    <w:rsid w:val="506443DD"/>
    <w:rsid w:val="506F5C6A"/>
    <w:rsid w:val="50740B35"/>
    <w:rsid w:val="5090545C"/>
    <w:rsid w:val="509B50CD"/>
    <w:rsid w:val="50BC066C"/>
    <w:rsid w:val="50D3612E"/>
    <w:rsid w:val="511C747B"/>
    <w:rsid w:val="51367791"/>
    <w:rsid w:val="51542485"/>
    <w:rsid w:val="51AE2B4A"/>
    <w:rsid w:val="51D07D5D"/>
    <w:rsid w:val="52035590"/>
    <w:rsid w:val="5219395B"/>
    <w:rsid w:val="525861F8"/>
    <w:rsid w:val="525B5726"/>
    <w:rsid w:val="528A121C"/>
    <w:rsid w:val="530F07D3"/>
    <w:rsid w:val="538474B8"/>
    <w:rsid w:val="538F1676"/>
    <w:rsid w:val="539E367B"/>
    <w:rsid w:val="53A66621"/>
    <w:rsid w:val="53CF7E91"/>
    <w:rsid w:val="53F92C98"/>
    <w:rsid w:val="542C7272"/>
    <w:rsid w:val="54704F4A"/>
    <w:rsid w:val="548A4A35"/>
    <w:rsid w:val="549464BC"/>
    <w:rsid w:val="54B0031A"/>
    <w:rsid w:val="550F68FA"/>
    <w:rsid w:val="553957AC"/>
    <w:rsid w:val="554A5E2A"/>
    <w:rsid w:val="55592E95"/>
    <w:rsid w:val="559D4F1D"/>
    <w:rsid w:val="55E738C7"/>
    <w:rsid w:val="55FBA21C"/>
    <w:rsid w:val="55FFEC5A"/>
    <w:rsid w:val="561505D4"/>
    <w:rsid w:val="56682C5A"/>
    <w:rsid w:val="568A404D"/>
    <w:rsid w:val="569E57D3"/>
    <w:rsid w:val="56CB7A1D"/>
    <w:rsid w:val="56FD8FDC"/>
    <w:rsid w:val="574D2A94"/>
    <w:rsid w:val="57645F73"/>
    <w:rsid w:val="576B4E8E"/>
    <w:rsid w:val="57741F6D"/>
    <w:rsid w:val="57912706"/>
    <w:rsid w:val="57944FC7"/>
    <w:rsid w:val="57D0316C"/>
    <w:rsid w:val="57D92D2A"/>
    <w:rsid w:val="57E74053"/>
    <w:rsid w:val="57ECCDE3"/>
    <w:rsid w:val="582839F9"/>
    <w:rsid w:val="58296419"/>
    <w:rsid w:val="584B107F"/>
    <w:rsid w:val="5968037D"/>
    <w:rsid w:val="596B660E"/>
    <w:rsid w:val="59905144"/>
    <w:rsid w:val="599E439A"/>
    <w:rsid w:val="59A80AD0"/>
    <w:rsid w:val="59C9560C"/>
    <w:rsid w:val="59F65110"/>
    <w:rsid w:val="5A1D0035"/>
    <w:rsid w:val="5A2A4D34"/>
    <w:rsid w:val="5A3C0CDA"/>
    <w:rsid w:val="5A486931"/>
    <w:rsid w:val="5AB86683"/>
    <w:rsid w:val="5AB95964"/>
    <w:rsid w:val="5ABF5AB5"/>
    <w:rsid w:val="5AD00DCE"/>
    <w:rsid w:val="5AFAC087"/>
    <w:rsid w:val="5AFF5306"/>
    <w:rsid w:val="5B0C2763"/>
    <w:rsid w:val="5B28297B"/>
    <w:rsid w:val="5B4913DB"/>
    <w:rsid w:val="5B7200D7"/>
    <w:rsid w:val="5B885B4D"/>
    <w:rsid w:val="5B99417E"/>
    <w:rsid w:val="5B9F2F4B"/>
    <w:rsid w:val="5BA1215B"/>
    <w:rsid w:val="5BEA2363"/>
    <w:rsid w:val="5BEF3A66"/>
    <w:rsid w:val="5BF10386"/>
    <w:rsid w:val="5BF7F65B"/>
    <w:rsid w:val="5C123E95"/>
    <w:rsid w:val="5C335AB8"/>
    <w:rsid w:val="5C5752E8"/>
    <w:rsid w:val="5C5D3525"/>
    <w:rsid w:val="5C970252"/>
    <w:rsid w:val="5CDA5401"/>
    <w:rsid w:val="5CDF456F"/>
    <w:rsid w:val="5CFC5DF1"/>
    <w:rsid w:val="5CFF36E9"/>
    <w:rsid w:val="5D385499"/>
    <w:rsid w:val="5D3E1839"/>
    <w:rsid w:val="5D542ED0"/>
    <w:rsid w:val="5D572C78"/>
    <w:rsid w:val="5D67C02E"/>
    <w:rsid w:val="5D7BCCBE"/>
    <w:rsid w:val="5DA16A52"/>
    <w:rsid w:val="5DC213F1"/>
    <w:rsid w:val="5DCF79D8"/>
    <w:rsid w:val="5DD43EBF"/>
    <w:rsid w:val="5E226C75"/>
    <w:rsid w:val="5E271E1D"/>
    <w:rsid w:val="5E302523"/>
    <w:rsid w:val="5E7B834C"/>
    <w:rsid w:val="5E7F3709"/>
    <w:rsid w:val="5EE44BC7"/>
    <w:rsid w:val="5EEFB8B0"/>
    <w:rsid w:val="5F391E8B"/>
    <w:rsid w:val="5F4B72E8"/>
    <w:rsid w:val="5F6B202C"/>
    <w:rsid w:val="5F6F73AF"/>
    <w:rsid w:val="5F765448"/>
    <w:rsid w:val="5F7BCEB0"/>
    <w:rsid w:val="5F8778BC"/>
    <w:rsid w:val="5F8960B6"/>
    <w:rsid w:val="5F9E75BF"/>
    <w:rsid w:val="5FB560FA"/>
    <w:rsid w:val="5FB9616C"/>
    <w:rsid w:val="5FDFC1B6"/>
    <w:rsid w:val="5FF5A5D5"/>
    <w:rsid w:val="5FFA58AA"/>
    <w:rsid w:val="5FFF7A84"/>
    <w:rsid w:val="5FFFDE4E"/>
    <w:rsid w:val="60036FDE"/>
    <w:rsid w:val="603A1FC3"/>
    <w:rsid w:val="605204D7"/>
    <w:rsid w:val="607C1641"/>
    <w:rsid w:val="60BF53FC"/>
    <w:rsid w:val="60F10E18"/>
    <w:rsid w:val="60F32409"/>
    <w:rsid w:val="615151FD"/>
    <w:rsid w:val="61581E2B"/>
    <w:rsid w:val="61A57A86"/>
    <w:rsid w:val="61A73321"/>
    <w:rsid w:val="61BA36C3"/>
    <w:rsid w:val="61C01422"/>
    <w:rsid w:val="61C223D0"/>
    <w:rsid w:val="61F7D6BE"/>
    <w:rsid w:val="61FB003A"/>
    <w:rsid w:val="61FE26C5"/>
    <w:rsid w:val="62A65258"/>
    <w:rsid w:val="62B77AA6"/>
    <w:rsid w:val="6309447C"/>
    <w:rsid w:val="63102848"/>
    <w:rsid w:val="63544A34"/>
    <w:rsid w:val="637C5F97"/>
    <w:rsid w:val="638F5526"/>
    <w:rsid w:val="639004C3"/>
    <w:rsid w:val="63912E4E"/>
    <w:rsid w:val="6398686D"/>
    <w:rsid w:val="63C811DC"/>
    <w:rsid w:val="63D92749"/>
    <w:rsid w:val="63DF11CF"/>
    <w:rsid w:val="63DF7923"/>
    <w:rsid w:val="63FA6ADC"/>
    <w:rsid w:val="64172695"/>
    <w:rsid w:val="6438051B"/>
    <w:rsid w:val="648C220A"/>
    <w:rsid w:val="64D73445"/>
    <w:rsid w:val="64E33DF4"/>
    <w:rsid w:val="653505E7"/>
    <w:rsid w:val="654F11A7"/>
    <w:rsid w:val="655474F6"/>
    <w:rsid w:val="65BD6D95"/>
    <w:rsid w:val="65BF3E40"/>
    <w:rsid w:val="65CC1ABA"/>
    <w:rsid w:val="65FF5CAC"/>
    <w:rsid w:val="66412043"/>
    <w:rsid w:val="66866D67"/>
    <w:rsid w:val="66A6029A"/>
    <w:rsid w:val="66B76D00"/>
    <w:rsid w:val="66DA0881"/>
    <w:rsid w:val="66EC77DB"/>
    <w:rsid w:val="66FD492A"/>
    <w:rsid w:val="67115682"/>
    <w:rsid w:val="673252F3"/>
    <w:rsid w:val="67535261"/>
    <w:rsid w:val="6760294F"/>
    <w:rsid w:val="679B2E85"/>
    <w:rsid w:val="679B7614"/>
    <w:rsid w:val="67AF0780"/>
    <w:rsid w:val="67D7FA42"/>
    <w:rsid w:val="67E7176C"/>
    <w:rsid w:val="67E76136"/>
    <w:rsid w:val="67EF5329"/>
    <w:rsid w:val="67F52ABE"/>
    <w:rsid w:val="68050BB9"/>
    <w:rsid w:val="6852376A"/>
    <w:rsid w:val="687424E1"/>
    <w:rsid w:val="689C49E5"/>
    <w:rsid w:val="68AE747E"/>
    <w:rsid w:val="68B57725"/>
    <w:rsid w:val="68BD5276"/>
    <w:rsid w:val="68E825DB"/>
    <w:rsid w:val="68EF60FF"/>
    <w:rsid w:val="690507DD"/>
    <w:rsid w:val="698F3C28"/>
    <w:rsid w:val="6994393A"/>
    <w:rsid w:val="699A747D"/>
    <w:rsid w:val="69B55CD8"/>
    <w:rsid w:val="69D14C2F"/>
    <w:rsid w:val="69DFD108"/>
    <w:rsid w:val="69F47803"/>
    <w:rsid w:val="69F7036B"/>
    <w:rsid w:val="69FB7DDD"/>
    <w:rsid w:val="6A2F693E"/>
    <w:rsid w:val="6A681431"/>
    <w:rsid w:val="6A6839ED"/>
    <w:rsid w:val="6A9A31A7"/>
    <w:rsid w:val="6AB709C1"/>
    <w:rsid w:val="6ABA73A5"/>
    <w:rsid w:val="6AD737AA"/>
    <w:rsid w:val="6ADE32E2"/>
    <w:rsid w:val="6B052B54"/>
    <w:rsid w:val="6B1EFB20"/>
    <w:rsid w:val="6B7B5EB4"/>
    <w:rsid w:val="6BBBD5C1"/>
    <w:rsid w:val="6BEB0F6C"/>
    <w:rsid w:val="6BF7960D"/>
    <w:rsid w:val="6C0E3CFF"/>
    <w:rsid w:val="6C1D70CF"/>
    <w:rsid w:val="6C4122D8"/>
    <w:rsid w:val="6C4A3CBD"/>
    <w:rsid w:val="6C5A30D4"/>
    <w:rsid w:val="6C7621DF"/>
    <w:rsid w:val="6C787452"/>
    <w:rsid w:val="6C9007FC"/>
    <w:rsid w:val="6CC17A81"/>
    <w:rsid w:val="6CD504C6"/>
    <w:rsid w:val="6CEF4F0F"/>
    <w:rsid w:val="6D3D2E75"/>
    <w:rsid w:val="6D437B25"/>
    <w:rsid w:val="6D5B3438"/>
    <w:rsid w:val="6DAB59DE"/>
    <w:rsid w:val="6DCEAAC4"/>
    <w:rsid w:val="6DDB7A3E"/>
    <w:rsid w:val="6DFE3D00"/>
    <w:rsid w:val="6E4B0B7C"/>
    <w:rsid w:val="6E4C351D"/>
    <w:rsid w:val="6E7C224F"/>
    <w:rsid w:val="6E8673A5"/>
    <w:rsid w:val="6E92295F"/>
    <w:rsid w:val="6EB50ED4"/>
    <w:rsid w:val="6EF786B9"/>
    <w:rsid w:val="6F122598"/>
    <w:rsid w:val="6F4D303C"/>
    <w:rsid w:val="6F514076"/>
    <w:rsid w:val="6F577D47"/>
    <w:rsid w:val="6F8BAAD8"/>
    <w:rsid w:val="6F9BC06A"/>
    <w:rsid w:val="6FD0C75B"/>
    <w:rsid w:val="6FD64C81"/>
    <w:rsid w:val="6FEF5D43"/>
    <w:rsid w:val="6FF34B88"/>
    <w:rsid w:val="6FF68BF7"/>
    <w:rsid w:val="6FF7E4B7"/>
    <w:rsid w:val="6FFA399B"/>
    <w:rsid w:val="6FFAAD3A"/>
    <w:rsid w:val="700632B0"/>
    <w:rsid w:val="7020414E"/>
    <w:rsid w:val="704E1F56"/>
    <w:rsid w:val="707FB0FA"/>
    <w:rsid w:val="70AB6673"/>
    <w:rsid w:val="70AC600D"/>
    <w:rsid w:val="70C15638"/>
    <w:rsid w:val="70E84C6C"/>
    <w:rsid w:val="71040110"/>
    <w:rsid w:val="71053C09"/>
    <w:rsid w:val="71092E34"/>
    <w:rsid w:val="71287365"/>
    <w:rsid w:val="712C0619"/>
    <w:rsid w:val="719A3A8C"/>
    <w:rsid w:val="71B40895"/>
    <w:rsid w:val="71BF14C0"/>
    <w:rsid w:val="71BFCFF4"/>
    <w:rsid w:val="71D17DA0"/>
    <w:rsid w:val="7203016C"/>
    <w:rsid w:val="72267701"/>
    <w:rsid w:val="723A07DC"/>
    <w:rsid w:val="726C5DC7"/>
    <w:rsid w:val="72702A7D"/>
    <w:rsid w:val="727B11D7"/>
    <w:rsid w:val="727E63EF"/>
    <w:rsid w:val="729B4BF6"/>
    <w:rsid w:val="72A619EF"/>
    <w:rsid w:val="72C82BB3"/>
    <w:rsid w:val="72D339E1"/>
    <w:rsid w:val="72E512AD"/>
    <w:rsid w:val="72F59636"/>
    <w:rsid w:val="72F8EEB7"/>
    <w:rsid w:val="7315161C"/>
    <w:rsid w:val="732A002F"/>
    <w:rsid w:val="732C1148"/>
    <w:rsid w:val="73407286"/>
    <w:rsid w:val="737FD017"/>
    <w:rsid w:val="738D7C5F"/>
    <w:rsid w:val="73C259A3"/>
    <w:rsid w:val="73C440F0"/>
    <w:rsid w:val="73CC483B"/>
    <w:rsid w:val="73EFA195"/>
    <w:rsid w:val="73F10A60"/>
    <w:rsid w:val="73FB5560"/>
    <w:rsid w:val="742A0F3A"/>
    <w:rsid w:val="74486A3C"/>
    <w:rsid w:val="74927286"/>
    <w:rsid w:val="74A70BD5"/>
    <w:rsid w:val="74AC7D5E"/>
    <w:rsid w:val="74AE3AD6"/>
    <w:rsid w:val="74C432FA"/>
    <w:rsid w:val="74D26910"/>
    <w:rsid w:val="74FE8A69"/>
    <w:rsid w:val="7509381F"/>
    <w:rsid w:val="75455C09"/>
    <w:rsid w:val="75693F14"/>
    <w:rsid w:val="757D0706"/>
    <w:rsid w:val="758E1FBF"/>
    <w:rsid w:val="75BD1784"/>
    <w:rsid w:val="75BF3AC1"/>
    <w:rsid w:val="75C5C47B"/>
    <w:rsid w:val="75FC0C99"/>
    <w:rsid w:val="760306BD"/>
    <w:rsid w:val="760616F0"/>
    <w:rsid w:val="76434219"/>
    <w:rsid w:val="76500BBD"/>
    <w:rsid w:val="76564A88"/>
    <w:rsid w:val="767A5448"/>
    <w:rsid w:val="768F16E6"/>
    <w:rsid w:val="76B88C2D"/>
    <w:rsid w:val="76B92B52"/>
    <w:rsid w:val="76CF37AD"/>
    <w:rsid w:val="76DA32A9"/>
    <w:rsid w:val="77357121"/>
    <w:rsid w:val="773B0FFD"/>
    <w:rsid w:val="77799A96"/>
    <w:rsid w:val="778D033F"/>
    <w:rsid w:val="77B01C03"/>
    <w:rsid w:val="77B62F35"/>
    <w:rsid w:val="77CD13AB"/>
    <w:rsid w:val="77D41B9E"/>
    <w:rsid w:val="77DF8BF9"/>
    <w:rsid w:val="77F70E53"/>
    <w:rsid w:val="77F82D97"/>
    <w:rsid w:val="77FBB72E"/>
    <w:rsid w:val="780C261D"/>
    <w:rsid w:val="781B162F"/>
    <w:rsid w:val="784C58D6"/>
    <w:rsid w:val="78646DCA"/>
    <w:rsid w:val="786A096B"/>
    <w:rsid w:val="7884B5C1"/>
    <w:rsid w:val="78881232"/>
    <w:rsid w:val="78A376CA"/>
    <w:rsid w:val="78B78B94"/>
    <w:rsid w:val="78CF226D"/>
    <w:rsid w:val="78E41CC4"/>
    <w:rsid w:val="78F92E96"/>
    <w:rsid w:val="79233B00"/>
    <w:rsid w:val="79327572"/>
    <w:rsid w:val="793FA43F"/>
    <w:rsid w:val="794065A6"/>
    <w:rsid w:val="794602E4"/>
    <w:rsid w:val="79577558"/>
    <w:rsid w:val="795FD2EB"/>
    <w:rsid w:val="796FA587"/>
    <w:rsid w:val="799FC267"/>
    <w:rsid w:val="79A32BBC"/>
    <w:rsid w:val="79A65463"/>
    <w:rsid w:val="79AB0447"/>
    <w:rsid w:val="79AC271E"/>
    <w:rsid w:val="79B962C0"/>
    <w:rsid w:val="79DD26BC"/>
    <w:rsid w:val="79EDB170"/>
    <w:rsid w:val="79F810EB"/>
    <w:rsid w:val="79FBBC74"/>
    <w:rsid w:val="79FEF732"/>
    <w:rsid w:val="79FFE33D"/>
    <w:rsid w:val="7AA956F6"/>
    <w:rsid w:val="7AB42D05"/>
    <w:rsid w:val="7AC17F0F"/>
    <w:rsid w:val="7AD15D02"/>
    <w:rsid w:val="7ADC31A8"/>
    <w:rsid w:val="7ADE13B6"/>
    <w:rsid w:val="7AF5ADB1"/>
    <w:rsid w:val="7AFE72F3"/>
    <w:rsid w:val="7B19AD2B"/>
    <w:rsid w:val="7B333E9E"/>
    <w:rsid w:val="7B354F51"/>
    <w:rsid w:val="7B5B0730"/>
    <w:rsid w:val="7B6442D6"/>
    <w:rsid w:val="7B723182"/>
    <w:rsid w:val="7B7EE9D6"/>
    <w:rsid w:val="7BB182CF"/>
    <w:rsid w:val="7BBFD5E9"/>
    <w:rsid w:val="7BCF2CDA"/>
    <w:rsid w:val="7BE51EBC"/>
    <w:rsid w:val="7BE7CE16"/>
    <w:rsid w:val="7BEB9019"/>
    <w:rsid w:val="7BF707AA"/>
    <w:rsid w:val="7BF75A37"/>
    <w:rsid w:val="7BFDA81F"/>
    <w:rsid w:val="7BFDF376"/>
    <w:rsid w:val="7BFEDB6F"/>
    <w:rsid w:val="7BFF3D01"/>
    <w:rsid w:val="7C39569D"/>
    <w:rsid w:val="7C73017A"/>
    <w:rsid w:val="7C946186"/>
    <w:rsid w:val="7CA264A9"/>
    <w:rsid w:val="7CAEA5C9"/>
    <w:rsid w:val="7CB05EDB"/>
    <w:rsid w:val="7CBA71BE"/>
    <w:rsid w:val="7CBBEBD3"/>
    <w:rsid w:val="7CCD652E"/>
    <w:rsid w:val="7D6711BA"/>
    <w:rsid w:val="7D6FF2A8"/>
    <w:rsid w:val="7D715FE9"/>
    <w:rsid w:val="7D7918F8"/>
    <w:rsid w:val="7D879AD7"/>
    <w:rsid w:val="7DC934DB"/>
    <w:rsid w:val="7DCF4FB9"/>
    <w:rsid w:val="7DCF9FE2"/>
    <w:rsid w:val="7DE163C6"/>
    <w:rsid w:val="7DED7E1B"/>
    <w:rsid w:val="7DF743B0"/>
    <w:rsid w:val="7DFAA279"/>
    <w:rsid w:val="7DFC3532"/>
    <w:rsid w:val="7DFEAC82"/>
    <w:rsid w:val="7DFF66E9"/>
    <w:rsid w:val="7E4D252B"/>
    <w:rsid w:val="7E6B6EDC"/>
    <w:rsid w:val="7E771C8E"/>
    <w:rsid w:val="7E7829A6"/>
    <w:rsid w:val="7E7F7B6C"/>
    <w:rsid w:val="7E7FF960"/>
    <w:rsid w:val="7E9E4118"/>
    <w:rsid w:val="7EA0226C"/>
    <w:rsid w:val="7EBF042E"/>
    <w:rsid w:val="7EBF6118"/>
    <w:rsid w:val="7EEC1DCB"/>
    <w:rsid w:val="7EF16604"/>
    <w:rsid w:val="7EF3E9A8"/>
    <w:rsid w:val="7EF51F92"/>
    <w:rsid w:val="7EFB6377"/>
    <w:rsid w:val="7EFCB089"/>
    <w:rsid w:val="7EFF1E96"/>
    <w:rsid w:val="7F0D2891"/>
    <w:rsid w:val="7F3FE559"/>
    <w:rsid w:val="7F636CA1"/>
    <w:rsid w:val="7F6B77FC"/>
    <w:rsid w:val="7F6F11F4"/>
    <w:rsid w:val="7F759333"/>
    <w:rsid w:val="7F7C7B38"/>
    <w:rsid w:val="7F7E1FDF"/>
    <w:rsid w:val="7F7F9C07"/>
    <w:rsid w:val="7F861E4C"/>
    <w:rsid w:val="7F8A1EF4"/>
    <w:rsid w:val="7F8FF9FE"/>
    <w:rsid w:val="7F94934C"/>
    <w:rsid w:val="7F9B7127"/>
    <w:rsid w:val="7F9C2596"/>
    <w:rsid w:val="7FAEA801"/>
    <w:rsid w:val="7FAF2E54"/>
    <w:rsid w:val="7FB77874"/>
    <w:rsid w:val="7FBB8A80"/>
    <w:rsid w:val="7FBDBAEC"/>
    <w:rsid w:val="7FCD1436"/>
    <w:rsid w:val="7FD72418"/>
    <w:rsid w:val="7FDDF682"/>
    <w:rsid w:val="7FDED415"/>
    <w:rsid w:val="7FDF4322"/>
    <w:rsid w:val="7FDF7223"/>
    <w:rsid w:val="7FEF7338"/>
    <w:rsid w:val="7FEF7520"/>
    <w:rsid w:val="7FF5DB3D"/>
    <w:rsid w:val="7FF67D3D"/>
    <w:rsid w:val="7FFB2DD7"/>
    <w:rsid w:val="7FFBFEA7"/>
    <w:rsid w:val="7FFE1867"/>
    <w:rsid w:val="7FFEA455"/>
    <w:rsid w:val="7FFF0FA3"/>
    <w:rsid w:val="7FFF834A"/>
    <w:rsid w:val="7FFFAF0B"/>
    <w:rsid w:val="7FFFBABA"/>
    <w:rsid w:val="7FFFCF1F"/>
    <w:rsid w:val="7FFFEA6F"/>
    <w:rsid w:val="7FFFFA87"/>
    <w:rsid w:val="7FFFFC2F"/>
    <w:rsid w:val="85DFB2FD"/>
    <w:rsid w:val="8AEF7697"/>
    <w:rsid w:val="8FFB5C93"/>
    <w:rsid w:val="96F9CE21"/>
    <w:rsid w:val="975F48CF"/>
    <w:rsid w:val="987F6560"/>
    <w:rsid w:val="9CFF2D0C"/>
    <w:rsid w:val="9F2F27BC"/>
    <w:rsid w:val="9FFAF9A6"/>
    <w:rsid w:val="9FFEB761"/>
    <w:rsid w:val="9FFF0DDD"/>
    <w:rsid w:val="A3EE6A06"/>
    <w:rsid w:val="A67E88FB"/>
    <w:rsid w:val="A867C7BD"/>
    <w:rsid w:val="AA6FDC7A"/>
    <w:rsid w:val="AD5EA11D"/>
    <w:rsid w:val="AE29ED60"/>
    <w:rsid w:val="AFD6C489"/>
    <w:rsid w:val="AFDDDCE1"/>
    <w:rsid w:val="AFFD6304"/>
    <w:rsid w:val="AFFEF225"/>
    <w:rsid w:val="AFFF410F"/>
    <w:rsid w:val="B17B62EC"/>
    <w:rsid w:val="B3BFCB2C"/>
    <w:rsid w:val="B5F9D1BF"/>
    <w:rsid w:val="B6B1FCC9"/>
    <w:rsid w:val="B6F6D853"/>
    <w:rsid w:val="B6FEA387"/>
    <w:rsid w:val="B777622C"/>
    <w:rsid w:val="B79F2AD2"/>
    <w:rsid w:val="B7B75827"/>
    <w:rsid w:val="B7F0E306"/>
    <w:rsid w:val="B7FFDDE6"/>
    <w:rsid w:val="B9FF323A"/>
    <w:rsid w:val="BA9FAB79"/>
    <w:rsid w:val="BB7C4C34"/>
    <w:rsid w:val="BBBEBC15"/>
    <w:rsid w:val="BBBEE88F"/>
    <w:rsid w:val="BC6B5CF1"/>
    <w:rsid w:val="BCDCC3EC"/>
    <w:rsid w:val="BCEBD4B3"/>
    <w:rsid w:val="BCFF6A4D"/>
    <w:rsid w:val="BD6F1F18"/>
    <w:rsid w:val="BDBF5078"/>
    <w:rsid w:val="BDE584E3"/>
    <w:rsid w:val="BEFF4156"/>
    <w:rsid w:val="BF1D57FA"/>
    <w:rsid w:val="BF56DB80"/>
    <w:rsid w:val="BF7DA355"/>
    <w:rsid w:val="BF7DD030"/>
    <w:rsid w:val="BF9B375A"/>
    <w:rsid w:val="BF9F9130"/>
    <w:rsid w:val="BFB301BC"/>
    <w:rsid w:val="BFB7F055"/>
    <w:rsid w:val="BFD372FC"/>
    <w:rsid w:val="BFD531C6"/>
    <w:rsid w:val="BFDFE542"/>
    <w:rsid w:val="BFF78985"/>
    <w:rsid w:val="BFFC2FD0"/>
    <w:rsid w:val="BFFE2CEE"/>
    <w:rsid w:val="C5EF2D70"/>
    <w:rsid w:val="C5F78343"/>
    <w:rsid w:val="C5F785FF"/>
    <w:rsid w:val="C7FFD292"/>
    <w:rsid w:val="C9FFE736"/>
    <w:rsid w:val="CB67A1AC"/>
    <w:rsid w:val="CBBFFD89"/>
    <w:rsid w:val="CD5E7AED"/>
    <w:rsid w:val="CE7FA2DD"/>
    <w:rsid w:val="CED6580B"/>
    <w:rsid w:val="CF8C4294"/>
    <w:rsid w:val="CFDBC36C"/>
    <w:rsid w:val="CFF3C6DC"/>
    <w:rsid w:val="D17F4950"/>
    <w:rsid w:val="D2FD519F"/>
    <w:rsid w:val="D5F24C42"/>
    <w:rsid w:val="D5FFEE32"/>
    <w:rsid w:val="D6052051"/>
    <w:rsid w:val="D7A3CA9D"/>
    <w:rsid w:val="D7F73D7A"/>
    <w:rsid w:val="D7F784AC"/>
    <w:rsid w:val="D8BE4A0D"/>
    <w:rsid w:val="D8FF915D"/>
    <w:rsid w:val="DA7FB767"/>
    <w:rsid w:val="DB7B9ACE"/>
    <w:rsid w:val="DBF3DF6C"/>
    <w:rsid w:val="DBF43EF2"/>
    <w:rsid w:val="DBFFB9BD"/>
    <w:rsid w:val="DD6FAAE6"/>
    <w:rsid w:val="DD7F6A61"/>
    <w:rsid w:val="DD7FEFD3"/>
    <w:rsid w:val="DDEF5385"/>
    <w:rsid w:val="DE7CCF21"/>
    <w:rsid w:val="DEB3F58B"/>
    <w:rsid w:val="DEDDD220"/>
    <w:rsid w:val="DEDE6813"/>
    <w:rsid w:val="DEFD72AC"/>
    <w:rsid w:val="DEFFCC4F"/>
    <w:rsid w:val="DF1F6AEC"/>
    <w:rsid w:val="DF4EF489"/>
    <w:rsid w:val="DF6EE072"/>
    <w:rsid w:val="DF7EA0E1"/>
    <w:rsid w:val="DF7F9527"/>
    <w:rsid w:val="DFB600D1"/>
    <w:rsid w:val="DFBDD2A1"/>
    <w:rsid w:val="DFBFA118"/>
    <w:rsid w:val="DFDB5231"/>
    <w:rsid w:val="DFDD531D"/>
    <w:rsid w:val="DFEFE0F9"/>
    <w:rsid w:val="DFF99939"/>
    <w:rsid w:val="DFFD46D3"/>
    <w:rsid w:val="DFFD6062"/>
    <w:rsid w:val="DFFE3315"/>
    <w:rsid w:val="E0FF8F8A"/>
    <w:rsid w:val="E1BA7EA4"/>
    <w:rsid w:val="E1BDC4B7"/>
    <w:rsid w:val="E2CF366A"/>
    <w:rsid w:val="E2FFA600"/>
    <w:rsid w:val="E5BBE150"/>
    <w:rsid w:val="E5BF513C"/>
    <w:rsid w:val="E5EBF51F"/>
    <w:rsid w:val="E6F31A60"/>
    <w:rsid w:val="E7F1679C"/>
    <w:rsid w:val="E7FEF12F"/>
    <w:rsid w:val="EA8F8EDB"/>
    <w:rsid w:val="EACBBAB4"/>
    <w:rsid w:val="EBEF46D9"/>
    <w:rsid w:val="ECEFCB47"/>
    <w:rsid w:val="ED7B5C33"/>
    <w:rsid w:val="ED8DA220"/>
    <w:rsid w:val="EDAD3F77"/>
    <w:rsid w:val="EDDFF2B3"/>
    <w:rsid w:val="EDFE5983"/>
    <w:rsid w:val="EE6A8F5B"/>
    <w:rsid w:val="EEFF6A91"/>
    <w:rsid w:val="EF6E63DF"/>
    <w:rsid w:val="EFA245D8"/>
    <w:rsid w:val="EFBF3E80"/>
    <w:rsid w:val="EFD4B0D1"/>
    <w:rsid w:val="EFE7F121"/>
    <w:rsid w:val="EFEE6F5E"/>
    <w:rsid w:val="EFFB93E4"/>
    <w:rsid w:val="EFFD7944"/>
    <w:rsid w:val="EFFF7E80"/>
    <w:rsid w:val="EFFFC028"/>
    <w:rsid w:val="F1BE21AF"/>
    <w:rsid w:val="F1DBCA5A"/>
    <w:rsid w:val="F2FBFCB1"/>
    <w:rsid w:val="F31E6F38"/>
    <w:rsid w:val="F381602D"/>
    <w:rsid w:val="F3BE3415"/>
    <w:rsid w:val="F3ECED96"/>
    <w:rsid w:val="F4DA0989"/>
    <w:rsid w:val="F4FF511C"/>
    <w:rsid w:val="F56FE801"/>
    <w:rsid w:val="F5FE994D"/>
    <w:rsid w:val="F60D8605"/>
    <w:rsid w:val="F6777C0B"/>
    <w:rsid w:val="F68F7327"/>
    <w:rsid w:val="F6B32EEB"/>
    <w:rsid w:val="F6DEADC7"/>
    <w:rsid w:val="F6EE94FF"/>
    <w:rsid w:val="F6FE7A20"/>
    <w:rsid w:val="F71A459B"/>
    <w:rsid w:val="F72D7113"/>
    <w:rsid w:val="F73DBB4C"/>
    <w:rsid w:val="F7AF5633"/>
    <w:rsid w:val="F7BCA67E"/>
    <w:rsid w:val="F7DBF8EB"/>
    <w:rsid w:val="F7DD2C11"/>
    <w:rsid w:val="F7E77970"/>
    <w:rsid w:val="F7E7EC17"/>
    <w:rsid w:val="F7EFCD93"/>
    <w:rsid w:val="F7FB57AF"/>
    <w:rsid w:val="F8AA1C3E"/>
    <w:rsid w:val="F8CB9F24"/>
    <w:rsid w:val="F8FB8CA4"/>
    <w:rsid w:val="F9C4434A"/>
    <w:rsid w:val="F9FA4B2E"/>
    <w:rsid w:val="FA5FDD72"/>
    <w:rsid w:val="FAAFB3B8"/>
    <w:rsid w:val="FADD206A"/>
    <w:rsid w:val="FAEB3D88"/>
    <w:rsid w:val="FAFEF124"/>
    <w:rsid w:val="FB1DFCA0"/>
    <w:rsid w:val="FB371CB4"/>
    <w:rsid w:val="FBA9BFA7"/>
    <w:rsid w:val="FBB58E5F"/>
    <w:rsid w:val="FBBC20D2"/>
    <w:rsid w:val="FBBC7BAC"/>
    <w:rsid w:val="FBC33E9F"/>
    <w:rsid w:val="FBEF90AD"/>
    <w:rsid w:val="FBEFA5AF"/>
    <w:rsid w:val="FBF5EF98"/>
    <w:rsid w:val="FBF7496E"/>
    <w:rsid w:val="FBF84EB8"/>
    <w:rsid w:val="FBFEFC30"/>
    <w:rsid w:val="FC7F65BC"/>
    <w:rsid w:val="FCDF7FAD"/>
    <w:rsid w:val="FCFB8545"/>
    <w:rsid w:val="FCFF26BA"/>
    <w:rsid w:val="FD279621"/>
    <w:rsid w:val="FD37BECD"/>
    <w:rsid w:val="FD67D13D"/>
    <w:rsid w:val="FDA7C186"/>
    <w:rsid w:val="FDBF38F0"/>
    <w:rsid w:val="FDBFCA91"/>
    <w:rsid w:val="FDDB73CB"/>
    <w:rsid w:val="FDE4A43D"/>
    <w:rsid w:val="FDE7ACA5"/>
    <w:rsid w:val="FDFBA77C"/>
    <w:rsid w:val="FDFF1883"/>
    <w:rsid w:val="FDFF23E1"/>
    <w:rsid w:val="FDFFB22F"/>
    <w:rsid w:val="FDFFB61F"/>
    <w:rsid w:val="FE775E36"/>
    <w:rsid w:val="FE7A32BC"/>
    <w:rsid w:val="FEAE0B6A"/>
    <w:rsid w:val="FED82FFB"/>
    <w:rsid w:val="FEDE5D90"/>
    <w:rsid w:val="FEEE8876"/>
    <w:rsid w:val="FEEF6BC1"/>
    <w:rsid w:val="FEF6B72C"/>
    <w:rsid w:val="FEFEDC78"/>
    <w:rsid w:val="FF198276"/>
    <w:rsid w:val="FF3BDCAE"/>
    <w:rsid w:val="FF3BDDDF"/>
    <w:rsid w:val="FF3F18E6"/>
    <w:rsid w:val="FF66FC9F"/>
    <w:rsid w:val="FF6F0E08"/>
    <w:rsid w:val="FF7B8EC9"/>
    <w:rsid w:val="FF7B95C8"/>
    <w:rsid w:val="FF7F7AAE"/>
    <w:rsid w:val="FF8EBF81"/>
    <w:rsid w:val="FFBDDAC4"/>
    <w:rsid w:val="FFBDE110"/>
    <w:rsid w:val="FFBEA8C0"/>
    <w:rsid w:val="FFBF702C"/>
    <w:rsid w:val="FFE956AF"/>
    <w:rsid w:val="FFED7ADC"/>
    <w:rsid w:val="FFED84E5"/>
    <w:rsid w:val="FFF1BACA"/>
    <w:rsid w:val="FFF596F6"/>
    <w:rsid w:val="FFF60FA7"/>
    <w:rsid w:val="FFFB306A"/>
    <w:rsid w:val="FFFB30E5"/>
    <w:rsid w:val="FFFC6C8D"/>
    <w:rsid w:val="FFFD9AC4"/>
    <w:rsid w:val="FFFE742B"/>
    <w:rsid w:val="FFFED233"/>
    <w:rsid w:val="FFFF77EF"/>
    <w:rsid w:val="FFFFA1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9"/>
    <w:autoRedefine/>
    <w:qFormat/>
    <w:uiPriority w:val="0"/>
    <w:pPr>
      <w:keepNext/>
      <w:keepLines/>
      <w:spacing w:after="120" w:line="360" w:lineRule="auto"/>
      <w:outlineLvl w:val="0"/>
    </w:pPr>
    <w:rPr>
      <w:kern w:val="44"/>
      <w:sz w:val="28"/>
      <w:szCs w:val="28"/>
    </w:rPr>
  </w:style>
  <w:style w:type="paragraph" w:styleId="3">
    <w:name w:val="heading 2"/>
    <w:basedOn w:val="1"/>
    <w:next w:val="1"/>
    <w:link w:val="62"/>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4">
    <w:name w:val="heading 3"/>
    <w:basedOn w:val="1"/>
    <w:next w:val="1"/>
    <w:link w:val="56"/>
    <w:autoRedefine/>
    <w:qFormat/>
    <w:uiPriority w:val="0"/>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4"/>
    <w:next w:val="6"/>
    <w:link w:val="63"/>
    <w:autoRedefine/>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7">
    <w:name w:val="heading 5"/>
    <w:basedOn w:val="5"/>
    <w:next w:val="6"/>
    <w:link w:val="64"/>
    <w:autoRedefine/>
    <w:qFormat/>
    <w:uiPriority w:val="0"/>
    <w:pPr>
      <w:numPr>
        <w:ilvl w:val="4"/>
      </w:numPr>
      <w:spacing w:line="240" w:lineRule="exact"/>
      <w:outlineLvl w:val="4"/>
    </w:pPr>
  </w:style>
  <w:style w:type="paragraph" w:styleId="8">
    <w:name w:val="heading 6"/>
    <w:basedOn w:val="1"/>
    <w:next w:val="1"/>
    <w:link w:val="65"/>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6"/>
    <w:link w:val="66"/>
    <w:autoRedefine/>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6"/>
    <w:link w:val="67"/>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link w:val="68"/>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rFonts w:ascii="Times New Roman" w:hAnsi="Times New Roman"/>
      <w:szCs w:val="20"/>
    </w:rPr>
  </w:style>
  <w:style w:type="paragraph" w:styleId="12">
    <w:name w:val="Document Map"/>
    <w:basedOn w:val="1"/>
    <w:link w:val="80"/>
    <w:autoRedefine/>
    <w:qFormat/>
    <w:uiPriority w:val="0"/>
    <w:pPr>
      <w:shd w:val="clear" w:color="auto" w:fill="000080"/>
    </w:pPr>
    <w:rPr>
      <w:rFonts w:ascii="Times New Roman" w:hAnsi="Times New Roman"/>
      <w:szCs w:val="20"/>
    </w:rPr>
  </w:style>
  <w:style w:type="paragraph" w:styleId="13">
    <w:name w:val="annotation text"/>
    <w:basedOn w:val="1"/>
    <w:link w:val="106"/>
    <w:autoRedefine/>
    <w:qFormat/>
    <w:uiPriority w:val="99"/>
    <w:pPr>
      <w:spacing w:line="360" w:lineRule="auto"/>
      <w:ind w:firstLine="523" w:firstLineChars="218"/>
      <w:jc w:val="left"/>
    </w:pPr>
    <w:rPr>
      <w:rFonts w:ascii="宋体" w:hAnsi="宋体"/>
      <w:sz w:val="24"/>
      <w:szCs w:val="24"/>
    </w:rPr>
  </w:style>
  <w:style w:type="paragraph" w:styleId="14">
    <w:name w:val="Body Text"/>
    <w:basedOn w:val="1"/>
    <w:link w:val="72"/>
    <w:autoRedefine/>
    <w:qFormat/>
    <w:uiPriority w:val="0"/>
    <w:pPr>
      <w:spacing w:after="120"/>
    </w:pPr>
    <w:rPr>
      <w:rFonts w:ascii="Times New Roman" w:hAnsi="Times New Roman"/>
      <w:szCs w:val="20"/>
    </w:rPr>
  </w:style>
  <w:style w:type="paragraph" w:styleId="15">
    <w:name w:val="Body Text Indent"/>
    <w:basedOn w:val="1"/>
    <w:next w:val="16"/>
    <w:link w:val="78"/>
    <w:autoRedefine/>
    <w:qFormat/>
    <w:uiPriority w:val="0"/>
    <w:pPr>
      <w:ind w:firstLine="570"/>
    </w:pPr>
    <w:rPr>
      <w:rFonts w:ascii="Times New Roman" w:hAnsi="Times New Roman"/>
      <w:sz w:val="28"/>
      <w:szCs w:val="20"/>
    </w:rPr>
  </w:style>
  <w:style w:type="paragraph" w:styleId="16">
    <w:name w:val="envelope return"/>
    <w:basedOn w:val="1"/>
    <w:autoRedefine/>
    <w:qFormat/>
    <w:uiPriority w:val="0"/>
    <w:pPr>
      <w:snapToGrid w:val="0"/>
    </w:pPr>
    <w:rPr>
      <w:rFonts w:ascii="Arial" w:hAnsi="Arial"/>
      <w:szCs w:val="24"/>
    </w:rPr>
  </w:style>
  <w:style w:type="paragraph" w:styleId="17">
    <w:name w:val="toc 3"/>
    <w:basedOn w:val="1"/>
    <w:next w:val="1"/>
    <w:autoRedefine/>
    <w:qFormat/>
    <w:uiPriority w:val="39"/>
    <w:pPr>
      <w:snapToGrid w:val="0"/>
      <w:spacing w:line="360" w:lineRule="auto"/>
      <w:ind w:left="400" w:leftChars="400"/>
      <w:jc w:val="left"/>
    </w:pPr>
    <w:rPr>
      <w:rFonts w:ascii="Times New Roman" w:hAnsi="Times New Roman"/>
      <w:sz w:val="24"/>
      <w:szCs w:val="20"/>
    </w:rPr>
  </w:style>
  <w:style w:type="paragraph" w:styleId="18">
    <w:name w:val="Plain Text"/>
    <w:basedOn w:val="1"/>
    <w:next w:val="1"/>
    <w:link w:val="82"/>
    <w:autoRedefine/>
    <w:qFormat/>
    <w:uiPriority w:val="0"/>
    <w:rPr>
      <w:rFonts w:hint="eastAsia" w:ascii="宋体" w:hAnsi="Courier New"/>
      <w:szCs w:val="21"/>
    </w:rPr>
  </w:style>
  <w:style w:type="paragraph" w:styleId="19">
    <w:name w:val="Date"/>
    <w:basedOn w:val="1"/>
    <w:next w:val="1"/>
    <w:link w:val="76"/>
    <w:autoRedefine/>
    <w:qFormat/>
    <w:uiPriority w:val="0"/>
    <w:rPr>
      <w:rFonts w:ascii="Times New Roman" w:hAnsi="Times New Roman"/>
      <w:szCs w:val="20"/>
    </w:rPr>
  </w:style>
  <w:style w:type="paragraph" w:styleId="20">
    <w:name w:val="Body Text Indent 2"/>
    <w:basedOn w:val="1"/>
    <w:link w:val="84"/>
    <w:autoRedefine/>
    <w:qFormat/>
    <w:uiPriority w:val="0"/>
    <w:pPr>
      <w:spacing w:line="400" w:lineRule="exact"/>
      <w:ind w:left="425"/>
    </w:pPr>
    <w:rPr>
      <w:rFonts w:ascii="Times New Roman" w:hAnsi="Times New Roman"/>
      <w:color w:val="000000"/>
      <w:sz w:val="24"/>
      <w:szCs w:val="20"/>
    </w:rPr>
  </w:style>
  <w:style w:type="paragraph" w:styleId="21">
    <w:name w:val="endnote text"/>
    <w:basedOn w:val="1"/>
    <w:link w:val="93"/>
    <w:autoRedefine/>
    <w:qFormat/>
    <w:uiPriority w:val="0"/>
    <w:pPr>
      <w:snapToGrid w:val="0"/>
      <w:jc w:val="left"/>
    </w:pPr>
    <w:rPr>
      <w:rFonts w:ascii="Times New Roman" w:hAnsi="Times New Roman"/>
      <w:szCs w:val="20"/>
    </w:rPr>
  </w:style>
  <w:style w:type="paragraph" w:styleId="22">
    <w:name w:val="Balloon Text"/>
    <w:basedOn w:val="1"/>
    <w:link w:val="103"/>
    <w:autoRedefine/>
    <w:qFormat/>
    <w:uiPriority w:val="0"/>
    <w:rPr>
      <w:rFonts w:ascii="Times New Roman" w:hAnsi="Times New Roman"/>
      <w:sz w:val="18"/>
      <w:szCs w:val="18"/>
    </w:rPr>
  </w:style>
  <w:style w:type="paragraph" w:styleId="23">
    <w:name w:val="footer"/>
    <w:basedOn w:val="1"/>
    <w:link w:val="60"/>
    <w:autoRedefine/>
    <w:unhideWhenUsed/>
    <w:qFormat/>
    <w:uiPriority w:val="0"/>
    <w:pPr>
      <w:tabs>
        <w:tab w:val="center" w:pos="4153"/>
        <w:tab w:val="right" w:pos="8306"/>
      </w:tabs>
      <w:snapToGrid w:val="0"/>
      <w:jc w:val="left"/>
    </w:pPr>
    <w:rPr>
      <w:sz w:val="18"/>
      <w:szCs w:val="18"/>
    </w:rPr>
  </w:style>
  <w:style w:type="paragraph" w:styleId="24">
    <w:name w:val="header"/>
    <w:basedOn w:val="1"/>
    <w:link w:val="5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6">
    <w:name w:val="footnote text"/>
    <w:basedOn w:val="1"/>
    <w:link w:val="108"/>
    <w:autoRedefine/>
    <w:qFormat/>
    <w:uiPriority w:val="0"/>
    <w:pPr>
      <w:snapToGrid w:val="0"/>
      <w:spacing w:line="360" w:lineRule="auto"/>
      <w:ind w:firstLine="523" w:firstLineChars="218"/>
      <w:jc w:val="left"/>
    </w:pPr>
    <w:rPr>
      <w:rFonts w:ascii="宋体" w:hAnsi="宋体"/>
      <w:sz w:val="18"/>
      <w:szCs w:val="18"/>
    </w:rPr>
  </w:style>
  <w:style w:type="paragraph" w:styleId="27">
    <w:name w:val="Body Text Indent 3"/>
    <w:basedOn w:val="1"/>
    <w:link w:val="86"/>
    <w:autoRedefine/>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8">
    <w:name w:val="toc 2"/>
    <w:basedOn w:val="1"/>
    <w:next w:val="1"/>
    <w:autoRedefine/>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9">
    <w:name w:val="Body Text 2"/>
    <w:basedOn w:val="1"/>
    <w:link w:val="90"/>
    <w:autoRedefine/>
    <w:qFormat/>
    <w:uiPriority w:val="0"/>
    <w:rPr>
      <w:rFonts w:ascii="宋体" w:hAnsi="宋体"/>
      <w:szCs w:val="24"/>
      <w:u w:val="single"/>
    </w:rPr>
  </w:style>
  <w:style w:type="paragraph" w:styleId="30">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31">
    <w:name w:val="index 1"/>
    <w:basedOn w:val="1"/>
    <w:next w:val="1"/>
    <w:autoRedefine/>
    <w:qFormat/>
    <w:uiPriority w:val="0"/>
    <w:rPr>
      <w:rFonts w:ascii="Times New Roman" w:hAnsi="Times New Roman" w:eastAsia="仿宋_GB2312"/>
      <w:sz w:val="28"/>
      <w:szCs w:val="20"/>
    </w:rPr>
  </w:style>
  <w:style w:type="paragraph" w:styleId="32">
    <w:name w:val="Title"/>
    <w:basedOn w:val="1"/>
    <w:next w:val="1"/>
    <w:link w:val="70"/>
    <w:autoRedefine/>
    <w:qFormat/>
    <w:uiPriority w:val="0"/>
    <w:pPr>
      <w:spacing w:before="120" w:after="60"/>
      <w:jc w:val="center"/>
    </w:pPr>
    <w:rPr>
      <w:rFonts w:ascii="Arial" w:hAnsi="Arial"/>
      <w:b/>
      <w:sz w:val="44"/>
      <w:szCs w:val="20"/>
    </w:rPr>
  </w:style>
  <w:style w:type="paragraph" w:styleId="33">
    <w:name w:val="annotation subject"/>
    <w:basedOn w:val="13"/>
    <w:next w:val="13"/>
    <w:link w:val="110"/>
    <w:autoRedefine/>
    <w:qFormat/>
    <w:uiPriority w:val="0"/>
    <w:rPr>
      <w:b/>
      <w:bCs/>
    </w:rPr>
  </w:style>
  <w:style w:type="paragraph" w:styleId="34">
    <w:name w:val="Body Text First Indent"/>
    <w:basedOn w:val="14"/>
    <w:link w:val="74"/>
    <w:autoRedefine/>
    <w:qFormat/>
    <w:uiPriority w:val="0"/>
    <w:pPr>
      <w:ind w:firstLine="420"/>
    </w:pPr>
  </w:style>
  <w:style w:type="paragraph" w:styleId="35">
    <w:name w:val="Body Text First Indent 2"/>
    <w:basedOn w:val="15"/>
    <w:autoRedefine/>
    <w:qFormat/>
    <w:uiPriority w:val="0"/>
    <w:pPr>
      <w:spacing w:after="120"/>
      <w:ind w:left="200" w:leftChars="200" w:firstLine="200" w:firstLineChars="200"/>
    </w:pPr>
    <w:rPr>
      <w:rFonts w:ascii="Calibri" w:hAnsi="Calibri"/>
      <w:color w:val="0D0D0D"/>
      <w:sz w:val="21"/>
      <w:szCs w:val="24"/>
      <w:lang w:eastAsia="en-US"/>
    </w:rPr>
  </w:style>
  <w:style w:type="table" w:styleId="37">
    <w:name w:val="Table Grid"/>
    <w:basedOn w:val="3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autoRedefine/>
    <w:qFormat/>
    <w:uiPriority w:val="0"/>
    <w:rPr>
      <w:b/>
    </w:rPr>
  </w:style>
  <w:style w:type="character" w:styleId="40">
    <w:name w:val="endnote reference"/>
    <w:autoRedefine/>
    <w:qFormat/>
    <w:uiPriority w:val="0"/>
    <w:rPr>
      <w:vertAlign w:val="superscript"/>
    </w:rPr>
  </w:style>
  <w:style w:type="character" w:styleId="41">
    <w:name w:val="page number"/>
    <w:basedOn w:val="38"/>
    <w:autoRedefine/>
    <w:qFormat/>
    <w:uiPriority w:val="0"/>
    <w:rPr>
      <w:rFonts w:cs="Times New Roman"/>
    </w:rPr>
  </w:style>
  <w:style w:type="character" w:styleId="42">
    <w:name w:val="FollowedHyperlink"/>
    <w:basedOn w:val="38"/>
    <w:autoRedefine/>
    <w:semiHidden/>
    <w:unhideWhenUsed/>
    <w:qFormat/>
    <w:uiPriority w:val="99"/>
    <w:rPr>
      <w:color w:val="954F72"/>
      <w:u w:val="single"/>
    </w:rPr>
  </w:style>
  <w:style w:type="character" w:styleId="43">
    <w:name w:val="Hyperlink"/>
    <w:basedOn w:val="38"/>
    <w:autoRedefine/>
    <w:qFormat/>
    <w:uiPriority w:val="99"/>
    <w:rPr>
      <w:color w:val="0000FF"/>
      <w:u w:val="single"/>
    </w:rPr>
  </w:style>
  <w:style w:type="character" w:styleId="44">
    <w:name w:val="annotation reference"/>
    <w:autoRedefine/>
    <w:qFormat/>
    <w:uiPriority w:val="0"/>
    <w:rPr>
      <w:sz w:val="21"/>
      <w:szCs w:val="21"/>
    </w:rPr>
  </w:style>
  <w:style w:type="character" w:styleId="45">
    <w:name w:val="footnote reference"/>
    <w:autoRedefine/>
    <w:qFormat/>
    <w:uiPriority w:val="0"/>
    <w:rPr>
      <w:vertAlign w:val="superscript"/>
    </w:rPr>
  </w:style>
  <w:style w:type="paragraph" w:customStyle="1" w:styleId="46">
    <w:name w:val="正文正"/>
    <w:basedOn w:val="1"/>
    <w:autoRedefine/>
    <w:qFormat/>
    <w:uiPriority w:val="0"/>
    <w:pPr>
      <w:spacing w:line="560" w:lineRule="exact"/>
      <w:ind w:firstLine="561"/>
    </w:pPr>
    <w:rPr>
      <w:rFonts w:eastAsia="仿宋_GB2312"/>
      <w:sz w:val="28"/>
    </w:rPr>
  </w:style>
  <w:style w:type="character" w:customStyle="1" w:styleId="47">
    <w:name w:val="标题 1 字符"/>
    <w:autoRedefine/>
    <w:qFormat/>
    <w:uiPriority w:val="9"/>
    <w:rPr>
      <w:rFonts w:ascii="Calibri" w:hAnsi="Calibri" w:eastAsia="宋体" w:cs="Times New Roman"/>
      <w:b/>
      <w:bCs/>
      <w:kern w:val="44"/>
      <w:sz w:val="44"/>
      <w:szCs w:val="44"/>
    </w:rPr>
  </w:style>
  <w:style w:type="character" w:customStyle="1" w:styleId="48">
    <w:name w:val="标题 2 字符"/>
    <w:autoRedefine/>
    <w:semiHidden/>
    <w:qFormat/>
    <w:uiPriority w:val="9"/>
    <w:rPr>
      <w:rFonts w:ascii="等线 Light" w:hAnsi="等线 Light" w:eastAsia="等线 Light" w:cs="Times New Roman"/>
      <w:b/>
      <w:bCs/>
      <w:sz w:val="32"/>
      <w:szCs w:val="32"/>
    </w:rPr>
  </w:style>
  <w:style w:type="character" w:customStyle="1" w:styleId="49">
    <w:name w:val="标题 3 字符"/>
    <w:autoRedefine/>
    <w:semiHidden/>
    <w:qFormat/>
    <w:uiPriority w:val="9"/>
    <w:rPr>
      <w:rFonts w:ascii="Calibri" w:hAnsi="Calibri" w:eastAsia="宋体" w:cs="Times New Roman"/>
      <w:b/>
      <w:bCs/>
      <w:sz w:val="32"/>
      <w:szCs w:val="32"/>
    </w:rPr>
  </w:style>
  <w:style w:type="character" w:customStyle="1" w:styleId="50">
    <w:name w:val="标题 4 字符"/>
    <w:autoRedefine/>
    <w:semiHidden/>
    <w:qFormat/>
    <w:uiPriority w:val="9"/>
    <w:rPr>
      <w:rFonts w:ascii="等线 Light" w:hAnsi="等线 Light" w:eastAsia="等线 Light" w:cs="Times New Roman"/>
      <w:b/>
      <w:bCs/>
      <w:sz w:val="28"/>
      <w:szCs w:val="28"/>
    </w:rPr>
  </w:style>
  <w:style w:type="character" w:customStyle="1" w:styleId="51">
    <w:name w:val="标题 5 字符"/>
    <w:autoRedefine/>
    <w:semiHidden/>
    <w:qFormat/>
    <w:uiPriority w:val="9"/>
    <w:rPr>
      <w:rFonts w:ascii="Calibri" w:hAnsi="Calibri" w:eastAsia="宋体" w:cs="Times New Roman"/>
      <w:b/>
      <w:bCs/>
      <w:sz w:val="28"/>
      <w:szCs w:val="28"/>
    </w:rPr>
  </w:style>
  <w:style w:type="character" w:customStyle="1" w:styleId="52">
    <w:name w:val="标题 6 字符"/>
    <w:autoRedefine/>
    <w:semiHidden/>
    <w:qFormat/>
    <w:uiPriority w:val="9"/>
    <w:rPr>
      <w:rFonts w:ascii="等线 Light" w:hAnsi="等线 Light" w:eastAsia="等线 Light" w:cs="Times New Roman"/>
      <w:b/>
      <w:bCs/>
      <w:sz w:val="24"/>
      <w:szCs w:val="24"/>
    </w:rPr>
  </w:style>
  <w:style w:type="character" w:customStyle="1" w:styleId="53">
    <w:name w:val="标题 7 字符"/>
    <w:autoRedefine/>
    <w:semiHidden/>
    <w:qFormat/>
    <w:uiPriority w:val="9"/>
    <w:rPr>
      <w:rFonts w:ascii="Calibri" w:hAnsi="Calibri" w:eastAsia="宋体" w:cs="Times New Roman"/>
      <w:b/>
      <w:bCs/>
      <w:sz w:val="24"/>
      <w:szCs w:val="24"/>
    </w:rPr>
  </w:style>
  <w:style w:type="character" w:customStyle="1" w:styleId="54">
    <w:name w:val="标题 8 字符"/>
    <w:autoRedefine/>
    <w:semiHidden/>
    <w:qFormat/>
    <w:uiPriority w:val="9"/>
    <w:rPr>
      <w:rFonts w:ascii="等线 Light" w:hAnsi="等线 Light" w:eastAsia="等线 Light" w:cs="Times New Roman"/>
      <w:sz w:val="24"/>
      <w:szCs w:val="24"/>
    </w:rPr>
  </w:style>
  <w:style w:type="character" w:customStyle="1" w:styleId="55">
    <w:name w:val="标题 9 字符"/>
    <w:autoRedefine/>
    <w:semiHidden/>
    <w:qFormat/>
    <w:uiPriority w:val="9"/>
    <w:rPr>
      <w:rFonts w:ascii="等线 Light" w:hAnsi="等线 Light" w:eastAsia="等线 Light" w:cs="Times New Roman"/>
      <w:szCs w:val="21"/>
    </w:rPr>
  </w:style>
  <w:style w:type="character" w:customStyle="1" w:styleId="56">
    <w:name w:val="标题 3 字符1"/>
    <w:link w:val="4"/>
    <w:autoRedefine/>
    <w:qFormat/>
    <w:uiPriority w:val="0"/>
    <w:rPr>
      <w:rFonts w:ascii="宋体" w:hAnsi="宋体" w:eastAsia="宋体" w:cs="宋体"/>
      <w:kern w:val="0"/>
      <w:sz w:val="27"/>
      <w:szCs w:val="27"/>
    </w:rPr>
  </w:style>
  <w:style w:type="character" w:customStyle="1" w:styleId="57">
    <w:name w:val="页眉 字符"/>
    <w:autoRedefine/>
    <w:semiHidden/>
    <w:qFormat/>
    <w:uiPriority w:val="99"/>
    <w:rPr>
      <w:rFonts w:ascii="Calibri" w:hAnsi="Calibri" w:eastAsia="宋体" w:cs="Times New Roman"/>
      <w:sz w:val="18"/>
      <w:szCs w:val="18"/>
    </w:rPr>
  </w:style>
  <w:style w:type="character" w:customStyle="1" w:styleId="58">
    <w:name w:val="页眉 字符1"/>
    <w:link w:val="24"/>
    <w:autoRedefine/>
    <w:qFormat/>
    <w:uiPriority w:val="0"/>
    <w:rPr>
      <w:rFonts w:ascii="Calibri" w:hAnsi="Calibri" w:eastAsia="宋体" w:cs="Times New Roman"/>
      <w:sz w:val="18"/>
      <w:szCs w:val="18"/>
    </w:rPr>
  </w:style>
  <w:style w:type="character" w:customStyle="1" w:styleId="59">
    <w:name w:val="页脚 字符"/>
    <w:autoRedefine/>
    <w:semiHidden/>
    <w:qFormat/>
    <w:uiPriority w:val="99"/>
    <w:rPr>
      <w:rFonts w:ascii="Calibri" w:hAnsi="Calibri" w:eastAsia="宋体" w:cs="Times New Roman"/>
      <w:sz w:val="18"/>
      <w:szCs w:val="18"/>
    </w:rPr>
  </w:style>
  <w:style w:type="character" w:customStyle="1" w:styleId="60">
    <w:name w:val="页脚 字符1"/>
    <w:link w:val="23"/>
    <w:autoRedefine/>
    <w:qFormat/>
    <w:uiPriority w:val="0"/>
    <w:rPr>
      <w:rFonts w:ascii="Calibri" w:hAnsi="Calibri" w:eastAsia="宋体" w:cs="Times New Roman"/>
      <w:sz w:val="18"/>
      <w:szCs w:val="18"/>
    </w:rPr>
  </w:style>
  <w:style w:type="character" w:customStyle="1" w:styleId="61">
    <w:name w:val="标题 1 字符1"/>
    <w:autoRedefine/>
    <w:qFormat/>
    <w:uiPriority w:val="0"/>
    <w:rPr>
      <w:rFonts w:ascii="Arial" w:hAnsi="Arial" w:eastAsia="宋体"/>
      <w:b/>
      <w:kern w:val="44"/>
      <w:sz w:val="28"/>
      <w:szCs w:val="28"/>
    </w:rPr>
  </w:style>
  <w:style w:type="character" w:customStyle="1" w:styleId="62">
    <w:name w:val="标题 2 字符1"/>
    <w:link w:val="3"/>
    <w:autoRedefine/>
    <w:qFormat/>
    <w:uiPriority w:val="0"/>
    <w:rPr>
      <w:rFonts w:ascii="Arial" w:hAnsi="Arial" w:eastAsia="宋体" w:cs="Times New Roman"/>
      <w:b/>
      <w:color w:val="000000"/>
      <w:sz w:val="24"/>
      <w:szCs w:val="24"/>
    </w:rPr>
  </w:style>
  <w:style w:type="character" w:customStyle="1" w:styleId="63">
    <w:name w:val="标题 4 字符1"/>
    <w:link w:val="5"/>
    <w:autoRedefine/>
    <w:qFormat/>
    <w:uiPriority w:val="0"/>
    <w:rPr>
      <w:rFonts w:ascii="Arial" w:hAnsi="Arial" w:eastAsia="宋体" w:cs="Times New Roman"/>
      <w:color w:val="000000"/>
      <w:szCs w:val="21"/>
    </w:rPr>
  </w:style>
  <w:style w:type="character" w:customStyle="1" w:styleId="64">
    <w:name w:val="标题 5 字符1"/>
    <w:link w:val="7"/>
    <w:autoRedefine/>
    <w:qFormat/>
    <w:uiPriority w:val="0"/>
    <w:rPr>
      <w:rFonts w:ascii="Arial" w:hAnsi="Arial" w:eastAsia="宋体" w:cs="Times New Roman"/>
      <w:color w:val="000000"/>
      <w:szCs w:val="21"/>
    </w:rPr>
  </w:style>
  <w:style w:type="character" w:customStyle="1" w:styleId="65">
    <w:name w:val="标题 6 字符1"/>
    <w:link w:val="8"/>
    <w:autoRedefine/>
    <w:qFormat/>
    <w:uiPriority w:val="0"/>
    <w:rPr>
      <w:rFonts w:ascii="Arial" w:hAnsi="Arial" w:eastAsia="黑体" w:cs="Times New Roman"/>
      <w:b/>
      <w:bCs/>
      <w:sz w:val="24"/>
      <w:szCs w:val="24"/>
    </w:rPr>
  </w:style>
  <w:style w:type="character" w:customStyle="1" w:styleId="66">
    <w:name w:val="标题 7 字符1"/>
    <w:link w:val="9"/>
    <w:autoRedefine/>
    <w:qFormat/>
    <w:uiPriority w:val="0"/>
    <w:rPr>
      <w:rFonts w:ascii="Times New Roman" w:hAnsi="Times New Roman" w:eastAsia="宋体" w:cs="Times New Roman"/>
      <w:b/>
      <w:sz w:val="24"/>
      <w:szCs w:val="20"/>
    </w:rPr>
  </w:style>
  <w:style w:type="character" w:customStyle="1" w:styleId="67">
    <w:name w:val="标题 8 字符1"/>
    <w:link w:val="10"/>
    <w:autoRedefine/>
    <w:qFormat/>
    <w:uiPriority w:val="0"/>
    <w:rPr>
      <w:rFonts w:ascii="Arial" w:hAnsi="Arial" w:eastAsia="黑体" w:cs="Times New Roman"/>
      <w:sz w:val="24"/>
      <w:szCs w:val="20"/>
    </w:rPr>
  </w:style>
  <w:style w:type="character" w:customStyle="1" w:styleId="68">
    <w:name w:val="标题 9 字符1"/>
    <w:link w:val="11"/>
    <w:autoRedefine/>
    <w:qFormat/>
    <w:uiPriority w:val="0"/>
    <w:rPr>
      <w:rFonts w:ascii="Arial" w:hAnsi="Arial" w:eastAsia="黑体" w:cs="Times New Roman"/>
      <w:szCs w:val="20"/>
    </w:rPr>
  </w:style>
  <w:style w:type="character" w:customStyle="1" w:styleId="69">
    <w:name w:val="标题 字符"/>
    <w:autoRedefine/>
    <w:qFormat/>
    <w:uiPriority w:val="10"/>
    <w:rPr>
      <w:rFonts w:ascii="等线 Light" w:hAnsi="等线 Light" w:eastAsia="等线 Light" w:cs="Times New Roman"/>
      <w:b/>
      <w:bCs/>
      <w:sz w:val="32"/>
      <w:szCs w:val="32"/>
    </w:rPr>
  </w:style>
  <w:style w:type="character" w:customStyle="1" w:styleId="70">
    <w:name w:val="标题 字符1"/>
    <w:link w:val="32"/>
    <w:autoRedefine/>
    <w:qFormat/>
    <w:uiPriority w:val="0"/>
    <w:rPr>
      <w:rFonts w:ascii="Arial" w:hAnsi="Arial" w:eastAsia="宋体" w:cs="Times New Roman"/>
      <w:b/>
      <w:sz w:val="44"/>
      <w:szCs w:val="20"/>
    </w:rPr>
  </w:style>
  <w:style w:type="character" w:customStyle="1" w:styleId="71">
    <w:name w:val="正文文本 字符"/>
    <w:autoRedefine/>
    <w:semiHidden/>
    <w:qFormat/>
    <w:uiPriority w:val="99"/>
    <w:rPr>
      <w:rFonts w:ascii="Calibri" w:hAnsi="Calibri" w:eastAsia="宋体" w:cs="Times New Roman"/>
    </w:rPr>
  </w:style>
  <w:style w:type="character" w:customStyle="1" w:styleId="72">
    <w:name w:val="正文文本 字符1"/>
    <w:link w:val="14"/>
    <w:autoRedefine/>
    <w:qFormat/>
    <w:uiPriority w:val="0"/>
    <w:rPr>
      <w:rFonts w:ascii="Times New Roman" w:hAnsi="Times New Roman" w:eastAsia="宋体" w:cs="Times New Roman"/>
      <w:szCs w:val="20"/>
    </w:rPr>
  </w:style>
  <w:style w:type="character" w:customStyle="1" w:styleId="73">
    <w:name w:val="正文首行缩进 字符"/>
    <w:basedOn w:val="71"/>
    <w:autoRedefine/>
    <w:semiHidden/>
    <w:qFormat/>
    <w:uiPriority w:val="99"/>
    <w:rPr>
      <w:rFonts w:ascii="Calibri" w:hAnsi="Calibri" w:eastAsia="宋体" w:cs="Times New Roman"/>
    </w:rPr>
  </w:style>
  <w:style w:type="character" w:customStyle="1" w:styleId="74">
    <w:name w:val="正文文本首行缩进 字符1"/>
    <w:link w:val="34"/>
    <w:autoRedefine/>
    <w:qFormat/>
    <w:uiPriority w:val="0"/>
  </w:style>
  <w:style w:type="character" w:customStyle="1" w:styleId="75">
    <w:name w:val="日期 字符"/>
    <w:autoRedefine/>
    <w:semiHidden/>
    <w:qFormat/>
    <w:uiPriority w:val="99"/>
    <w:rPr>
      <w:rFonts w:ascii="Calibri" w:hAnsi="Calibri" w:eastAsia="宋体" w:cs="Times New Roman"/>
    </w:rPr>
  </w:style>
  <w:style w:type="character" w:customStyle="1" w:styleId="76">
    <w:name w:val="日期 字符1"/>
    <w:link w:val="19"/>
    <w:autoRedefine/>
    <w:qFormat/>
    <w:uiPriority w:val="0"/>
    <w:rPr>
      <w:rFonts w:ascii="Times New Roman" w:hAnsi="Times New Roman" w:eastAsia="宋体" w:cs="Times New Roman"/>
      <w:szCs w:val="20"/>
    </w:rPr>
  </w:style>
  <w:style w:type="character" w:customStyle="1" w:styleId="77">
    <w:name w:val="正文文本缩进 字符"/>
    <w:autoRedefine/>
    <w:semiHidden/>
    <w:qFormat/>
    <w:uiPriority w:val="99"/>
    <w:rPr>
      <w:rFonts w:ascii="Calibri" w:hAnsi="Calibri" w:eastAsia="宋体" w:cs="Times New Roman"/>
    </w:rPr>
  </w:style>
  <w:style w:type="character" w:customStyle="1" w:styleId="78">
    <w:name w:val="正文文本缩进 字符1"/>
    <w:link w:val="15"/>
    <w:autoRedefine/>
    <w:qFormat/>
    <w:uiPriority w:val="0"/>
    <w:rPr>
      <w:rFonts w:ascii="Times New Roman" w:hAnsi="Times New Roman" w:eastAsia="宋体" w:cs="Times New Roman"/>
      <w:sz w:val="28"/>
      <w:szCs w:val="20"/>
    </w:rPr>
  </w:style>
  <w:style w:type="character" w:customStyle="1" w:styleId="79">
    <w:name w:val="文档结构图 字符"/>
    <w:autoRedefine/>
    <w:semiHidden/>
    <w:qFormat/>
    <w:uiPriority w:val="99"/>
    <w:rPr>
      <w:rFonts w:ascii="Microsoft YaHei UI" w:hAnsi="Calibri" w:eastAsia="Microsoft YaHei UI" w:cs="Times New Roman"/>
      <w:sz w:val="18"/>
      <w:szCs w:val="18"/>
    </w:rPr>
  </w:style>
  <w:style w:type="character" w:customStyle="1" w:styleId="80">
    <w:name w:val="文档结构图 字符1"/>
    <w:link w:val="12"/>
    <w:autoRedefine/>
    <w:qFormat/>
    <w:uiPriority w:val="0"/>
    <w:rPr>
      <w:rFonts w:ascii="Times New Roman" w:hAnsi="Times New Roman" w:eastAsia="宋体" w:cs="Times New Roman"/>
      <w:szCs w:val="20"/>
      <w:shd w:val="clear" w:color="auto" w:fill="000080"/>
    </w:rPr>
  </w:style>
  <w:style w:type="character" w:customStyle="1" w:styleId="81">
    <w:name w:val="纯文本 字符"/>
    <w:autoRedefine/>
    <w:semiHidden/>
    <w:qFormat/>
    <w:uiPriority w:val="99"/>
    <w:rPr>
      <w:rFonts w:ascii="等线" w:hAnsi="Courier New" w:cs="Courier New"/>
    </w:rPr>
  </w:style>
  <w:style w:type="character" w:customStyle="1" w:styleId="82">
    <w:name w:val="纯文本 字符1"/>
    <w:link w:val="18"/>
    <w:autoRedefine/>
    <w:qFormat/>
    <w:uiPriority w:val="0"/>
    <w:rPr>
      <w:rFonts w:ascii="宋体" w:hAnsi="Courier New" w:eastAsia="宋体" w:cs="Times New Roman"/>
      <w:szCs w:val="20"/>
    </w:rPr>
  </w:style>
  <w:style w:type="character" w:customStyle="1" w:styleId="83">
    <w:name w:val="正文文本缩进 2 字符"/>
    <w:autoRedefine/>
    <w:semiHidden/>
    <w:qFormat/>
    <w:uiPriority w:val="99"/>
    <w:rPr>
      <w:rFonts w:ascii="Calibri" w:hAnsi="Calibri" w:eastAsia="宋体" w:cs="Times New Roman"/>
    </w:rPr>
  </w:style>
  <w:style w:type="character" w:customStyle="1" w:styleId="84">
    <w:name w:val="正文文本缩进 2 字符1"/>
    <w:link w:val="20"/>
    <w:autoRedefine/>
    <w:qFormat/>
    <w:uiPriority w:val="0"/>
    <w:rPr>
      <w:rFonts w:ascii="Times New Roman" w:hAnsi="Times New Roman" w:eastAsia="宋体" w:cs="Times New Roman"/>
      <w:color w:val="000000"/>
      <w:sz w:val="24"/>
      <w:szCs w:val="20"/>
    </w:rPr>
  </w:style>
  <w:style w:type="character" w:customStyle="1" w:styleId="85">
    <w:name w:val="正文文本缩进 3 字符"/>
    <w:autoRedefine/>
    <w:semiHidden/>
    <w:qFormat/>
    <w:uiPriority w:val="99"/>
    <w:rPr>
      <w:rFonts w:ascii="Calibri" w:hAnsi="Calibri" w:eastAsia="宋体" w:cs="Times New Roman"/>
      <w:sz w:val="16"/>
      <w:szCs w:val="16"/>
    </w:rPr>
  </w:style>
  <w:style w:type="character" w:customStyle="1" w:styleId="86">
    <w:name w:val="正文文本缩进 3 字符1"/>
    <w:link w:val="27"/>
    <w:autoRedefine/>
    <w:qFormat/>
    <w:uiPriority w:val="0"/>
    <w:rPr>
      <w:rFonts w:ascii="Times New Roman" w:hAnsi="Times New Roman" w:eastAsia="宋体" w:cs="Times New Roman"/>
      <w:color w:val="000000"/>
      <w:sz w:val="24"/>
      <w:szCs w:val="20"/>
    </w:rPr>
  </w:style>
  <w:style w:type="paragraph" w:customStyle="1" w:styleId="87">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8">
    <w:name w:val="_Style 69"/>
    <w:autoRedefine/>
    <w:qFormat/>
    <w:uiPriority w:val="0"/>
    <w:rPr>
      <w:rFonts w:ascii="等线" w:hAnsi="等线" w:eastAsia="等线" w:cs="Times New Roman"/>
      <w:lang w:val="en-US" w:eastAsia="zh-CN" w:bidi="ar-SA"/>
    </w:rPr>
  </w:style>
  <w:style w:type="character" w:customStyle="1" w:styleId="89">
    <w:name w:val="正文文本 2 字符"/>
    <w:autoRedefine/>
    <w:semiHidden/>
    <w:qFormat/>
    <w:uiPriority w:val="99"/>
    <w:rPr>
      <w:rFonts w:ascii="Calibri" w:hAnsi="Calibri" w:eastAsia="宋体" w:cs="Times New Roman"/>
    </w:rPr>
  </w:style>
  <w:style w:type="character" w:customStyle="1" w:styleId="90">
    <w:name w:val="正文文本 2 字符1"/>
    <w:link w:val="29"/>
    <w:autoRedefine/>
    <w:qFormat/>
    <w:uiPriority w:val="0"/>
    <w:rPr>
      <w:rFonts w:ascii="宋体" w:hAnsi="宋体" w:eastAsia="宋体" w:cs="Times New Roman"/>
      <w:szCs w:val="24"/>
      <w:u w:val="single"/>
    </w:rPr>
  </w:style>
  <w:style w:type="paragraph" w:customStyle="1" w:styleId="91">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92">
    <w:name w:val="尾注文本 字符"/>
    <w:autoRedefine/>
    <w:semiHidden/>
    <w:qFormat/>
    <w:uiPriority w:val="99"/>
    <w:rPr>
      <w:rFonts w:ascii="Calibri" w:hAnsi="Calibri" w:eastAsia="宋体" w:cs="Times New Roman"/>
    </w:rPr>
  </w:style>
  <w:style w:type="character" w:customStyle="1" w:styleId="93">
    <w:name w:val="尾注文本 字符1"/>
    <w:link w:val="21"/>
    <w:autoRedefine/>
    <w:qFormat/>
    <w:uiPriority w:val="0"/>
    <w:rPr>
      <w:rFonts w:ascii="Times New Roman" w:hAnsi="Times New Roman" w:eastAsia="宋体" w:cs="Times New Roman"/>
      <w:szCs w:val="20"/>
    </w:rPr>
  </w:style>
  <w:style w:type="paragraph" w:customStyle="1" w:styleId="94">
    <w:name w:val="Char"/>
    <w:basedOn w:val="1"/>
    <w:autoRedefine/>
    <w:qFormat/>
    <w:uiPriority w:val="0"/>
    <w:rPr>
      <w:rFonts w:ascii="Tahoma" w:hAnsi="Tahoma"/>
      <w:sz w:val="24"/>
      <w:szCs w:val="20"/>
    </w:rPr>
  </w:style>
  <w:style w:type="paragraph" w:customStyle="1" w:styleId="95">
    <w:name w:val="Char1"/>
    <w:basedOn w:val="1"/>
    <w:autoRedefine/>
    <w:qFormat/>
    <w:uiPriority w:val="0"/>
    <w:pPr>
      <w:numPr>
        <w:ilvl w:val="0"/>
        <w:numId w:val="1"/>
      </w:numPr>
    </w:pPr>
    <w:rPr>
      <w:rFonts w:ascii="Times New Roman" w:hAnsi="Times New Roman"/>
      <w:sz w:val="24"/>
      <w:szCs w:val="24"/>
    </w:rPr>
  </w:style>
  <w:style w:type="paragraph" w:customStyle="1" w:styleId="96">
    <w:name w:val="公文抬头"/>
    <w:basedOn w:val="6"/>
    <w:autoRedefine/>
    <w:qFormat/>
    <w:uiPriority w:val="0"/>
    <w:pPr>
      <w:ind w:firstLine="0"/>
    </w:pPr>
    <w:rPr>
      <w:rFonts w:ascii="仿宋_GB2312" w:eastAsia="仿宋_GB2312"/>
      <w:sz w:val="30"/>
      <w:szCs w:val="24"/>
    </w:rPr>
  </w:style>
  <w:style w:type="paragraph" w:customStyle="1" w:styleId="97">
    <w:name w:val="Char Char Char1 Char"/>
    <w:basedOn w:val="12"/>
    <w:autoRedefine/>
    <w:qFormat/>
    <w:uiPriority w:val="0"/>
    <w:rPr>
      <w:rFonts w:ascii="Tahoma" w:hAnsi="Tahoma"/>
      <w:sz w:val="24"/>
      <w:szCs w:val="24"/>
    </w:rPr>
  </w:style>
  <w:style w:type="paragraph" w:customStyle="1" w:styleId="9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4"/>
    <w:autoRedefine/>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autoRedefine/>
    <w:qFormat/>
    <w:uiPriority w:val="0"/>
    <w:pPr>
      <w:ind w:left="4094" w:right="607" w:firstLine="0"/>
      <w:jc w:val="center"/>
    </w:pPr>
  </w:style>
  <w:style w:type="paragraph" w:customStyle="1" w:styleId="101">
    <w:name w:val="Char Char Char Char"/>
    <w:basedOn w:val="1"/>
    <w:autoRedefine/>
    <w:qFormat/>
    <w:uiPriority w:val="0"/>
    <w:rPr>
      <w:rFonts w:ascii="Times New Roman" w:hAnsi="Times New Roman"/>
      <w:sz w:val="30"/>
      <w:szCs w:val="24"/>
    </w:rPr>
  </w:style>
  <w:style w:type="character" w:customStyle="1" w:styleId="102">
    <w:name w:val="批注框文本 字符"/>
    <w:autoRedefine/>
    <w:semiHidden/>
    <w:qFormat/>
    <w:uiPriority w:val="99"/>
    <w:rPr>
      <w:rFonts w:ascii="Calibri" w:hAnsi="Calibri" w:eastAsia="宋体" w:cs="Times New Roman"/>
      <w:sz w:val="18"/>
      <w:szCs w:val="18"/>
    </w:rPr>
  </w:style>
  <w:style w:type="character" w:customStyle="1" w:styleId="103">
    <w:name w:val="批注框文本 字符1"/>
    <w:link w:val="22"/>
    <w:autoRedefine/>
    <w:qFormat/>
    <w:uiPriority w:val="0"/>
    <w:rPr>
      <w:rFonts w:ascii="Times New Roman" w:hAnsi="Times New Roman" w:eastAsia="宋体" w:cs="Times New Roman"/>
      <w:sz w:val="18"/>
      <w:szCs w:val="18"/>
    </w:rPr>
  </w:style>
  <w:style w:type="paragraph" w:customStyle="1" w:styleId="104">
    <w:name w:val="TOC 标题1"/>
    <w:basedOn w:val="2"/>
    <w:next w:val="1"/>
    <w:autoRedefine/>
    <w:semiHidden/>
    <w:unhideWhenUsed/>
    <w:qFormat/>
    <w:uiPriority w:val="39"/>
    <w:pPr>
      <w:widowControl/>
      <w:spacing w:before="480" w:after="0" w:line="276" w:lineRule="auto"/>
      <w:outlineLvl w:val="9"/>
    </w:pPr>
    <w:rPr>
      <w:rFonts w:ascii="Cambria" w:hAnsi="Cambria"/>
      <w:color w:val="365F91"/>
      <w:kern w:val="0"/>
    </w:rPr>
  </w:style>
  <w:style w:type="character" w:customStyle="1" w:styleId="105">
    <w:name w:val="批注文字 字符"/>
    <w:autoRedefine/>
    <w:qFormat/>
    <w:uiPriority w:val="0"/>
    <w:rPr>
      <w:rFonts w:ascii="Calibri" w:hAnsi="Calibri" w:eastAsia="宋体" w:cs="Times New Roman"/>
    </w:rPr>
  </w:style>
  <w:style w:type="character" w:customStyle="1" w:styleId="106">
    <w:name w:val="批注文字 字符1"/>
    <w:link w:val="13"/>
    <w:autoRedefine/>
    <w:qFormat/>
    <w:uiPriority w:val="99"/>
    <w:rPr>
      <w:rFonts w:ascii="宋体" w:hAnsi="宋体" w:eastAsia="宋体" w:cs="Times New Roman"/>
      <w:sz w:val="24"/>
      <w:szCs w:val="24"/>
    </w:rPr>
  </w:style>
  <w:style w:type="character" w:customStyle="1" w:styleId="107">
    <w:name w:val="脚注文本 字符"/>
    <w:autoRedefine/>
    <w:semiHidden/>
    <w:qFormat/>
    <w:uiPriority w:val="99"/>
    <w:rPr>
      <w:rFonts w:ascii="Calibri" w:hAnsi="Calibri" w:eastAsia="宋体" w:cs="Times New Roman"/>
      <w:sz w:val="18"/>
      <w:szCs w:val="18"/>
    </w:rPr>
  </w:style>
  <w:style w:type="character" w:customStyle="1" w:styleId="108">
    <w:name w:val="脚注文本 字符1"/>
    <w:link w:val="26"/>
    <w:autoRedefine/>
    <w:qFormat/>
    <w:uiPriority w:val="0"/>
    <w:rPr>
      <w:rFonts w:ascii="宋体" w:hAnsi="宋体" w:eastAsia="宋体" w:cs="Times New Roman"/>
      <w:sz w:val="18"/>
      <w:szCs w:val="18"/>
    </w:rPr>
  </w:style>
  <w:style w:type="character" w:customStyle="1" w:styleId="109">
    <w:name w:val="批注主题 字符"/>
    <w:autoRedefine/>
    <w:semiHidden/>
    <w:qFormat/>
    <w:uiPriority w:val="99"/>
    <w:rPr>
      <w:rFonts w:ascii="Calibri" w:hAnsi="Calibri" w:eastAsia="宋体" w:cs="Times New Roman"/>
      <w:b/>
      <w:bCs/>
    </w:rPr>
  </w:style>
  <w:style w:type="character" w:customStyle="1" w:styleId="110">
    <w:name w:val="批注主题 字符1"/>
    <w:link w:val="33"/>
    <w:autoRedefine/>
    <w:qFormat/>
    <w:uiPriority w:val="0"/>
    <w:rPr>
      <w:rFonts w:ascii="宋体" w:hAnsi="宋体" w:eastAsia="宋体" w:cs="Times New Roman"/>
      <w:b/>
      <w:bCs/>
      <w:sz w:val="24"/>
      <w:szCs w:val="24"/>
    </w:rPr>
  </w:style>
  <w:style w:type="paragraph" w:styleId="111">
    <w:name w:val="List Paragraph"/>
    <w:basedOn w:val="1"/>
    <w:autoRedefine/>
    <w:qFormat/>
    <w:uiPriority w:val="34"/>
    <w:pPr>
      <w:ind w:firstLine="420" w:firstLineChars="200"/>
    </w:pPr>
    <w:rPr>
      <w:rFonts w:ascii="Times New Roman" w:hAnsi="Times New Roman"/>
      <w:szCs w:val="20"/>
    </w:rPr>
  </w:style>
  <w:style w:type="paragraph" w:customStyle="1" w:styleId="112">
    <w:name w:val="修订1"/>
    <w:autoRedefine/>
    <w:hidden/>
    <w:semiHidden/>
    <w:qFormat/>
    <w:uiPriority w:val="99"/>
    <w:rPr>
      <w:rFonts w:ascii="Times New Roman" w:hAnsi="Times New Roman" w:eastAsia="宋体" w:cs="Times New Roman"/>
      <w:kern w:val="2"/>
      <w:sz w:val="21"/>
      <w:lang w:val="en-US" w:eastAsia="zh-CN" w:bidi="ar-SA"/>
    </w:rPr>
  </w:style>
  <w:style w:type="paragraph" w:customStyle="1" w:styleId="113">
    <w:name w:val="正文文本3"/>
    <w:basedOn w:val="1"/>
    <w:autoRedefine/>
    <w:qFormat/>
    <w:uiPriority w:val="0"/>
    <w:pPr>
      <w:shd w:val="clear" w:color="auto" w:fill="FFFFFF"/>
      <w:spacing w:line="0" w:lineRule="atLeast"/>
      <w:jc w:val="left"/>
    </w:pPr>
    <w:rPr>
      <w:rFonts w:ascii="宋体" w:hAnsi="宋体"/>
      <w:kern w:val="0"/>
      <w:sz w:val="19"/>
      <w:szCs w:val="19"/>
    </w:rPr>
  </w:style>
  <w:style w:type="character" w:customStyle="1" w:styleId="114">
    <w:name w:val="正文文本1"/>
    <w:autoRedefine/>
    <w:qFormat/>
    <w:uiPriority w:val="0"/>
    <w:rPr>
      <w:rFonts w:ascii="宋体" w:hAnsi="宋体" w:eastAsia="宋体" w:cs="宋体"/>
      <w:color w:val="000000"/>
      <w:spacing w:val="0"/>
      <w:w w:val="100"/>
      <w:position w:val="0"/>
      <w:sz w:val="19"/>
      <w:szCs w:val="19"/>
      <w:shd w:val="clear" w:color="auto" w:fill="FFFFFF"/>
      <w:lang w:val="zh-TW"/>
    </w:rPr>
  </w:style>
  <w:style w:type="character" w:customStyle="1" w:styleId="115">
    <w:name w:val="正文文本 + Century Schoolbook"/>
    <w:autoRedefine/>
    <w:qFormat/>
    <w:uiPriority w:val="0"/>
    <w:rPr>
      <w:rFonts w:ascii="Century Schoolbook" w:hAnsi="Century Schoolbook" w:eastAsia="Century Schoolbook" w:cs="Century Schoolbook"/>
      <w:b/>
      <w:bCs/>
      <w:color w:val="000000"/>
      <w:spacing w:val="10"/>
      <w:w w:val="100"/>
      <w:position w:val="0"/>
      <w:sz w:val="17"/>
      <w:szCs w:val="17"/>
      <w:shd w:val="clear" w:color="auto" w:fill="FFFFFF"/>
      <w:lang w:val="en-US"/>
    </w:rPr>
  </w:style>
  <w:style w:type="paragraph" w:customStyle="1" w:styleId="116">
    <w:name w:val="_Style 3"/>
    <w:basedOn w:val="1"/>
    <w:autoRedefine/>
    <w:qFormat/>
    <w:uiPriority w:val="0"/>
    <w:rPr>
      <w:rFonts w:cs="宋体"/>
      <w:szCs w:val="21"/>
    </w:rPr>
  </w:style>
  <w:style w:type="paragraph" w:customStyle="1" w:styleId="117">
    <w:name w:val="文一"/>
    <w:basedOn w:val="1"/>
    <w:autoRedefine/>
    <w:qFormat/>
    <w:uiPriority w:val="0"/>
    <w:pPr>
      <w:widowControl/>
      <w:topLinePunct/>
      <w:adjustRightInd w:val="0"/>
      <w:snapToGrid w:val="0"/>
      <w:spacing w:after="200" w:line="360" w:lineRule="auto"/>
      <w:ind w:firstLine="200" w:firstLineChars="200"/>
      <w:jc w:val="left"/>
    </w:pPr>
    <w:rPr>
      <w:rFonts w:ascii="等线" w:hAnsi="等线" w:eastAsia="等线"/>
      <w:spacing w:val="4"/>
      <w:kern w:val="0"/>
      <w:sz w:val="24"/>
      <w:szCs w:val="24"/>
    </w:rPr>
  </w:style>
  <w:style w:type="paragraph" w:customStyle="1" w:styleId="118">
    <w:name w:val="正题"/>
    <w:basedOn w:val="1"/>
    <w:next w:val="1"/>
    <w:autoRedefine/>
    <w:qFormat/>
    <w:uiPriority w:val="0"/>
    <w:pPr>
      <w:topLinePunct/>
      <w:adjustRightInd w:val="0"/>
      <w:snapToGrid w:val="0"/>
      <w:spacing w:line="360" w:lineRule="auto"/>
      <w:jc w:val="center"/>
    </w:pPr>
    <w:rPr>
      <w:rFonts w:ascii="Times New Roman" w:hAnsi="Times New Roman" w:eastAsia="黑体"/>
      <w:b/>
      <w:spacing w:val="4"/>
      <w:kern w:val="0"/>
      <w:sz w:val="36"/>
      <w:szCs w:val="36"/>
    </w:rPr>
  </w:style>
  <w:style w:type="character" w:customStyle="1" w:styleId="119">
    <w:name w:val="标题 1 字符2"/>
    <w:link w:val="2"/>
    <w:autoRedefine/>
    <w:qFormat/>
    <w:uiPriority w:val="0"/>
    <w:rPr>
      <w:rFonts w:ascii="Arial" w:hAnsi="Arial" w:eastAsia="宋体" w:cs="Times New Roman"/>
      <w:b/>
      <w:kern w:val="44"/>
      <w:sz w:val="28"/>
      <w:szCs w:val="28"/>
    </w:rPr>
  </w:style>
  <w:style w:type="paragraph" w:customStyle="1" w:styleId="120">
    <w:name w:val="章节二"/>
    <w:basedOn w:val="1"/>
    <w:next w:val="1"/>
    <w:autoRedefine/>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21">
    <w:name w:val="文二"/>
    <w:basedOn w:val="1"/>
    <w:autoRedefine/>
    <w:qFormat/>
    <w:uiPriority w:val="99"/>
    <w:pPr>
      <w:jc w:val="left"/>
    </w:pPr>
    <w:rPr>
      <w:rFonts w:ascii="宋体" w:hAnsi="宋体"/>
      <w:szCs w:val="21"/>
    </w:rPr>
  </w:style>
  <w:style w:type="character" w:customStyle="1" w:styleId="122">
    <w:name w:val="无间隔 字符"/>
    <w:basedOn w:val="38"/>
    <w:autoRedefine/>
    <w:qFormat/>
    <w:uiPriority w:val="0"/>
    <w:rPr>
      <w:rFonts w:hint="default" w:ascii="Calibri" w:hAnsi="Calibri" w:eastAsia="宋体" w:cs="Times New Roman"/>
      <w:kern w:val="0"/>
      <w:sz w:val="22"/>
    </w:rPr>
  </w:style>
  <w:style w:type="character" w:customStyle="1" w:styleId="123">
    <w:name w:val="Char Char7"/>
    <w:basedOn w:val="38"/>
    <w:autoRedefine/>
    <w:qFormat/>
    <w:uiPriority w:val="0"/>
    <w:rPr>
      <w:rFonts w:hint="default" w:ascii="Calibri" w:hAnsi="Calibri" w:eastAsia="宋体" w:cs="Calibri"/>
      <w:b/>
      <w:kern w:val="2"/>
      <w:sz w:val="32"/>
      <w:szCs w:val="32"/>
      <w:lang w:val="en-US" w:eastAsia="zh-CN" w:bidi="ar"/>
    </w:rPr>
  </w:style>
  <w:style w:type="character" w:customStyle="1" w:styleId="124">
    <w:name w:val="正文文本首行缩进 字符"/>
    <w:autoRedefine/>
    <w:qFormat/>
    <w:uiPriority w:val="0"/>
    <w:rPr>
      <w:rFonts w:hint="default" w:ascii="Times New Roman" w:hAnsi="Times New Roman" w:eastAsia="宋体" w:cs="Times New Roman"/>
      <w:szCs w:val="20"/>
    </w:rPr>
  </w:style>
  <w:style w:type="character" w:customStyle="1" w:styleId="125">
    <w:name w:val="文一 Char"/>
    <w:basedOn w:val="38"/>
    <w:autoRedefine/>
    <w:qFormat/>
    <w:uiPriority w:val="0"/>
    <w:rPr>
      <w:rFonts w:hint="default" w:ascii="Times New Roman" w:hAnsi="Times New Roman" w:eastAsia="宋体" w:cs="Times New Roman"/>
      <w:snapToGrid/>
      <w:spacing w:val="4"/>
      <w:kern w:val="0"/>
      <w:sz w:val="24"/>
      <w:szCs w:val="24"/>
    </w:rPr>
  </w:style>
  <w:style w:type="character" w:customStyle="1" w:styleId="126">
    <w:name w:val="1 Char2"/>
    <w:basedOn w:val="38"/>
    <w:autoRedefine/>
    <w:qFormat/>
    <w:uiPriority w:val="0"/>
    <w:rPr>
      <w:rFonts w:hint="default" w:ascii="Arial" w:hAnsi="Arial" w:eastAsia="宋体" w:cs="Times New Roman"/>
      <w:color w:val="000000"/>
      <w:sz w:val="24"/>
      <w:szCs w:val="24"/>
    </w:rPr>
  </w:style>
  <w:style w:type="character" w:customStyle="1" w:styleId="127">
    <w:name w:val="文一 Char Char"/>
    <w:basedOn w:val="38"/>
    <w:autoRedefine/>
    <w:qFormat/>
    <w:uiPriority w:val="0"/>
    <w:rPr>
      <w:rFonts w:hint="eastAsia" w:ascii="宋体" w:hAnsi="宋体" w:eastAsia="宋体" w:cs="宋体"/>
      <w:snapToGrid/>
      <w:spacing w:val="4"/>
      <w:sz w:val="24"/>
      <w:szCs w:val="24"/>
      <w:lang w:val="en-US" w:eastAsia="zh-CN" w:bidi="ar"/>
    </w:rPr>
  </w:style>
  <w:style w:type="character" w:customStyle="1" w:styleId="128">
    <w:name w:val="1、 Char1"/>
    <w:basedOn w:val="38"/>
    <w:autoRedefine/>
    <w:qFormat/>
    <w:uiPriority w:val="0"/>
    <w:rPr>
      <w:rFonts w:hint="default" w:ascii="Arial" w:hAnsi="Arial" w:eastAsia="宋体" w:cs="Times New Roman"/>
      <w:color w:val="000000"/>
      <w:sz w:val="24"/>
      <w:szCs w:val="24"/>
    </w:rPr>
  </w:style>
  <w:style w:type="paragraph" w:customStyle="1" w:styleId="129">
    <w:name w:val="图表"/>
    <w:basedOn w:val="14"/>
    <w:autoRedefine/>
    <w:qFormat/>
    <w:uiPriority w:val="1"/>
    <w:pPr>
      <w:jc w:val="center"/>
    </w:pPr>
    <w:rPr>
      <w:sz w:val="18"/>
    </w:rPr>
  </w:style>
  <w:style w:type="paragraph" w:customStyle="1" w:styleId="130">
    <w:name w:val="Body text|1"/>
    <w:basedOn w:val="1"/>
    <w:autoRedefine/>
    <w:qFormat/>
    <w:uiPriority w:val="0"/>
    <w:pPr>
      <w:spacing w:line="441" w:lineRule="auto"/>
      <w:ind w:firstLine="400"/>
      <w:jc w:val="left"/>
    </w:pPr>
    <w:rPr>
      <w:rFonts w:ascii="宋体" w:hAnsi="宋体" w:cs="宋体"/>
      <w:color w:val="000000"/>
      <w:kern w:val="0"/>
      <w:sz w:val="20"/>
      <w:szCs w:val="20"/>
    </w:rPr>
  </w:style>
  <w:style w:type="paragraph" w:customStyle="1" w:styleId="131">
    <w:name w:val="Default"/>
    <w:autoRedefine/>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132">
    <w:name w:val="列出段落1"/>
    <w:basedOn w:val="1"/>
    <w:autoRedefine/>
    <w:qFormat/>
    <w:uiPriority w:val="99"/>
    <w:pPr>
      <w:ind w:firstLine="420" w:firstLineChars="200"/>
    </w:pPr>
    <w:rPr>
      <w:rFonts w:ascii="Times New Roman" w:hAnsi="Times New Roman"/>
      <w:szCs w:val="20"/>
    </w:rPr>
  </w:style>
  <w:style w:type="character" w:customStyle="1" w:styleId="133">
    <w:name w:val="15"/>
    <w:basedOn w:val="38"/>
    <w:autoRedefine/>
    <w:qFormat/>
    <w:uiPriority w:val="0"/>
    <w:rPr>
      <w:rFonts w:hint="default" w:ascii="Times New Roman" w:hAnsi="Times New Roman" w:cs="Times New Roman"/>
    </w:rPr>
  </w:style>
  <w:style w:type="character" w:customStyle="1" w:styleId="134">
    <w:name w:val="font01"/>
    <w:basedOn w:val="38"/>
    <w:autoRedefine/>
    <w:qFormat/>
    <w:uiPriority w:val="0"/>
    <w:rPr>
      <w:rFonts w:hint="eastAsia" w:ascii="宋体" w:hAnsi="宋体" w:eastAsia="宋体" w:cs="宋体"/>
      <w:color w:val="000000"/>
      <w:sz w:val="24"/>
      <w:szCs w:val="24"/>
      <w:u w:val="none"/>
    </w:rPr>
  </w:style>
  <w:style w:type="character" w:customStyle="1" w:styleId="135">
    <w:name w:val="font11"/>
    <w:basedOn w:val="38"/>
    <w:autoRedefine/>
    <w:qFormat/>
    <w:uiPriority w:val="0"/>
    <w:rPr>
      <w:rFonts w:hint="eastAsia" w:ascii="宋体" w:hAnsi="宋体" w:eastAsia="宋体" w:cs="宋体"/>
      <w:b/>
      <w:color w:val="FF0000"/>
      <w:sz w:val="24"/>
      <w:szCs w:val="24"/>
      <w:u w:val="single"/>
    </w:rPr>
  </w:style>
  <w:style w:type="character" w:customStyle="1" w:styleId="136">
    <w:name w:val="font41"/>
    <w:basedOn w:val="38"/>
    <w:autoRedefine/>
    <w:qFormat/>
    <w:uiPriority w:val="0"/>
    <w:rPr>
      <w:rFonts w:hint="eastAsia" w:ascii="宋体" w:hAnsi="宋体" w:eastAsia="宋体" w:cs="宋体"/>
      <w:b/>
      <w:bCs/>
      <w:color w:val="000000"/>
      <w:sz w:val="22"/>
      <w:szCs w:val="22"/>
      <w:u w:val="none"/>
    </w:rPr>
  </w:style>
  <w:style w:type="character" w:customStyle="1" w:styleId="137">
    <w:name w:val="font91"/>
    <w:basedOn w:val="38"/>
    <w:autoRedefine/>
    <w:qFormat/>
    <w:uiPriority w:val="0"/>
    <w:rPr>
      <w:rFonts w:hint="default" w:ascii="Times New Roman" w:hAnsi="Times New Roman" w:cs="Times New Roman"/>
      <w:b/>
      <w:bCs/>
      <w:color w:val="000000"/>
      <w:sz w:val="22"/>
      <w:szCs w:val="22"/>
      <w:u w:val="none"/>
    </w:rPr>
  </w:style>
  <w:style w:type="character" w:customStyle="1" w:styleId="138">
    <w:name w:val="font61"/>
    <w:basedOn w:val="38"/>
    <w:autoRedefine/>
    <w:qFormat/>
    <w:uiPriority w:val="0"/>
    <w:rPr>
      <w:rFonts w:hint="eastAsia" w:ascii="宋体" w:hAnsi="宋体" w:eastAsia="宋体" w:cs="宋体"/>
      <w:color w:val="000000"/>
      <w:sz w:val="22"/>
      <w:szCs w:val="22"/>
      <w:u w:val="none"/>
    </w:rPr>
  </w:style>
  <w:style w:type="character" w:customStyle="1" w:styleId="139">
    <w:name w:val="NormalCharacter"/>
    <w:autoRedefine/>
    <w:qFormat/>
    <w:uiPriority w:val="0"/>
    <w:rPr>
      <w:kern w:val="2"/>
      <w:sz w:val="21"/>
      <w:szCs w:val="22"/>
      <w:lang w:val="en-US" w:eastAsia="zh-CN" w:bidi="ar-SA"/>
    </w:rPr>
  </w:style>
  <w:style w:type="paragraph" w:customStyle="1" w:styleId="140">
    <w:name w:val="BodyText"/>
    <w:basedOn w:val="1"/>
    <w:autoRedefine/>
    <w:qFormat/>
    <w:uiPriority w:val="0"/>
    <w:pPr>
      <w:spacing w:after="120"/>
    </w:pPr>
    <w:rPr>
      <w:kern w:val="0"/>
      <w:sz w:val="20"/>
      <w:szCs w:val="20"/>
    </w:rPr>
  </w:style>
  <w:style w:type="paragraph" w:customStyle="1" w:styleId="141">
    <w:name w:val="正文 New New"/>
    <w:qFormat/>
    <w:uiPriority w:val="0"/>
    <w:pPr>
      <w:widowControl w:val="0"/>
      <w:jc w:val="both"/>
    </w:pPr>
    <w:rPr>
      <w:rFonts w:ascii="Times New Roman" w:hAnsi="Times New Roman" w:eastAsia="楷体_GB2312"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119</Pages>
  <Words>23564</Words>
  <Characters>24733</Characters>
  <Lines>530</Lines>
  <Paragraphs>149</Paragraphs>
  <TotalTime>0</TotalTime>
  <ScaleCrop>false</ScaleCrop>
  <LinksUpToDate>false</LinksUpToDate>
  <CharactersWithSpaces>25755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2024-05-10T05:40:00Z</dcterms:created>
  <dc:creator>bjzjg</dc:creator>
  <cp:lastModifiedBy>叶常红</cp:lastModifiedBy>
  <cp:lastPrinted>2024-11-01T02:59:29Z</cp:lastPrinted>
  <dcterms:modified xsi:type="dcterms:W3CDTF">2024-11-01T02:59:36Z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4ADBF80DF9A445C797F6A4D468BF83B3_13</vt:lpwstr>
  </property>
</Properties>
</file>