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rPr>
          <w:rFonts w:hint="default"/>
          <w:color w:val="auto"/>
          <w:highlight w:val="none"/>
        </w:rPr>
      </w:pPr>
      <w:r>
        <w:rPr>
          <w:color w:val="auto"/>
          <w:highlight w:val="none"/>
        </w:rPr>
        <w:t xml:space="preserve"> </w:t>
      </w:r>
      <w:bookmarkStart w:id="428" w:name="_GoBack"/>
      <w:bookmarkEnd w:id="428"/>
    </w:p>
    <w:p>
      <w:pPr>
        <w:spacing w:line="360" w:lineRule="auto"/>
        <w:jc w:val="center"/>
        <w:rPr>
          <w:rFonts w:hint="eastAsia" w:ascii="宋体" w:hAnsi="宋体" w:eastAsia="宋体" w:cs="宋体"/>
          <w:color w:val="auto"/>
          <w:sz w:val="44"/>
          <w:szCs w:val="44"/>
          <w:highlight w:val="none"/>
          <w:lang w:eastAsia="zh-CN"/>
        </w:rPr>
      </w:pPr>
      <w:r>
        <w:rPr>
          <w:rFonts w:hint="eastAsia" w:ascii="宋体" w:hAnsi="宋体" w:eastAsia="宋体" w:cs="宋体"/>
          <w:b/>
          <w:color w:val="auto"/>
          <w:sz w:val="44"/>
          <w:szCs w:val="44"/>
          <w:highlight w:val="none"/>
          <w:lang w:eastAsia="zh-CN"/>
        </w:rPr>
        <w:t>白云机场北花山镇城区道路承载力优化提升一期</w:t>
      </w:r>
      <w:r>
        <w:rPr>
          <w:rFonts w:hint="eastAsia" w:ascii="宋体" w:hAnsi="宋体" w:eastAsia="宋体" w:cs="宋体"/>
          <w:b/>
          <w:color w:val="auto"/>
          <w:sz w:val="44"/>
          <w:szCs w:val="44"/>
          <w:highlight w:val="none"/>
          <w:lang w:val="en-US" w:eastAsia="zh-CN"/>
        </w:rPr>
        <w:t>项目</w:t>
      </w:r>
      <w:r>
        <w:rPr>
          <w:rFonts w:hint="eastAsia" w:ascii="宋体" w:hAnsi="宋体" w:eastAsia="宋体" w:cs="宋体"/>
          <w:b/>
          <w:color w:val="auto"/>
          <w:sz w:val="44"/>
          <w:szCs w:val="44"/>
          <w:highlight w:val="none"/>
          <w:lang w:eastAsia="zh-CN"/>
        </w:rPr>
        <w:t>设计施工总承包</w:t>
      </w:r>
    </w:p>
    <w:p>
      <w:pPr>
        <w:pStyle w:val="12"/>
        <w:widowControl/>
        <w:jc w:val="center"/>
        <w:rPr>
          <w:rFonts w:hint="default" w:cs="宋体"/>
          <w:b/>
          <w:color w:val="auto"/>
          <w:sz w:val="44"/>
          <w:szCs w:val="44"/>
          <w:highlight w:val="none"/>
        </w:rPr>
      </w:pPr>
    </w:p>
    <w:p>
      <w:pPr>
        <w:pStyle w:val="12"/>
        <w:rPr>
          <w:rFonts w:hint="default"/>
          <w:color w:val="auto"/>
          <w:highlight w:val="none"/>
        </w:rPr>
      </w:pPr>
    </w:p>
    <w:p>
      <w:pPr>
        <w:pStyle w:val="12"/>
        <w:rPr>
          <w:rFonts w:hint="default"/>
          <w:color w:val="auto"/>
          <w:highlight w:val="none"/>
        </w:rPr>
      </w:pPr>
    </w:p>
    <w:p>
      <w:pPr>
        <w:pStyle w:val="12"/>
        <w:rPr>
          <w:rFonts w:hint="default"/>
          <w:color w:val="auto"/>
          <w:highlight w:val="none"/>
        </w:rPr>
      </w:pPr>
    </w:p>
    <w:p>
      <w:pPr>
        <w:pStyle w:val="12"/>
        <w:rPr>
          <w:rFonts w:hint="default"/>
          <w:color w:val="auto"/>
          <w:highlight w:val="none"/>
        </w:rPr>
      </w:pPr>
    </w:p>
    <w:p>
      <w:pPr>
        <w:pStyle w:val="12"/>
        <w:rPr>
          <w:rFonts w:hint="default"/>
          <w:color w:val="auto"/>
          <w:highlight w:val="none"/>
        </w:rPr>
      </w:pPr>
    </w:p>
    <w:p>
      <w:pPr>
        <w:jc w:val="center"/>
        <w:rPr>
          <w:rFonts w:ascii="宋体" w:hAnsi="宋体" w:eastAsia="宋体" w:cs="宋体"/>
          <w:color w:val="auto"/>
          <w:kern w:val="1"/>
          <w:sz w:val="72"/>
          <w:szCs w:val="72"/>
          <w:highlight w:val="none"/>
        </w:rPr>
      </w:pPr>
    </w:p>
    <w:p>
      <w:pPr>
        <w:jc w:val="center"/>
        <w:rPr>
          <w:rFonts w:ascii="宋体" w:hAnsi="宋体" w:eastAsia="宋体" w:cs="宋体"/>
          <w:color w:val="auto"/>
          <w:kern w:val="1"/>
          <w:sz w:val="84"/>
          <w:szCs w:val="84"/>
          <w:highlight w:val="none"/>
        </w:rPr>
      </w:pPr>
      <w:r>
        <w:rPr>
          <w:rFonts w:hint="eastAsia" w:ascii="宋体" w:hAnsi="宋体" w:eastAsia="宋体" w:cs="宋体"/>
          <w:b/>
          <w:bCs/>
          <w:color w:val="auto"/>
          <w:kern w:val="1"/>
          <w:sz w:val="84"/>
          <w:szCs w:val="84"/>
          <w:highlight w:val="none"/>
          <w:lang w:bidi="ar"/>
        </w:rPr>
        <w:t>招 标 文 件</w:t>
      </w:r>
    </w:p>
    <w:p>
      <w:pPr>
        <w:jc w:val="center"/>
        <w:rPr>
          <w:rFonts w:ascii="宋体" w:hAnsi="宋体" w:eastAsia="宋体" w:cs="宋体"/>
          <w:color w:val="auto"/>
          <w:kern w:val="1"/>
          <w:sz w:val="48"/>
          <w:szCs w:val="21"/>
          <w:highlight w:val="none"/>
        </w:rPr>
      </w:pPr>
    </w:p>
    <w:p>
      <w:pPr>
        <w:jc w:val="center"/>
        <w:rPr>
          <w:rFonts w:ascii="宋体" w:hAnsi="宋体" w:eastAsia="宋体" w:cs="宋体"/>
          <w:color w:val="auto"/>
          <w:kern w:val="1"/>
          <w:sz w:val="32"/>
          <w:szCs w:val="32"/>
          <w:highlight w:val="none"/>
        </w:rPr>
      </w:pPr>
    </w:p>
    <w:p>
      <w:pPr>
        <w:pStyle w:val="12"/>
        <w:rPr>
          <w:rFonts w:hint="default"/>
          <w:color w:val="auto"/>
          <w:highlight w:val="none"/>
        </w:rPr>
      </w:pPr>
    </w:p>
    <w:p>
      <w:pPr>
        <w:pStyle w:val="12"/>
        <w:rPr>
          <w:rFonts w:hint="default"/>
          <w:color w:val="auto"/>
          <w:highlight w:val="none"/>
        </w:rPr>
      </w:pPr>
    </w:p>
    <w:p>
      <w:pPr>
        <w:spacing w:line="400" w:lineRule="exact"/>
        <w:jc w:val="center"/>
        <w:rPr>
          <w:rFonts w:ascii="宋体" w:hAnsi="宋体" w:eastAsia="宋体" w:cs="宋体"/>
          <w:color w:val="auto"/>
          <w:kern w:val="1"/>
          <w:highlight w:val="none"/>
        </w:rPr>
      </w:pPr>
    </w:p>
    <w:p>
      <w:pPr>
        <w:pStyle w:val="12"/>
        <w:rPr>
          <w:rFonts w:hint="default"/>
          <w:color w:val="auto"/>
          <w:highlight w:val="none"/>
        </w:rPr>
      </w:pPr>
    </w:p>
    <w:p>
      <w:pPr>
        <w:pStyle w:val="12"/>
        <w:rPr>
          <w:rFonts w:hint="default"/>
          <w:color w:val="auto"/>
          <w:highlight w:val="none"/>
        </w:rPr>
      </w:pPr>
    </w:p>
    <w:p>
      <w:pPr>
        <w:spacing w:line="400" w:lineRule="exact"/>
        <w:jc w:val="center"/>
        <w:rPr>
          <w:rFonts w:ascii="宋体" w:hAnsi="宋体" w:eastAsia="宋体" w:cs="宋体"/>
          <w:color w:val="auto"/>
          <w:kern w:val="1"/>
          <w:highlight w:val="none"/>
        </w:rPr>
      </w:pPr>
    </w:p>
    <w:p>
      <w:pPr>
        <w:spacing w:line="400" w:lineRule="exact"/>
        <w:jc w:val="center"/>
        <w:rPr>
          <w:rFonts w:ascii="宋体" w:hAnsi="宋体" w:eastAsia="宋体" w:cs="宋体"/>
          <w:color w:val="auto"/>
          <w:kern w:val="1"/>
          <w:highlight w:val="none"/>
        </w:rPr>
      </w:pPr>
    </w:p>
    <w:p>
      <w:pPr>
        <w:spacing w:line="400" w:lineRule="exact"/>
        <w:rPr>
          <w:rFonts w:ascii="宋体" w:hAnsi="宋体" w:eastAsia="宋体" w:cs="宋体"/>
          <w:color w:val="auto"/>
          <w:kern w:val="1"/>
          <w:highlight w:val="none"/>
        </w:rPr>
      </w:pPr>
    </w:p>
    <w:p>
      <w:pPr>
        <w:spacing w:line="480" w:lineRule="auto"/>
        <w:ind w:firstLine="961" w:firstLineChars="300"/>
        <w:outlineLvl w:val="0"/>
        <w:rPr>
          <w:rFonts w:hint="eastAsia" w:ascii="宋体" w:hAnsi="宋体" w:eastAsia="宋体" w:cs="宋体"/>
          <w:b/>
          <w:color w:val="auto"/>
          <w:kern w:val="1"/>
          <w:sz w:val="32"/>
          <w:szCs w:val="32"/>
          <w:highlight w:val="none"/>
          <w:lang w:eastAsia="zh-CN"/>
        </w:rPr>
      </w:pPr>
      <w:bookmarkStart w:id="0" w:name="_Toc27958"/>
      <w:r>
        <w:rPr>
          <w:rFonts w:hint="eastAsia" w:ascii="宋体" w:hAnsi="宋体" w:eastAsia="宋体" w:cs="宋体"/>
          <w:b/>
          <w:color w:val="auto"/>
          <w:kern w:val="1"/>
          <w:sz w:val="32"/>
          <w:szCs w:val="32"/>
          <w:highlight w:val="none"/>
          <w:lang w:bidi="ar"/>
        </w:rPr>
        <w:t>招   标   人：</w:t>
      </w:r>
      <w:bookmarkEnd w:id="0"/>
      <w:r>
        <w:rPr>
          <w:rFonts w:hint="eastAsia" w:ascii="宋体" w:hAnsi="宋体" w:eastAsia="宋体" w:cs="宋体"/>
          <w:b/>
          <w:color w:val="auto"/>
          <w:kern w:val="1"/>
          <w:sz w:val="32"/>
          <w:szCs w:val="32"/>
          <w:highlight w:val="none"/>
          <w:u w:val="single"/>
          <w:lang w:eastAsia="zh-CN" w:bidi="ar"/>
        </w:rPr>
        <w:t>广州市花都区花山镇人民政府</w:t>
      </w:r>
    </w:p>
    <w:p>
      <w:pPr>
        <w:spacing w:line="480" w:lineRule="auto"/>
        <w:ind w:firstLine="961" w:firstLineChars="300"/>
        <w:outlineLvl w:val="0"/>
        <w:rPr>
          <w:rFonts w:hint="eastAsia" w:ascii="宋体" w:hAnsi="宋体" w:eastAsia="宋体" w:cs="宋体"/>
          <w:b/>
          <w:color w:val="auto"/>
          <w:kern w:val="1"/>
          <w:sz w:val="32"/>
          <w:szCs w:val="32"/>
          <w:highlight w:val="none"/>
          <w:u w:val="single"/>
          <w:lang w:eastAsia="zh-CN"/>
        </w:rPr>
      </w:pPr>
      <w:bookmarkStart w:id="1" w:name="_Toc10635"/>
      <w:r>
        <w:rPr>
          <w:rFonts w:hint="eastAsia" w:ascii="宋体" w:hAnsi="宋体" w:eastAsia="宋体" w:cs="宋体"/>
          <w:b/>
          <w:color w:val="auto"/>
          <w:kern w:val="1"/>
          <w:sz w:val="32"/>
          <w:szCs w:val="32"/>
          <w:highlight w:val="none"/>
          <w:lang w:bidi="ar"/>
        </w:rPr>
        <w:t>招标代理机构：</w:t>
      </w:r>
      <w:bookmarkEnd w:id="1"/>
      <w:r>
        <w:rPr>
          <w:rFonts w:hint="eastAsia" w:ascii="宋体" w:hAnsi="宋体" w:eastAsia="宋体" w:cs="宋体"/>
          <w:b/>
          <w:color w:val="auto"/>
          <w:kern w:val="1"/>
          <w:sz w:val="32"/>
          <w:szCs w:val="32"/>
          <w:highlight w:val="none"/>
          <w:u w:val="single"/>
          <w:lang w:eastAsia="zh-CN" w:bidi="ar"/>
        </w:rPr>
        <w:t>广东省国际工程咨询有限公司</w:t>
      </w:r>
    </w:p>
    <w:p>
      <w:pPr>
        <w:pStyle w:val="22"/>
        <w:widowControl/>
        <w:ind w:firstLine="961" w:firstLineChars="300"/>
        <w:outlineLvl w:val="0"/>
        <w:rPr>
          <w:rFonts w:ascii="宋体" w:hAnsi="宋体" w:cs="宋体"/>
          <w:b/>
          <w:color w:val="auto"/>
          <w:kern w:val="1"/>
          <w:sz w:val="32"/>
          <w:szCs w:val="32"/>
          <w:highlight w:val="none"/>
          <w:u w:val="none"/>
        </w:rPr>
      </w:pPr>
      <w:bookmarkStart w:id="2" w:name="_Toc11650"/>
      <w:r>
        <w:rPr>
          <w:rFonts w:hint="eastAsia" w:ascii="宋体" w:hAnsi="宋体" w:cs="宋体"/>
          <w:b/>
          <w:color w:val="auto"/>
          <w:kern w:val="1"/>
          <w:sz w:val="32"/>
          <w:szCs w:val="32"/>
          <w:highlight w:val="none"/>
        </w:rPr>
        <w:t>日        期：</w:t>
      </w:r>
      <w:r>
        <w:rPr>
          <w:rFonts w:hint="eastAsia" w:ascii="宋体" w:hAnsi="宋体" w:cs="宋体"/>
          <w:b/>
          <w:color w:val="auto"/>
          <w:kern w:val="1"/>
          <w:sz w:val="32"/>
          <w:szCs w:val="32"/>
          <w:highlight w:val="none"/>
          <w:u w:val="single"/>
        </w:rPr>
        <w:t>2024</w:t>
      </w:r>
      <w:r>
        <w:rPr>
          <w:rFonts w:hint="eastAsia" w:ascii="宋体" w:hAnsi="宋体" w:cs="宋体"/>
          <w:b/>
          <w:color w:val="auto"/>
          <w:kern w:val="1"/>
          <w:sz w:val="32"/>
          <w:szCs w:val="32"/>
          <w:highlight w:val="none"/>
        </w:rPr>
        <w:t>年</w:t>
      </w:r>
      <w:bookmarkStart w:id="3" w:name="_Toc247527532"/>
      <w:bookmarkEnd w:id="3"/>
      <w:bookmarkStart w:id="4" w:name="_Toc367729707"/>
      <w:bookmarkEnd w:id="4"/>
      <w:bookmarkStart w:id="5" w:name="_Toc300834926"/>
      <w:bookmarkEnd w:id="5"/>
      <w:bookmarkStart w:id="6" w:name="_Toc152042286"/>
      <w:bookmarkEnd w:id="6"/>
      <w:bookmarkStart w:id="7" w:name="_Toc144974478"/>
      <w:bookmarkEnd w:id="7"/>
      <w:r>
        <w:rPr>
          <w:rFonts w:hint="eastAsia" w:ascii="宋体" w:hAnsi="宋体" w:cs="宋体"/>
          <w:b/>
          <w:color w:val="auto"/>
          <w:kern w:val="1"/>
          <w:sz w:val="32"/>
          <w:szCs w:val="32"/>
          <w:highlight w:val="none"/>
          <w:u w:val="single"/>
          <w:lang w:val="en-US" w:eastAsia="zh-CN"/>
        </w:rPr>
        <w:t>10</w:t>
      </w:r>
      <w:r>
        <w:rPr>
          <w:rFonts w:hint="eastAsia" w:ascii="宋体" w:hAnsi="宋体" w:cs="宋体"/>
          <w:b/>
          <w:color w:val="auto"/>
          <w:kern w:val="1"/>
          <w:sz w:val="32"/>
          <w:szCs w:val="32"/>
          <w:highlight w:val="none"/>
          <w:u w:val="none"/>
        </w:rPr>
        <w:t>月</w:t>
      </w:r>
      <w:bookmarkEnd w:id="2"/>
    </w:p>
    <w:p>
      <w:pPr>
        <w:spacing w:line="480" w:lineRule="auto"/>
        <w:rPr>
          <w:rFonts w:ascii="宋体" w:hAnsi="宋体" w:eastAsia="宋体" w:cs="宋体"/>
          <w:b/>
          <w:color w:val="auto"/>
          <w:sz w:val="28"/>
          <w:highlight w:val="none"/>
          <w:lang w:bidi="ar"/>
        </w:rPr>
        <w:sectPr>
          <w:pgSz w:w="11906" w:h="16838"/>
          <w:pgMar w:top="1440" w:right="1134" w:bottom="1440" w:left="1134" w:header="851" w:footer="992" w:gutter="0"/>
          <w:pgNumType w:start="0"/>
          <w:cols w:space="425" w:num="1"/>
          <w:docGrid w:type="lines" w:linePitch="312" w:charSpace="0"/>
        </w:sectPr>
      </w:pPr>
    </w:p>
    <w:sdt>
      <w:sdtPr>
        <w:rPr>
          <w:rFonts w:ascii="宋体" w:hAnsi="宋体" w:eastAsia="宋体" w:cs="Times New Roman"/>
          <w:b/>
          <w:caps/>
          <w:color w:val="auto"/>
          <w:kern w:val="1"/>
          <w:sz w:val="20"/>
          <w:szCs w:val="20"/>
          <w:highlight w:val="none"/>
        </w:rPr>
        <w:id w:val="147472369"/>
        <w15:color w:val="DBDBDB"/>
        <w:docPartObj>
          <w:docPartGallery w:val="Table of Contents"/>
          <w:docPartUnique/>
        </w:docPartObj>
      </w:sdtPr>
      <w:sdtEndPr>
        <w:rPr>
          <w:rFonts w:ascii="宋体" w:hAnsi="宋体" w:cs="宋体" w:eastAsiaTheme="minorEastAsia"/>
          <w:b w:val="0"/>
          <w:caps w:val="0"/>
          <w:color w:val="auto"/>
          <w:kern w:val="2"/>
          <w:sz w:val="21"/>
          <w:szCs w:val="24"/>
          <w:highlight w:val="none"/>
        </w:rPr>
      </w:sdtEndPr>
      <w:sdtContent>
        <w:p>
          <w:pPr>
            <w:pStyle w:val="71"/>
            <w:rPr>
              <w:color w:val="auto"/>
              <w:highlight w:val="none"/>
            </w:rPr>
          </w:pPr>
        </w:p>
        <w:p>
          <w:pPr>
            <w:jc w:val="center"/>
            <w:rPr>
              <w:rFonts w:ascii="宋体" w:hAnsi="宋体" w:eastAsia="宋体" w:cs="宋体"/>
              <w:b/>
              <w:bCs/>
              <w:color w:val="auto"/>
              <w:sz w:val="28"/>
              <w:szCs w:val="28"/>
              <w:highlight w:val="none"/>
            </w:rPr>
          </w:pPr>
          <w:bookmarkStart w:id="8" w:name="_Toc152045526"/>
          <w:bookmarkEnd w:id="8"/>
          <w:bookmarkStart w:id="9" w:name="_Toc144974494"/>
          <w:bookmarkEnd w:id="9"/>
          <w:bookmarkStart w:id="10" w:name="_Toc152042303"/>
          <w:bookmarkEnd w:id="10"/>
          <w:bookmarkStart w:id="11" w:name="_Toc247513950"/>
          <w:bookmarkEnd w:id="11"/>
          <w:bookmarkStart w:id="12" w:name="_Toc152045527"/>
          <w:bookmarkEnd w:id="12"/>
          <w:bookmarkStart w:id="13" w:name="_Toc247513949"/>
          <w:bookmarkEnd w:id="13"/>
          <w:bookmarkStart w:id="14" w:name="_Toc443505819"/>
          <w:bookmarkEnd w:id="14"/>
          <w:bookmarkStart w:id="15" w:name="_Toc247527551"/>
          <w:bookmarkEnd w:id="15"/>
          <w:bookmarkStart w:id="16" w:name="_Toc152042302"/>
          <w:bookmarkEnd w:id="16"/>
          <w:bookmarkStart w:id="17" w:name="_Toc247527550"/>
          <w:bookmarkEnd w:id="17"/>
          <w:bookmarkStart w:id="18" w:name="_Toc144974495"/>
          <w:bookmarkEnd w:id="18"/>
          <w:r>
            <w:rPr>
              <w:rFonts w:hint="eastAsia" w:ascii="宋体" w:hAnsi="宋体" w:eastAsia="宋体" w:cs="宋体"/>
              <w:b/>
              <w:bCs/>
              <w:color w:val="auto"/>
              <w:sz w:val="28"/>
              <w:szCs w:val="28"/>
              <w:highlight w:val="none"/>
            </w:rPr>
            <w:t>目录</w:t>
          </w:r>
        </w:p>
        <w:p>
          <w:pPr>
            <w:pStyle w:val="71"/>
            <w:rPr>
              <w:rFonts w:ascii="宋体" w:hAnsi="宋体" w:cs="宋体"/>
              <w:b/>
              <w:bCs/>
              <w:color w:val="auto"/>
              <w:sz w:val="28"/>
              <w:szCs w:val="28"/>
              <w:highlight w:val="none"/>
            </w:rPr>
          </w:pP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TOC \o "1-1" \h \u </w:instrText>
          </w:r>
          <w:r>
            <w:rPr>
              <w:rFonts w:hint="eastAsia" w:ascii="宋体" w:hAnsi="宋体" w:cs="宋体"/>
              <w:b/>
              <w:bCs/>
              <w:color w:val="auto"/>
              <w:sz w:val="28"/>
              <w:szCs w:val="28"/>
              <w:highlight w:val="none"/>
            </w:rPr>
            <w:fldChar w:fldCharType="separate"/>
          </w:r>
        </w:p>
        <w:p>
          <w:pPr>
            <w:pStyle w:val="71"/>
            <w:rPr>
              <w:rFonts w:ascii="宋体" w:hAnsi="宋体" w:cs="宋体"/>
              <w:b/>
              <w:bCs/>
              <w:color w:val="auto"/>
              <w:sz w:val="28"/>
              <w:szCs w:val="28"/>
              <w:highlight w:val="none"/>
            </w:rPr>
          </w:pPr>
          <w:r>
            <w:rPr>
              <w:color w:val="auto"/>
              <w:highlight w:val="none"/>
            </w:rPr>
            <w:fldChar w:fldCharType="begin"/>
          </w:r>
          <w:r>
            <w:rPr>
              <w:color w:val="auto"/>
              <w:highlight w:val="none"/>
            </w:rPr>
            <w:instrText xml:space="preserve"> HYPERLINK \l "_Toc26212" </w:instrText>
          </w:r>
          <w:r>
            <w:rPr>
              <w:color w:val="auto"/>
              <w:highlight w:val="none"/>
            </w:rPr>
            <w:fldChar w:fldCharType="separate"/>
          </w:r>
          <w:r>
            <w:rPr>
              <w:rFonts w:hint="eastAsia" w:ascii="宋体" w:hAnsi="宋体" w:cs="宋体"/>
              <w:b/>
              <w:bCs/>
              <w:color w:val="auto"/>
              <w:kern w:val="1"/>
              <w:sz w:val="28"/>
              <w:szCs w:val="28"/>
              <w:highlight w:val="none"/>
            </w:rPr>
            <w:t>第一章 招标公告（另册）</w:t>
          </w:r>
          <w:r>
            <w:rPr>
              <w:rFonts w:hint="eastAsia" w:ascii="宋体" w:hAnsi="宋体" w:cs="宋体"/>
              <w:b/>
              <w:bCs/>
              <w:color w:val="auto"/>
              <w:sz w:val="28"/>
              <w:szCs w:val="28"/>
              <w:highlight w:val="none"/>
            </w:rPr>
            <w:tab/>
          </w: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PAGEREF _Toc26212 \h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2</w:t>
          </w:r>
          <w:r>
            <w:rPr>
              <w:rFonts w:hint="eastAsia" w:ascii="宋体" w:hAnsi="宋体" w:cs="宋体"/>
              <w:b/>
              <w:bCs/>
              <w:color w:val="auto"/>
              <w:sz w:val="28"/>
              <w:szCs w:val="28"/>
              <w:highlight w:val="none"/>
            </w:rPr>
            <w:fldChar w:fldCharType="end"/>
          </w:r>
          <w:r>
            <w:rPr>
              <w:rFonts w:hint="eastAsia" w:ascii="宋体" w:hAnsi="宋体" w:cs="宋体"/>
              <w:b/>
              <w:bCs/>
              <w:color w:val="auto"/>
              <w:sz w:val="28"/>
              <w:szCs w:val="28"/>
              <w:highlight w:val="none"/>
            </w:rPr>
            <w:fldChar w:fldCharType="end"/>
          </w:r>
        </w:p>
        <w:p>
          <w:pPr>
            <w:pStyle w:val="71"/>
            <w:rPr>
              <w:rFonts w:ascii="宋体" w:hAnsi="宋体" w:cs="宋体"/>
              <w:b/>
              <w:bCs/>
              <w:color w:val="auto"/>
              <w:sz w:val="28"/>
              <w:szCs w:val="28"/>
              <w:highlight w:val="none"/>
            </w:rPr>
          </w:pPr>
          <w:r>
            <w:rPr>
              <w:color w:val="auto"/>
              <w:highlight w:val="none"/>
            </w:rPr>
            <w:fldChar w:fldCharType="begin"/>
          </w:r>
          <w:r>
            <w:rPr>
              <w:color w:val="auto"/>
              <w:highlight w:val="none"/>
            </w:rPr>
            <w:instrText xml:space="preserve"> HYPERLINK \l "_Toc24152" </w:instrText>
          </w:r>
          <w:r>
            <w:rPr>
              <w:color w:val="auto"/>
              <w:highlight w:val="none"/>
            </w:rPr>
            <w:fldChar w:fldCharType="separate"/>
          </w:r>
          <w:r>
            <w:rPr>
              <w:rFonts w:hint="eastAsia" w:ascii="宋体" w:hAnsi="宋体" w:cs="宋体"/>
              <w:b/>
              <w:bCs/>
              <w:color w:val="auto"/>
              <w:kern w:val="1"/>
              <w:sz w:val="28"/>
              <w:szCs w:val="28"/>
              <w:highlight w:val="none"/>
            </w:rPr>
            <w:t>第二章 投标人须知</w:t>
          </w:r>
          <w:r>
            <w:rPr>
              <w:rFonts w:hint="eastAsia" w:ascii="宋体" w:hAnsi="宋体" w:cs="宋体"/>
              <w:b/>
              <w:bCs/>
              <w:color w:val="auto"/>
              <w:sz w:val="28"/>
              <w:szCs w:val="28"/>
              <w:highlight w:val="none"/>
            </w:rPr>
            <w:tab/>
          </w: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PAGEREF _Toc24152 \h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3</w:t>
          </w:r>
          <w:r>
            <w:rPr>
              <w:rFonts w:hint="eastAsia" w:ascii="宋体" w:hAnsi="宋体" w:cs="宋体"/>
              <w:b/>
              <w:bCs/>
              <w:color w:val="auto"/>
              <w:sz w:val="28"/>
              <w:szCs w:val="28"/>
              <w:highlight w:val="none"/>
            </w:rPr>
            <w:fldChar w:fldCharType="end"/>
          </w:r>
          <w:r>
            <w:rPr>
              <w:rFonts w:hint="eastAsia" w:ascii="宋体" w:hAnsi="宋体" w:cs="宋体"/>
              <w:b/>
              <w:bCs/>
              <w:color w:val="auto"/>
              <w:sz w:val="28"/>
              <w:szCs w:val="28"/>
              <w:highlight w:val="none"/>
            </w:rPr>
            <w:fldChar w:fldCharType="end"/>
          </w:r>
        </w:p>
        <w:p>
          <w:pPr>
            <w:pStyle w:val="71"/>
            <w:rPr>
              <w:rFonts w:ascii="宋体" w:hAnsi="宋体" w:cs="宋体"/>
              <w:b/>
              <w:bCs/>
              <w:color w:val="auto"/>
              <w:sz w:val="28"/>
              <w:szCs w:val="28"/>
              <w:highlight w:val="none"/>
            </w:rPr>
          </w:pPr>
          <w:r>
            <w:rPr>
              <w:color w:val="auto"/>
              <w:highlight w:val="none"/>
            </w:rPr>
            <w:fldChar w:fldCharType="begin"/>
          </w:r>
          <w:r>
            <w:rPr>
              <w:color w:val="auto"/>
              <w:highlight w:val="none"/>
            </w:rPr>
            <w:instrText xml:space="preserve"> HYPERLINK \l "_Toc2959" </w:instrText>
          </w:r>
          <w:r>
            <w:rPr>
              <w:color w:val="auto"/>
              <w:highlight w:val="none"/>
            </w:rPr>
            <w:fldChar w:fldCharType="separate"/>
          </w:r>
          <w:r>
            <w:rPr>
              <w:rFonts w:hint="eastAsia" w:ascii="宋体" w:hAnsi="宋体" w:cs="宋体"/>
              <w:b/>
              <w:bCs/>
              <w:color w:val="auto"/>
              <w:kern w:val="1"/>
              <w:sz w:val="28"/>
              <w:szCs w:val="28"/>
              <w:highlight w:val="none"/>
            </w:rPr>
            <w:t>第三章 评标办法（综合评估法）</w:t>
          </w:r>
          <w:r>
            <w:rPr>
              <w:rFonts w:hint="eastAsia" w:ascii="宋体" w:hAnsi="宋体" w:cs="宋体"/>
              <w:b/>
              <w:bCs/>
              <w:color w:val="auto"/>
              <w:sz w:val="28"/>
              <w:szCs w:val="28"/>
              <w:highlight w:val="none"/>
            </w:rPr>
            <w:tab/>
          </w: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PAGEREF _Toc2959 \h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28</w:t>
          </w:r>
          <w:r>
            <w:rPr>
              <w:rFonts w:hint="eastAsia" w:ascii="宋体" w:hAnsi="宋体" w:cs="宋体"/>
              <w:b/>
              <w:bCs/>
              <w:color w:val="auto"/>
              <w:sz w:val="28"/>
              <w:szCs w:val="28"/>
              <w:highlight w:val="none"/>
            </w:rPr>
            <w:fldChar w:fldCharType="end"/>
          </w:r>
          <w:r>
            <w:rPr>
              <w:rFonts w:hint="eastAsia" w:ascii="宋体" w:hAnsi="宋体" w:cs="宋体"/>
              <w:b/>
              <w:bCs/>
              <w:color w:val="auto"/>
              <w:sz w:val="28"/>
              <w:szCs w:val="28"/>
              <w:highlight w:val="none"/>
            </w:rPr>
            <w:fldChar w:fldCharType="end"/>
          </w:r>
        </w:p>
        <w:p>
          <w:pPr>
            <w:pStyle w:val="71"/>
            <w:rPr>
              <w:rFonts w:ascii="宋体" w:hAnsi="宋体" w:cs="宋体"/>
              <w:b/>
              <w:bCs/>
              <w:color w:val="auto"/>
              <w:sz w:val="28"/>
              <w:szCs w:val="28"/>
              <w:highlight w:val="none"/>
            </w:rPr>
          </w:pPr>
          <w:r>
            <w:rPr>
              <w:color w:val="auto"/>
              <w:highlight w:val="none"/>
            </w:rPr>
            <w:fldChar w:fldCharType="begin"/>
          </w:r>
          <w:r>
            <w:rPr>
              <w:color w:val="auto"/>
              <w:highlight w:val="none"/>
            </w:rPr>
            <w:instrText xml:space="preserve"> HYPERLINK \l "_Toc31328" </w:instrText>
          </w:r>
          <w:r>
            <w:rPr>
              <w:color w:val="auto"/>
              <w:highlight w:val="none"/>
            </w:rPr>
            <w:fldChar w:fldCharType="separate"/>
          </w:r>
          <w:r>
            <w:rPr>
              <w:rFonts w:hint="eastAsia" w:ascii="宋体" w:hAnsi="宋体" w:cs="宋体"/>
              <w:b/>
              <w:bCs/>
              <w:color w:val="auto"/>
              <w:kern w:val="1"/>
              <w:sz w:val="28"/>
              <w:szCs w:val="28"/>
              <w:highlight w:val="none"/>
            </w:rPr>
            <w:t>第四章 合同条款及格式</w:t>
          </w:r>
          <w:r>
            <w:rPr>
              <w:rFonts w:hint="eastAsia" w:ascii="宋体" w:hAnsi="宋体" w:cs="宋体"/>
              <w:b/>
              <w:bCs/>
              <w:color w:val="auto"/>
              <w:sz w:val="28"/>
              <w:szCs w:val="28"/>
              <w:highlight w:val="none"/>
            </w:rPr>
            <w:tab/>
          </w: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PAGEREF _Toc31328 \h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43</w:t>
          </w:r>
          <w:r>
            <w:rPr>
              <w:rFonts w:hint="eastAsia" w:ascii="宋体" w:hAnsi="宋体" w:cs="宋体"/>
              <w:b/>
              <w:bCs/>
              <w:color w:val="auto"/>
              <w:sz w:val="28"/>
              <w:szCs w:val="28"/>
              <w:highlight w:val="none"/>
            </w:rPr>
            <w:fldChar w:fldCharType="end"/>
          </w:r>
          <w:r>
            <w:rPr>
              <w:rFonts w:hint="eastAsia" w:ascii="宋体" w:hAnsi="宋体" w:cs="宋体"/>
              <w:b/>
              <w:bCs/>
              <w:color w:val="auto"/>
              <w:sz w:val="28"/>
              <w:szCs w:val="28"/>
              <w:highlight w:val="none"/>
            </w:rPr>
            <w:fldChar w:fldCharType="end"/>
          </w:r>
        </w:p>
        <w:p>
          <w:pPr>
            <w:pStyle w:val="71"/>
            <w:rPr>
              <w:rFonts w:ascii="宋体" w:hAnsi="宋体" w:cs="宋体"/>
              <w:b/>
              <w:bCs/>
              <w:color w:val="auto"/>
              <w:sz w:val="28"/>
              <w:szCs w:val="28"/>
              <w:highlight w:val="none"/>
            </w:rPr>
          </w:pPr>
          <w:r>
            <w:rPr>
              <w:color w:val="auto"/>
              <w:highlight w:val="none"/>
            </w:rPr>
            <w:fldChar w:fldCharType="begin"/>
          </w:r>
          <w:r>
            <w:rPr>
              <w:color w:val="auto"/>
              <w:highlight w:val="none"/>
            </w:rPr>
            <w:instrText xml:space="preserve"> HYPERLINK \l "_Toc4162" </w:instrText>
          </w:r>
          <w:r>
            <w:rPr>
              <w:color w:val="auto"/>
              <w:highlight w:val="none"/>
            </w:rPr>
            <w:fldChar w:fldCharType="separate"/>
          </w:r>
          <w:r>
            <w:rPr>
              <w:rFonts w:hint="eastAsia" w:ascii="宋体" w:hAnsi="宋体" w:cs="宋体"/>
              <w:b/>
              <w:bCs/>
              <w:color w:val="auto"/>
              <w:sz w:val="28"/>
              <w:szCs w:val="28"/>
              <w:highlight w:val="none"/>
            </w:rPr>
            <w:t>第五章 招标人要求</w:t>
          </w:r>
          <w:r>
            <w:rPr>
              <w:rFonts w:hint="eastAsia" w:ascii="宋体" w:hAnsi="宋体" w:cs="宋体"/>
              <w:b/>
              <w:bCs/>
              <w:color w:val="auto"/>
              <w:sz w:val="28"/>
              <w:szCs w:val="28"/>
              <w:highlight w:val="none"/>
            </w:rPr>
            <w:tab/>
          </w: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PAGEREF _Toc4162 \h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44</w:t>
          </w:r>
          <w:r>
            <w:rPr>
              <w:rFonts w:hint="eastAsia" w:ascii="宋体" w:hAnsi="宋体" w:cs="宋体"/>
              <w:b/>
              <w:bCs/>
              <w:color w:val="auto"/>
              <w:sz w:val="28"/>
              <w:szCs w:val="28"/>
              <w:highlight w:val="none"/>
            </w:rPr>
            <w:fldChar w:fldCharType="end"/>
          </w:r>
          <w:r>
            <w:rPr>
              <w:rFonts w:hint="eastAsia" w:ascii="宋体" w:hAnsi="宋体" w:cs="宋体"/>
              <w:b/>
              <w:bCs/>
              <w:color w:val="auto"/>
              <w:sz w:val="28"/>
              <w:szCs w:val="28"/>
              <w:highlight w:val="none"/>
            </w:rPr>
            <w:fldChar w:fldCharType="end"/>
          </w:r>
        </w:p>
        <w:p>
          <w:pPr>
            <w:pStyle w:val="71"/>
            <w:rPr>
              <w:rFonts w:ascii="宋体" w:hAnsi="宋体" w:cs="宋体"/>
              <w:b/>
              <w:bCs/>
              <w:color w:val="auto"/>
              <w:sz w:val="28"/>
              <w:szCs w:val="28"/>
              <w:highlight w:val="none"/>
            </w:rPr>
          </w:pPr>
          <w:r>
            <w:rPr>
              <w:color w:val="auto"/>
              <w:highlight w:val="none"/>
            </w:rPr>
            <w:fldChar w:fldCharType="begin"/>
          </w:r>
          <w:r>
            <w:rPr>
              <w:color w:val="auto"/>
              <w:highlight w:val="none"/>
            </w:rPr>
            <w:instrText xml:space="preserve"> HYPERLINK \l "_Toc13260" </w:instrText>
          </w:r>
          <w:r>
            <w:rPr>
              <w:color w:val="auto"/>
              <w:highlight w:val="none"/>
            </w:rPr>
            <w:fldChar w:fldCharType="separate"/>
          </w:r>
          <w:r>
            <w:rPr>
              <w:rFonts w:hint="eastAsia" w:ascii="宋体" w:hAnsi="宋体" w:cs="宋体"/>
              <w:b/>
              <w:bCs/>
              <w:color w:val="auto"/>
              <w:sz w:val="28"/>
              <w:szCs w:val="28"/>
              <w:highlight w:val="none"/>
            </w:rPr>
            <w:t>第六章 招标人提供的资料</w:t>
          </w:r>
          <w:r>
            <w:rPr>
              <w:rFonts w:hint="eastAsia" w:ascii="宋体" w:hAnsi="宋体" w:cs="宋体"/>
              <w:b/>
              <w:bCs/>
              <w:color w:val="auto"/>
              <w:sz w:val="28"/>
              <w:szCs w:val="28"/>
              <w:highlight w:val="none"/>
            </w:rPr>
            <w:tab/>
          </w: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PAGEREF _Toc13260 \h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49</w:t>
          </w:r>
          <w:r>
            <w:rPr>
              <w:rFonts w:hint="eastAsia" w:ascii="宋体" w:hAnsi="宋体" w:cs="宋体"/>
              <w:b/>
              <w:bCs/>
              <w:color w:val="auto"/>
              <w:sz w:val="28"/>
              <w:szCs w:val="28"/>
              <w:highlight w:val="none"/>
            </w:rPr>
            <w:fldChar w:fldCharType="end"/>
          </w:r>
          <w:r>
            <w:rPr>
              <w:rFonts w:hint="eastAsia" w:ascii="宋体" w:hAnsi="宋体" w:cs="宋体"/>
              <w:b/>
              <w:bCs/>
              <w:color w:val="auto"/>
              <w:sz w:val="28"/>
              <w:szCs w:val="28"/>
              <w:highlight w:val="none"/>
            </w:rPr>
            <w:fldChar w:fldCharType="end"/>
          </w:r>
        </w:p>
        <w:p>
          <w:pPr>
            <w:pStyle w:val="71"/>
            <w:rPr>
              <w:rFonts w:ascii="宋体" w:hAnsi="宋体" w:cs="宋体"/>
              <w:b/>
              <w:bCs/>
              <w:color w:val="auto"/>
              <w:sz w:val="28"/>
              <w:szCs w:val="28"/>
              <w:highlight w:val="none"/>
            </w:rPr>
          </w:pPr>
          <w:r>
            <w:rPr>
              <w:color w:val="auto"/>
              <w:highlight w:val="none"/>
            </w:rPr>
            <w:fldChar w:fldCharType="begin"/>
          </w:r>
          <w:r>
            <w:rPr>
              <w:color w:val="auto"/>
              <w:highlight w:val="none"/>
            </w:rPr>
            <w:instrText xml:space="preserve"> HYPERLINK \l "_Toc13581" </w:instrText>
          </w:r>
          <w:r>
            <w:rPr>
              <w:color w:val="auto"/>
              <w:highlight w:val="none"/>
            </w:rPr>
            <w:fldChar w:fldCharType="separate"/>
          </w:r>
          <w:r>
            <w:rPr>
              <w:rFonts w:hint="eastAsia" w:ascii="宋体" w:hAnsi="宋体" w:cs="宋体"/>
              <w:b/>
              <w:bCs/>
              <w:color w:val="auto"/>
              <w:sz w:val="28"/>
              <w:szCs w:val="28"/>
              <w:highlight w:val="none"/>
            </w:rPr>
            <w:t>第七章 投标文件格式</w:t>
          </w:r>
          <w:r>
            <w:rPr>
              <w:rFonts w:hint="eastAsia" w:ascii="宋体" w:hAnsi="宋体" w:cs="宋体"/>
              <w:b/>
              <w:bCs/>
              <w:color w:val="auto"/>
              <w:sz w:val="28"/>
              <w:szCs w:val="28"/>
              <w:highlight w:val="none"/>
            </w:rPr>
            <w:tab/>
          </w: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PAGEREF _Toc13581 \h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50</w:t>
          </w:r>
          <w:r>
            <w:rPr>
              <w:rFonts w:hint="eastAsia" w:ascii="宋体" w:hAnsi="宋体" w:cs="宋体"/>
              <w:b/>
              <w:bCs/>
              <w:color w:val="auto"/>
              <w:sz w:val="28"/>
              <w:szCs w:val="28"/>
              <w:highlight w:val="none"/>
            </w:rPr>
            <w:fldChar w:fldCharType="end"/>
          </w:r>
          <w:r>
            <w:rPr>
              <w:rFonts w:hint="eastAsia" w:ascii="宋体" w:hAnsi="宋体" w:cs="宋体"/>
              <w:b/>
              <w:bCs/>
              <w:color w:val="auto"/>
              <w:sz w:val="28"/>
              <w:szCs w:val="28"/>
              <w:highlight w:val="none"/>
            </w:rPr>
            <w:fldChar w:fldCharType="end"/>
          </w:r>
        </w:p>
        <w:p>
          <w:pPr>
            <w:pStyle w:val="21"/>
            <w:widowControl/>
            <w:tabs>
              <w:tab w:val="right" w:leader="dot" w:pos="9297"/>
            </w:tabs>
            <w:spacing w:line="360" w:lineRule="auto"/>
            <w:rPr>
              <w:rFonts w:ascii="宋体" w:hAnsi="宋体" w:cs="宋体" w:eastAsiaTheme="minorEastAsia"/>
              <w:b w:val="0"/>
              <w:caps w:val="0"/>
              <w:color w:val="auto"/>
              <w:kern w:val="2"/>
              <w:sz w:val="21"/>
              <w:szCs w:val="24"/>
              <w:highlight w:val="none"/>
            </w:rPr>
          </w:pPr>
          <w:r>
            <w:rPr>
              <w:rFonts w:hint="eastAsia" w:ascii="宋体" w:hAnsi="宋体" w:cs="宋体"/>
              <w:bCs/>
              <w:color w:val="auto"/>
              <w:sz w:val="28"/>
              <w:szCs w:val="28"/>
              <w:highlight w:val="none"/>
            </w:rPr>
            <w:fldChar w:fldCharType="end"/>
          </w:r>
        </w:p>
        <w:p>
          <w:pPr>
            <w:jc w:val="center"/>
            <w:rPr>
              <w:rFonts w:ascii="宋体" w:hAnsi="宋体" w:cs="宋体"/>
              <w:color w:val="auto"/>
              <w:highlight w:val="none"/>
            </w:rPr>
          </w:pPr>
        </w:p>
      </w:sdtContent>
    </w:sdt>
    <w:p>
      <w:pPr>
        <w:rPr>
          <w:rFonts w:ascii="宋体" w:hAnsi="宋体" w:eastAsia="宋体" w:cs="宋体"/>
          <w:color w:val="auto"/>
          <w:highlight w:val="none"/>
        </w:rPr>
      </w:pPr>
    </w:p>
    <w:p>
      <w:pPr>
        <w:rPr>
          <w:rFonts w:ascii="宋体" w:hAnsi="宋体" w:eastAsia="宋体" w:cs="宋体"/>
          <w:color w:val="auto"/>
          <w:highlight w:val="none"/>
        </w:rPr>
      </w:pPr>
    </w:p>
    <w:p>
      <w:pPr>
        <w:rPr>
          <w:rFonts w:ascii="宋体" w:hAnsi="宋体" w:eastAsia="宋体" w:cs="宋体"/>
          <w:color w:val="auto"/>
          <w:highlight w:val="none"/>
        </w:rPr>
      </w:pPr>
    </w:p>
    <w:p>
      <w:pPr>
        <w:rPr>
          <w:rFonts w:ascii="宋体" w:hAnsi="宋体" w:eastAsia="宋体" w:cs="宋体"/>
          <w:color w:val="auto"/>
          <w:highlight w:val="none"/>
        </w:rPr>
      </w:pPr>
    </w:p>
    <w:p>
      <w:pPr>
        <w:rPr>
          <w:rFonts w:ascii="宋体" w:hAnsi="宋体" w:eastAsia="宋体" w:cs="宋体"/>
          <w:color w:val="auto"/>
          <w:highlight w:val="none"/>
        </w:rPr>
      </w:pPr>
    </w:p>
    <w:p>
      <w:pPr>
        <w:rPr>
          <w:rFonts w:ascii="宋体" w:hAnsi="宋体" w:eastAsia="宋体" w:cs="宋体"/>
          <w:color w:val="auto"/>
          <w:highlight w:val="none"/>
        </w:rPr>
      </w:pPr>
    </w:p>
    <w:p>
      <w:pPr>
        <w:rPr>
          <w:rFonts w:ascii="宋体" w:hAnsi="宋体" w:eastAsia="宋体" w:cs="宋体"/>
          <w:color w:val="auto"/>
          <w:highlight w:val="none"/>
        </w:rPr>
      </w:pPr>
    </w:p>
    <w:p>
      <w:pPr>
        <w:rPr>
          <w:rFonts w:ascii="宋体" w:hAnsi="宋体" w:eastAsia="宋体" w:cs="宋体"/>
          <w:color w:val="auto"/>
          <w:highlight w:val="none"/>
        </w:rPr>
      </w:pPr>
    </w:p>
    <w:p>
      <w:pPr>
        <w:rPr>
          <w:rFonts w:ascii="宋体" w:hAnsi="宋体" w:eastAsia="宋体" w:cs="宋体"/>
          <w:color w:val="auto"/>
          <w:highlight w:val="none"/>
        </w:rPr>
      </w:pPr>
    </w:p>
    <w:p>
      <w:pPr>
        <w:rPr>
          <w:rFonts w:ascii="宋体" w:hAnsi="宋体" w:eastAsia="宋体" w:cs="宋体"/>
          <w:color w:val="auto"/>
          <w:highlight w:val="none"/>
        </w:rPr>
      </w:pPr>
    </w:p>
    <w:p>
      <w:pPr>
        <w:rPr>
          <w:rFonts w:ascii="宋体" w:hAnsi="宋体" w:eastAsia="宋体" w:cs="宋体"/>
          <w:color w:val="auto"/>
          <w:highlight w:val="none"/>
        </w:rPr>
      </w:pPr>
    </w:p>
    <w:p>
      <w:pPr>
        <w:rPr>
          <w:rFonts w:ascii="宋体" w:hAnsi="宋体" w:eastAsia="宋体" w:cs="宋体"/>
          <w:color w:val="auto"/>
          <w:highlight w:val="none"/>
        </w:rPr>
      </w:pPr>
    </w:p>
    <w:p>
      <w:pPr>
        <w:rPr>
          <w:rFonts w:ascii="宋体" w:hAnsi="宋体" w:eastAsia="宋体" w:cs="宋体"/>
          <w:color w:val="auto"/>
          <w:highlight w:val="none"/>
        </w:rPr>
      </w:pPr>
    </w:p>
    <w:p>
      <w:pPr>
        <w:rPr>
          <w:rFonts w:ascii="宋体" w:hAnsi="宋体" w:eastAsia="宋体" w:cs="宋体"/>
          <w:color w:val="auto"/>
          <w:highlight w:val="none"/>
        </w:rPr>
      </w:pPr>
    </w:p>
    <w:p>
      <w:pPr>
        <w:pStyle w:val="2"/>
        <w:widowControl/>
        <w:spacing w:after="100" w:line="360" w:lineRule="auto"/>
        <w:jc w:val="center"/>
        <w:rPr>
          <w:rFonts w:ascii="宋体" w:hAnsi="宋体" w:cs="宋体"/>
          <w:color w:val="auto"/>
          <w:kern w:val="1"/>
          <w:highlight w:val="none"/>
        </w:rPr>
        <w:sectPr>
          <w:pgSz w:w="11906" w:h="16838"/>
          <w:pgMar w:top="1440" w:right="1269" w:bottom="1440" w:left="1597" w:header="851" w:footer="992" w:gutter="0"/>
          <w:pgNumType w:start="1"/>
          <w:cols w:space="425" w:num="1"/>
          <w:docGrid w:type="lines" w:linePitch="312" w:charSpace="0"/>
        </w:sectPr>
      </w:pPr>
      <w:bookmarkStart w:id="19" w:name="_Toc5620293"/>
    </w:p>
    <w:p>
      <w:pPr>
        <w:pStyle w:val="2"/>
        <w:widowControl/>
        <w:spacing w:after="100" w:line="360" w:lineRule="auto"/>
        <w:jc w:val="center"/>
        <w:rPr>
          <w:rFonts w:ascii="宋体" w:hAnsi="宋体" w:cs="宋体"/>
          <w:color w:val="auto"/>
          <w:kern w:val="1"/>
          <w:highlight w:val="none"/>
        </w:rPr>
      </w:pPr>
      <w:bookmarkStart w:id="20" w:name="_Toc26212"/>
      <w:r>
        <w:rPr>
          <w:rFonts w:hint="eastAsia" w:ascii="宋体" w:hAnsi="宋体" w:cs="宋体"/>
          <w:color w:val="auto"/>
          <w:kern w:val="1"/>
          <w:highlight w:val="none"/>
        </w:rPr>
        <w:t xml:space="preserve">第一章 </w:t>
      </w:r>
      <w:bookmarkStart w:id="21" w:name="_Toc17070"/>
      <w:r>
        <w:rPr>
          <w:rFonts w:hint="eastAsia" w:ascii="宋体" w:hAnsi="宋体" w:cs="宋体"/>
          <w:color w:val="auto"/>
          <w:kern w:val="1"/>
          <w:highlight w:val="none"/>
        </w:rPr>
        <w:t>招标公告</w:t>
      </w:r>
      <w:bookmarkEnd w:id="19"/>
      <w:bookmarkEnd w:id="21"/>
      <w:r>
        <w:rPr>
          <w:rFonts w:hint="eastAsia" w:ascii="宋体" w:hAnsi="宋体" w:cs="宋体"/>
          <w:color w:val="auto"/>
          <w:kern w:val="1"/>
          <w:highlight w:val="none"/>
        </w:rPr>
        <w:t>（另册）</w:t>
      </w:r>
      <w:bookmarkEnd w:id="20"/>
    </w:p>
    <w:p>
      <w:pPr>
        <w:pStyle w:val="2"/>
        <w:widowControl/>
        <w:spacing w:after="100" w:line="360" w:lineRule="auto"/>
        <w:jc w:val="center"/>
        <w:rPr>
          <w:rFonts w:ascii="宋体" w:hAnsi="宋体" w:cs="宋体"/>
          <w:color w:val="auto"/>
          <w:kern w:val="1"/>
          <w:highlight w:val="none"/>
        </w:rPr>
      </w:pPr>
      <w:r>
        <w:rPr>
          <w:rFonts w:hint="eastAsia" w:ascii="宋体" w:hAnsi="宋体" w:cs="宋体"/>
          <w:color w:val="auto"/>
          <w:sz w:val="24"/>
          <w:highlight w:val="none"/>
          <w:lang w:bidi="ar"/>
        </w:rPr>
        <w:br w:type="page"/>
      </w:r>
      <w:bookmarkStart w:id="22" w:name="_Toc5620294"/>
      <w:bookmarkStart w:id="23" w:name="_Toc24152"/>
      <w:bookmarkStart w:id="24" w:name="_Toc28666"/>
      <w:r>
        <w:rPr>
          <w:rFonts w:hint="eastAsia" w:ascii="宋体" w:hAnsi="宋体" w:cs="宋体"/>
          <w:color w:val="auto"/>
          <w:kern w:val="1"/>
          <w:highlight w:val="none"/>
        </w:rPr>
        <w:t>第二章 投标人须知</w:t>
      </w:r>
      <w:bookmarkEnd w:id="22"/>
      <w:bookmarkEnd w:id="23"/>
      <w:bookmarkEnd w:id="24"/>
    </w:p>
    <w:p>
      <w:pPr>
        <w:pStyle w:val="3"/>
        <w:widowControl/>
        <w:spacing w:before="100" w:after="100" w:line="360" w:lineRule="auto"/>
        <w:jc w:val="center"/>
        <w:rPr>
          <w:rFonts w:ascii="宋体" w:hAnsi="宋体" w:eastAsia="宋体" w:cs="宋体"/>
          <w:color w:val="auto"/>
          <w:highlight w:val="none"/>
          <w:lang w:val="zh-CN"/>
        </w:rPr>
      </w:pPr>
      <w:bookmarkStart w:id="25" w:name="_Toc6703"/>
      <w:bookmarkEnd w:id="25"/>
      <w:bookmarkStart w:id="26" w:name="_Toc152045528"/>
      <w:bookmarkEnd w:id="26"/>
      <w:bookmarkStart w:id="27" w:name="_Toc300834948"/>
      <w:bookmarkEnd w:id="27"/>
      <w:bookmarkStart w:id="28" w:name="_Toc247513951"/>
      <w:bookmarkEnd w:id="28"/>
      <w:bookmarkStart w:id="29" w:name="_Toc30749"/>
      <w:bookmarkEnd w:id="29"/>
      <w:bookmarkStart w:id="30" w:name="_Toc144974496"/>
      <w:bookmarkEnd w:id="30"/>
      <w:bookmarkStart w:id="31" w:name="_Toc247527552"/>
      <w:bookmarkEnd w:id="31"/>
      <w:bookmarkStart w:id="32" w:name="_Toc362816479"/>
      <w:bookmarkEnd w:id="32"/>
      <w:bookmarkStart w:id="33" w:name="_Toc357089510"/>
      <w:bookmarkEnd w:id="33"/>
      <w:bookmarkStart w:id="34" w:name="_Toc152042304"/>
      <w:bookmarkEnd w:id="34"/>
      <w:bookmarkStart w:id="35" w:name="_Toc443505821"/>
      <w:bookmarkEnd w:id="35"/>
      <w:bookmarkStart w:id="36" w:name="_Toc18684"/>
      <w:bookmarkStart w:id="37" w:name="_Toc5620295"/>
      <w:r>
        <w:rPr>
          <w:rFonts w:hint="eastAsia" w:ascii="宋体" w:hAnsi="宋体" w:eastAsia="宋体" w:cs="宋体"/>
          <w:color w:val="auto"/>
          <w:highlight w:val="none"/>
          <w:lang w:val="zh-CN"/>
        </w:rPr>
        <w:t>投标人须知前附表</w:t>
      </w:r>
      <w:bookmarkEnd w:id="36"/>
      <w:bookmarkEnd w:id="37"/>
    </w:p>
    <w:tbl>
      <w:tblPr>
        <w:tblStyle w:val="26"/>
        <w:tblW w:w="9584" w:type="dxa"/>
        <w:jc w:val="center"/>
        <w:tblLayout w:type="fixed"/>
        <w:tblCellMar>
          <w:top w:w="0" w:type="dxa"/>
          <w:left w:w="108" w:type="dxa"/>
          <w:bottom w:w="0" w:type="dxa"/>
          <w:right w:w="108" w:type="dxa"/>
        </w:tblCellMar>
      </w:tblPr>
      <w:tblGrid>
        <w:gridCol w:w="883"/>
        <w:gridCol w:w="1936"/>
        <w:gridCol w:w="6765"/>
      </w:tblGrid>
      <w:tr>
        <w:trPr>
          <w:trHeight w:val="470"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ind w:left="-134" w:right="-107"/>
              <w:jc w:val="center"/>
              <w:rPr>
                <w:rFonts w:ascii="宋体" w:hAnsi="宋体" w:eastAsia="宋体" w:cs="宋体"/>
                <w:b/>
                <w:color w:val="auto"/>
                <w:kern w:val="1"/>
                <w:szCs w:val="21"/>
                <w:highlight w:val="none"/>
              </w:rPr>
            </w:pPr>
            <w:r>
              <w:rPr>
                <w:rFonts w:hint="eastAsia" w:ascii="宋体" w:hAnsi="宋体" w:eastAsia="宋体" w:cs="宋体"/>
                <w:b/>
                <w:color w:val="auto"/>
                <w:kern w:val="1"/>
                <w:szCs w:val="21"/>
                <w:highlight w:val="none"/>
                <w:lang w:bidi="ar"/>
              </w:rPr>
              <w:t>条款号</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b/>
                <w:color w:val="auto"/>
                <w:kern w:val="1"/>
                <w:szCs w:val="21"/>
                <w:highlight w:val="none"/>
              </w:rPr>
            </w:pPr>
            <w:r>
              <w:rPr>
                <w:rFonts w:hint="eastAsia" w:ascii="宋体" w:hAnsi="宋体" w:eastAsia="宋体" w:cs="宋体"/>
                <w:b/>
                <w:color w:val="auto"/>
                <w:kern w:val="1"/>
                <w:szCs w:val="21"/>
                <w:highlight w:val="none"/>
                <w:lang w:bidi="ar"/>
              </w:rPr>
              <w:t>条  款  名  称</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b/>
                <w:color w:val="auto"/>
                <w:kern w:val="1"/>
                <w:szCs w:val="21"/>
                <w:highlight w:val="none"/>
              </w:rPr>
            </w:pPr>
            <w:r>
              <w:rPr>
                <w:rFonts w:hint="eastAsia" w:ascii="宋体" w:hAnsi="宋体" w:eastAsia="宋体" w:cs="宋体"/>
                <w:b/>
                <w:color w:val="auto"/>
                <w:kern w:val="1"/>
                <w:szCs w:val="21"/>
                <w:highlight w:val="none"/>
                <w:lang w:bidi="ar"/>
              </w:rPr>
              <w:t>编  列  内  容</w:t>
            </w:r>
          </w:p>
        </w:tc>
      </w:tr>
      <w:tr>
        <w:trPr>
          <w:trHeight w:val="1458"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1.1.2</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招标人</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名称：</w:t>
            </w:r>
            <w:r>
              <w:rPr>
                <w:rFonts w:hint="eastAsia" w:ascii="宋体" w:hAnsi="宋体" w:eastAsia="宋体" w:cs="宋体"/>
                <w:color w:val="auto"/>
                <w:kern w:val="0"/>
                <w:szCs w:val="21"/>
                <w:highlight w:val="none"/>
                <w:u w:val="single"/>
                <w:lang w:eastAsia="zh-CN" w:bidi="ar"/>
              </w:rPr>
              <w:t>广州市花都区花山镇人民政府</w:t>
            </w:r>
            <w:r>
              <w:rPr>
                <w:rFonts w:hint="eastAsia" w:ascii="宋体" w:hAnsi="宋体" w:eastAsia="宋体" w:cs="宋体"/>
                <w:color w:val="auto"/>
                <w:kern w:val="0"/>
                <w:szCs w:val="21"/>
                <w:highlight w:val="none"/>
                <w:u w:val="single"/>
                <w:lang w:bidi="ar"/>
              </w:rPr>
              <w:t xml:space="preserve"> </w:t>
            </w:r>
          </w:p>
          <w:p>
            <w:pPr>
              <w:spacing w:line="360" w:lineRule="exact"/>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地址：</w:t>
            </w:r>
            <w:r>
              <w:rPr>
                <w:rFonts w:hint="eastAsia" w:ascii="宋体" w:hAnsi="宋体" w:eastAsia="宋体" w:cs="宋体"/>
                <w:color w:val="auto"/>
                <w:kern w:val="0"/>
                <w:szCs w:val="21"/>
                <w:highlight w:val="none"/>
                <w:u w:val="single"/>
                <w:lang w:val="en-US" w:eastAsia="zh-CN" w:bidi="ar"/>
              </w:rPr>
              <w:t>花都区花山镇花山大道1号</w:t>
            </w:r>
          </w:p>
          <w:p>
            <w:pPr>
              <w:spacing w:line="360" w:lineRule="exac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联系人：</w:t>
            </w:r>
            <w:r>
              <w:rPr>
                <w:rFonts w:hint="eastAsia" w:ascii="宋体" w:hAnsi="宋体" w:eastAsia="宋体" w:cs="宋体"/>
                <w:color w:val="auto"/>
                <w:kern w:val="0"/>
                <w:szCs w:val="21"/>
                <w:highlight w:val="none"/>
                <w:u w:val="single"/>
                <w:lang w:bidi="ar"/>
              </w:rPr>
              <w:t>江先生</w:t>
            </w:r>
          </w:p>
          <w:p>
            <w:pPr>
              <w:spacing w:line="360" w:lineRule="exact"/>
              <w:rPr>
                <w:rFonts w:hint="default"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bidi="ar"/>
              </w:rPr>
              <w:t>联系电话：</w:t>
            </w:r>
            <w:r>
              <w:rPr>
                <w:rFonts w:hint="eastAsia" w:ascii="宋体" w:hAnsi="宋体" w:eastAsia="宋体" w:cs="宋体"/>
                <w:color w:val="auto"/>
                <w:kern w:val="0"/>
                <w:szCs w:val="21"/>
                <w:highlight w:val="none"/>
                <w:u w:val="single"/>
                <w:lang w:bidi="ar"/>
              </w:rPr>
              <w:t>020-86788260</w:t>
            </w:r>
          </w:p>
        </w:tc>
      </w:tr>
      <w:tr>
        <w:trPr>
          <w:trHeight w:val="1308"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1.1.3</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招标代理机构</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eastAsia" w:ascii="宋体" w:hAnsi="宋体" w:eastAsia="宋体" w:cs="宋体"/>
                <w:color w:val="auto"/>
                <w:szCs w:val="21"/>
                <w:highlight w:val="none"/>
                <w:lang w:eastAsia="zh-CN"/>
              </w:rPr>
            </w:pPr>
            <w:r>
              <w:rPr>
                <w:rFonts w:hint="eastAsia" w:ascii="宋体" w:hAnsi="宋体" w:eastAsia="宋体" w:cs="宋体"/>
                <w:color w:val="auto"/>
                <w:kern w:val="0"/>
                <w:szCs w:val="21"/>
                <w:highlight w:val="none"/>
                <w:lang w:bidi="ar"/>
              </w:rPr>
              <w:t>名称：</w:t>
            </w:r>
            <w:r>
              <w:rPr>
                <w:rFonts w:hint="eastAsia" w:ascii="宋体" w:hAnsi="宋体" w:eastAsia="宋体" w:cs="宋体"/>
                <w:color w:val="auto"/>
                <w:kern w:val="0"/>
                <w:szCs w:val="21"/>
                <w:highlight w:val="none"/>
                <w:u w:val="single"/>
                <w:lang w:eastAsia="zh-CN" w:bidi="ar"/>
              </w:rPr>
              <w:t>广东省国际工程咨询有限公司</w:t>
            </w:r>
          </w:p>
          <w:p>
            <w:pPr>
              <w:spacing w:line="36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地址：</w:t>
            </w:r>
            <w:r>
              <w:rPr>
                <w:rFonts w:hint="eastAsia" w:ascii="宋体" w:hAnsi="宋体" w:eastAsia="宋体" w:cs="宋体"/>
                <w:color w:val="auto"/>
                <w:kern w:val="0"/>
                <w:szCs w:val="21"/>
                <w:highlight w:val="none"/>
                <w:u w:val="single"/>
                <w:lang w:bidi="ar"/>
              </w:rPr>
              <w:t>广州市环市中路316号金鹰大厦</w:t>
            </w:r>
            <w:r>
              <w:rPr>
                <w:rFonts w:hint="eastAsia" w:ascii="宋体" w:hAnsi="宋体" w:eastAsia="宋体" w:cs="宋体"/>
                <w:color w:val="auto"/>
                <w:kern w:val="0"/>
                <w:szCs w:val="21"/>
                <w:highlight w:val="none"/>
                <w:u w:val="single"/>
                <w:lang w:val="en-US" w:eastAsia="zh-CN" w:bidi="ar"/>
              </w:rPr>
              <w:t>9</w:t>
            </w:r>
            <w:r>
              <w:rPr>
                <w:rFonts w:hint="eastAsia" w:ascii="宋体" w:hAnsi="宋体" w:eastAsia="宋体" w:cs="宋体"/>
                <w:color w:val="auto"/>
                <w:kern w:val="0"/>
                <w:szCs w:val="21"/>
                <w:highlight w:val="none"/>
                <w:u w:val="single"/>
                <w:lang w:bidi="ar"/>
              </w:rPr>
              <w:t>楼</w:t>
            </w:r>
          </w:p>
          <w:p>
            <w:pPr>
              <w:spacing w:line="360" w:lineRule="exact"/>
              <w:rPr>
                <w:rFonts w:hint="eastAsia" w:ascii="宋体" w:hAnsi="宋体" w:eastAsia="宋体" w:cs="宋体"/>
                <w:color w:val="auto"/>
                <w:szCs w:val="21"/>
                <w:highlight w:val="none"/>
                <w:lang w:eastAsia="zh-CN"/>
              </w:rPr>
            </w:pPr>
            <w:r>
              <w:rPr>
                <w:rFonts w:hint="eastAsia" w:ascii="宋体" w:hAnsi="宋体" w:eastAsia="宋体" w:cs="宋体"/>
                <w:color w:val="auto"/>
                <w:kern w:val="0"/>
                <w:szCs w:val="21"/>
                <w:highlight w:val="none"/>
                <w:lang w:bidi="ar"/>
              </w:rPr>
              <w:t>联系人：</w:t>
            </w:r>
            <w:r>
              <w:rPr>
                <w:rFonts w:hint="eastAsia" w:ascii="宋体" w:hAnsi="宋体" w:eastAsia="宋体" w:cs="宋体"/>
                <w:color w:val="auto"/>
                <w:kern w:val="0"/>
                <w:szCs w:val="21"/>
                <w:highlight w:val="none"/>
                <w:u w:val="single"/>
                <w:lang w:val="en-US" w:eastAsia="zh-CN" w:bidi="ar"/>
              </w:rPr>
              <w:t>梁工</w:t>
            </w:r>
          </w:p>
          <w:p>
            <w:pPr>
              <w:spacing w:line="36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电话：</w:t>
            </w:r>
            <w:r>
              <w:rPr>
                <w:rFonts w:hint="eastAsia" w:ascii="宋体" w:hAnsi="宋体" w:eastAsia="宋体" w:cs="宋体"/>
                <w:color w:val="auto"/>
                <w:kern w:val="0"/>
                <w:szCs w:val="21"/>
                <w:highlight w:val="none"/>
                <w:u w:val="single"/>
                <w:lang w:bidi="ar"/>
              </w:rPr>
              <w:t>020-83543598</w:t>
            </w:r>
          </w:p>
        </w:tc>
      </w:tr>
      <w:tr>
        <w:trPr>
          <w:trHeight w:val="466"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1.1.4</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项目名称</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eastAsia" w:ascii="宋体" w:hAnsi="宋体" w:eastAsia="宋体" w:cs="宋体"/>
                <w:color w:val="auto"/>
                <w:szCs w:val="21"/>
                <w:highlight w:val="none"/>
                <w:u w:val="single"/>
                <w:lang w:eastAsia="zh-CN"/>
              </w:rPr>
            </w:pPr>
            <w:r>
              <w:rPr>
                <w:rFonts w:hint="eastAsia" w:ascii="宋体" w:hAnsi="宋体" w:eastAsia="宋体" w:cs="宋体"/>
                <w:color w:val="auto"/>
                <w:kern w:val="1"/>
                <w:szCs w:val="21"/>
                <w:highlight w:val="none"/>
                <w:lang w:eastAsia="zh-CN" w:bidi="ar"/>
              </w:rPr>
              <w:t>白云机场北花山镇城区道路承载力优化提升一期</w:t>
            </w:r>
            <w:r>
              <w:rPr>
                <w:rFonts w:hint="eastAsia" w:ascii="宋体" w:hAnsi="宋体" w:eastAsia="宋体" w:cs="宋体"/>
                <w:color w:val="auto"/>
                <w:kern w:val="1"/>
                <w:szCs w:val="21"/>
                <w:highlight w:val="none"/>
                <w:lang w:val="en-US" w:eastAsia="zh-CN" w:bidi="ar"/>
              </w:rPr>
              <w:t>项目</w:t>
            </w:r>
            <w:r>
              <w:rPr>
                <w:rFonts w:hint="eastAsia" w:ascii="宋体" w:hAnsi="宋体" w:eastAsia="宋体" w:cs="宋体"/>
                <w:color w:val="auto"/>
                <w:kern w:val="1"/>
                <w:szCs w:val="21"/>
                <w:highlight w:val="none"/>
                <w:lang w:eastAsia="zh-CN" w:bidi="ar"/>
              </w:rPr>
              <w:t>设计施工总承包</w:t>
            </w:r>
          </w:p>
        </w:tc>
      </w:tr>
      <w:tr>
        <w:trPr>
          <w:trHeight w:val="447"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1.1.5</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建设地点</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val="en-US" w:eastAsia="zh-CN" w:bidi="ar"/>
              </w:rPr>
              <w:t>广州市花都区花山镇内</w:t>
            </w:r>
            <w:r>
              <w:rPr>
                <w:rFonts w:hint="eastAsia" w:ascii="宋体" w:hAnsi="宋体" w:eastAsia="宋体" w:cs="宋体"/>
                <w:color w:val="auto"/>
                <w:kern w:val="1"/>
                <w:szCs w:val="21"/>
                <w:highlight w:val="none"/>
                <w:lang w:bidi="ar"/>
              </w:rPr>
              <w:t>。</w:t>
            </w:r>
          </w:p>
        </w:tc>
      </w:tr>
      <w:tr>
        <w:trPr>
          <w:trHeight w:val="554"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1.2.1</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资金来源及比例</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val="en-US" w:eastAsia="zh-CN" w:bidi="ar"/>
              </w:rPr>
              <w:t>财政</w:t>
            </w:r>
            <w:r>
              <w:rPr>
                <w:rFonts w:hint="eastAsia" w:ascii="宋体" w:hAnsi="宋体" w:eastAsia="宋体" w:cs="宋体"/>
                <w:color w:val="auto"/>
                <w:kern w:val="1"/>
                <w:szCs w:val="21"/>
                <w:highlight w:val="none"/>
                <w:lang w:bidi="ar"/>
              </w:rPr>
              <w:t>资金</w:t>
            </w:r>
          </w:p>
        </w:tc>
      </w:tr>
      <w:tr>
        <w:trPr>
          <w:trHeight w:val="477"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1.2.2</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资金落实情况</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已落实</w:t>
            </w:r>
          </w:p>
        </w:tc>
      </w:tr>
      <w:tr>
        <w:trPr>
          <w:trHeight w:val="538"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1.3.1</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招标范围</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见本项目招标公告</w:t>
            </w:r>
          </w:p>
        </w:tc>
      </w:tr>
      <w:tr>
        <w:trPr>
          <w:trHeight w:val="524"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1.3.2</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计划工期</w:t>
            </w:r>
          </w:p>
        </w:tc>
        <w:tc>
          <w:tcPr>
            <w:tcW w:w="6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见本项目招标公告</w:t>
            </w:r>
          </w:p>
        </w:tc>
      </w:tr>
      <w:tr>
        <w:trPr>
          <w:trHeight w:val="548"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1.3.3</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质量标准</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left"/>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见本项目招标公告</w:t>
            </w:r>
          </w:p>
        </w:tc>
      </w:tr>
      <w:tr>
        <w:trPr>
          <w:trHeight w:val="1049"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1.4.1</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投标人资质条件、能力和信誉</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ascii="宋体" w:hAnsi="宋体" w:eastAsia="宋体" w:cs="宋体"/>
                <w:color w:val="auto"/>
                <w:kern w:val="1"/>
                <w:szCs w:val="21"/>
                <w:highlight w:val="none"/>
              </w:rPr>
            </w:pPr>
            <w:r>
              <w:rPr>
                <w:rFonts w:hint="eastAsia" w:ascii="宋体" w:hAnsi="宋体" w:cs="宋体"/>
                <w:color w:val="auto"/>
                <w:szCs w:val="21"/>
                <w:highlight w:val="none"/>
              </w:rPr>
              <w:t>见招标公告投标人资格要求</w:t>
            </w:r>
          </w:p>
        </w:tc>
      </w:tr>
      <w:tr>
        <w:trPr>
          <w:trHeight w:val="752"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1.4.2</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是否接受联合体投标</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widowControl/>
              <w:spacing w:line="360" w:lineRule="exact"/>
              <w:rPr>
                <w:rFonts w:hint="default"/>
                <w:color w:val="auto"/>
                <w:kern w:val="1"/>
                <w:sz w:val="21"/>
                <w:szCs w:val="21"/>
                <w:highlight w:val="none"/>
              </w:rPr>
            </w:pPr>
            <w:r>
              <w:rPr>
                <w:color w:val="auto"/>
                <w:kern w:val="1"/>
                <w:sz w:val="21"/>
                <w:szCs w:val="21"/>
                <w:highlight w:val="none"/>
              </w:rPr>
              <w:t>□不接受</w:t>
            </w:r>
          </w:p>
          <w:p>
            <w:pPr>
              <w:spacing w:line="36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r>
              <w:rPr>
                <w:rFonts w:hint="eastAsia" w:ascii="宋体" w:hAnsi="宋体" w:eastAsia="宋体" w:cs="宋体"/>
                <w:color w:val="auto"/>
                <w:kern w:val="1"/>
                <w:szCs w:val="21"/>
                <w:highlight w:val="none"/>
                <w:lang w:bidi="ar"/>
              </w:rPr>
              <w:t>接受，应满足下列要求：</w:t>
            </w:r>
            <w:r>
              <w:rPr>
                <w:rFonts w:hint="eastAsia" w:ascii="宋体" w:hAnsi="宋体" w:eastAsia="宋体" w:cs="宋体"/>
                <w:color w:val="auto"/>
                <w:kern w:val="0"/>
                <w:szCs w:val="21"/>
                <w:highlight w:val="none"/>
                <w:lang w:bidi="ar"/>
              </w:rPr>
              <w:t>见本项目招标公告要求。</w:t>
            </w:r>
          </w:p>
        </w:tc>
      </w:tr>
      <w:tr>
        <w:trPr>
          <w:trHeight w:val="840"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1.5</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费用承担和设计成果补偿</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ascii="宋体" w:hAnsi="宋体" w:eastAsia="宋体" w:cs="宋体"/>
                <w:color w:val="auto"/>
                <w:kern w:val="1"/>
                <w:szCs w:val="21"/>
                <w:highlight w:val="none"/>
              </w:rPr>
            </w:pPr>
            <w:r>
              <w:rPr>
                <w:rFonts w:hint="eastAsia" w:ascii="宋体" w:hAnsi="宋体" w:eastAsia="宋体" w:cs="宋体"/>
                <w:color w:val="auto"/>
                <w:kern w:val="0"/>
                <w:szCs w:val="21"/>
                <w:highlight w:val="none"/>
                <w:lang w:bidi="ar"/>
              </w:rPr>
              <w:t>■</w:t>
            </w:r>
            <w:r>
              <w:rPr>
                <w:rFonts w:hint="eastAsia" w:ascii="宋体" w:hAnsi="宋体" w:eastAsia="宋体" w:cs="宋体"/>
                <w:color w:val="auto"/>
                <w:kern w:val="1"/>
                <w:szCs w:val="21"/>
                <w:highlight w:val="none"/>
                <w:lang w:bidi="ar"/>
              </w:rPr>
              <w:t>不补偿</w:t>
            </w:r>
          </w:p>
          <w:p>
            <w:pPr>
              <w:spacing w:line="360" w:lineRule="exact"/>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□补偿，补偿标准：</w:t>
            </w:r>
            <w:r>
              <w:rPr>
                <w:rFonts w:hint="eastAsia" w:ascii="宋体" w:hAnsi="宋体" w:eastAsia="宋体" w:cs="宋体"/>
                <w:color w:val="auto"/>
                <w:kern w:val="0"/>
                <w:szCs w:val="21"/>
                <w:highlight w:val="none"/>
                <w:lang w:bidi="ar"/>
              </w:rPr>
              <w:t>/</w:t>
            </w:r>
          </w:p>
        </w:tc>
      </w:tr>
      <w:tr>
        <w:trPr>
          <w:trHeight w:val="927"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1.9.1</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踏勘</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ascii="宋体" w:hAnsi="宋体" w:eastAsia="宋体" w:cs="宋体"/>
                <w:color w:val="auto"/>
                <w:kern w:val="1"/>
                <w:szCs w:val="21"/>
                <w:highlight w:val="none"/>
              </w:rPr>
            </w:pPr>
            <w:r>
              <w:rPr>
                <w:rFonts w:hint="eastAsia" w:ascii="宋体" w:hAnsi="宋体" w:eastAsia="宋体" w:cs="宋体"/>
                <w:color w:val="auto"/>
                <w:kern w:val="0"/>
                <w:szCs w:val="21"/>
                <w:highlight w:val="none"/>
                <w:lang w:bidi="ar"/>
              </w:rPr>
              <w:t>■</w:t>
            </w:r>
            <w:r>
              <w:rPr>
                <w:rFonts w:hint="eastAsia" w:ascii="宋体" w:hAnsi="宋体" w:eastAsia="宋体" w:cs="宋体"/>
                <w:color w:val="auto"/>
                <w:kern w:val="1"/>
                <w:szCs w:val="21"/>
                <w:highlight w:val="none"/>
                <w:lang w:bidi="ar"/>
              </w:rPr>
              <w:t>不组织：自行踏勘。</w:t>
            </w:r>
          </w:p>
          <w:p>
            <w:pPr>
              <w:tabs>
                <w:tab w:val="center" w:pos="2950"/>
              </w:tabs>
              <w:spacing w:line="360" w:lineRule="exact"/>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□组织，踏勘时间：</w:t>
            </w:r>
            <w:r>
              <w:rPr>
                <w:rFonts w:hint="eastAsia" w:ascii="宋体" w:hAnsi="宋体" w:eastAsia="宋体" w:cs="宋体"/>
                <w:color w:val="auto"/>
                <w:kern w:val="1"/>
                <w:szCs w:val="21"/>
                <w:highlight w:val="none"/>
                <w:lang w:bidi="ar"/>
              </w:rPr>
              <w:tab/>
            </w:r>
          </w:p>
          <w:p>
            <w:pPr>
              <w:spacing w:line="360" w:lineRule="exact"/>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踏勘集中地点：</w:t>
            </w:r>
          </w:p>
        </w:tc>
      </w:tr>
      <w:tr>
        <w:trPr>
          <w:trHeight w:val="927"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1.10.1</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投标预备会</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widowControl/>
              <w:spacing w:line="360" w:lineRule="exact"/>
              <w:rPr>
                <w:rFonts w:hint="default"/>
                <w:color w:val="auto"/>
                <w:kern w:val="1"/>
                <w:sz w:val="21"/>
                <w:szCs w:val="21"/>
                <w:highlight w:val="none"/>
              </w:rPr>
            </w:pPr>
            <w:r>
              <w:rPr>
                <w:color w:val="auto"/>
                <w:kern w:val="1"/>
                <w:sz w:val="21"/>
                <w:szCs w:val="21"/>
                <w:highlight w:val="none"/>
              </w:rPr>
              <w:t>■不召开</w:t>
            </w:r>
          </w:p>
          <w:p>
            <w:pPr>
              <w:widowControl/>
              <w:spacing w:line="360" w:lineRule="exact"/>
              <w:rPr>
                <w:rFonts w:ascii="宋体" w:hAnsi="宋体" w:eastAsia="宋体" w:cs="宋体"/>
                <w:color w:val="auto"/>
                <w:szCs w:val="21"/>
                <w:highlight w:val="none"/>
              </w:rPr>
            </w:pPr>
            <w:r>
              <w:rPr>
                <w:rFonts w:hint="eastAsia" w:ascii="宋体" w:hAnsi="宋体" w:eastAsia="宋体" w:cs="宋体"/>
                <w:color w:val="auto"/>
                <w:kern w:val="1"/>
                <w:szCs w:val="21"/>
                <w:highlight w:val="none"/>
                <w:lang w:bidi="ar"/>
              </w:rPr>
              <w:t>□</w:t>
            </w:r>
            <w:r>
              <w:rPr>
                <w:rFonts w:hint="eastAsia" w:ascii="宋体" w:hAnsi="宋体" w:eastAsia="宋体" w:cs="宋体"/>
                <w:color w:val="auto"/>
                <w:kern w:val="0"/>
                <w:szCs w:val="21"/>
                <w:highlight w:val="none"/>
                <w:lang w:bidi="ar"/>
              </w:rPr>
              <w:t>召开，召开时间：另行通知</w:t>
            </w:r>
          </w:p>
          <w:p>
            <w:pPr>
              <w:spacing w:line="360" w:lineRule="exact"/>
              <w:rPr>
                <w:rFonts w:ascii="宋体" w:hAnsi="宋体" w:eastAsia="宋体" w:cs="宋体"/>
                <w:color w:val="auto"/>
                <w:kern w:val="1"/>
                <w:szCs w:val="21"/>
                <w:highlight w:val="none"/>
              </w:rPr>
            </w:pPr>
            <w:r>
              <w:rPr>
                <w:rFonts w:hint="eastAsia" w:ascii="宋体" w:hAnsi="宋体" w:eastAsia="宋体" w:cs="宋体"/>
                <w:color w:val="auto"/>
                <w:kern w:val="0"/>
                <w:szCs w:val="21"/>
                <w:highlight w:val="none"/>
                <w:lang w:bidi="ar"/>
              </w:rPr>
              <w:t>召开地点：</w:t>
            </w:r>
          </w:p>
        </w:tc>
      </w:tr>
      <w:tr>
        <w:trPr>
          <w:trHeight w:val="759"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1.11.1</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招标人规定由分包人承担的工作</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ascii="宋体" w:hAnsi="宋体" w:eastAsia="宋体" w:cs="宋体"/>
                <w:color w:val="auto"/>
                <w:kern w:val="1"/>
                <w:szCs w:val="21"/>
                <w:highlight w:val="none"/>
              </w:rPr>
            </w:pPr>
            <w:r>
              <w:rPr>
                <w:rFonts w:hint="eastAsia" w:ascii="宋体" w:hAnsi="宋体" w:eastAsia="宋体" w:cs="宋体"/>
                <w:color w:val="auto"/>
                <w:kern w:val="0"/>
                <w:szCs w:val="21"/>
                <w:highlight w:val="none"/>
                <w:lang w:bidi="ar"/>
              </w:rPr>
              <w:t>无</w:t>
            </w:r>
          </w:p>
        </w:tc>
      </w:tr>
      <w:tr>
        <w:trPr>
          <w:trHeight w:val="1069"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1.11.2</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投标人拟分包的工作</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widowControl/>
              <w:spacing w:line="360" w:lineRule="exact"/>
              <w:rPr>
                <w:rFonts w:hint="default"/>
                <w:color w:val="auto"/>
                <w:kern w:val="1"/>
                <w:sz w:val="21"/>
                <w:szCs w:val="21"/>
                <w:highlight w:val="none"/>
              </w:rPr>
            </w:pPr>
            <w:r>
              <w:rPr>
                <w:color w:val="auto"/>
                <w:kern w:val="1"/>
                <w:sz w:val="21"/>
                <w:szCs w:val="21"/>
                <w:highlight w:val="none"/>
              </w:rPr>
              <w:t>□不允许</w:t>
            </w:r>
          </w:p>
          <w:p>
            <w:pPr>
              <w:spacing w:line="360" w:lineRule="exact"/>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■允许，</w:t>
            </w:r>
            <w:r>
              <w:rPr>
                <w:rFonts w:hint="eastAsia" w:ascii="宋体" w:hAnsi="宋体" w:eastAsia="宋体" w:cs="宋体"/>
                <w:color w:val="auto"/>
                <w:kern w:val="0"/>
                <w:szCs w:val="21"/>
                <w:highlight w:val="none"/>
                <w:lang w:bidi="ar"/>
              </w:rPr>
              <w:t>允许非主体、非关键性工程进行分包，分包需经招标人审核批准后分包给具有相应资质和能力的专业单位实施，但不得再次分包。</w:t>
            </w:r>
          </w:p>
        </w:tc>
      </w:tr>
      <w:tr>
        <w:trPr>
          <w:trHeight w:val="1002"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1.12</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偏离</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widowControl/>
              <w:spacing w:line="360" w:lineRule="exact"/>
              <w:rPr>
                <w:rFonts w:hint="default"/>
                <w:color w:val="auto"/>
                <w:kern w:val="1"/>
                <w:sz w:val="21"/>
                <w:szCs w:val="21"/>
                <w:highlight w:val="none"/>
              </w:rPr>
            </w:pPr>
            <w:r>
              <w:rPr>
                <w:color w:val="auto"/>
                <w:sz w:val="21"/>
                <w:szCs w:val="21"/>
                <w:highlight w:val="none"/>
              </w:rPr>
              <w:t>■</w:t>
            </w:r>
            <w:r>
              <w:rPr>
                <w:color w:val="auto"/>
                <w:kern w:val="1"/>
                <w:sz w:val="21"/>
                <w:szCs w:val="21"/>
                <w:highlight w:val="none"/>
              </w:rPr>
              <w:t>不允许</w:t>
            </w:r>
          </w:p>
          <w:p>
            <w:pPr>
              <w:pStyle w:val="9"/>
              <w:widowControl/>
              <w:spacing w:line="360" w:lineRule="exact"/>
              <w:rPr>
                <w:rFonts w:hint="default"/>
                <w:color w:val="auto"/>
                <w:kern w:val="1"/>
                <w:sz w:val="21"/>
                <w:szCs w:val="21"/>
                <w:highlight w:val="none"/>
              </w:rPr>
            </w:pPr>
            <w:r>
              <w:rPr>
                <w:color w:val="auto"/>
                <w:kern w:val="1"/>
                <w:sz w:val="21"/>
                <w:szCs w:val="21"/>
                <w:highlight w:val="none"/>
              </w:rPr>
              <w:t>□</w:t>
            </w:r>
            <w:r>
              <w:rPr>
                <w:color w:val="auto"/>
                <w:sz w:val="21"/>
                <w:szCs w:val="21"/>
                <w:highlight w:val="none"/>
              </w:rPr>
              <w:t>允许，允许偏离的内容、偏离范围和幅度：满足第三章《评标办法》规定的有效性审查标准。</w:t>
            </w:r>
          </w:p>
        </w:tc>
      </w:tr>
      <w:tr>
        <w:trPr>
          <w:trHeight w:val="749"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2.1</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构成招标文件的其他资料</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ascii="宋体" w:hAnsi="宋体" w:eastAsia="宋体" w:cs="宋体"/>
                <w:color w:val="auto"/>
                <w:kern w:val="1"/>
                <w:szCs w:val="21"/>
                <w:highlight w:val="none"/>
              </w:rPr>
            </w:pPr>
            <w:r>
              <w:rPr>
                <w:rFonts w:hint="eastAsia" w:ascii="宋体" w:hAnsi="宋体" w:eastAsia="宋体" w:cs="宋体"/>
                <w:color w:val="auto"/>
                <w:kern w:val="0"/>
                <w:szCs w:val="21"/>
                <w:highlight w:val="none"/>
                <w:u w:val="single"/>
                <w:lang w:bidi="ar"/>
              </w:rPr>
              <w:t>答疑纪要、澄清文件等（如有）</w:t>
            </w:r>
          </w:p>
        </w:tc>
      </w:tr>
      <w:tr>
        <w:trPr>
          <w:trHeight w:val="749"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0"/>
                <w:szCs w:val="21"/>
                <w:highlight w:val="none"/>
                <w:lang w:bidi="ar"/>
              </w:rPr>
              <w:t>2.2.1</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0"/>
                <w:szCs w:val="21"/>
                <w:highlight w:val="none"/>
                <w:lang w:bidi="ar"/>
              </w:rPr>
              <w:t>投标人要求澄清招标文件的截止时间</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1.截止时间：在投标截止时间前</w:t>
            </w:r>
            <w:r>
              <w:rPr>
                <w:rFonts w:ascii="宋体" w:hAnsi="宋体" w:eastAsia="宋体" w:cs="宋体"/>
                <w:color w:val="auto"/>
                <w:kern w:val="0"/>
                <w:szCs w:val="21"/>
                <w:highlight w:val="none"/>
                <w:lang w:bidi="ar"/>
              </w:rPr>
              <w:t>18</w:t>
            </w:r>
            <w:r>
              <w:rPr>
                <w:rFonts w:hint="eastAsia" w:ascii="宋体" w:hAnsi="宋体" w:eastAsia="宋体" w:cs="宋体"/>
                <w:color w:val="auto"/>
                <w:kern w:val="0"/>
                <w:szCs w:val="21"/>
                <w:highlight w:val="none"/>
                <w:lang w:bidi="ar"/>
              </w:rPr>
              <w:t>日。</w:t>
            </w:r>
          </w:p>
          <w:p>
            <w:pPr>
              <w:spacing w:line="360" w:lineRule="exact"/>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2.提出问题的方式：网上答疑。</w:t>
            </w:r>
          </w:p>
        </w:tc>
      </w:tr>
      <w:tr>
        <w:trPr>
          <w:trHeight w:val="602"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2.2.2</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投标截止时间</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详见本项目招标公告。</w:t>
            </w:r>
          </w:p>
        </w:tc>
      </w:tr>
      <w:tr>
        <w:trPr>
          <w:trHeight w:val="964"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2.2.3</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投标人确认收到答疑纪要或澄清的时间</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招标答疑采用网上答疑方式进行。投标人若对招标文件有疑问的，可在递交投标文件截止时间</w:t>
            </w:r>
            <w:r>
              <w:rPr>
                <w:rFonts w:ascii="宋体" w:hAnsi="宋体" w:eastAsia="宋体" w:cs="宋体"/>
                <w:color w:val="auto"/>
                <w:kern w:val="0"/>
                <w:szCs w:val="21"/>
                <w:highlight w:val="none"/>
                <w:lang w:bidi="ar"/>
              </w:rPr>
              <w:t>15</w:t>
            </w:r>
            <w:r>
              <w:rPr>
                <w:rFonts w:hint="eastAsia" w:ascii="宋体" w:hAnsi="宋体" w:eastAsia="宋体" w:cs="宋体"/>
                <w:color w:val="auto"/>
                <w:kern w:val="0"/>
                <w:szCs w:val="21"/>
                <w:highlight w:val="none"/>
                <w:lang w:bidi="ar"/>
              </w:rPr>
              <w:t>日前提出。</w:t>
            </w:r>
          </w:p>
          <w:p>
            <w:pPr>
              <w:widowControl/>
              <w:spacing w:line="36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投标人疑问通过网上提交。具体操作方法详见广州交易集团有限公司（广州公共资源交易中心）网站发布的《房屋建筑和市政基础设施工程全流程电子化项目专章》。</w:t>
            </w:r>
          </w:p>
        </w:tc>
      </w:tr>
      <w:tr>
        <w:trPr>
          <w:trHeight w:val="90"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2.3.2</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投标人确认收到招标文件修改的时间</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招标文件的澄清或修改在广州交易集团有限公司（广州公共资源交易中心）网站发布。招标文件的澄清或修改一经在广州交易集团有限公司（广州公共资源交易中心）网站发布，视作已发放给所有投标人，招标文件的修改内容作为招标文件的组成部分，具有约束作用。</w:t>
            </w:r>
          </w:p>
        </w:tc>
      </w:tr>
      <w:tr>
        <w:trPr>
          <w:trHeight w:val="664"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3.1.1</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构成投标文件的其他资料</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见第七章《投标文件格式》要求</w:t>
            </w:r>
          </w:p>
        </w:tc>
      </w:tr>
      <w:tr>
        <w:trPr>
          <w:trHeight w:val="1774"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3.2.4</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最高投标限价</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rPr>
                <w:rFonts w:hint="default" w:ascii="宋体" w:hAnsi="宋体" w:eastAsia="宋体" w:cs="宋体"/>
                <w:color w:val="auto"/>
                <w:kern w:val="0"/>
                <w:szCs w:val="21"/>
                <w:highlight w:val="none"/>
                <w:lang w:val="en-US" w:eastAsia="zh-CN" w:bidi="ar"/>
              </w:rPr>
            </w:pPr>
            <w:r>
              <w:rPr>
                <w:rFonts w:hint="default" w:ascii="宋体" w:hAnsi="宋体" w:eastAsia="宋体" w:cs="宋体"/>
                <w:color w:val="auto"/>
                <w:kern w:val="0"/>
                <w:szCs w:val="21"/>
                <w:highlight w:val="none"/>
                <w:lang w:bidi="ar"/>
              </w:rPr>
              <w:t>最高投标限价：</w:t>
            </w:r>
            <w:r>
              <w:rPr>
                <w:rFonts w:hint="default" w:ascii="宋体" w:hAnsi="宋体" w:eastAsia="宋体" w:cs="宋体"/>
                <w:color w:val="auto"/>
                <w:kern w:val="0"/>
                <w:szCs w:val="21"/>
                <w:highlight w:val="none"/>
                <w:lang w:val="en-US" w:eastAsia="zh-CN" w:bidi="ar"/>
              </w:rPr>
              <w:t>人民币21665.05万元（其中：设计费最高投标限价为人民币570.12万元，建安工程费（含竣工图编制）最高投标限价为人民币19427.29万元（暂列金为1667.64万元））。</w:t>
            </w:r>
          </w:p>
          <w:p>
            <w:pPr>
              <w:widowControl/>
              <w:spacing w:line="360" w:lineRule="exac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上述最高限价为暂估值，投标时投标人除填报投标报价外，需同时填报投标下浮率（建安工程费部分、设计费部分报价下浮率分别填报对应的下浮率</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val="en-US" w:eastAsia="zh-CN" w:bidi="ar"/>
              </w:rPr>
              <w:t>暂列金为不可竞争费用，不参与下浮</w:t>
            </w:r>
            <w:r>
              <w:rPr>
                <w:rFonts w:hint="eastAsia" w:ascii="宋体" w:hAnsi="宋体" w:eastAsia="宋体" w:cs="宋体"/>
                <w:color w:val="auto"/>
                <w:kern w:val="0"/>
                <w:szCs w:val="21"/>
                <w:highlight w:val="none"/>
                <w:lang w:bidi="ar"/>
              </w:rPr>
              <w:t>））。投标人的投标报价总价或设计费报价或建安工程费报价超过上述相应最高投标限价的为无效标。</w:t>
            </w:r>
          </w:p>
        </w:tc>
      </w:tr>
      <w:tr>
        <w:trPr>
          <w:trHeight w:val="5147"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3.2.5</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投标报价的其他要求</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投标报价由设计费报价与建安费报价组成.</w:t>
            </w:r>
          </w:p>
          <w:p>
            <w:pPr>
              <w:spacing w:line="36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1、设计部分投标报价的要求：</w:t>
            </w:r>
          </w:p>
          <w:p>
            <w:pPr>
              <w:spacing w:line="36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设计费用参照国家有关收费标准计算，投标下浮率由投标人自行填报。设计的投标下浮率作为结算的依据，详见合同协议书，最终结算以有关部门审定结果为准。</w:t>
            </w:r>
          </w:p>
          <w:p>
            <w:pPr>
              <w:spacing w:line="36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2、施工部分投标报价的要求：</w:t>
            </w:r>
          </w:p>
          <w:p>
            <w:pPr>
              <w:spacing w:line="360" w:lineRule="exact"/>
              <w:rPr>
                <w:rFonts w:ascii="宋体" w:hAnsi="宋体" w:eastAsia="宋体" w:cs="宋体"/>
                <w:color w:val="auto"/>
                <w:szCs w:val="21"/>
                <w:highlight w:val="none"/>
                <w:shd w:val="clear" w:color="auto" w:fill="FFFFFF"/>
              </w:rPr>
            </w:pPr>
            <w:r>
              <w:rPr>
                <w:rFonts w:hint="eastAsia" w:ascii="宋体" w:hAnsi="宋体" w:eastAsia="宋体" w:cs="宋体"/>
                <w:color w:val="auto"/>
                <w:kern w:val="0"/>
                <w:szCs w:val="21"/>
                <w:highlight w:val="none"/>
                <w:lang w:bidi="ar"/>
              </w:rPr>
              <w:t>建安工程费用由投标人根据招标文件要求以及企业自身情况填报投标报价及下浮率（其中非竞争费用：如暂列金</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绿色施工安全防护措施费、余泥渣土运输费等不下浮），投标报价不得高于最高投标限价。施工的投标下浮率及施工合同的计价方式（详见附件合同计价方式，具体签订的施工合同为准）作为签订结算的依据，最终结算以有关部门审定结果</w:t>
            </w:r>
            <w:r>
              <w:rPr>
                <w:rFonts w:hint="eastAsia" w:ascii="宋体" w:hAnsi="宋体" w:eastAsia="宋体" w:cs="宋体"/>
                <w:color w:val="auto"/>
                <w:kern w:val="0"/>
                <w:szCs w:val="21"/>
                <w:highlight w:val="none"/>
                <w:shd w:val="clear" w:color="auto" w:fill="FFFFFF"/>
                <w:lang w:bidi="ar"/>
              </w:rPr>
              <w:t>为准。</w:t>
            </w:r>
          </w:p>
          <w:p>
            <w:pPr>
              <w:pStyle w:val="8"/>
              <w:widowControl/>
              <w:spacing w:line="360" w:lineRule="exact"/>
              <w:jc w:val="both"/>
              <w:rPr>
                <w:color w:val="auto"/>
                <w:szCs w:val="21"/>
                <w:highlight w:val="none"/>
              </w:rPr>
            </w:pPr>
            <w:r>
              <w:rPr>
                <w:rFonts w:hint="eastAsia" w:ascii="宋体" w:hAnsi="宋体" w:cs="黑体"/>
                <w:color w:val="auto"/>
                <w:szCs w:val="21"/>
                <w:highlight w:val="none"/>
              </w:rPr>
              <w:t>3、</w:t>
            </w:r>
            <w:r>
              <w:rPr>
                <w:rFonts w:hint="eastAsia" w:ascii="宋体" w:hAnsi="宋体" w:cs="黑体"/>
                <w:color w:val="auto"/>
                <w:szCs w:val="21"/>
                <w:highlight w:val="none"/>
                <w:shd w:val="clear" w:color="auto" w:fill="FFFFFF"/>
              </w:rPr>
              <w:t>其它投标报价要求：自2016年5月1日起,国家全面实施营改增政策，投标人须充分考虑风险，不得提出任何由于营改增造成的变更增加费用要求及相关投诉。</w:t>
            </w:r>
          </w:p>
        </w:tc>
      </w:tr>
      <w:tr>
        <w:trPr>
          <w:trHeight w:val="527"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3.3.1</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投标有效期</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u w:val="single"/>
                <w:lang w:bidi="ar"/>
              </w:rPr>
              <w:t>120</w:t>
            </w:r>
            <w:r>
              <w:rPr>
                <w:rFonts w:hint="eastAsia" w:ascii="宋体" w:hAnsi="宋体" w:eastAsia="宋体" w:cs="宋体"/>
                <w:color w:val="auto"/>
                <w:kern w:val="0"/>
                <w:szCs w:val="21"/>
                <w:highlight w:val="none"/>
                <w:lang w:bidi="ar"/>
              </w:rPr>
              <w:t>日历天（从投标截止之日计起，</w:t>
            </w:r>
            <w:r>
              <w:rPr>
                <w:rFonts w:hint="eastAsia" w:ascii="宋体" w:hAnsi="宋体" w:cs="宋体"/>
                <w:color w:val="auto"/>
                <w:kern w:val="0"/>
                <w:szCs w:val="21"/>
                <w:highlight w:val="none"/>
                <w:u w:val="single"/>
              </w:rPr>
              <w:t>如出现异议或投诉，则投标有效期自动延长至异议或投诉处理结束。</w:t>
            </w:r>
            <w:r>
              <w:rPr>
                <w:rFonts w:hint="eastAsia" w:ascii="宋体" w:hAnsi="宋体" w:eastAsia="宋体" w:cs="宋体"/>
                <w:color w:val="auto"/>
                <w:kern w:val="0"/>
                <w:szCs w:val="21"/>
                <w:highlight w:val="none"/>
                <w:lang w:bidi="ar"/>
              </w:rPr>
              <w:t>）</w:t>
            </w:r>
          </w:p>
        </w:tc>
      </w:tr>
      <w:tr>
        <w:trPr>
          <w:trHeight w:val="675"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.4</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投标保证金</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rPr>
                <w:rFonts w:hint="eastAsia" w:ascii="宋体" w:hAnsi="宋体" w:cs="宋体"/>
                <w:color w:val="auto"/>
                <w:sz w:val="21"/>
                <w:szCs w:val="21"/>
                <w:highlight w:val="none"/>
              </w:rPr>
            </w:pPr>
            <w:r>
              <w:rPr>
                <w:rFonts w:hint="eastAsia" w:ascii="宋体" w:hAnsi="宋体" w:cs="宋体"/>
                <w:color w:val="auto"/>
                <w:sz w:val="21"/>
                <w:szCs w:val="21"/>
                <w:highlight w:val="none"/>
              </w:rPr>
              <w:t>是否要求投标人递交投标保证金：</w:t>
            </w:r>
          </w:p>
          <w:p>
            <w:pPr>
              <w:spacing w:beforeLines="0" w:afterLines="0"/>
              <w:rPr>
                <w:rFonts w:hint="eastAsia" w:ascii="宋体" w:hAnsi="宋体" w:cs="宋体"/>
                <w:color w:val="auto"/>
                <w:sz w:val="21"/>
                <w:szCs w:val="21"/>
                <w:highlight w:val="none"/>
              </w:rPr>
            </w:pPr>
            <w:r>
              <w:rPr>
                <w:rFonts w:hint="eastAsia" w:hAnsi="宋体" w:cs="宋体"/>
                <w:color w:val="auto"/>
                <w:sz w:val="21"/>
                <w:szCs w:val="21"/>
                <w:highlight w:val="none"/>
              </w:rPr>
              <w:t>□</w:t>
            </w:r>
            <w:r>
              <w:rPr>
                <w:rFonts w:hint="eastAsia" w:ascii="宋体" w:hAnsi="宋体" w:cs="宋体"/>
                <w:color w:val="auto"/>
                <w:sz w:val="21"/>
                <w:szCs w:val="21"/>
                <w:highlight w:val="none"/>
              </w:rPr>
              <w:t>要求</w:t>
            </w:r>
          </w:p>
          <w:p>
            <w:pPr>
              <w:pStyle w:val="12"/>
              <w:rPr>
                <w:rFonts w:hint="default"/>
                <w:color w:val="auto"/>
                <w:sz w:val="21"/>
                <w:szCs w:val="21"/>
                <w:highlight w:val="none"/>
              </w:rPr>
            </w:pPr>
            <w:r>
              <w:rPr>
                <w:rFonts w:hint="eastAsia" w:ascii="宋体" w:hAnsi="宋体"/>
                <w:color w:val="auto"/>
                <w:spacing w:val="-1"/>
                <w:sz w:val="21"/>
                <w:szCs w:val="21"/>
                <w:highlight w:val="none"/>
              </w:rPr>
              <w:t>■</w:t>
            </w:r>
            <w:r>
              <w:rPr>
                <w:rFonts w:hint="eastAsia" w:hAnsi="宋体" w:cs="宋体"/>
                <w:color w:val="auto"/>
                <w:sz w:val="21"/>
                <w:szCs w:val="21"/>
                <w:highlight w:val="none"/>
              </w:rPr>
              <w:t>不要求</w:t>
            </w:r>
          </w:p>
        </w:tc>
      </w:tr>
      <w:tr>
        <w:trPr>
          <w:trHeight w:val="704"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3.6</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是否允许递交备选投标方案</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widowControl/>
              <w:spacing w:line="360" w:lineRule="exact"/>
              <w:rPr>
                <w:rFonts w:hint="default"/>
                <w:color w:val="auto"/>
                <w:kern w:val="1"/>
                <w:sz w:val="21"/>
                <w:szCs w:val="21"/>
                <w:highlight w:val="none"/>
              </w:rPr>
            </w:pPr>
            <w:r>
              <w:rPr>
                <w:color w:val="auto"/>
                <w:kern w:val="1"/>
                <w:sz w:val="21"/>
                <w:szCs w:val="21"/>
                <w:highlight w:val="none"/>
              </w:rPr>
              <w:t>■不允许</w:t>
            </w:r>
          </w:p>
          <w:p>
            <w:pPr>
              <w:pStyle w:val="16"/>
              <w:widowControl/>
              <w:spacing w:line="360" w:lineRule="exact"/>
              <w:rPr>
                <w:rFonts w:ascii="宋体" w:hAnsi="宋体" w:cs="宋体"/>
                <w:color w:val="auto"/>
                <w:szCs w:val="21"/>
                <w:highlight w:val="none"/>
                <w:u w:val="single"/>
              </w:rPr>
            </w:pPr>
            <w:r>
              <w:rPr>
                <w:rFonts w:hint="eastAsia" w:ascii="宋体" w:hAnsi="宋体" w:cs="宋体"/>
                <w:color w:val="auto"/>
                <w:kern w:val="1"/>
                <w:szCs w:val="21"/>
                <w:highlight w:val="none"/>
              </w:rPr>
              <w:t>□允许</w:t>
            </w:r>
          </w:p>
        </w:tc>
      </w:tr>
      <w:tr>
        <w:trPr>
          <w:trHeight w:val="498"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3.7.3</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0"/>
                <w:szCs w:val="21"/>
                <w:highlight w:val="none"/>
                <w:lang w:bidi="ar"/>
              </w:rPr>
              <w:t>签字或盖章要求</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ascii="宋体" w:hAnsi="宋体" w:eastAsia="宋体" w:cs="宋体"/>
                <w:color w:val="auto"/>
                <w:kern w:val="1"/>
                <w:szCs w:val="21"/>
                <w:highlight w:val="none"/>
              </w:rPr>
            </w:pPr>
            <w:r>
              <w:rPr>
                <w:rFonts w:hint="eastAsia" w:ascii="宋体" w:hAnsi="宋体" w:eastAsia="宋体" w:cs="宋体"/>
                <w:color w:val="auto"/>
                <w:kern w:val="0"/>
                <w:szCs w:val="21"/>
                <w:highlight w:val="none"/>
                <w:lang w:bidi="ar"/>
              </w:rPr>
              <w:t>投标文件全部采用电子文档，投标文件应按广州公共资源交易中心交易平台相关操作指南编制。投标文件所附证书证件均为原件扫描件，并采用单位数字证书，按招标文件要求在相应位置加盖电子印章。投标文件中需个人签字或盖章的，应加盖个人电子印章或在线下完成后扫描上传。具体操作详见广州公共资源交易中心交易平台相关操作指南。联合体投标时，除《联合体共同投标协议书》必须联合体各单位分别按要求进行签字或盖章外，其他资料若需要签字或盖章的均可由联合体牵头单位签字或盖章；投标资料封面及其他内容及落款中要求填写单位名称的应填写联合体各单位的单位全称【格式表示为：(主)单位全称(成)单位全称……】，由联合体牵头单位签字、盖章即可。</w:t>
            </w:r>
          </w:p>
        </w:tc>
      </w:tr>
      <w:tr>
        <w:trPr>
          <w:trHeight w:val="1456"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4.1.1</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投标文件加密要求</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1、网上递交的电子投标文件须进行加密。具体操作详见广州公共资源交易中心网站最新发布的《房建市政全流程电子化项目操作专章》。</w:t>
            </w:r>
          </w:p>
          <w:p>
            <w:pPr>
              <w:spacing w:line="360" w:lineRule="exact"/>
              <w:rPr>
                <w:rFonts w:ascii="宋体" w:hAnsi="宋体" w:eastAsia="宋体" w:cs="宋体"/>
                <w:color w:val="auto"/>
                <w:kern w:val="1"/>
                <w:szCs w:val="21"/>
                <w:highlight w:val="none"/>
              </w:rPr>
            </w:pPr>
            <w:r>
              <w:rPr>
                <w:rFonts w:hint="eastAsia" w:ascii="宋体" w:hAnsi="宋体" w:eastAsia="宋体" w:cs="宋体"/>
                <w:bCs/>
                <w:color w:val="auto"/>
                <w:kern w:val="0"/>
                <w:szCs w:val="21"/>
                <w:highlight w:val="none"/>
                <w:lang w:bidi="ar"/>
              </w:rPr>
              <w:t>2、如有提交备用电子投标文件，备用电子投标文件应密封包装，并在封套的封口处加盖投标人（或联合体牵头方）单位公章，除设计暗标备用光盘除外。</w:t>
            </w:r>
          </w:p>
        </w:tc>
      </w:tr>
      <w:tr>
        <w:trPr>
          <w:trHeight w:val="1804"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4.1.2</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封套上应载明的信息</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1.如有提交</w:t>
            </w:r>
            <w:r>
              <w:rPr>
                <w:rFonts w:hint="eastAsia" w:ascii="Calibri" w:hAnsi="Calibri" w:eastAsia="宋体" w:cs="宋体"/>
                <w:b/>
                <w:color w:val="auto"/>
                <w:kern w:val="1"/>
                <w:szCs w:val="21"/>
                <w:highlight w:val="none"/>
                <w:lang w:bidi="ar"/>
              </w:rPr>
              <w:t>资格审查文件、工程总承包实施方案技术投标文件、工程总承包实施方案经济投标文件的</w:t>
            </w:r>
            <w:r>
              <w:rPr>
                <w:rFonts w:hint="eastAsia" w:ascii="宋体" w:hAnsi="宋体" w:eastAsia="宋体" w:cs="宋体"/>
                <w:color w:val="auto"/>
                <w:kern w:val="0"/>
                <w:szCs w:val="21"/>
                <w:highlight w:val="none"/>
                <w:lang w:bidi="ar"/>
              </w:rPr>
              <w:t>备用电子投标文件光盘或u盘，封套上应注明如下信息：</w:t>
            </w:r>
          </w:p>
          <w:p>
            <w:pPr>
              <w:spacing w:line="36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招标人名称：</w:t>
            </w:r>
            <w:r>
              <w:rPr>
                <w:rFonts w:hint="eastAsia" w:ascii="宋体" w:hAnsi="宋体" w:eastAsia="宋体" w:cs="宋体"/>
                <w:color w:val="auto"/>
                <w:kern w:val="0"/>
                <w:szCs w:val="21"/>
                <w:highlight w:val="none"/>
                <w:u w:val="single"/>
                <w:lang w:bidi="ar"/>
              </w:rPr>
              <w:t xml:space="preserve">               </w:t>
            </w:r>
          </w:p>
          <w:p>
            <w:pPr>
              <w:spacing w:line="36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招标人地址：</w:t>
            </w:r>
            <w:r>
              <w:rPr>
                <w:rFonts w:hint="eastAsia" w:ascii="宋体" w:hAnsi="宋体" w:eastAsia="宋体" w:cs="宋体"/>
                <w:color w:val="auto"/>
                <w:kern w:val="0"/>
                <w:szCs w:val="21"/>
                <w:highlight w:val="none"/>
                <w:u w:val="single"/>
                <w:lang w:bidi="ar"/>
              </w:rPr>
              <w:t xml:space="preserve">             </w:t>
            </w:r>
          </w:p>
          <w:p>
            <w:pPr>
              <w:spacing w:line="36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u w:val="single"/>
                <w:lang w:bidi="ar"/>
              </w:rPr>
              <w:t xml:space="preserve">             招标项目</w:t>
            </w:r>
            <w:r>
              <w:rPr>
                <w:rFonts w:hint="eastAsia" w:ascii="宋体" w:hAnsi="宋体" w:eastAsia="宋体" w:cs="宋体"/>
                <w:color w:val="auto"/>
                <w:kern w:val="0"/>
                <w:szCs w:val="21"/>
                <w:highlight w:val="none"/>
                <w:lang w:bidi="ar"/>
              </w:rPr>
              <w:t>投标文件</w:t>
            </w:r>
          </w:p>
          <w:p>
            <w:pPr>
              <w:spacing w:line="360" w:lineRule="exact"/>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招标项目编号：</w:t>
            </w:r>
            <w:r>
              <w:rPr>
                <w:rFonts w:hint="eastAsia" w:ascii="宋体" w:hAnsi="宋体" w:eastAsia="宋体" w:cs="宋体"/>
                <w:color w:val="auto"/>
                <w:kern w:val="0"/>
                <w:szCs w:val="21"/>
                <w:highlight w:val="none"/>
                <w:u w:val="single"/>
                <w:lang w:bidi="ar"/>
              </w:rPr>
              <w:t xml:space="preserve">        </w:t>
            </w:r>
          </w:p>
          <w:p>
            <w:pPr>
              <w:spacing w:line="36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投标人名称：</w:t>
            </w:r>
            <w:r>
              <w:rPr>
                <w:rFonts w:hint="eastAsia" w:ascii="宋体" w:hAnsi="宋体" w:eastAsia="宋体" w:cs="宋体"/>
                <w:color w:val="auto"/>
                <w:kern w:val="0"/>
                <w:szCs w:val="21"/>
                <w:highlight w:val="none"/>
                <w:u w:val="single"/>
                <w:lang w:bidi="ar"/>
              </w:rPr>
              <w:t xml:space="preserve">               </w:t>
            </w:r>
          </w:p>
          <w:p>
            <w:pPr>
              <w:spacing w:line="360" w:lineRule="exact"/>
              <w:rPr>
                <w:rFonts w:ascii="宋体" w:hAnsi="宋体" w:eastAsia="宋体" w:cs="Courier New"/>
                <w:b/>
                <w:color w:val="auto"/>
                <w:szCs w:val="21"/>
                <w:highlight w:val="none"/>
              </w:rPr>
            </w:pPr>
            <w:r>
              <w:rPr>
                <w:rFonts w:hint="eastAsia" w:ascii="宋体" w:hAnsi="宋体" w:eastAsia="宋体" w:cs="宋体"/>
                <w:color w:val="auto"/>
                <w:kern w:val="0"/>
                <w:szCs w:val="21"/>
                <w:highlight w:val="none"/>
                <w:lang w:bidi="ar"/>
              </w:rPr>
              <w:t>2.如有提交</w:t>
            </w:r>
            <w:r>
              <w:rPr>
                <w:rFonts w:hint="eastAsia" w:ascii="宋体" w:hAnsi="宋体" w:eastAsia="宋体" w:cs="宋体"/>
                <w:b/>
                <w:color w:val="auto"/>
                <w:kern w:val="0"/>
                <w:szCs w:val="21"/>
                <w:highlight w:val="none"/>
                <w:lang w:bidi="ar"/>
              </w:rPr>
              <w:t>设计方案及保密信封</w:t>
            </w:r>
            <w:r>
              <w:rPr>
                <w:rFonts w:hint="eastAsia" w:ascii="宋体" w:hAnsi="宋体" w:eastAsia="宋体" w:cs="宋体"/>
                <w:color w:val="auto"/>
                <w:kern w:val="0"/>
                <w:szCs w:val="21"/>
                <w:highlight w:val="none"/>
                <w:lang w:bidi="ar"/>
              </w:rPr>
              <w:t>的备用电子投标文件，必须隐匿投标人及专业技术人员的名称及投标报价信息，除“保密文件光盘”内的分辨投标人身份的文件外，投标人不得在设计方案上标注或做任何可以辨认投标人及专业技术人员身份的名称、印章、商标、图形，也不得显示投标报价信息。评标时若遇不可抗力发生（如：网络瘫痪、服务器损坏、交易系统故障短期无法恢复等因素），由评标委员会开启现场递交的全部投标文件光盘（备用），并按光盘内容进行评审。保密文件光盘内附一张JPG格式内容为表现图的图形文件，加盖投标人电子印章，项目负责人署名。表现图内容应与设计方案一致（并注明表现图在设计方案中的页码或图号），用于分辨投标文件对应的投标人身份。技术文件光盘、保密文件光盘接收时不得启封，当符合上款条件需要对技术文件进行评审时，由交易服务机构见证人对技术文件光盘启封密封袋并编号，参与开标、评标的其他人员应当回避，完成编号后送交评标委员会进行评审。评标结果揭晓前，负责编号的工作人员不得向他人透露投标文件编号的情况。在完成技术文件评审后，由交易服务机构见证人和评标委员会共同开启保密文件光盘密封袋揭晓投标人身份。</w:t>
            </w:r>
          </w:p>
        </w:tc>
      </w:tr>
      <w:tr>
        <w:trPr>
          <w:trHeight w:val="1804"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4.2.2</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bCs/>
                <w:color w:val="auto"/>
                <w:kern w:val="1"/>
                <w:szCs w:val="21"/>
                <w:highlight w:val="none"/>
                <w:lang w:bidi="ar"/>
              </w:rPr>
              <w:t>递交投标文件地点及截止时间</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投标人应在截止时间前通过广州交易集团有限公司（</w:t>
            </w:r>
            <w:r>
              <w:rPr>
                <w:rFonts w:hint="eastAsia" w:ascii="宋体" w:hAnsi="宋体" w:eastAsia="宋体" w:cs="宋体"/>
                <w:color w:val="auto"/>
                <w:kern w:val="0"/>
                <w:szCs w:val="21"/>
                <w:highlight w:val="none"/>
                <w:u w:val="single"/>
                <w:lang w:bidi="ar"/>
              </w:rPr>
              <w:t>广州公共资源交易中心）</w:t>
            </w:r>
            <w:r>
              <w:rPr>
                <w:rFonts w:hint="eastAsia" w:ascii="宋体" w:hAnsi="宋体" w:eastAsia="宋体" w:cs="宋体"/>
                <w:color w:val="auto"/>
                <w:kern w:val="0"/>
                <w:szCs w:val="21"/>
                <w:highlight w:val="none"/>
                <w:lang w:bidi="ar"/>
              </w:rPr>
              <w:t>交易平台递交电子投标文件。</w:t>
            </w:r>
          </w:p>
          <w:p>
            <w:pPr>
              <w:spacing w:line="36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递交备用光盘（或U盘）地点：广州交易集团有限公司</w:t>
            </w:r>
            <w:r>
              <w:rPr>
                <w:rFonts w:hint="eastAsia" w:ascii="宋体" w:hAnsi="宋体" w:eastAsia="宋体" w:cs="宋体"/>
                <w:color w:val="auto"/>
                <w:kern w:val="0"/>
                <w:szCs w:val="21"/>
                <w:highlight w:val="none"/>
                <w:u w:val="single"/>
                <w:lang w:bidi="ar"/>
              </w:rPr>
              <w:t>（广州公共资源交易中心）</w:t>
            </w:r>
            <w:r>
              <w:rPr>
                <w:rFonts w:hint="eastAsia" w:ascii="宋体" w:hAnsi="宋体" w:eastAsia="宋体" w:cs="宋体"/>
                <w:color w:val="auto"/>
                <w:kern w:val="0"/>
                <w:szCs w:val="21"/>
                <w:highlight w:val="none"/>
                <w:lang w:bidi="ar"/>
              </w:rPr>
              <w:t>花都交易部</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u w:val="single"/>
                <w:lang w:val="en-US" w:eastAsia="zh-CN" w:bidi="ar"/>
              </w:rPr>
              <w:t xml:space="preserve"> </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开标室。</w:t>
            </w:r>
          </w:p>
          <w:p>
            <w:pPr>
              <w:spacing w:line="36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递交备用光盘（或U盘）时间：202</w:t>
            </w:r>
            <w:r>
              <w:rPr>
                <w:rFonts w:ascii="宋体" w:hAnsi="宋体" w:eastAsia="宋体" w:cs="宋体"/>
                <w:color w:val="auto"/>
                <w:kern w:val="0"/>
                <w:szCs w:val="21"/>
                <w:highlight w:val="none"/>
                <w:lang w:bidi="ar"/>
              </w:rPr>
              <w:t>4</w:t>
            </w:r>
            <w:r>
              <w:rPr>
                <w:rFonts w:hint="eastAsia" w:ascii="宋体" w:hAnsi="宋体" w:eastAsia="宋体" w:cs="宋体"/>
                <w:color w:val="auto"/>
                <w:kern w:val="0"/>
                <w:szCs w:val="21"/>
                <w:highlight w:val="none"/>
                <w:lang w:bidi="ar"/>
              </w:rPr>
              <w:t>年</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月</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日</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时</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分。</w:t>
            </w:r>
          </w:p>
          <w:p>
            <w:pPr>
              <w:spacing w:line="36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具体时间、地点可在</w:t>
            </w:r>
            <w:r>
              <w:rPr>
                <w:rFonts w:hint="eastAsia" w:hAnsi="宋体" w:cs="宋体"/>
                <w:color w:val="auto"/>
                <w:szCs w:val="21"/>
                <w:highlight w:val="none"/>
              </w:rPr>
              <w:t>广州交易集团有限公司</w:t>
            </w:r>
            <w:r>
              <w:rPr>
                <w:rFonts w:hint="eastAsia" w:ascii="宋体" w:hAnsi="宋体" w:eastAsia="宋体" w:cs="宋体"/>
                <w:color w:val="auto"/>
                <w:kern w:val="0"/>
                <w:szCs w:val="21"/>
                <w:highlight w:val="none"/>
                <w:lang w:bidi="ar"/>
              </w:rPr>
              <w:t>（</w:t>
            </w:r>
            <w:r>
              <w:rPr>
                <w:rFonts w:hint="eastAsia" w:ascii="宋体" w:hAnsi="宋体" w:eastAsia="宋体" w:cs="宋体"/>
                <w:color w:val="auto"/>
                <w:kern w:val="0"/>
                <w:szCs w:val="21"/>
                <w:highlight w:val="none"/>
                <w:u w:val="single"/>
                <w:lang w:bidi="ar"/>
              </w:rPr>
              <w:t>广州公共资源交易中心</w:t>
            </w:r>
            <w:r>
              <w:rPr>
                <w:rFonts w:ascii="宋体" w:hAnsi="宋体" w:eastAsia="宋体" w:cs="宋体"/>
                <w:color w:val="auto"/>
                <w:kern w:val="0"/>
                <w:szCs w:val="21"/>
                <w:highlight w:val="none"/>
                <w:lang w:bidi="ar"/>
              </w:rPr>
              <w:t>）</w:t>
            </w:r>
            <w:r>
              <w:rPr>
                <w:rFonts w:hint="eastAsia" w:ascii="宋体" w:hAnsi="宋体" w:eastAsia="宋体" w:cs="宋体"/>
                <w:color w:val="auto"/>
                <w:kern w:val="0"/>
                <w:szCs w:val="21"/>
                <w:highlight w:val="none"/>
                <w:lang w:bidi="ar"/>
              </w:rPr>
              <w:t>网站本项目招标公告日程安排进行查询。</w:t>
            </w:r>
          </w:p>
        </w:tc>
      </w:tr>
      <w:tr>
        <w:trPr>
          <w:trHeight w:val="684"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4.2.3</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是否退还投标文件</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■否</w:t>
            </w:r>
          </w:p>
          <w:p>
            <w:pPr>
              <w:widowControl/>
              <w:spacing w:line="36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□是</w:t>
            </w:r>
          </w:p>
        </w:tc>
      </w:tr>
      <w:tr>
        <w:trPr>
          <w:trHeight w:val="768" w:hRule="atLeast"/>
          <w:jc w:val="center"/>
        </w:trPr>
        <w:tc>
          <w:tcPr>
            <w:tcW w:w="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360" w:lineRule="exact"/>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5.1</w:t>
            </w:r>
          </w:p>
        </w:tc>
        <w:tc>
          <w:tcPr>
            <w:tcW w:w="1936"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360" w:lineRule="exact"/>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开标时间和地点</w:t>
            </w:r>
          </w:p>
        </w:tc>
        <w:tc>
          <w:tcPr>
            <w:tcW w:w="6765" w:type="dxa"/>
            <w:tcBorders>
              <w:top w:val="single" w:color="auto" w:sz="4" w:space="0"/>
              <w:left w:val="single" w:color="000000" w:sz="4" w:space="0"/>
              <w:bottom w:val="single" w:color="auto" w:sz="4" w:space="0"/>
              <w:right w:val="single" w:color="auto" w:sz="4" w:space="0"/>
            </w:tcBorders>
            <w:shd w:val="clear" w:color="auto" w:fill="auto"/>
            <w:vAlign w:val="center"/>
          </w:tcPr>
          <w:p>
            <w:pPr>
              <w:spacing w:line="36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开标时间：同投标截止时间</w:t>
            </w:r>
          </w:p>
          <w:p>
            <w:pPr>
              <w:widowControl/>
              <w:spacing w:line="36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开标地点：在</w:t>
            </w:r>
            <w:r>
              <w:rPr>
                <w:rFonts w:hint="eastAsia" w:hAnsi="宋体" w:cs="宋体"/>
                <w:color w:val="auto"/>
                <w:szCs w:val="21"/>
                <w:highlight w:val="none"/>
              </w:rPr>
              <w:t>广州交易集团有限公司</w:t>
            </w:r>
            <w:r>
              <w:rPr>
                <w:rFonts w:hint="eastAsia" w:ascii="宋体" w:hAnsi="宋体" w:eastAsia="宋体" w:cs="宋体"/>
                <w:color w:val="auto"/>
                <w:kern w:val="0"/>
                <w:szCs w:val="21"/>
                <w:highlight w:val="none"/>
                <w:lang w:bidi="ar"/>
              </w:rPr>
              <w:t>（</w:t>
            </w:r>
            <w:r>
              <w:rPr>
                <w:rFonts w:hint="eastAsia" w:ascii="宋体" w:hAnsi="宋体" w:eastAsia="宋体" w:cs="宋体"/>
                <w:color w:val="auto"/>
                <w:kern w:val="0"/>
                <w:szCs w:val="21"/>
                <w:highlight w:val="none"/>
                <w:u w:val="single"/>
                <w:lang w:bidi="ar"/>
              </w:rPr>
              <w:t>广州公共资源交易中心）</w:t>
            </w:r>
            <w:r>
              <w:rPr>
                <w:rFonts w:hint="eastAsia" w:ascii="宋体" w:hAnsi="宋体" w:cs="宋体"/>
                <w:color w:val="auto"/>
                <w:szCs w:val="21"/>
                <w:highlight w:val="none"/>
              </w:rPr>
              <w:t>数字</w:t>
            </w:r>
            <w:r>
              <w:rPr>
                <w:rFonts w:hint="eastAsia" w:ascii="宋体" w:hAnsi="宋体" w:eastAsia="宋体" w:cs="宋体"/>
                <w:color w:val="auto"/>
                <w:kern w:val="0"/>
                <w:szCs w:val="21"/>
                <w:highlight w:val="none"/>
                <w:lang w:bidi="ar"/>
              </w:rPr>
              <w:t>交易平台进行电子开标</w:t>
            </w:r>
          </w:p>
        </w:tc>
      </w:tr>
      <w:tr>
        <w:trPr>
          <w:trHeight w:val="1191" w:hRule="atLeast"/>
          <w:jc w:val="center"/>
        </w:trPr>
        <w:tc>
          <w:tcPr>
            <w:tcW w:w="883" w:type="dxa"/>
            <w:tcBorders>
              <w:top w:val="single" w:color="auto"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0"/>
                <w:szCs w:val="21"/>
                <w:highlight w:val="none"/>
                <w:lang w:bidi="ar"/>
              </w:rPr>
              <w:t>5.2</w:t>
            </w:r>
          </w:p>
        </w:tc>
        <w:tc>
          <w:tcPr>
            <w:tcW w:w="1936" w:type="dxa"/>
            <w:tcBorders>
              <w:top w:val="single" w:color="auto"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开标程序</w:t>
            </w:r>
          </w:p>
        </w:tc>
        <w:tc>
          <w:tcPr>
            <w:tcW w:w="6765" w:type="dxa"/>
            <w:tcBorders>
              <w:top w:val="single" w:color="auto" w:sz="4" w:space="0"/>
              <w:left w:val="single" w:color="000000" w:sz="4" w:space="0"/>
              <w:bottom w:val="single" w:color="000000" w:sz="4" w:space="0"/>
              <w:right w:val="single" w:color="000000" w:sz="4" w:space="0"/>
            </w:tcBorders>
            <w:shd w:val="clear" w:color="auto" w:fill="auto"/>
            <w:vAlign w:val="center"/>
          </w:tcPr>
          <w:p>
            <w:pPr>
              <w:spacing w:line="36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1.按下列程序进行开标：</w:t>
            </w:r>
          </w:p>
          <w:p>
            <w:pPr>
              <w:spacing w:line="36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在投标截止时间后30分钟内，投标人通过递交投标文件的广州公共资源交易中心交易平台对已递交的电子投标文件进行解密。投标人完成解密后，再由招标人进行解密（投标人只用执行一次解密，招标人执行解密次数根据招标文件开标次数确定）。</w:t>
            </w:r>
          </w:p>
          <w:p>
            <w:pPr>
              <w:spacing w:line="36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解密完成后，公布：a投标人名称；b投标文件递交情况；c投标文件解密情况；d投标保证金递交情况；e项目负责人、技术负责人、设计负责人、专职安全员；f投标报价（含设计费报价和建安工程费报价）；g工期；h投标人的加密打包投标文件电脑机器特征码等主要内容，并记录在案。未在规定时间内解密的投标文件不参与开标、评标。</w:t>
            </w:r>
          </w:p>
          <w:p>
            <w:pPr>
              <w:spacing w:line="36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（3）截标后，开标开始时间因故推迟的，相关评标信息仍以原定的开标开始时间的信息为准。</w:t>
            </w:r>
          </w:p>
          <w:p>
            <w:pPr>
              <w:spacing w:line="36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（4）备用光盘（或U盘）的读取按投标人须知前附表“10 电子招标投标”第6点的规定执行。</w:t>
            </w:r>
          </w:p>
          <w:p>
            <w:pPr>
              <w:spacing w:line="36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5）开标方式采用电子开标和现场开标两种模式，投标人可选择在开标室参与开标或准时在线参加电子开标，也可不参加开标。参加电子开标的投标人登录广州公共资源交易中心交易平台实时查看开标、唱标情况。广州公共资源交易中心交易平台生成开标记录并向社会公众公布。</w:t>
            </w:r>
          </w:p>
          <w:p>
            <w:pPr>
              <w:spacing w:line="36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6）参加现场开标的投标人对开标结果有异议的，应当在开标现场提出，招标人应当当场作出答复，并制作记录。参加电子开标的投标人对开标结果有异议的，应当在唱标结束后的规定时间内、使用单位数字证书登录广州公共资源交易中心交易平台后通过广州公共资源交易中心交易平台提出。招标人授权招标代理机构工作人员使用招标代理机构数字证书登录广州公共资源交易中心交易平台答复异议，异议答复是招标人真实意思表示。未答复的，开标程序不得结束。</w:t>
            </w:r>
          </w:p>
          <w:p>
            <w:pPr>
              <w:spacing w:line="36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r>
              <w:rPr>
                <w:rFonts w:ascii="宋体" w:hAnsi="宋体" w:eastAsia="宋体" w:cs="宋体"/>
                <w:color w:val="auto"/>
                <w:kern w:val="0"/>
                <w:szCs w:val="21"/>
                <w:highlight w:val="none"/>
                <w:lang w:bidi="ar"/>
              </w:rPr>
              <w:t>7</w:t>
            </w:r>
            <w:r>
              <w:rPr>
                <w:rFonts w:hint="eastAsia" w:ascii="宋体" w:hAnsi="宋体" w:eastAsia="宋体" w:cs="宋体"/>
                <w:color w:val="auto"/>
                <w:kern w:val="0"/>
                <w:szCs w:val="21"/>
                <w:highlight w:val="none"/>
                <w:lang w:bidi="ar"/>
              </w:rPr>
              <w:t>）投标人未参加开标或在规定的时间内未提出异议的，视为对开标无异议。</w:t>
            </w:r>
          </w:p>
          <w:p>
            <w:pPr>
              <w:spacing w:line="36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r>
              <w:rPr>
                <w:rFonts w:ascii="宋体" w:hAnsi="宋体" w:eastAsia="宋体" w:cs="宋体"/>
                <w:color w:val="auto"/>
                <w:kern w:val="0"/>
                <w:szCs w:val="21"/>
                <w:highlight w:val="none"/>
                <w:lang w:bidi="ar"/>
              </w:rPr>
              <w:t>8</w:t>
            </w:r>
            <w:r>
              <w:rPr>
                <w:rFonts w:hint="eastAsia" w:ascii="宋体" w:hAnsi="宋体" w:eastAsia="宋体" w:cs="宋体"/>
                <w:color w:val="auto"/>
                <w:kern w:val="0"/>
                <w:szCs w:val="21"/>
                <w:highlight w:val="none"/>
                <w:lang w:bidi="ar"/>
              </w:rPr>
              <w:t>）开标时，两个（含两个）以上的投标人加密打包投标文件电脑机器特征码一致的，不参与下一程序，并由评标委员会否决其投标。</w:t>
            </w:r>
          </w:p>
        </w:tc>
      </w:tr>
      <w:tr>
        <w:trPr>
          <w:trHeight w:val="552" w:hRule="atLeast"/>
          <w:jc w:val="center"/>
        </w:trPr>
        <w:tc>
          <w:tcPr>
            <w:tcW w:w="883" w:type="dxa"/>
            <w:tcBorders>
              <w:top w:val="single" w:color="auto"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6.1.1</w:t>
            </w:r>
          </w:p>
        </w:tc>
        <w:tc>
          <w:tcPr>
            <w:tcW w:w="1936" w:type="dxa"/>
            <w:tcBorders>
              <w:top w:val="single" w:color="auto"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评标委员会的组建</w:t>
            </w:r>
          </w:p>
        </w:tc>
        <w:tc>
          <w:tcPr>
            <w:tcW w:w="676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360" w:lineRule="exact"/>
              <w:rPr>
                <w:rFonts w:ascii="宋体" w:hAnsi="宋体" w:eastAsia="宋体" w:cs="宋体"/>
                <w:color w:val="auto"/>
                <w:szCs w:val="21"/>
                <w:highlight w:val="none"/>
              </w:rPr>
            </w:pPr>
            <w:r>
              <w:rPr>
                <w:rFonts w:hint="eastAsia" w:ascii="宋体" w:hAnsi="宋体"/>
                <w:color w:val="auto"/>
                <w:szCs w:val="21"/>
                <w:highlight w:val="none"/>
              </w:rPr>
              <w:t>评标委员会由招标人依法组建。评标委员会人数为5人，除招标人代表外，其他评委均从广东省综合评标评审专家库中抽取。</w:t>
            </w:r>
          </w:p>
        </w:tc>
      </w:tr>
      <w:tr>
        <w:trPr>
          <w:trHeight w:val="657" w:hRule="atLeast"/>
          <w:jc w:val="center"/>
        </w:trPr>
        <w:tc>
          <w:tcPr>
            <w:tcW w:w="883"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7.1</w:t>
            </w:r>
          </w:p>
        </w:tc>
        <w:tc>
          <w:tcPr>
            <w:tcW w:w="1936"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是否授权评标委员会确定中标人</w:t>
            </w:r>
          </w:p>
        </w:tc>
        <w:tc>
          <w:tcPr>
            <w:tcW w:w="676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6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□是</w:t>
            </w:r>
          </w:p>
          <w:p>
            <w:pPr>
              <w:widowControl/>
              <w:spacing w:line="36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■否，推荐的中标候选人数：</w:t>
            </w:r>
            <w:r>
              <w:rPr>
                <w:rFonts w:hint="eastAsia" w:ascii="宋体" w:hAnsi="宋体" w:eastAsia="宋体" w:cs="宋体"/>
                <w:color w:val="auto"/>
                <w:kern w:val="0"/>
                <w:szCs w:val="21"/>
                <w:highlight w:val="none"/>
                <w:u w:val="single"/>
                <w:lang w:bidi="ar"/>
              </w:rPr>
              <w:t>3人</w:t>
            </w:r>
          </w:p>
        </w:tc>
      </w:tr>
      <w:tr>
        <w:trPr>
          <w:trHeight w:val="925" w:hRule="atLeast"/>
          <w:jc w:val="center"/>
        </w:trPr>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7.2</w:t>
            </w:r>
          </w:p>
        </w:tc>
        <w:tc>
          <w:tcPr>
            <w:tcW w:w="19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中标候选人公示媒介</w:t>
            </w:r>
          </w:p>
        </w:tc>
        <w:tc>
          <w:tcPr>
            <w:tcW w:w="67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公示媒介：中国招标投标公共服务平台、广东省招标投标监管网、广州公共资源交易中心网站</w:t>
            </w:r>
          </w:p>
          <w:p>
            <w:pPr>
              <w:widowControl/>
              <w:spacing w:line="36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公示期限：3日</w:t>
            </w:r>
          </w:p>
        </w:tc>
      </w:tr>
      <w:tr>
        <w:trPr>
          <w:trHeight w:val="1804" w:hRule="atLeast"/>
          <w:jc w:val="center"/>
        </w:trPr>
        <w:tc>
          <w:tcPr>
            <w:tcW w:w="883" w:type="dxa"/>
            <w:tcBorders>
              <w:top w:val="single" w:color="auto"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7.4.1</w:t>
            </w:r>
          </w:p>
        </w:tc>
        <w:tc>
          <w:tcPr>
            <w:tcW w:w="1936" w:type="dxa"/>
            <w:tcBorders>
              <w:top w:val="single" w:color="auto"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履约担保</w:t>
            </w:r>
          </w:p>
        </w:tc>
        <w:tc>
          <w:tcPr>
            <w:tcW w:w="6765" w:type="dxa"/>
            <w:tcBorders>
              <w:top w:val="single" w:color="auto" w:sz="4" w:space="0"/>
              <w:left w:val="single" w:color="000000" w:sz="4" w:space="0"/>
              <w:bottom w:val="single" w:color="000000" w:sz="4" w:space="0"/>
              <w:right w:val="single" w:color="000000" w:sz="4" w:space="0"/>
            </w:tcBorders>
            <w:shd w:val="clear" w:color="auto" w:fill="auto"/>
            <w:vAlign w:val="center"/>
          </w:tcPr>
          <w:p>
            <w:pPr>
              <w:spacing w:line="36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履约担保的形式：以合同约定为准。</w:t>
            </w:r>
          </w:p>
          <w:p>
            <w:pPr>
              <w:spacing w:line="36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履约担保的金额：中标总价的</w:t>
            </w:r>
            <w:r>
              <w:rPr>
                <w:rFonts w:hint="eastAsia" w:ascii="宋体" w:hAnsi="宋体" w:eastAsia="宋体" w:cs="宋体"/>
                <w:color w:val="auto"/>
                <w:kern w:val="0"/>
                <w:szCs w:val="21"/>
                <w:highlight w:val="none"/>
                <w:u w:val="single"/>
                <w:lang w:bidi="ar"/>
              </w:rPr>
              <w:t>10</w:t>
            </w:r>
            <w:r>
              <w:rPr>
                <w:rFonts w:hint="eastAsia" w:ascii="宋体" w:hAnsi="宋体" w:eastAsia="宋体" w:cs="宋体"/>
                <w:color w:val="auto"/>
                <w:kern w:val="0"/>
                <w:szCs w:val="21"/>
                <w:highlight w:val="none"/>
                <w:lang w:bidi="ar"/>
              </w:rPr>
              <w:t>%，联合体投标的由联合体牵头方牵头办理。</w:t>
            </w:r>
          </w:p>
          <w:p>
            <w:pPr>
              <w:widowControl/>
              <w:spacing w:line="36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担保期限从提供履约担保之日起至合同工程结算审定完成并移交工程档案后止。（履约保函到期但本项目未工程结算的，无论何种原因，投标人承诺无条件续保，如履约保函到期不提供续保则承担一般违约责任）</w:t>
            </w:r>
          </w:p>
        </w:tc>
      </w:tr>
      <w:tr>
        <w:trPr>
          <w:trHeight w:val="457"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b/>
                <w:color w:val="auto"/>
                <w:kern w:val="1"/>
                <w:szCs w:val="21"/>
                <w:highlight w:val="none"/>
              </w:rPr>
            </w:pPr>
            <w:r>
              <w:rPr>
                <w:rFonts w:hint="eastAsia" w:ascii="宋体" w:hAnsi="宋体" w:eastAsia="宋体" w:cs="宋体"/>
                <w:b/>
                <w:color w:val="auto"/>
                <w:kern w:val="1"/>
                <w:szCs w:val="21"/>
                <w:highlight w:val="none"/>
                <w:lang w:bidi="ar"/>
              </w:rPr>
              <w:t>9</w:t>
            </w:r>
          </w:p>
        </w:tc>
        <w:tc>
          <w:tcPr>
            <w:tcW w:w="8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b/>
                <w:color w:val="auto"/>
                <w:kern w:val="1"/>
                <w:szCs w:val="21"/>
                <w:highlight w:val="none"/>
              </w:rPr>
            </w:pPr>
            <w:r>
              <w:rPr>
                <w:rFonts w:hint="eastAsia" w:ascii="宋体" w:hAnsi="宋体" w:eastAsia="宋体" w:cs="宋体"/>
                <w:b/>
                <w:color w:val="auto"/>
                <w:kern w:val="1"/>
                <w:szCs w:val="21"/>
                <w:highlight w:val="none"/>
                <w:lang w:bidi="ar"/>
              </w:rPr>
              <w:t>需要补充的其他内容</w:t>
            </w:r>
          </w:p>
        </w:tc>
      </w:tr>
      <w:tr>
        <w:trPr>
          <w:trHeight w:val="1647"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9.1</w:t>
            </w:r>
          </w:p>
        </w:tc>
        <w:tc>
          <w:tcPr>
            <w:tcW w:w="8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建设工程质量检测单位：</w:t>
            </w:r>
          </w:p>
          <w:p>
            <w:pPr>
              <w:pStyle w:val="12"/>
              <w:rPr>
                <w:rFonts w:hint="default"/>
                <w:color w:val="auto"/>
                <w:sz w:val="21"/>
                <w:szCs w:val="21"/>
                <w:highlight w:val="none"/>
              </w:rPr>
            </w:pPr>
            <w:r>
              <w:rPr>
                <w:color w:val="auto"/>
                <w:sz w:val="21"/>
                <w:szCs w:val="21"/>
                <w:highlight w:val="none"/>
                <w:lang w:bidi="ar"/>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trPr>
          <w:trHeight w:val="53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9.2</w:t>
            </w:r>
          </w:p>
        </w:tc>
        <w:tc>
          <w:tcPr>
            <w:tcW w:w="8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施工保修期限：按照《建设工程质量管理条例》规定。</w:t>
            </w:r>
          </w:p>
        </w:tc>
      </w:tr>
      <w:tr>
        <w:trPr>
          <w:trHeight w:val="1777"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9.3</w:t>
            </w:r>
          </w:p>
        </w:tc>
        <w:tc>
          <w:tcPr>
            <w:tcW w:w="8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承包方式：包设计、包工、包料、包设备、包工期、包质量、包造价控制、包安全、包文明施工、包预算包干费、包项目协调管理、包验收移交、包竣工资料收集整理、包保修。</w:t>
            </w:r>
          </w:p>
          <w:p>
            <w:pPr>
              <w:spacing w:line="36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结算方式具体按合同条款规定。</w:t>
            </w:r>
          </w:p>
          <w:p>
            <w:pPr>
              <w:spacing w:line="36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项目在施工阶段，因工程实施环境变化等任何因素引起的设计及施工调整、设计和施工最终造价不得超过最高投标限价。</w:t>
            </w:r>
          </w:p>
          <w:p>
            <w:pPr>
              <w:spacing w:line="36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本工程实行全过程限额设计施工，限额投资。工程变更需经过建设单位审定后方可实施。</w:t>
            </w:r>
          </w:p>
        </w:tc>
      </w:tr>
      <w:tr>
        <w:trPr>
          <w:trHeight w:val="538"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9.4</w:t>
            </w:r>
          </w:p>
        </w:tc>
        <w:tc>
          <w:tcPr>
            <w:tcW w:w="8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在招标和合同实施期间，业主要求投标人和承包人遵守最高的道德标准。</w:t>
            </w:r>
          </w:p>
          <w:p>
            <w:pPr>
              <w:spacing w:line="36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1、对本条款的规定，特定义如下词汇：</w:t>
            </w:r>
          </w:p>
          <w:p>
            <w:pPr>
              <w:spacing w:line="36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1）“腐败行为”是指在招标或合同执行期间，通过提供、给予、接受或索要任何有价值的东西，从而影响招标人有关人员工作的行为；</w:t>
            </w:r>
          </w:p>
          <w:p>
            <w:pPr>
              <w:spacing w:line="36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欺诈行为”是指通过提供伪证影响招标或合同执行，从而损害招标人利益的行为；也包括投标人之间串通（在提交投标书之前或之后），人为地使招标过程失去竞争性，从而使业主无法从公开的自由竞争中获得利益的行为。</w:t>
            </w:r>
          </w:p>
          <w:p>
            <w:pPr>
              <w:spacing w:line="36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2、如果投标人被认定在本招标的竞争中有腐败或欺诈行为，则会被取消投标资格。</w:t>
            </w:r>
          </w:p>
        </w:tc>
      </w:tr>
      <w:tr>
        <w:trPr>
          <w:trHeight w:val="699"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9.5</w:t>
            </w:r>
          </w:p>
        </w:tc>
        <w:tc>
          <w:tcPr>
            <w:tcW w:w="8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结算方式：具体以签订的施工合同为准，结算严格控制在经审定的概算（或预算）内，最终以有关部门审核结果为准。</w:t>
            </w:r>
          </w:p>
        </w:tc>
      </w:tr>
      <w:tr>
        <w:trPr>
          <w:trHeight w:val="972" w:hRule="atLeast"/>
          <w:jc w:val="center"/>
        </w:trPr>
        <w:tc>
          <w:tcPr>
            <w:tcW w:w="883"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9.6</w:t>
            </w:r>
          </w:p>
        </w:tc>
        <w:tc>
          <w:tcPr>
            <w:tcW w:w="8701"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spacing w:line="360" w:lineRule="exact"/>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施工图即使通过审查备案，但如未达到国家、地方的行业标准、规范等及招标人需求任务书规定标准和深度，招标人要求完善的，属于设计失误（由招标人牵头认定是否设计失误），招标人不承担任何费用。</w:t>
            </w:r>
          </w:p>
        </w:tc>
      </w:tr>
      <w:tr>
        <w:trPr>
          <w:trHeight w:val="707" w:hRule="atLeast"/>
          <w:jc w:val="center"/>
        </w:trPr>
        <w:tc>
          <w:tcPr>
            <w:tcW w:w="883" w:type="dxa"/>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0"/>
                <w:szCs w:val="21"/>
                <w:highlight w:val="none"/>
                <w:lang w:bidi="ar"/>
              </w:rPr>
              <w:t>9.7</w:t>
            </w:r>
          </w:p>
        </w:tc>
        <w:tc>
          <w:tcPr>
            <w:tcW w:w="8701"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pStyle w:val="70"/>
              <w:rPr>
                <w:color w:val="auto"/>
                <w:szCs w:val="21"/>
                <w:highlight w:val="none"/>
              </w:rPr>
            </w:pPr>
            <w:r>
              <w:rPr>
                <w:rFonts w:hint="eastAsia"/>
                <w:color w:val="auto"/>
                <w:szCs w:val="21"/>
                <w:highlight w:val="none"/>
              </w:rPr>
              <w:t>1、中标人需按照《建筑施工安全检查标准》（JGJ59-2011）、《广州市建设工程现场文明施工管理办法》（穗建质〔2008〕937号）、《广州市城乡建设委员会关于印发广州市加强建筑工地环保管理工作方案的通知》(穗建质〔2014〕754号)、《广州市提升建设工程安全文明施工管理水平的工作指引》（穗建质[2017]815号）、《危险性较大的分部分项工程安全管理规定》(中华人民共和国住房和城乡建设部令第37号)、《广州市住房和城乡建设局关于印发加强建设工程安全生产管理落实建设各方主体责任的暂行规定的通知》（穗建规字〔2020〕34号）、《广州市住房和城乡建设委员会关于印发建设工程扬尘防治“6个100%”管理标准细化措施的通知》（穗建质〔2018〕1394号）、《广州市住房和城乡建设局等8部门关于印发广州市建设工程扬尘防治“6个100%”管理标准图集（V2.0版）的通知》、《广州市住房和城乡建设局关于印发广州市房屋建筑工程安全防护指导图集（防高坠篇）的通知》和《广州市建设工程绿色施工围蔽指导图集（V2.0版）》（穗建质〔2020〕1号）、《广州市住房和城乡建设委员会关于印发房屋和市政工程绿色环保施工管理工作指引的通知》(穗建质〔2018〕371号)》的有关规定做好安全文明施工各项工作，否则由招标人另行委托队伍施工，其费用由中标人自行负责。（注：在本项目实施过程中，如有新的规范及标准颁布，按最新的规范及标准执行）</w:t>
            </w:r>
          </w:p>
          <w:p>
            <w:pPr>
              <w:pStyle w:val="70"/>
              <w:rPr>
                <w:color w:val="auto"/>
                <w:szCs w:val="21"/>
                <w:highlight w:val="none"/>
              </w:rPr>
            </w:pPr>
            <w:r>
              <w:rPr>
                <w:rFonts w:hint="eastAsia"/>
                <w:color w:val="auto"/>
                <w:szCs w:val="21"/>
                <w:highlight w:val="none"/>
              </w:rPr>
              <w:t>2、中标人（联合体投标的由联合体牵头方提供）必须根据招标文件规定的时间要求及时出具履约保函，如中标人无法及时提供履约保函的，视为自动放弃中标资格并停止参加</w:t>
            </w:r>
            <w:r>
              <w:rPr>
                <w:rFonts w:hint="eastAsia"/>
                <w:color w:val="auto"/>
                <w:szCs w:val="21"/>
                <w:highlight w:val="none"/>
                <w:lang w:eastAsia="zh-CN"/>
              </w:rPr>
              <w:t>广州市花都区花山镇人民政府</w:t>
            </w:r>
            <w:r>
              <w:rPr>
                <w:rFonts w:hint="eastAsia"/>
                <w:color w:val="auto"/>
                <w:szCs w:val="21"/>
                <w:highlight w:val="none"/>
              </w:rPr>
              <w:t>的招标投标活动十二个月。招标人可以按照评标委员会提出的中标候选人名单排序依次确定其他中标候选人为中标人,也可以重新招标。</w:t>
            </w:r>
          </w:p>
          <w:p>
            <w:pPr>
              <w:spacing w:line="36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投标人如在本项目中存在串通投标、弄虚作假、行贿情形的，中标无效，该投标人将被招标人列入黑名单并限制其投标。行政监督部门将对其违法行为进行行政处罚并通报。</w:t>
            </w:r>
          </w:p>
        </w:tc>
      </w:tr>
      <w:tr>
        <w:trPr>
          <w:trHeight w:val="1111" w:hRule="atLeast"/>
          <w:jc w:val="center"/>
        </w:trPr>
        <w:tc>
          <w:tcPr>
            <w:tcW w:w="883"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70"/>
              <w:jc w:val="center"/>
              <w:rPr>
                <w:color w:val="auto"/>
                <w:szCs w:val="21"/>
                <w:highlight w:val="none"/>
              </w:rPr>
            </w:pPr>
            <w:r>
              <w:rPr>
                <w:rFonts w:hint="eastAsia"/>
                <w:color w:val="auto"/>
                <w:szCs w:val="21"/>
                <w:highlight w:val="none"/>
              </w:rPr>
              <w:t>9.8</w:t>
            </w:r>
          </w:p>
        </w:tc>
        <w:tc>
          <w:tcPr>
            <w:tcW w:w="8701"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pStyle w:val="70"/>
              <w:rPr>
                <w:color w:val="auto"/>
                <w:szCs w:val="21"/>
                <w:highlight w:val="none"/>
              </w:rPr>
            </w:pPr>
            <w:r>
              <w:rPr>
                <w:rFonts w:hint="eastAsia"/>
                <w:color w:val="auto"/>
                <w:szCs w:val="21"/>
                <w:highlight w:val="none"/>
              </w:rPr>
              <w:t>中标单位在获取中标通知书后的5个工作日内，须向招标人提供与递交电子投标文件内容完全一致的纸质投标文件两套（1正1副，需加盖企业公章及法人章）及未经加密的电子文件一套（包括经济标报价套价软件版、XML版和Microsoft Excel软件版及用Microsoft Word软件或广州公共资源交易中心提供的投标书制作软件制作的经济投标文件其他部分。电子文件介质使用CD-R光盘或U盘，所有电子文件不能采用压缩处理）给招标人。</w:t>
            </w:r>
          </w:p>
        </w:tc>
      </w:tr>
      <w:tr>
        <w:trPr>
          <w:trHeight w:val="1111" w:hRule="atLeast"/>
          <w:jc w:val="center"/>
        </w:trPr>
        <w:tc>
          <w:tcPr>
            <w:tcW w:w="883"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70"/>
              <w:jc w:val="center"/>
              <w:rPr>
                <w:color w:val="auto"/>
                <w:szCs w:val="21"/>
                <w:highlight w:val="none"/>
              </w:rPr>
            </w:pPr>
            <w:r>
              <w:rPr>
                <w:rFonts w:hint="eastAsia"/>
                <w:color w:val="auto"/>
                <w:szCs w:val="21"/>
                <w:highlight w:val="none"/>
              </w:rPr>
              <w:t>9.9</w:t>
            </w:r>
          </w:p>
        </w:tc>
        <w:tc>
          <w:tcPr>
            <w:tcW w:w="8701"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pStyle w:val="70"/>
              <w:rPr>
                <w:color w:val="auto"/>
                <w:szCs w:val="21"/>
                <w:highlight w:val="none"/>
              </w:rPr>
            </w:pPr>
            <w:r>
              <w:rPr>
                <w:rFonts w:hint="eastAsia"/>
                <w:color w:val="auto"/>
                <w:szCs w:val="21"/>
                <w:highlight w:val="none"/>
              </w:rPr>
              <w:t>1、中标人代缴广州公共资源交易中心交易服务费，其费用包含在中标人报价中，由广州公共资源交易中心向中标人开具发票。</w:t>
            </w:r>
          </w:p>
          <w:p>
            <w:pPr>
              <w:pStyle w:val="70"/>
              <w:rPr>
                <w:color w:val="auto"/>
                <w:szCs w:val="21"/>
                <w:highlight w:val="none"/>
              </w:rPr>
            </w:pPr>
            <w:r>
              <w:rPr>
                <w:rFonts w:hint="eastAsia"/>
                <w:color w:val="auto"/>
                <w:szCs w:val="21"/>
                <w:highlight w:val="none"/>
              </w:rPr>
              <w:t>2、本项目招标代理服务费由中标人支付，金额以招标人与招标代理机构签订的招标代理合同为准（若联合体投标</w:t>
            </w:r>
            <w:r>
              <w:rPr>
                <w:rFonts w:hint="eastAsia"/>
                <w:color w:val="auto"/>
                <w:szCs w:val="21"/>
                <w:highlight w:val="none"/>
                <w:lang w:val="en-US" w:eastAsia="zh-CN"/>
              </w:rPr>
              <w:t>由牵头单位支付</w:t>
            </w:r>
            <w:r>
              <w:rPr>
                <w:rFonts w:hint="eastAsia"/>
                <w:color w:val="auto"/>
                <w:szCs w:val="21"/>
                <w:highlight w:val="none"/>
              </w:rPr>
              <w:t>）。</w:t>
            </w:r>
          </w:p>
        </w:tc>
      </w:tr>
      <w:tr>
        <w:trPr>
          <w:trHeight w:val="12181" w:hRule="atLeast"/>
          <w:jc w:val="center"/>
        </w:trPr>
        <w:tc>
          <w:tcPr>
            <w:tcW w:w="883" w:type="dxa"/>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10</w:t>
            </w:r>
          </w:p>
        </w:tc>
        <w:tc>
          <w:tcPr>
            <w:tcW w:w="1936" w:type="dxa"/>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电子招标投标</w:t>
            </w:r>
          </w:p>
        </w:tc>
        <w:tc>
          <w:tcPr>
            <w:tcW w:w="6765" w:type="dxa"/>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exact"/>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□否</w:t>
            </w:r>
          </w:p>
          <w:p>
            <w:pPr>
              <w:spacing w:line="360" w:lineRule="exact"/>
              <w:rPr>
                <w:rFonts w:ascii="宋体" w:hAnsi="宋体" w:eastAsia="宋体" w:cs="宋体"/>
                <w:color w:val="auto"/>
                <w:kern w:val="1"/>
                <w:szCs w:val="21"/>
                <w:highlight w:val="none"/>
              </w:rPr>
            </w:pPr>
            <w:r>
              <w:rPr>
                <w:rFonts w:hint="eastAsia" w:ascii="宋体" w:hAnsi="宋体" w:eastAsia="宋体" w:cs="宋体"/>
                <w:color w:val="auto"/>
                <w:kern w:val="0"/>
                <w:szCs w:val="21"/>
                <w:highlight w:val="none"/>
                <w:lang w:bidi="ar"/>
              </w:rPr>
              <w:t>■</w:t>
            </w:r>
            <w:r>
              <w:rPr>
                <w:rFonts w:hint="eastAsia" w:ascii="宋体" w:hAnsi="宋体" w:eastAsia="宋体" w:cs="宋体"/>
                <w:color w:val="auto"/>
                <w:kern w:val="1"/>
                <w:szCs w:val="21"/>
                <w:highlight w:val="none"/>
                <w:lang w:bidi="ar"/>
              </w:rPr>
              <w:t>是，具体要求：</w:t>
            </w:r>
          </w:p>
          <w:p>
            <w:pPr>
              <w:pStyle w:val="12"/>
              <w:rPr>
                <w:rFonts w:hint="default"/>
                <w:color w:val="auto"/>
                <w:sz w:val="21"/>
                <w:szCs w:val="21"/>
                <w:highlight w:val="none"/>
              </w:rPr>
            </w:pPr>
            <w:r>
              <w:rPr>
                <w:color w:val="auto"/>
                <w:sz w:val="21"/>
                <w:szCs w:val="21"/>
                <w:highlight w:val="none"/>
              </w:rPr>
              <w:t>1、投标文件全部采用电子文档，投标文件应按交易平台相关操作指南编制。如不按上述要求编制引起系统无法检索、读取相关信息的，其后果由投标人承担。投标文件所附证书证件及证明文件均为原件扫描件，并应采用单位数字证书加盖电子印章。招标文件所附格式要求盖章处及招标文件要求投标文件盖章处需采用单位数字证书，按招标文件要求在相应位置加盖电子印章。投标文件中需个人签字或盖章的，应在线下完成后扫描上传。具体操作详见广州公共资源交易中心网站最新发布的《房建市政全流程电子化项目操作专章》。</w:t>
            </w:r>
          </w:p>
          <w:p>
            <w:pPr>
              <w:pStyle w:val="12"/>
              <w:rPr>
                <w:rFonts w:hint="default"/>
                <w:color w:val="auto"/>
                <w:sz w:val="21"/>
                <w:szCs w:val="21"/>
                <w:highlight w:val="none"/>
              </w:rPr>
            </w:pPr>
            <w:r>
              <w:rPr>
                <w:color w:val="auto"/>
                <w:sz w:val="21"/>
                <w:szCs w:val="21"/>
                <w:highlight w:val="none"/>
              </w:rPr>
              <w:t>2、现场提交备用资料</w:t>
            </w:r>
          </w:p>
          <w:p>
            <w:pPr>
              <w:pStyle w:val="12"/>
              <w:rPr>
                <w:rFonts w:hint="default"/>
                <w:color w:val="auto"/>
                <w:sz w:val="21"/>
                <w:szCs w:val="21"/>
                <w:highlight w:val="none"/>
              </w:rPr>
            </w:pPr>
            <w:r>
              <w:rPr>
                <w:color w:val="auto"/>
                <w:sz w:val="21"/>
                <w:szCs w:val="21"/>
                <w:highlight w:val="none"/>
              </w:rPr>
              <w:t>（1）投标人可制作非加密的电子投标文件，以光盘或U盘为储存介质在投标须知前附表第5.1项规定的时间、地点提交备用。资格审查文件、工程总承包实施方案技术投标文件、工程总承包实施方案经济投标文件的备用电子投标文件应密封在密封袋中，并在封口处加盖投标人单位公章；设计方案及保密信封的备用光盘或U盘，在光盘或U盘的外表粘贴的标签须体现项目名称，但密封光盘或U盘的外包装封套不得出现可以辨认投标人及专业技术人员身份的名称、印章、商标、图形等记认符号。密封袋上应写明的内容见投标人须知前附表要求4.1.2。</w:t>
            </w:r>
          </w:p>
          <w:p>
            <w:pPr>
              <w:pStyle w:val="12"/>
              <w:rPr>
                <w:rFonts w:hint="default"/>
                <w:color w:val="auto"/>
                <w:sz w:val="21"/>
                <w:szCs w:val="21"/>
                <w:highlight w:val="none"/>
              </w:rPr>
            </w:pPr>
            <w:r>
              <w:rPr>
                <w:color w:val="auto"/>
                <w:sz w:val="21"/>
                <w:szCs w:val="21"/>
                <w:highlight w:val="none"/>
              </w:rPr>
              <w:t>（2）现场递交的备用电子投标文件不得加密。电子投标文件无法读取或导入的，则视为未提交备用电子投标文件。如果投标人没有按规定通过交易平台网上递交电子投标文件的，不再接受现场提交的备用电子投标文件。</w:t>
            </w:r>
          </w:p>
          <w:p>
            <w:pPr>
              <w:pStyle w:val="12"/>
              <w:rPr>
                <w:rFonts w:hint="default"/>
                <w:color w:val="auto"/>
                <w:sz w:val="21"/>
                <w:szCs w:val="21"/>
                <w:highlight w:val="none"/>
              </w:rPr>
            </w:pPr>
            <w:r>
              <w:rPr>
                <w:color w:val="auto"/>
                <w:sz w:val="21"/>
                <w:szCs w:val="21"/>
                <w:highlight w:val="none"/>
              </w:rPr>
              <w:t>3、投标文件的修改与撤回：投标人修改或撤回已递交的投标文件，需在</w:t>
            </w:r>
            <w:r>
              <w:rPr>
                <w:color w:val="auto"/>
                <w:sz w:val="21"/>
                <w:szCs w:val="21"/>
                <w:highlight w:val="none"/>
                <w:u w:val="single"/>
              </w:rPr>
              <w:t>广州公共资源交易中心</w:t>
            </w:r>
            <w:r>
              <w:rPr>
                <w:color w:val="auto"/>
                <w:sz w:val="21"/>
                <w:szCs w:val="21"/>
                <w:highlight w:val="none"/>
              </w:rPr>
              <w:t>交易平台发出撤回通知，并按要求加盖电子印章。</w:t>
            </w:r>
            <w:r>
              <w:rPr>
                <w:color w:val="auto"/>
                <w:sz w:val="21"/>
                <w:szCs w:val="21"/>
                <w:highlight w:val="none"/>
                <w:u w:val="single"/>
              </w:rPr>
              <w:t>广州公共资源交易中心</w:t>
            </w:r>
            <w:r>
              <w:rPr>
                <w:color w:val="auto"/>
                <w:sz w:val="21"/>
                <w:szCs w:val="21"/>
                <w:highlight w:val="none"/>
              </w:rPr>
              <w:t>电子招标投标交易平台收到通知后，即时向投标人发出确认回执通知。投标人撤回投标文件的，招标人自收到投标人书面撤回通知之日起5日内退还已收取的投标保证金。</w:t>
            </w:r>
          </w:p>
          <w:p>
            <w:pPr>
              <w:pStyle w:val="12"/>
              <w:rPr>
                <w:rFonts w:hint="default"/>
                <w:color w:val="auto"/>
                <w:sz w:val="21"/>
                <w:szCs w:val="21"/>
                <w:highlight w:val="none"/>
              </w:rPr>
            </w:pPr>
            <w:r>
              <w:rPr>
                <w:color w:val="auto"/>
                <w:sz w:val="21"/>
                <w:szCs w:val="21"/>
                <w:highlight w:val="none"/>
              </w:rPr>
              <w:t>4、补救方案</w:t>
            </w:r>
          </w:p>
          <w:p>
            <w:pPr>
              <w:pStyle w:val="12"/>
              <w:rPr>
                <w:rFonts w:hint="default"/>
                <w:color w:val="auto"/>
                <w:sz w:val="21"/>
                <w:szCs w:val="21"/>
                <w:highlight w:val="none"/>
              </w:rPr>
            </w:pPr>
            <w:r>
              <w:rPr>
                <w:color w:val="auto"/>
                <w:sz w:val="21"/>
                <w:szCs w:val="21"/>
                <w:highlight w:val="none"/>
              </w:rPr>
              <w:t>（1）投标文件解密失败的补救方案：</w:t>
            </w:r>
          </w:p>
          <w:p>
            <w:pPr>
              <w:pStyle w:val="12"/>
              <w:rPr>
                <w:rFonts w:hint="default"/>
                <w:color w:val="auto"/>
                <w:sz w:val="21"/>
                <w:szCs w:val="21"/>
                <w:highlight w:val="none"/>
              </w:rPr>
            </w:pPr>
            <w:r>
              <w:rPr>
                <w:color w:val="auto"/>
                <w:sz w:val="21"/>
                <w:szCs w:val="21"/>
                <w:highlight w:val="none"/>
              </w:rPr>
              <w:t>在规定时间内，因投标人之外原因导致的电子投标文件解密失败，在开标现场读取备用电子投标文件内容，继续开标程序。评标委员会对其投标文件的评审以递交的备用电子投标文件内容为准。</w:t>
            </w:r>
          </w:p>
          <w:p>
            <w:pPr>
              <w:pStyle w:val="12"/>
              <w:rPr>
                <w:rFonts w:hint="default"/>
                <w:color w:val="auto"/>
                <w:sz w:val="21"/>
                <w:szCs w:val="21"/>
                <w:highlight w:val="none"/>
              </w:rPr>
            </w:pPr>
            <w:r>
              <w:rPr>
                <w:color w:val="auto"/>
                <w:sz w:val="21"/>
                <w:szCs w:val="21"/>
                <w:highlight w:val="none"/>
              </w:rPr>
              <w:t>（2）评标时突发情况的补救方案</w:t>
            </w:r>
          </w:p>
          <w:p>
            <w:pPr>
              <w:pStyle w:val="12"/>
              <w:rPr>
                <w:rFonts w:hint="default"/>
                <w:color w:val="auto"/>
                <w:sz w:val="21"/>
                <w:szCs w:val="21"/>
                <w:highlight w:val="none"/>
              </w:rPr>
            </w:pPr>
            <w:r>
              <w:rPr>
                <w:color w:val="auto"/>
                <w:sz w:val="21"/>
                <w:szCs w:val="21"/>
                <w:highlight w:val="none"/>
              </w:rPr>
              <w:t>若遇不可抗力发生（如：网络瘫痪、服务器损坏、交易系统故障短期无法恢复等因素），由评标委员会开启现场递交的全部电子投标文件，并按递交的电子投标文件内容进行评审。</w:t>
            </w:r>
          </w:p>
          <w:p>
            <w:pPr>
              <w:pStyle w:val="12"/>
              <w:rPr>
                <w:rFonts w:hint="default"/>
                <w:color w:val="auto"/>
                <w:sz w:val="21"/>
                <w:szCs w:val="21"/>
                <w:highlight w:val="none"/>
              </w:rPr>
            </w:pPr>
            <w:r>
              <w:rPr>
                <w:color w:val="auto"/>
                <w:sz w:val="21"/>
                <w:szCs w:val="21"/>
                <w:highlight w:val="none"/>
              </w:rPr>
              <w:t>（3）除发生上述情况外，开标评标均以投标人通过交易平台网上递交的电子投标文件为准。</w:t>
            </w:r>
          </w:p>
        </w:tc>
      </w:tr>
    </w:tbl>
    <w:p>
      <w:pPr>
        <w:pStyle w:val="3"/>
        <w:widowControl/>
        <w:spacing w:line="360" w:lineRule="auto"/>
        <w:jc w:val="center"/>
        <w:rPr>
          <w:rFonts w:ascii="宋体" w:hAnsi="宋体" w:eastAsia="宋体" w:cs="宋体"/>
          <w:color w:val="auto"/>
          <w:highlight w:val="none"/>
          <w:lang w:val="zh-CN"/>
        </w:rPr>
      </w:pPr>
      <w:bookmarkStart w:id="38" w:name="_Toc224"/>
      <w:bookmarkEnd w:id="38"/>
      <w:bookmarkStart w:id="39" w:name="_Toc13193"/>
      <w:bookmarkEnd w:id="39"/>
      <w:bookmarkStart w:id="40" w:name="_Toc15796"/>
      <w:bookmarkStart w:id="41" w:name="_Toc5620296"/>
      <w:r>
        <w:rPr>
          <w:rFonts w:hint="eastAsia" w:ascii="宋体" w:hAnsi="宋体" w:eastAsia="宋体" w:cs="宋体"/>
          <w:color w:val="auto"/>
          <w:highlight w:val="none"/>
          <w:lang w:val="zh-CN"/>
        </w:rPr>
        <w:t>1. 总则</w:t>
      </w:r>
      <w:bookmarkEnd w:id="40"/>
      <w:bookmarkEnd w:id="41"/>
    </w:p>
    <w:p>
      <w:pPr>
        <w:pStyle w:val="4"/>
        <w:widowControl/>
        <w:spacing w:line="360" w:lineRule="auto"/>
        <w:ind w:firstLine="118"/>
        <w:rPr>
          <w:rFonts w:hint="default" w:ascii="宋体" w:eastAsia="宋体" w:cs="宋体"/>
          <w:b/>
          <w:color w:val="auto"/>
          <w:sz w:val="24"/>
          <w:szCs w:val="24"/>
          <w:highlight w:val="none"/>
        </w:rPr>
      </w:pPr>
      <w:bookmarkStart w:id="42" w:name="_Toc362816481"/>
      <w:bookmarkEnd w:id="42"/>
      <w:bookmarkStart w:id="43" w:name="_Toc300834950"/>
      <w:bookmarkEnd w:id="43"/>
      <w:bookmarkStart w:id="44" w:name="_Toc357089512"/>
      <w:bookmarkEnd w:id="44"/>
      <w:bookmarkStart w:id="45" w:name="_Toc247513953"/>
      <w:bookmarkEnd w:id="45"/>
      <w:bookmarkStart w:id="46" w:name="_Toc152045530"/>
      <w:bookmarkEnd w:id="46"/>
      <w:bookmarkStart w:id="47" w:name="_Toc247527554"/>
      <w:bookmarkEnd w:id="47"/>
      <w:bookmarkStart w:id="48" w:name="_Toc152042306"/>
      <w:bookmarkEnd w:id="48"/>
      <w:bookmarkStart w:id="49" w:name="_Toc356469178"/>
      <w:bookmarkEnd w:id="49"/>
      <w:bookmarkStart w:id="50" w:name="_Toc144974498"/>
      <w:bookmarkEnd w:id="50"/>
      <w:bookmarkStart w:id="51" w:name="_Toc5620297"/>
      <w:bookmarkStart w:id="52" w:name="_Toc14593"/>
      <w:r>
        <w:rPr>
          <w:rFonts w:ascii="宋体" w:eastAsia="宋体" w:cs="宋体"/>
          <w:b/>
          <w:color w:val="auto"/>
          <w:sz w:val="24"/>
          <w:szCs w:val="24"/>
          <w:highlight w:val="none"/>
        </w:rPr>
        <w:t>1.1 项目概况</w:t>
      </w:r>
      <w:bookmarkEnd w:id="51"/>
      <w:bookmarkEnd w:id="52"/>
    </w:p>
    <w:p>
      <w:pPr>
        <w:spacing w:line="360" w:lineRule="auto"/>
        <w:ind w:firstLine="420"/>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1.1.1 根据《中华人民共和国招标投标法》等有关法律、法规和规章的规定，本招标项目已具备招标条件，现对该项目设计施工进行总承包招标。</w:t>
      </w:r>
    </w:p>
    <w:p>
      <w:pPr>
        <w:spacing w:line="360" w:lineRule="auto"/>
        <w:ind w:firstLine="420"/>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1.1.2 招标人：见投标人须知前附表。</w:t>
      </w:r>
    </w:p>
    <w:p>
      <w:pPr>
        <w:spacing w:line="360" w:lineRule="auto"/>
        <w:ind w:firstLine="420"/>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1.1.3 招标代理机构：见投标人须知前附表。</w:t>
      </w:r>
    </w:p>
    <w:p>
      <w:pPr>
        <w:spacing w:line="360" w:lineRule="auto"/>
        <w:ind w:firstLine="420"/>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1.1.4 招标项目名称：见投标人须知前附表。</w:t>
      </w:r>
    </w:p>
    <w:p>
      <w:pPr>
        <w:spacing w:line="360" w:lineRule="auto"/>
        <w:ind w:firstLine="420"/>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1.1.5 项目建设地点：见投标人须知前附表。</w:t>
      </w:r>
    </w:p>
    <w:p>
      <w:pPr>
        <w:pStyle w:val="4"/>
        <w:widowControl/>
        <w:spacing w:line="360" w:lineRule="auto"/>
        <w:ind w:firstLine="118"/>
        <w:rPr>
          <w:rFonts w:hint="default" w:ascii="宋体" w:eastAsia="宋体" w:cs="宋体"/>
          <w:b/>
          <w:color w:val="auto"/>
          <w:sz w:val="24"/>
          <w:szCs w:val="24"/>
          <w:highlight w:val="none"/>
        </w:rPr>
      </w:pPr>
      <w:bookmarkStart w:id="53" w:name="_Toc357089513"/>
      <w:bookmarkEnd w:id="53"/>
      <w:bookmarkStart w:id="54" w:name="_Toc362816482"/>
      <w:bookmarkEnd w:id="54"/>
      <w:bookmarkStart w:id="55" w:name="_Toc152045531"/>
      <w:bookmarkEnd w:id="55"/>
      <w:bookmarkStart w:id="56" w:name="_Toc247527555"/>
      <w:bookmarkEnd w:id="56"/>
      <w:bookmarkStart w:id="57" w:name="_Toc356469179"/>
      <w:bookmarkEnd w:id="57"/>
      <w:bookmarkStart w:id="58" w:name="_Toc144974499"/>
      <w:bookmarkEnd w:id="58"/>
      <w:bookmarkStart w:id="59" w:name="_Toc152042307"/>
      <w:bookmarkEnd w:id="59"/>
      <w:bookmarkStart w:id="60" w:name="_Toc300834951"/>
      <w:bookmarkEnd w:id="60"/>
      <w:bookmarkStart w:id="61" w:name="_Toc247513954"/>
      <w:bookmarkEnd w:id="61"/>
      <w:bookmarkStart w:id="62" w:name="_Toc5620298"/>
      <w:bookmarkStart w:id="63" w:name="_Toc28844"/>
      <w:r>
        <w:rPr>
          <w:rFonts w:ascii="宋体" w:eastAsia="宋体" w:cs="宋体"/>
          <w:b/>
          <w:color w:val="auto"/>
          <w:sz w:val="24"/>
          <w:szCs w:val="24"/>
          <w:highlight w:val="none"/>
        </w:rPr>
        <w:t>1.2 项目的资金来源和落实情况</w:t>
      </w:r>
      <w:bookmarkEnd w:id="62"/>
      <w:bookmarkEnd w:id="63"/>
    </w:p>
    <w:p>
      <w:pPr>
        <w:spacing w:line="360" w:lineRule="auto"/>
        <w:ind w:firstLine="420"/>
        <w:rPr>
          <w:rFonts w:ascii="宋体" w:hAnsi="宋体" w:eastAsia="宋体" w:cs="宋体"/>
          <w:color w:val="auto"/>
          <w:kern w:val="1"/>
          <w:highlight w:val="none"/>
        </w:rPr>
      </w:pPr>
      <w:r>
        <w:rPr>
          <w:rFonts w:hint="eastAsia" w:ascii="宋体" w:hAnsi="宋体" w:eastAsia="宋体" w:cs="宋体"/>
          <w:color w:val="auto"/>
          <w:kern w:val="1"/>
          <w:szCs w:val="22"/>
          <w:highlight w:val="none"/>
          <w:lang w:bidi="ar"/>
        </w:rPr>
        <w:t>1.2.1 资金来源及比例：见投标人须知前附表。</w:t>
      </w:r>
    </w:p>
    <w:p>
      <w:pPr>
        <w:spacing w:line="360" w:lineRule="auto"/>
        <w:ind w:firstLine="420"/>
        <w:rPr>
          <w:rFonts w:ascii="宋体" w:hAnsi="宋体" w:eastAsia="宋体" w:cs="宋体"/>
          <w:color w:val="auto"/>
          <w:kern w:val="1"/>
          <w:highlight w:val="none"/>
        </w:rPr>
      </w:pPr>
      <w:r>
        <w:rPr>
          <w:rFonts w:hint="eastAsia" w:ascii="宋体" w:hAnsi="宋体" w:eastAsia="宋体" w:cs="宋体"/>
          <w:color w:val="auto"/>
          <w:kern w:val="1"/>
          <w:szCs w:val="22"/>
          <w:highlight w:val="none"/>
          <w:lang w:bidi="ar"/>
        </w:rPr>
        <w:t>1.2.2 资金落实情况：见投标人须知前附表。</w:t>
      </w:r>
    </w:p>
    <w:p>
      <w:pPr>
        <w:pStyle w:val="4"/>
        <w:widowControl/>
        <w:spacing w:line="360" w:lineRule="auto"/>
        <w:ind w:firstLine="118"/>
        <w:rPr>
          <w:rFonts w:hint="default" w:ascii="宋体" w:eastAsia="宋体" w:cs="宋体"/>
          <w:b/>
          <w:color w:val="auto"/>
          <w:sz w:val="24"/>
          <w:szCs w:val="24"/>
          <w:highlight w:val="none"/>
        </w:rPr>
      </w:pPr>
      <w:bookmarkStart w:id="64" w:name="_Toc152042308"/>
      <w:bookmarkEnd w:id="64"/>
      <w:bookmarkStart w:id="65" w:name="_Toc356469180"/>
      <w:bookmarkEnd w:id="65"/>
      <w:bookmarkStart w:id="66" w:name="_Toc247513955"/>
      <w:bookmarkEnd w:id="66"/>
      <w:bookmarkStart w:id="67" w:name="_Toc152045532"/>
      <w:bookmarkEnd w:id="67"/>
      <w:bookmarkStart w:id="68" w:name="_Toc144974500"/>
      <w:bookmarkEnd w:id="68"/>
      <w:bookmarkStart w:id="69" w:name="_Toc247527556"/>
      <w:bookmarkEnd w:id="69"/>
      <w:bookmarkStart w:id="70" w:name="_Toc300834952"/>
      <w:bookmarkEnd w:id="70"/>
      <w:bookmarkStart w:id="71" w:name="_Toc362816483"/>
      <w:bookmarkEnd w:id="71"/>
      <w:bookmarkStart w:id="72" w:name="_Toc357089514"/>
      <w:bookmarkEnd w:id="72"/>
      <w:bookmarkStart w:id="73" w:name="_Toc5620299"/>
      <w:bookmarkStart w:id="74" w:name="_Toc27428"/>
      <w:r>
        <w:rPr>
          <w:rFonts w:ascii="宋体" w:eastAsia="宋体" w:cs="宋体"/>
          <w:b/>
          <w:color w:val="auto"/>
          <w:sz w:val="24"/>
          <w:szCs w:val="24"/>
          <w:highlight w:val="none"/>
        </w:rPr>
        <w:t>1.3 招标范围、计划工期和质量标准</w:t>
      </w:r>
      <w:bookmarkEnd w:id="73"/>
      <w:bookmarkEnd w:id="74"/>
    </w:p>
    <w:p>
      <w:pPr>
        <w:spacing w:line="360" w:lineRule="auto"/>
        <w:ind w:firstLine="420"/>
        <w:rPr>
          <w:rFonts w:ascii="宋体" w:hAnsi="宋体" w:eastAsia="宋体" w:cs="宋体"/>
          <w:color w:val="auto"/>
          <w:kern w:val="1"/>
          <w:highlight w:val="none"/>
        </w:rPr>
      </w:pPr>
      <w:r>
        <w:rPr>
          <w:rFonts w:hint="eastAsia" w:ascii="宋体" w:hAnsi="宋体" w:eastAsia="宋体" w:cs="宋体"/>
          <w:color w:val="auto"/>
          <w:kern w:val="1"/>
          <w:szCs w:val="22"/>
          <w:highlight w:val="none"/>
          <w:lang w:bidi="ar"/>
        </w:rPr>
        <w:t>1.3.1 招标范围：见投标人须知前附表。</w:t>
      </w:r>
    </w:p>
    <w:p>
      <w:pPr>
        <w:spacing w:line="360" w:lineRule="auto"/>
        <w:ind w:firstLine="420"/>
        <w:rPr>
          <w:rFonts w:ascii="宋体" w:hAnsi="宋体" w:eastAsia="宋体" w:cs="宋体"/>
          <w:color w:val="auto"/>
          <w:kern w:val="1"/>
          <w:highlight w:val="none"/>
        </w:rPr>
      </w:pPr>
      <w:r>
        <w:rPr>
          <w:rFonts w:hint="eastAsia" w:ascii="宋体" w:hAnsi="宋体" w:eastAsia="宋体" w:cs="宋体"/>
          <w:color w:val="auto"/>
          <w:kern w:val="1"/>
          <w:szCs w:val="22"/>
          <w:highlight w:val="none"/>
          <w:lang w:bidi="ar"/>
        </w:rPr>
        <w:t>1.3.2 计划工期：见投标人须知前附表。</w:t>
      </w:r>
    </w:p>
    <w:p>
      <w:pPr>
        <w:spacing w:line="360" w:lineRule="auto"/>
        <w:ind w:firstLine="420"/>
        <w:rPr>
          <w:rFonts w:ascii="宋体" w:hAnsi="宋体" w:eastAsia="宋体" w:cs="宋体"/>
          <w:color w:val="auto"/>
          <w:kern w:val="1"/>
          <w:highlight w:val="none"/>
        </w:rPr>
      </w:pPr>
      <w:r>
        <w:rPr>
          <w:rFonts w:hint="eastAsia" w:ascii="宋体" w:hAnsi="宋体" w:eastAsia="宋体" w:cs="宋体"/>
          <w:color w:val="auto"/>
          <w:kern w:val="1"/>
          <w:szCs w:val="22"/>
          <w:highlight w:val="none"/>
          <w:lang w:bidi="ar"/>
        </w:rPr>
        <w:t>1.3.3 质量标准：见投标人须知前附表。</w:t>
      </w:r>
    </w:p>
    <w:p>
      <w:pPr>
        <w:pStyle w:val="4"/>
        <w:widowControl/>
        <w:spacing w:line="360" w:lineRule="auto"/>
        <w:ind w:firstLine="118"/>
        <w:rPr>
          <w:rFonts w:hint="default" w:ascii="宋体" w:eastAsia="宋体" w:cs="宋体"/>
          <w:b/>
          <w:color w:val="auto"/>
          <w:sz w:val="24"/>
          <w:szCs w:val="24"/>
          <w:highlight w:val="none"/>
        </w:rPr>
      </w:pPr>
      <w:bookmarkStart w:id="75" w:name="_Toc152042310"/>
      <w:bookmarkEnd w:id="75"/>
      <w:bookmarkStart w:id="76" w:name="_Toc152045534"/>
      <w:bookmarkEnd w:id="76"/>
      <w:bookmarkStart w:id="77" w:name="_Toc247513957"/>
      <w:bookmarkEnd w:id="77"/>
      <w:bookmarkStart w:id="78" w:name="_Toc247527558"/>
      <w:bookmarkEnd w:id="78"/>
      <w:bookmarkStart w:id="79" w:name="_Toc300834954"/>
      <w:bookmarkEnd w:id="79"/>
      <w:bookmarkStart w:id="80" w:name="_Toc144974502"/>
      <w:bookmarkEnd w:id="80"/>
      <w:bookmarkStart w:id="81" w:name="_Toc5620300"/>
      <w:bookmarkStart w:id="82" w:name="_Toc31933"/>
      <w:r>
        <w:rPr>
          <w:rFonts w:ascii="宋体" w:eastAsia="宋体" w:cs="宋体"/>
          <w:b/>
          <w:color w:val="auto"/>
          <w:sz w:val="24"/>
          <w:szCs w:val="24"/>
          <w:highlight w:val="none"/>
        </w:rPr>
        <w:t>1.4投标人资格要求</w:t>
      </w:r>
      <w:bookmarkEnd w:id="81"/>
      <w:bookmarkEnd w:id="82"/>
    </w:p>
    <w:p>
      <w:pPr>
        <w:spacing w:line="360" w:lineRule="auto"/>
        <w:ind w:firstLine="420"/>
        <w:rPr>
          <w:rFonts w:cs="宋体"/>
          <w:color w:val="auto"/>
          <w:kern w:val="1"/>
          <w:highlight w:val="none"/>
        </w:rPr>
      </w:pPr>
      <w:r>
        <w:rPr>
          <w:rFonts w:hint="eastAsia" w:ascii="宋体" w:hAnsi="宋体" w:eastAsia="宋体" w:cs="宋体"/>
          <w:color w:val="auto"/>
          <w:kern w:val="1"/>
          <w:szCs w:val="22"/>
          <w:highlight w:val="none"/>
          <w:lang w:bidi="ar"/>
        </w:rPr>
        <w:t>1.4.1 投标人应具备承担本招标项目资质条件、能力和信誉。</w:t>
      </w:r>
    </w:p>
    <w:p>
      <w:pPr>
        <w:spacing w:line="360" w:lineRule="auto"/>
        <w:ind w:firstLine="420"/>
        <w:rPr>
          <w:rFonts w:cs="宋体"/>
          <w:color w:val="auto"/>
          <w:kern w:val="1"/>
          <w:highlight w:val="none"/>
        </w:rPr>
      </w:pPr>
      <w:r>
        <w:rPr>
          <w:rFonts w:hint="eastAsia" w:ascii="宋体" w:hAnsi="宋体" w:eastAsia="宋体" w:cs="宋体"/>
          <w:color w:val="auto"/>
          <w:kern w:val="1"/>
          <w:szCs w:val="22"/>
          <w:highlight w:val="none"/>
          <w:lang w:bidi="ar"/>
        </w:rPr>
        <w:t>（1）资质要求：见投标人须知前附表；</w:t>
      </w:r>
    </w:p>
    <w:p>
      <w:pPr>
        <w:spacing w:line="360" w:lineRule="auto"/>
        <w:ind w:firstLine="420"/>
        <w:rPr>
          <w:rFonts w:cs="宋体"/>
          <w:color w:val="auto"/>
          <w:kern w:val="1"/>
          <w:highlight w:val="none"/>
        </w:rPr>
      </w:pPr>
      <w:r>
        <w:rPr>
          <w:rFonts w:hint="eastAsia" w:ascii="宋体" w:hAnsi="宋体" w:eastAsia="宋体" w:cs="宋体"/>
          <w:color w:val="auto"/>
          <w:kern w:val="1"/>
          <w:szCs w:val="22"/>
          <w:highlight w:val="none"/>
          <w:lang w:bidi="ar"/>
        </w:rPr>
        <w:t>（2）财务要求：见投标人须知前附表；</w:t>
      </w:r>
    </w:p>
    <w:p>
      <w:pPr>
        <w:spacing w:line="360" w:lineRule="auto"/>
        <w:ind w:firstLine="420"/>
        <w:rPr>
          <w:rFonts w:cs="宋体"/>
          <w:color w:val="auto"/>
          <w:kern w:val="1"/>
          <w:highlight w:val="none"/>
        </w:rPr>
      </w:pPr>
      <w:r>
        <w:rPr>
          <w:rFonts w:hint="eastAsia" w:ascii="宋体" w:hAnsi="宋体" w:eastAsia="宋体" w:cs="宋体"/>
          <w:color w:val="auto"/>
          <w:kern w:val="1"/>
          <w:szCs w:val="22"/>
          <w:highlight w:val="none"/>
          <w:lang w:bidi="ar"/>
        </w:rPr>
        <w:t>（3）业绩要求：见投标人须知前附表；</w:t>
      </w:r>
    </w:p>
    <w:p>
      <w:pPr>
        <w:spacing w:line="360" w:lineRule="auto"/>
        <w:ind w:firstLine="420"/>
        <w:rPr>
          <w:rFonts w:cs="宋体"/>
          <w:color w:val="auto"/>
          <w:kern w:val="1"/>
          <w:highlight w:val="none"/>
        </w:rPr>
      </w:pPr>
      <w:r>
        <w:rPr>
          <w:rFonts w:hint="eastAsia" w:ascii="宋体" w:hAnsi="宋体" w:eastAsia="宋体" w:cs="宋体"/>
          <w:color w:val="auto"/>
          <w:kern w:val="1"/>
          <w:szCs w:val="22"/>
          <w:highlight w:val="none"/>
          <w:lang w:bidi="ar"/>
        </w:rPr>
        <w:t>（4）信誉要求：见投标人须知前附表；</w:t>
      </w:r>
    </w:p>
    <w:p>
      <w:pPr>
        <w:spacing w:line="360" w:lineRule="auto"/>
        <w:ind w:firstLine="420"/>
        <w:rPr>
          <w:rFonts w:cs="宋体"/>
          <w:color w:val="auto"/>
          <w:kern w:val="1"/>
          <w:highlight w:val="none"/>
        </w:rPr>
      </w:pPr>
      <w:r>
        <w:rPr>
          <w:rFonts w:hint="eastAsia" w:ascii="宋体" w:hAnsi="宋体" w:eastAsia="宋体" w:cs="宋体"/>
          <w:color w:val="auto"/>
          <w:kern w:val="1"/>
          <w:szCs w:val="22"/>
          <w:highlight w:val="none"/>
          <w:lang w:bidi="ar"/>
        </w:rPr>
        <w:t>（5）项目负责人的资格要求：具体要求见投标人须知前附表；</w:t>
      </w:r>
    </w:p>
    <w:p>
      <w:pPr>
        <w:spacing w:line="360" w:lineRule="auto"/>
        <w:ind w:firstLine="420"/>
        <w:rPr>
          <w:rFonts w:cs="宋体"/>
          <w:color w:val="auto"/>
          <w:kern w:val="1"/>
          <w:highlight w:val="none"/>
        </w:rPr>
      </w:pPr>
      <w:r>
        <w:rPr>
          <w:rFonts w:hint="eastAsia" w:ascii="宋体" w:hAnsi="宋体" w:eastAsia="宋体" w:cs="宋体"/>
          <w:color w:val="auto"/>
          <w:kern w:val="1"/>
          <w:szCs w:val="22"/>
          <w:highlight w:val="none"/>
          <w:lang w:bidi="ar"/>
        </w:rPr>
        <w:t>（6）设计负责人的资格要求：具体要求见投标人须知前附表；</w:t>
      </w:r>
    </w:p>
    <w:p>
      <w:pPr>
        <w:spacing w:line="360" w:lineRule="auto"/>
        <w:ind w:firstLine="420"/>
        <w:rPr>
          <w:rFonts w:cs="宋体"/>
          <w:color w:val="auto"/>
          <w:kern w:val="1"/>
          <w:highlight w:val="none"/>
        </w:rPr>
      </w:pPr>
      <w:r>
        <w:rPr>
          <w:rFonts w:hint="eastAsia" w:ascii="宋体" w:hAnsi="宋体" w:eastAsia="宋体" w:cs="宋体"/>
          <w:color w:val="auto"/>
          <w:kern w:val="1"/>
          <w:szCs w:val="22"/>
          <w:highlight w:val="none"/>
          <w:lang w:bidi="ar"/>
        </w:rPr>
        <w:t>（7）施工负责人的资格要求：具体要求见投标人须知前附表；</w:t>
      </w:r>
    </w:p>
    <w:p>
      <w:pPr>
        <w:spacing w:line="360" w:lineRule="auto"/>
        <w:ind w:firstLine="420"/>
        <w:rPr>
          <w:rFonts w:cs="宋体"/>
          <w:color w:val="auto"/>
          <w:kern w:val="1"/>
          <w:highlight w:val="none"/>
        </w:rPr>
      </w:pPr>
      <w:r>
        <w:rPr>
          <w:rFonts w:hint="eastAsia" w:ascii="宋体" w:hAnsi="宋体" w:eastAsia="宋体" w:cs="宋体"/>
          <w:color w:val="auto"/>
          <w:kern w:val="1"/>
          <w:szCs w:val="22"/>
          <w:highlight w:val="none"/>
          <w:lang w:bidi="ar"/>
        </w:rPr>
        <w:t>（8）施工机械设备：见投标人须知前附表；</w:t>
      </w:r>
    </w:p>
    <w:p>
      <w:pPr>
        <w:spacing w:line="360" w:lineRule="auto"/>
        <w:ind w:firstLine="420"/>
        <w:rPr>
          <w:rFonts w:cs="宋体"/>
          <w:color w:val="auto"/>
          <w:kern w:val="1"/>
          <w:highlight w:val="none"/>
        </w:rPr>
      </w:pPr>
      <w:r>
        <w:rPr>
          <w:rFonts w:hint="eastAsia" w:ascii="宋体" w:hAnsi="宋体" w:eastAsia="宋体" w:cs="宋体"/>
          <w:color w:val="auto"/>
          <w:kern w:val="1"/>
          <w:szCs w:val="22"/>
          <w:highlight w:val="none"/>
          <w:lang w:bidi="ar"/>
        </w:rPr>
        <w:t>（9）项目管理机构及人员：见投标人须知前附表；</w:t>
      </w:r>
    </w:p>
    <w:p>
      <w:pPr>
        <w:spacing w:line="360" w:lineRule="auto"/>
        <w:ind w:firstLine="420"/>
        <w:rPr>
          <w:rFonts w:ascii="宋体" w:hAnsi="宋体" w:eastAsia="宋体" w:cs="宋体"/>
          <w:color w:val="auto"/>
          <w:kern w:val="1"/>
          <w:highlight w:val="none"/>
        </w:rPr>
      </w:pPr>
      <w:r>
        <w:rPr>
          <w:rFonts w:hint="eastAsia" w:ascii="宋体" w:hAnsi="宋体" w:eastAsia="宋体" w:cs="宋体"/>
          <w:color w:val="auto"/>
          <w:kern w:val="1"/>
          <w:szCs w:val="22"/>
          <w:highlight w:val="none"/>
          <w:lang w:bidi="ar"/>
        </w:rPr>
        <w:t>（10）其他要求：见投标人须知前附表。</w:t>
      </w:r>
    </w:p>
    <w:p>
      <w:pPr>
        <w:spacing w:line="400" w:lineRule="exact"/>
        <w:ind w:firstLine="420" w:firstLineChars="200"/>
        <w:rPr>
          <w:rFonts w:ascii="宋体" w:hAnsi="宋体" w:eastAsia="宋体" w:cs="宋体"/>
          <w:color w:val="auto"/>
          <w:highlight w:val="none"/>
        </w:rPr>
      </w:pPr>
      <w:r>
        <w:rPr>
          <w:rFonts w:hint="eastAsia" w:ascii="宋体" w:hAnsi="宋体" w:eastAsia="宋体" w:cs="宋体"/>
          <w:color w:val="auto"/>
          <w:kern w:val="0"/>
          <w:szCs w:val="22"/>
          <w:highlight w:val="none"/>
          <w:lang w:bidi="ar"/>
        </w:rPr>
        <w:t xml:space="preserve">1.4.2 投标人须知前附表规定接受联合体投标的，除应符合本章第1.4.1项和投标人须知前附表的要求外，还应遵守以下规定： </w:t>
      </w:r>
    </w:p>
    <w:p>
      <w:pPr>
        <w:spacing w:line="400" w:lineRule="exact"/>
        <w:ind w:firstLine="315" w:firstLineChars="150"/>
        <w:rPr>
          <w:rFonts w:ascii="宋体" w:hAnsi="宋体" w:eastAsia="宋体" w:cs="宋体"/>
          <w:color w:val="auto"/>
          <w:highlight w:val="none"/>
        </w:rPr>
      </w:pPr>
      <w:r>
        <w:rPr>
          <w:rFonts w:hint="eastAsia" w:ascii="宋体" w:hAnsi="宋体" w:eastAsia="宋体" w:cs="宋体"/>
          <w:color w:val="auto"/>
          <w:kern w:val="0"/>
          <w:szCs w:val="22"/>
          <w:highlight w:val="none"/>
          <w:lang w:bidi="ar"/>
        </w:rPr>
        <w:t>（1）联合体各方应按招标文件提供的格式签订联合体共同投标协议书，明确联合体牵头单位和各方权利义务；</w:t>
      </w:r>
    </w:p>
    <w:p>
      <w:pPr>
        <w:spacing w:line="400" w:lineRule="exact"/>
        <w:ind w:firstLine="315" w:firstLineChars="150"/>
        <w:rPr>
          <w:rFonts w:ascii="宋体" w:hAnsi="宋体" w:eastAsia="宋体" w:cs="宋体"/>
          <w:color w:val="auto"/>
          <w:highlight w:val="none"/>
        </w:rPr>
      </w:pPr>
      <w:r>
        <w:rPr>
          <w:rFonts w:hint="eastAsia" w:ascii="宋体" w:hAnsi="宋体" w:eastAsia="宋体" w:cs="宋体"/>
          <w:color w:val="auto"/>
          <w:kern w:val="0"/>
          <w:szCs w:val="22"/>
          <w:highlight w:val="none"/>
          <w:lang w:bidi="ar"/>
        </w:rPr>
        <w:t>（2）由同一专业的单位组成的联合体，按照资质等级较低的单位确定资质等级；</w:t>
      </w:r>
    </w:p>
    <w:p>
      <w:pPr>
        <w:spacing w:line="400" w:lineRule="exact"/>
        <w:ind w:firstLine="315" w:firstLineChars="150"/>
        <w:rPr>
          <w:rFonts w:ascii="宋体" w:hAnsi="宋体" w:eastAsia="宋体" w:cs="宋体"/>
          <w:color w:val="auto"/>
          <w:highlight w:val="none"/>
        </w:rPr>
      </w:pPr>
      <w:r>
        <w:rPr>
          <w:rFonts w:hint="eastAsia" w:ascii="宋体" w:hAnsi="宋体" w:eastAsia="宋体" w:cs="宋体"/>
          <w:color w:val="auto"/>
          <w:kern w:val="0"/>
          <w:szCs w:val="22"/>
          <w:highlight w:val="none"/>
          <w:lang w:bidi="ar"/>
        </w:rPr>
        <w:t>（3）联合体各方不得再以自己名义单独或参加其他联合体在本招标项目中投标。</w:t>
      </w:r>
    </w:p>
    <w:p>
      <w:pPr>
        <w:spacing w:line="400" w:lineRule="exact"/>
        <w:ind w:firstLine="420" w:firstLineChars="200"/>
        <w:rPr>
          <w:rFonts w:ascii="宋体" w:hAnsi="宋体" w:eastAsia="宋体" w:cs="宋体"/>
          <w:color w:val="auto"/>
          <w:highlight w:val="none"/>
        </w:rPr>
      </w:pPr>
      <w:r>
        <w:rPr>
          <w:rFonts w:hint="eastAsia" w:ascii="宋体" w:hAnsi="宋体" w:eastAsia="宋体" w:cs="宋体"/>
          <w:color w:val="auto"/>
          <w:kern w:val="0"/>
          <w:szCs w:val="22"/>
          <w:highlight w:val="none"/>
          <w:lang w:bidi="ar"/>
        </w:rPr>
        <w:t>1.4.3 投标人不得存在下列情形之一：</w:t>
      </w:r>
    </w:p>
    <w:p>
      <w:pPr>
        <w:spacing w:line="400" w:lineRule="exact"/>
        <w:ind w:firstLine="315" w:firstLineChars="150"/>
        <w:rPr>
          <w:rFonts w:ascii="宋体" w:hAnsi="宋体" w:eastAsia="宋体" w:cs="宋体"/>
          <w:color w:val="auto"/>
          <w:highlight w:val="none"/>
        </w:rPr>
      </w:pPr>
      <w:r>
        <w:rPr>
          <w:rFonts w:hint="eastAsia" w:ascii="宋体" w:hAnsi="宋体" w:eastAsia="宋体" w:cs="宋体"/>
          <w:color w:val="auto"/>
          <w:kern w:val="0"/>
          <w:szCs w:val="22"/>
          <w:highlight w:val="none"/>
          <w:lang w:bidi="ar"/>
        </w:rPr>
        <w:t>（1）为招标人不具有独立法人资格的附属机构（单位）；</w:t>
      </w:r>
    </w:p>
    <w:p>
      <w:pPr>
        <w:spacing w:line="400" w:lineRule="exact"/>
        <w:ind w:firstLine="315" w:firstLineChars="150"/>
        <w:rPr>
          <w:rFonts w:ascii="宋体" w:hAnsi="宋体" w:eastAsia="宋体" w:cs="宋体"/>
          <w:color w:val="auto"/>
          <w:highlight w:val="none"/>
        </w:rPr>
      </w:pPr>
      <w:r>
        <w:rPr>
          <w:rFonts w:hint="eastAsia" w:ascii="宋体" w:hAnsi="宋体" w:eastAsia="宋体" w:cs="宋体"/>
          <w:color w:val="auto"/>
          <w:kern w:val="0"/>
          <w:szCs w:val="22"/>
          <w:highlight w:val="none"/>
          <w:lang w:bidi="ar"/>
        </w:rPr>
        <w:t>（2）为本项目监理人或者与本项目监理人存在隶属关系或者其他利害关系；</w:t>
      </w:r>
    </w:p>
    <w:p>
      <w:pPr>
        <w:spacing w:line="400" w:lineRule="exact"/>
        <w:ind w:firstLine="315" w:firstLineChars="150"/>
        <w:rPr>
          <w:rFonts w:ascii="宋体" w:hAnsi="宋体" w:eastAsia="宋体" w:cs="宋体"/>
          <w:color w:val="auto"/>
          <w:highlight w:val="none"/>
        </w:rPr>
      </w:pPr>
      <w:r>
        <w:rPr>
          <w:rFonts w:hint="eastAsia" w:ascii="宋体" w:hAnsi="宋体" w:eastAsia="宋体" w:cs="宋体"/>
          <w:color w:val="auto"/>
          <w:kern w:val="0"/>
          <w:szCs w:val="22"/>
          <w:highlight w:val="none"/>
          <w:lang w:bidi="ar"/>
        </w:rPr>
        <w:t>（3）为本标段的代建人；</w:t>
      </w:r>
    </w:p>
    <w:p>
      <w:pPr>
        <w:spacing w:line="400" w:lineRule="exact"/>
        <w:ind w:firstLine="315" w:firstLineChars="150"/>
        <w:rPr>
          <w:rFonts w:ascii="宋体" w:hAnsi="宋体" w:eastAsia="宋体" w:cs="宋体"/>
          <w:color w:val="auto"/>
          <w:highlight w:val="none"/>
        </w:rPr>
      </w:pPr>
      <w:r>
        <w:rPr>
          <w:rFonts w:hint="eastAsia" w:ascii="宋体" w:hAnsi="宋体" w:eastAsia="宋体" w:cs="宋体"/>
          <w:color w:val="auto"/>
          <w:kern w:val="0"/>
          <w:szCs w:val="22"/>
          <w:highlight w:val="none"/>
          <w:lang w:bidi="ar"/>
        </w:rPr>
        <w:t>（4）为本标段提供招标代理服务的；</w:t>
      </w:r>
    </w:p>
    <w:p>
      <w:pPr>
        <w:spacing w:line="400" w:lineRule="exact"/>
        <w:ind w:firstLine="315" w:firstLineChars="150"/>
        <w:rPr>
          <w:rFonts w:ascii="宋体" w:hAnsi="宋体" w:eastAsia="宋体" w:cs="宋体"/>
          <w:color w:val="auto"/>
          <w:highlight w:val="none"/>
        </w:rPr>
      </w:pPr>
      <w:r>
        <w:rPr>
          <w:rFonts w:hint="eastAsia" w:ascii="宋体" w:hAnsi="宋体" w:eastAsia="宋体" w:cs="宋体"/>
          <w:color w:val="auto"/>
          <w:kern w:val="0"/>
          <w:szCs w:val="22"/>
          <w:highlight w:val="none"/>
          <w:lang w:bidi="ar"/>
        </w:rPr>
        <w:t>（5）与本标段的监理人或代建人或招标代理机构同为一个法定代表人的；</w:t>
      </w:r>
    </w:p>
    <w:p>
      <w:pPr>
        <w:spacing w:line="400" w:lineRule="exact"/>
        <w:ind w:firstLine="315" w:firstLineChars="150"/>
        <w:rPr>
          <w:rFonts w:ascii="宋体" w:hAnsi="宋体" w:eastAsia="宋体" w:cs="宋体"/>
          <w:color w:val="auto"/>
          <w:highlight w:val="none"/>
        </w:rPr>
      </w:pPr>
      <w:r>
        <w:rPr>
          <w:rFonts w:hint="eastAsia" w:ascii="宋体" w:hAnsi="宋体" w:eastAsia="宋体" w:cs="宋体"/>
          <w:color w:val="auto"/>
          <w:kern w:val="0"/>
          <w:szCs w:val="22"/>
          <w:highlight w:val="none"/>
          <w:lang w:bidi="ar"/>
        </w:rPr>
        <w:t>（6）与本标段的监理人或代建人或招标代理机构互相控股或参股的；</w:t>
      </w:r>
    </w:p>
    <w:p>
      <w:pPr>
        <w:spacing w:line="400" w:lineRule="exact"/>
        <w:ind w:firstLine="315" w:firstLineChars="150"/>
        <w:rPr>
          <w:rFonts w:ascii="宋体" w:hAnsi="宋体" w:eastAsia="宋体" w:cs="宋体"/>
          <w:color w:val="auto"/>
          <w:highlight w:val="none"/>
        </w:rPr>
      </w:pPr>
      <w:r>
        <w:rPr>
          <w:rFonts w:hint="eastAsia" w:ascii="宋体" w:hAnsi="宋体" w:eastAsia="宋体" w:cs="宋体"/>
          <w:color w:val="auto"/>
          <w:kern w:val="0"/>
          <w:szCs w:val="22"/>
          <w:highlight w:val="none"/>
          <w:lang w:bidi="ar"/>
        </w:rPr>
        <w:t>（7）与本标段的监理人或代建人或招标代理机构相互任职或工作的；</w:t>
      </w:r>
    </w:p>
    <w:p>
      <w:pPr>
        <w:spacing w:line="400" w:lineRule="exact"/>
        <w:ind w:firstLine="315" w:firstLineChars="150"/>
        <w:rPr>
          <w:rFonts w:ascii="宋体" w:hAnsi="宋体" w:eastAsia="宋体" w:cs="宋体"/>
          <w:color w:val="auto"/>
          <w:highlight w:val="none"/>
        </w:rPr>
      </w:pPr>
      <w:r>
        <w:rPr>
          <w:rFonts w:hint="eastAsia" w:ascii="宋体" w:hAnsi="宋体" w:eastAsia="宋体" w:cs="宋体"/>
          <w:color w:val="auto"/>
          <w:kern w:val="0"/>
          <w:szCs w:val="22"/>
          <w:highlight w:val="none"/>
          <w:lang w:bidi="ar"/>
        </w:rPr>
        <w:t>（8）与本标段的检测机构有隶属关系或者其他利害关系；</w:t>
      </w:r>
    </w:p>
    <w:p>
      <w:pPr>
        <w:spacing w:line="400" w:lineRule="exact"/>
        <w:ind w:firstLine="315" w:firstLineChars="150"/>
        <w:rPr>
          <w:rFonts w:ascii="宋体" w:hAnsi="宋体" w:eastAsia="宋体" w:cs="宋体"/>
          <w:color w:val="auto"/>
          <w:highlight w:val="none"/>
        </w:rPr>
      </w:pPr>
      <w:r>
        <w:rPr>
          <w:rFonts w:hint="eastAsia" w:ascii="宋体" w:hAnsi="宋体" w:eastAsia="宋体" w:cs="宋体"/>
          <w:color w:val="auto"/>
          <w:kern w:val="0"/>
          <w:szCs w:val="22"/>
          <w:highlight w:val="none"/>
          <w:lang w:bidi="ar"/>
        </w:rPr>
        <w:t xml:space="preserve">（9）与招标人存在利害关系且可能影响招标公正性； </w:t>
      </w:r>
    </w:p>
    <w:p>
      <w:pPr>
        <w:spacing w:line="400" w:lineRule="exact"/>
        <w:ind w:firstLine="315" w:firstLineChars="150"/>
        <w:rPr>
          <w:rFonts w:ascii="宋体" w:hAnsi="宋体" w:eastAsia="宋体" w:cs="宋体"/>
          <w:color w:val="auto"/>
          <w:highlight w:val="none"/>
        </w:rPr>
      </w:pPr>
      <w:r>
        <w:rPr>
          <w:rFonts w:hint="eastAsia" w:ascii="宋体" w:hAnsi="宋体" w:eastAsia="宋体" w:cs="宋体"/>
          <w:color w:val="auto"/>
          <w:kern w:val="0"/>
          <w:szCs w:val="22"/>
          <w:highlight w:val="none"/>
          <w:lang w:bidi="ar"/>
        </w:rPr>
        <w:t xml:space="preserve">（10）与本标段的其他投标人为同一个单位负责人； </w:t>
      </w:r>
    </w:p>
    <w:p>
      <w:pPr>
        <w:spacing w:line="400" w:lineRule="exact"/>
        <w:ind w:firstLine="315" w:firstLineChars="150"/>
        <w:rPr>
          <w:rFonts w:ascii="宋体" w:hAnsi="宋体" w:eastAsia="宋体" w:cs="宋体"/>
          <w:color w:val="auto"/>
          <w:highlight w:val="none"/>
        </w:rPr>
      </w:pPr>
      <w:r>
        <w:rPr>
          <w:rFonts w:hint="eastAsia" w:ascii="宋体" w:hAnsi="宋体" w:eastAsia="宋体" w:cs="宋体"/>
          <w:color w:val="auto"/>
          <w:kern w:val="0"/>
          <w:szCs w:val="22"/>
          <w:highlight w:val="none"/>
          <w:lang w:bidi="ar"/>
        </w:rPr>
        <w:t>（11）与本标段的其他投标人存在控股、管理关系；</w:t>
      </w:r>
    </w:p>
    <w:p>
      <w:pPr>
        <w:spacing w:line="400" w:lineRule="exact"/>
        <w:ind w:firstLine="315" w:firstLineChars="150"/>
        <w:rPr>
          <w:rFonts w:ascii="宋体" w:hAnsi="宋体" w:eastAsia="宋体" w:cs="宋体"/>
          <w:color w:val="auto"/>
          <w:highlight w:val="none"/>
        </w:rPr>
      </w:pPr>
      <w:r>
        <w:rPr>
          <w:rFonts w:hint="eastAsia" w:ascii="宋体" w:hAnsi="宋体" w:eastAsia="宋体" w:cs="宋体"/>
          <w:color w:val="auto"/>
          <w:kern w:val="0"/>
          <w:szCs w:val="22"/>
          <w:highlight w:val="none"/>
          <w:lang w:bidi="ar"/>
        </w:rPr>
        <w:t>（12）被暂扣安全生产许可证的；</w:t>
      </w:r>
    </w:p>
    <w:p>
      <w:pPr>
        <w:spacing w:line="400" w:lineRule="exact"/>
        <w:ind w:firstLine="315" w:firstLineChars="150"/>
        <w:rPr>
          <w:rFonts w:ascii="宋体" w:hAnsi="宋体" w:eastAsia="宋体" w:cs="宋体"/>
          <w:color w:val="auto"/>
          <w:highlight w:val="none"/>
        </w:rPr>
      </w:pPr>
      <w:r>
        <w:rPr>
          <w:rFonts w:hint="eastAsia" w:ascii="宋体" w:hAnsi="宋体" w:eastAsia="宋体" w:cs="宋体"/>
          <w:color w:val="auto"/>
          <w:kern w:val="0"/>
          <w:szCs w:val="22"/>
          <w:highlight w:val="none"/>
          <w:lang w:bidi="ar"/>
        </w:rPr>
        <w:t xml:space="preserve">（13）被依法暂停或取消投标资格的； </w:t>
      </w:r>
    </w:p>
    <w:p>
      <w:pPr>
        <w:spacing w:line="400" w:lineRule="exact"/>
        <w:ind w:firstLine="315" w:firstLineChars="150"/>
        <w:rPr>
          <w:rFonts w:ascii="宋体" w:hAnsi="宋体" w:eastAsia="宋体" w:cs="宋体"/>
          <w:color w:val="auto"/>
          <w:highlight w:val="none"/>
        </w:rPr>
      </w:pPr>
      <w:r>
        <w:rPr>
          <w:rFonts w:hint="eastAsia" w:ascii="宋体" w:hAnsi="宋体" w:eastAsia="宋体" w:cs="宋体"/>
          <w:color w:val="auto"/>
          <w:kern w:val="0"/>
          <w:szCs w:val="22"/>
          <w:highlight w:val="none"/>
          <w:lang w:bidi="ar"/>
        </w:rPr>
        <w:t>（14）被责令停产停业、暂扣或者吊销许可证、暂扣或者吊销执照的；</w:t>
      </w:r>
    </w:p>
    <w:p>
      <w:pPr>
        <w:spacing w:line="400" w:lineRule="exact"/>
        <w:ind w:firstLine="315" w:firstLineChars="150"/>
        <w:rPr>
          <w:rFonts w:ascii="宋体" w:hAnsi="宋体" w:eastAsia="宋体" w:cs="宋体"/>
          <w:color w:val="auto"/>
          <w:highlight w:val="none"/>
        </w:rPr>
      </w:pPr>
      <w:r>
        <w:rPr>
          <w:rFonts w:hint="eastAsia" w:ascii="宋体" w:hAnsi="宋体" w:eastAsia="宋体" w:cs="宋体"/>
          <w:color w:val="auto"/>
          <w:kern w:val="0"/>
          <w:szCs w:val="22"/>
          <w:highlight w:val="none"/>
          <w:lang w:bidi="ar"/>
        </w:rPr>
        <w:t>（15）进入清算程序，或被宣布破产，或其他丧失履约能力的情形；</w:t>
      </w:r>
    </w:p>
    <w:p>
      <w:pPr>
        <w:spacing w:line="400" w:lineRule="exact"/>
        <w:ind w:firstLine="315" w:firstLineChars="150"/>
        <w:rPr>
          <w:rFonts w:ascii="宋体" w:hAnsi="宋体" w:eastAsia="宋体" w:cs="宋体"/>
          <w:color w:val="auto"/>
          <w:highlight w:val="none"/>
        </w:rPr>
      </w:pPr>
      <w:r>
        <w:rPr>
          <w:rFonts w:hint="eastAsia" w:ascii="宋体" w:hAnsi="宋体" w:eastAsia="宋体" w:cs="宋体"/>
          <w:color w:val="auto"/>
          <w:kern w:val="0"/>
          <w:szCs w:val="22"/>
          <w:highlight w:val="none"/>
          <w:lang w:bidi="ar"/>
        </w:rPr>
        <w:t>（16）在最近三年内有骗取中标或严重违约或重大工程质量问题的；</w:t>
      </w:r>
    </w:p>
    <w:p>
      <w:pPr>
        <w:spacing w:line="400" w:lineRule="exact"/>
        <w:ind w:firstLine="315" w:firstLineChars="150"/>
        <w:rPr>
          <w:rFonts w:ascii="宋体" w:hAnsi="宋体" w:eastAsia="宋体" w:cs="宋体"/>
          <w:color w:val="auto"/>
          <w:highlight w:val="none"/>
        </w:rPr>
      </w:pPr>
      <w:r>
        <w:rPr>
          <w:rFonts w:hint="eastAsia" w:ascii="宋体" w:hAnsi="宋体" w:eastAsia="宋体" w:cs="宋体"/>
          <w:color w:val="auto"/>
          <w:kern w:val="0"/>
          <w:szCs w:val="22"/>
          <w:highlight w:val="none"/>
          <w:lang w:bidi="ar"/>
        </w:rPr>
        <w:t>（17）被工商行政管理机关在全国企业信用信息公示系统中列入严重违法失信企业名单；</w:t>
      </w:r>
    </w:p>
    <w:p>
      <w:pPr>
        <w:spacing w:line="400" w:lineRule="exact"/>
        <w:ind w:firstLine="315" w:firstLineChars="150"/>
        <w:rPr>
          <w:rFonts w:ascii="宋体" w:hAnsi="宋体" w:eastAsia="宋体" w:cs="宋体"/>
          <w:color w:val="auto"/>
          <w:highlight w:val="none"/>
        </w:rPr>
      </w:pPr>
      <w:r>
        <w:rPr>
          <w:rFonts w:hint="eastAsia" w:ascii="宋体" w:hAnsi="宋体" w:eastAsia="宋体" w:cs="宋体"/>
          <w:color w:val="auto"/>
          <w:kern w:val="0"/>
          <w:szCs w:val="22"/>
          <w:highlight w:val="none"/>
          <w:lang w:bidi="ar"/>
        </w:rPr>
        <w:t>（18）被最高人民法院在“信用中国”网站（www.creditchina.gov.cn）或各级信用信息共享平台中列入失信被执行人名单；</w:t>
      </w:r>
    </w:p>
    <w:p>
      <w:pPr>
        <w:spacing w:line="400" w:lineRule="exact"/>
        <w:ind w:firstLine="315" w:firstLineChars="150"/>
        <w:rPr>
          <w:rFonts w:ascii="宋体" w:hAnsi="宋体" w:eastAsia="宋体" w:cs="宋体"/>
          <w:color w:val="auto"/>
          <w:highlight w:val="none"/>
        </w:rPr>
      </w:pPr>
      <w:r>
        <w:rPr>
          <w:rFonts w:hint="eastAsia" w:ascii="宋体" w:hAnsi="宋体" w:eastAsia="宋体" w:cs="宋体"/>
          <w:color w:val="auto"/>
          <w:kern w:val="0"/>
          <w:szCs w:val="22"/>
          <w:highlight w:val="none"/>
          <w:lang w:bidi="ar"/>
        </w:rPr>
        <w:t>（19）在近三年内投标人或其法定代表人、拟委派的项目负责人有行贿犯罪行为的；</w:t>
      </w:r>
    </w:p>
    <w:p>
      <w:pPr>
        <w:spacing w:line="400" w:lineRule="exact"/>
        <w:ind w:firstLine="315" w:firstLineChars="150"/>
        <w:rPr>
          <w:rFonts w:ascii="宋体" w:hAnsi="宋体" w:eastAsia="宋体" w:cs="宋体"/>
          <w:color w:val="auto"/>
          <w:highlight w:val="none"/>
        </w:rPr>
      </w:pPr>
      <w:r>
        <w:rPr>
          <w:rFonts w:hint="eastAsia" w:ascii="宋体" w:hAnsi="宋体" w:eastAsia="宋体" w:cs="宋体"/>
          <w:color w:val="auto"/>
          <w:kern w:val="0"/>
          <w:szCs w:val="22"/>
          <w:highlight w:val="none"/>
          <w:lang w:bidi="ar"/>
        </w:rPr>
        <w:t>（20）被住房城乡建设行政主管部门在全国建筑市场监管一体化工作平台列入建筑市场主体“黑名单”；</w:t>
      </w:r>
    </w:p>
    <w:p>
      <w:pPr>
        <w:spacing w:line="400" w:lineRule="exact"/>
        <w:ind w:firstLine="315" w:firstLineChars="150"/>
        <w:rPr>
          <w:rFonts w:ascii="宋体" w:hAnsi="宋体" w:eastAsia="宋体" w:cs="宋体"/>
          <w:color w:val="auto"/>
          <w:highlight w:val="none"/>
        </w:rPr>
      </w:pPr>
      <w:r>
        <w:rPr>
          <w:rFonts w:hint="eastAsia" w:ascii="宋体" w:hAnsi="宋体" w:eastAsia="宋体" w:cs="宋体"/>
          <w:color w:val="auto"/>
          <w:kern w:val="0"/>
          <w:szCs w:val="22"/>
          <w:highlight w:val="none"/>
          <w:lang w:bidi="ar"/>
        </w:rPr>
        <w:t>（21）被发改委、人力资源社会保障、质检总局等有关部门、单位在“信用中国”网站中列入联合惩戒失信黑名单。</w:t>
      </w:r>
    </w:p>
    <w:p>
      <w:pPr>
        <w:spacing w:line="400" w:lineRule="exact"/>
        <w:ind w:firstLine="315" w:firstLineChars="150"/>
        <w:rPr>
          <w:rFonts w:ascii="宋体" w:hAnsi="宋体" w:eastAsia="宋体" w:cs="宋体"/>
          <w:color w:val="auto"/>
          <w:highlight w:val="none"/>
        </w:rPr>
      </w:pPr>
      <w:r>
        <w:rPr>
          <w:rFonts w:hint="eastAsia" w:ascii="宋体" w:hAnsi="宋体" w:eastAsia="宋体" w:cs="宋体"/>
          <w:color w:val="auto"/>
          <w:kern w:val="0"/>
          <w:szCs w:val="22"/>
          <w:highlight w:val="none"/>
          <w:lang w:bidi="ar"/>
        </w:rPr>
        <w:t>（22）法律法规规定的其他情形。</w:t>
      </w:r>
    </w:p>
    <w:p>
      <w:pPr>
        <w:spacing w:line="400" w:lineRule="exact"/>
        <w:ind w:firstLine="420" w:firstLineChars="200"/>
        <w:rPr>
          <w:rFonts w:ascii="宋体" w:hAnsi="宋体" w:eastAsia="宋体" w:cs="宋体"/>
          <w:color w:val="auto"/>
          <w:highlight w:val="none"/>
        </w:rPr>
      </w:pPr>
      <w:r>
        <w:rPr>
          <w:rFonts w:hint="eastAsia" w:ascii="宋体" w:hAnsi="宋体" w:eastAsia="宋体" w:cs="宋体"/>
          <w:color w:val="auto"/>
          <w:kern w:val="0"/>
          <w:szCs w:val="22"/>
          <w:highlight w:val="none"/>
          <w:lang w:bidi="ar"/>
        </w:rPr>
        <w:t>1.4.4 单位负责人为同一人或者存在控股、管理关系的不同单位，不得同时参加本招标项目投标。</w:t>
      </w:r>
    </w:p>
    <w:p>
      <w:pPr>
        <w:pStyle w:val="4"/>
        <w:widowControl/>
        <w:spacing w:line="360" w:lineRule="auto"/>
        <w:ind w:firstLine="118"/>
        <w:rPr>
          <w:rFonts w:hint="default" w:ascii="宋体" w:eastAsia="宋体" w:cs="宋体"/>
          <w:b/>
          <w:color w:val="auto"/>
          <w:sz w:val="24"/>
          <w:szCs w:val="24"/>
          <w:highlight w:val="none"/>
        </w:rPr>
      </w:pPr>
      <w:bookmarkStart w:id="83" w:name="_Toc356469182"/>
      <w:bookmarkEnd w:id="83"/>
      <w:bookmarkStart w:id="84" w:name="_Toc152042311"/>
      <w:bookmarkEnd w:id="84"/>
      <w:bookmarkStart w:id="85" w:name="_Toc247513958"/>
      <w:bookmarkEnd w:id="85"/>
      <w:bookmarkStart w:id="86" w:name="_Toc247527559"/>
      <w:bookmarkEnd w:id="86"/>
      <w:bookmarkStart w:id="87" w:name="_Toc144974503"/>
      <w:bookmarkEnd w:id="87"/>
      <w:bookmarkStart w:id="88" w:name="_Toc300834955"/>
      <w:bookmarkEnd w:id="88"/>
      <w:bookmarkStart w:id="89" w:name="_Toc152045535"/>
      <w:bookmarkEnd w:id="89"/>
      <w:bookmarkStart w:id="90" w:name="_Toc362816485"/>
      <w:bookmarkEnd w:id="90"/>
      <w:bookmarkStart w:id="91" w:name="_Toc357089516"/>
      <w:bookmarkEnd w:id="91"/>
      <w:bookmarkStart w:id="92" w:name="_Toc5620301"/>
      <w:bookmarkStart w:id="93" w:name="_Toc21668"/>
      <w:r>
        <w:rPr>
          <w:rFonts w:ascii="宋体" w:eastAsia="宋体" w:cs="宋体"/>
          <w:b/>
          <w:color w:val="auto"/>
          <w:sz w:val="24"/>
          <w:szCs w:val="24"/>
          <w:highlight w:val="none"/>
        </w:rPr>
        <w:t>1.5 费用承担和设计成果补偿</w:t>
      </w:r>
      <w:bookmarkEnd w:id="92"/>
      <w:bookmarkEnd w:id="93"/>
    </w:p>
    <w:p>
      <w:pPr>
        <w:spacing w:line="360" w:lineRule="auto"/>
        <w:ind w:firstLine="420"/>
        <w:rPr>
          <w:rFonts w:ascii="宋体" w:hAnsi="宋体" w:eastAsia="宋体" w:cs="宋体"/>
          <w:color w:val="auto"/>
          <w:kern w:val="1"/>
          <w:highlight w:val="none"/>
        </w:rPr>
      </w:pPr>
      <w:r>
        <w:rPr>
          <w:rFonts w:hint="eastAsia" w:ascii="宋体" w:hAnsi="宋体" w:eastAsia="宋体" w:cs="宋体"/>
          <w:color w:val="auto"/>
          <w:kern w:val="1"/>
          <w:szCs w:val="22"/>
          <w:highlight w:val="none"/>
          <w:lang w:bidi="ar"/>
        </w:rPr>
        <w:t>1.5.1 投标人准备和参加投标活动发生的费用自理。</w:t>
      </w:r>
    </w:p>
    <w:p>
      <w:pPr>
        <w:spacing w:line="360" w:lineRule="auto"/>
        <w:ind w:firstLine="420"/>
        <w:rPr>
          <w:rFonts w:ascii="宋体" w:hAnsi="宋体" w:eastAsia="宋体" w:cs="宋体"/>
          <w:color w:val="auto"/>
          <w:kern w:val="1"/>
          <w:highlight w:val="none"/>
        </w:rPr>
      </w:pPr>
      <w:r>
        <w:rPr>
          <w:rFonts w:hint="eastAsia" w:ascii="宋体" w:hAnsi="宋体" w:eastAsia="宋体" w:cs="宋体"/>
          <w:color w:val="auto"/>
          <w:kern w:val="1"/>
          <w:szCs w:val="22"/>
          <w:highlight w:val="none"/>
          <w:lang w:bidi="ar"/>
        </w:rPr>
        <w:t>1.5.2 招标人在征得未中标人的同意后有权免费使用未中标人设计成果。</w:t>
      </w:r>
    </w:p>
    <w:p>
      <w:pPr>
        <w:pStyle w:val="4"/>
        <w:widowControl/>
        <w:spacing w:line="360" w:lineRule="auto"/>
        <w:ind w:firstLine="118"/>
        <w:rPr>
          <w:rFonts w:hint="default" w:ascii="宋体" w:eastAsia="宋体" w:cs="宋体"/>
          <w:b/>
          <w:color w:val="auto"/>
          <w:sz w:val="24"/>
          <w:szCs w:val="24"/>
          <w:highlight w:val="none"/>
        </w:rPr>
      </w:pPr>
      <w:bookmarkStart w:id="94" w:name="_Toc152045536"/>
      <w:bookmarkEnd w:id="94"/>
      <w:bookmarkStart w:id="95" w:name="_Toc247513959"/>
      <w:bookmarkEnd w:id="95"/>
      <w:bookmarkStart w:id="96" w:name="_Toc300834956"/>
      <w:bookmarkEnd w:id="96"/>
      <w:bookmarkStart w:id="97" w:name="_Toc247527560"/>
      <w:bookmarkEnd w:id="97"/>
      <w:bookmarkStart w:id="98" w:name="_Toc356469183"/>
      <w:bookmarkEnd w:id="98"/>
      <w:bookmarkStart w:id="99" w:name="_Toc357089517"/>
      <w:bookmarkEnd w:id="99"/>
      <w:bookmarkStart w:id="100" w:name="_Toc144974504"/>
      <w:bookmarkEnd w:id="100"/>
      <w:bookmarkStart w:id="101" w:name="_Toc362816486"/>
      <w:bookmarkEnd w:id="101"/>
      <w:bookmarkStart w:id="102" w:name="_Toc152042312"/>
      <w:bookmarkEnd w:id="102"/>
      <w:bookmarkStart w:id="103" w:name="_Toc14287"/>
      <w:bookmarkStart w:id="104" w:name="_Toc5620302"/>
      <w:r>
        <w:rPr>
          <w:rFonts w:ascii="宋体" w:eastAsia="宋体" w:cs="宋体"/>
          <w:b/>
          <w:color w:val="auto"/>
          <w:sz w:val="24"/>
          <w:szCs w:val="24"/>
          <w:highlight w:val="none"/>
        </w:rPr>
        <w:t>1.6 保密</w:t>
      </w:r>
      <w:bookmarkEnd w:id="103"/>
      <w:bookmarkEnd w:id="104"/>
    </w:p>
    <w:p>
      <w:pPr>
        <w:spacing w:line="360" w:lineRule="auto"/>
        <w:ind w:firstLine="420"/>
        <w:rPr>
          <w:rFonts w:ascii="宋体" w:hAnsi="宋体" w:eastAsia="宋体" w:cs="宋体"/>
          <w:color w:val="auto"/>
          <w:kern w:val="1"/>
          <w:highlight w:val="none"/>
        </w:rPr>
      </w:pPr>
      <w:r>
        <w:rPr>
          <w:rFonts w:hint="eastAsia" w:ascii="宋体" w:hAnsi="宋体" w:eastAsia="宋体" w:cs="宋体"/>
          <w:color w:val="auto"/>
          <w:kern w:val="1"/>
          <w:szCs w:val="22"/>
          <w:highlight w:val="none"/>
          <w:lang w:bidi="ar"/>
        </w:rPr>
        <w:t>1.6.1参与招标投标活动的各方应对招标文件和投标文件中的商业和技术等秘密保密，否则应承担相应的法律责任。</w:t>
      </w:r>
    </w:p>
    <w:p>
      <w:pPr>
        <w:pStyle w:val="4"/>
        <w:widowControl/>
        <w:spacing w:line="360" w:lineRule="auto"/>
        <w:ind w:firstLine="118"/>
        <w:rPr>
          <w:rFonts w:hint="default" w:ascii="宋体" w:eastAsia="宋体" w:cs="宋体"/>
          <w:b/>
          <w:color w:val="auto"/>
          <w:sz w:val="24"/>
          <w:szCs w:val="24"/>
          <w:highlight w:val="none"/>
        </w:rPr>
      </w:pPr>
      <w:bookmarkStart w:id="105" w:name="_Toc247513960"/>
      <w:bookmarkEnd w:id="105"/>
      <w:bookmarkStart w:id="106" w:name="_Toc362816487"/>
      <w:bookmarkEnd w:id="106"/>
      <w:bookmarkStart w:id="107" w:name="_Toc247527561"/>
      <w:bookmarkEnd w:id="107"/>
      <w:bookmarkStart w:id="108" w:name="_Toc357089518"/>
      <w:bookmarkEnd w:id="108"/>
      <w:bookmarkStart w:id="109" w:name="_Toc356469184"/>
      <w:bookmarkEnd w:id="109"/>
      <w:bookmarkStart w:id="110" w:name="_Toc144974505"/>
      <w:bookmarkEnd w:id="110"/>
      <w:bookmarkStart w:id="111" w:name="_Toc152042313"/>
      <w:bookmarkEnd w:id="111"/>
      <w:bookmarkStart w:id="112" w:name="_Toc152045537"/>
      <w:bookmarkEnd w:id="112"/>
      <w:bookmarkStart w:id="113" w:name="_Toc300834957"/>
      <w:bookmarkEnd w:id="113"/>
      <w:bookmarkStart w:id="114" w:name="_Toc23256"/>
      <w:bookmarkStart w:id="115" w:name="_Toc5620303"/>
      <w:r>
        <w:rPr>
          <w:rFonts w:ascii="宋体" w:eastAsia="宋体" w:cs="宋体"/>
          <w:b/>
          <w:color w:val="auto"/>
          <w:sz w:val="24"/>
          <w:szCs w:val="24"/>
          <w:highlight w:val="none"/>
        </w:rPr>
        <w:t>1.7 语言文字</w:t>
      </w:r>
      <w:bookmarkEnd w:id="114"/>
      <w:bookmarkEnd w:id="115"/>
    </w:p>
    <w:p>
      <w:pPr>
        <w:spacing w:line="360" w:lineRule="auto"/>
        <w:ind w:firstLine="420"/>
        <w:rPr>
          <w:rFonts w:ascii="宋体" w:hAnsi="宋体" w:eastAsia="宋体" w:cs="宋体"/>
          <w:color w:val="auto"/>
          <w:kern w:val="1"/>
          <w:highlight w:val="none"/>
        </w:rPr>
      </w:pPr>
      <w:r>
        <w:rPr>
          <w:rFonts w:hint="eastAsia" w:ascii="宋体" w:hAnsi="宋体" w:eastAsia="宋体" w:cs="宋体"/>
          <w:color w:val="auto"/>
          <w:kern w:val="1"/>
          <w:szCs w:val="22"/>
          <w:highlight w:val="none"/>
          <w:lang w:bidi="ar"/>
        </w:rPr>
        <w:t>1.7.1招标投标文件使用的语言文字为中文。专用术语使用外文的，应附有中文注释。</w:t>
      </w:r>
    </w:p>
    <w:p>
      <w:pPr>
        <w:pStyle w:val="4"/>
        <w:widowControl/>
        <w:spacing w:line="360" w:lineRule="auto"/>
        <w:ind w:firstLine="118"/>
        <w:rPr>
          <w:rFonts w:hint="default" w:ascii="宋体" w:eastAsia="宋体" w:cs="宋体"/>
          <w:b/>
          <w:color w:val="auto"/>
          <w:sz w:val="24"/>
          <w:szCs w:val="24"/>
          <w:highlight w:val="none"/>
        </w:rPr>
      </w:pPr>
      <w:bookmarkStart w:id="116" w:name="_Toc356469185"/>
      <w:bookmarkEnd w:id="116"/>
      <w:bookmarkStart w:id="117" w:name="_Toc152042314"/>
      <w:bookmarkEnd w:id="117"/>
      <w:bookmarkStart w:id="118" w:name="_Toc247513961"/>
      <w:bookmarkEnd w:id="118"/>
      <w:bookmarkStart w:id="119" w:name="_Toc152045538"/>
      <w:bookmarkEnd w:id="119"/>
      <w:bookmarkStart w:id="120" w:name="_Toc247527562"/>
      <w:bookmarkEnd w:id="120"/>
      <w:bookmarkStart w:id="121" w:name="_Toc357089519"/>
      <w:bookmarkEnd w:id="121"/>
      <w:bookmarkStart w:id="122" w:name="_Toc144974506"/>
      <w:bookmarkEnd w:id="122"/>
      <w:bookmarkStart w:id="123" w:name="_Toc362816488"/>
      <w:bookmarkEnd w:id="123"/>
      <w:bookmarkStart w:id="124" w:name="_Toc300834958"/>
      <w:bookmarkEnd w:id="124"/>
      <w:bookmarkStart w:id="125" w:name="_Toc5620304"/>
      <w:bookmarkStart w:id="126" w:name="_Toc9356"/>
      <w:r>
        <w:rPr>
          <w:rFonts w:ascii="宋体" w:eastAsia="宋体" w:cs="宋体"/>
          <w:b/>
          <w:color w:val="auto"/>
          <w:sz w:val="24"/>
          <w:szCs w:val="24"/>
          <w:highlight w:val="none"/>
        </w:rPr>
        <w:t>1.8 计量单位</w:t>
      </w:r>
      <w:bookmarkEnd w:id="125"/>
      <w:bookmarkEnd w:id="126"/>
    </w:p>
    <w:p>
      <w:pPr>
        <w:spacing w:line="360" w:lineRule="auto"/>
        <w:ind w:firstLine="420"/>
        <w:rPr>
          <w:rFonts w:ascii="宋体" w:hAnsi="宋体" w:eastAsia="宋体" w:cs="宋体"/>
          <w:color w:val="auto"/>
          <w:kern w:val="1"/>
          <w:highlight w:val="none"/>
        </w:rPr>
      </w:pPr>
      <w:r>
        <w:rPr>
          <w:rFonts w:hint="eastAsia" w:ascii="宋体" w:hAnsi="宋体" w:eastAsia="宋体" w:cs="宋体"/>
          <w:color w:val="auto"/>
          <w:kern w:val="1"/>
          <w:szCs w:val="22"/>
          <w:highlight w:val="none"/>
          <w:lang w:bidi="ar"/>
        </w:rPr>
        <w:t>1.8.1 所有计量均采用中华人民共和国法定计量单位。</w:t>
      </w:r>
    </w:p>
    <w:p>
      <w:pPr>
        <w:spacing w:line="360" w:lineRule="auto"/>
        <w:ind w:firstLine="420"/>
        <w:rPr>
          <w:rFonts w:ascii="宋体" w:hAnsi="宋体" w:eastAsia="宋体" w:cs="宋体"/>
          <w:color w:val="auto"/>
          <w:kern w:val="1"/>
          <w:highlight w:val="none"/>
        </w:rPr>
      </w:pPr>
      <w:r>
        <w:rPr>
          <w:rFonts w:hint="eastAsia" w:ascii="宋体" w:hAnsi="宋体" w:eastAsia="宋体" w:cs="宋体"/>
          <w:color w:val="auto"/>
          <w:kern w:val="1"/>
          <w:szCs w:val="22"/>
          <w:highlight w:val="none"/>
          <w:lang w:bidi="ar"/>
        </w:rPr>
        <w:t>1.8.2 本工程投标报价采用的币种为人民币。</w:t>
      </w:r>
    </w:p>
    <w:p>
      <w:pPr>
        <w:pStyle w:val="4"/>
        <w:widowControl/>
        <w:spacing w:line="360" w:lineRule="auto"/>
        <w:ind w:firstLine="118"/>
        <w:rPr>
          <w:rFonts w:hint="default" w:ascii="宋体" w:eastAsia="宋体" w:cs="宋体"/>
          <w:b/>
          <w:color w:val="auto"/>
          <w:sz w:val="24"/>
          <w:szCs w:val="24"/>
          <w:highlight w:val="none"/>
        </w:rPr>
      </w:pPr>
      <w:bookmarkStart w:id="127" w:name="_Toc247513962"/>
      <w:bookmarkEnd w:id="127"/>
      <w:bookmarkStart w:id="128" w:name="_Toc300834959"/>
      <w:bookmarkEnd w:id="128"/>
      <w:bookmarkStart w:id="129" w:name="_Toc362816489"/>
      <w:bookmarkEnd w:id="129"/>
      <w:bookmarkStart w:id="130" w:name="_Toc144974507"/>
      <w:bookmarkEnd w:id="130"/>
      <w:bookmarkStart w:id="131" w:name="_Toc247527563"/>
      <w:bookmarkEnd w:id="131"/>
      <w:bookmarkStart w:id="132" w:name="_Toc357089520"/>
      <w:bookmarkEnd w:id="132"/>
      <w:bookmarkStart w:id="133" w:name="_Toc152045539"/>
      <w:bookmarkEnd w:id="133"/>
      <w:bookmarkStart w:id="134" w:name="_Toc152042315"/>
      <w:bookmarkEnd w:id="134"/>
      <w:bookmarkStart w:id="135" w:name="_Toc356469186"/>
      <w:bookmarkEnd w:id="135"/>
      <w:bookmarkStart w:id="136" w:name="_Toc5620305"/>
      <w:bookmarkStart w:id="137" w:name="_Toc9654"/>
      <w:r>
        <w:rPr>
          <w:rFonts w:ascii="宋体" w:eastAsia="宋体" w:cs="宋体"/>
          <w:b/>
          <w:color w:val="auto"/>
          <w:sz w:val="24"/>
          <w:szCs w:val="24"/>
          <w:highlight w:val="none"/>
        </w:rPr>
        <w:t>1.9 踏勘现场</w:t>
      </w:r>
      <w:bookmarkEnd w:id="136"/>
      <w:bookmarkEnd w:id="137"/>
    </w:p>
    <w:p>
      <w:pPr>
        <w:spacing w:line="360" w:lineRule="auto"/>
        <w:ind w:firstLine="420"/>
        <w:rPr>
          <w:rFonts w:ascii="宋体" w:hAnsi="宋体" w:eastAsia="宋体" w:cs="宋体"/>
          <w:color w:val="auto"/>
          <w:kern w:val="1"/>
          <w:highlight w:val="none"/>
        </w:rPr>
      </w:pPr>
      <w:r>
        <w:rPr>
          <w:rFonts w:hint="eastAsia" w:ascii="宋体" w:hAnsi="宋体" w:eastAsia="宋体" w:cs="宋体"/>
          <w:color w:val="auto"/>
          <w:kern w:val="1"/>
          <w:szCs w:val="22"/>
          <w:highlight w:val="none"/>
          <w:lang w:bidi="ar"/>
        </w:rPr>
        <w:t xml:space="preserve">1.9.1 投标人须知前附表规定组织踏勘现场的，招标人按投标人须知前附表规定的时间、地点组织投标人踏勘项目现场。 </w:t>
      </w:r>
    </w:p>
    <w:p>
      <w:pPr>
        <w:spacing w:line="360" w:lineRule="auto"/>
        <w:ind w:firstLine="420"/>
        <w:rPr>
          <w:rFonts w:ascii="宋体" w:hAnsi="宋体" w:eastAsia="宋体" w:cs="宋体"/>
          <w:color w:val="auto"/>
          <w:kern w:val="1"/>
          <w:highlight w:val="none"/>
        </w:rPr>
      </w:pPr>
      <w:r>
        <w:rPr>
          <w:rFonts w:hint="eastAsia" w:ascii="宋体" w:hAnsi="宋体" w:eastAsia="宋体" w:cs="宋体"/>
          <w:color w:val="auto"/>
          <w:kern w:val="1"/>
          <w:szCs w:val="22"/>
          <w:highlight w:val="none"/>
          <w:lang w:bidi="ar"/>
        </w:rPr>
        <w:t>1.9.2 投标人踏勘现场发生的费用自理。</w:t>
      </w:r>
    </w:p>
    <w:p>
      <w:pPr>
        <w:spacing w:line="360" w:lineRule="auto"/>
        <w:ind w:firstLine="420"/>
        <w:rPr>
          <w:rFonts w:ascii="宋体" w:hAnsi="宋体" w:eastAsia="宋体" w:cs="宋体"/>
          <w:color w:val="auto"/>
          <w:kern w:val="1"/>
          <w:highlight w:val="none"/>
        </w:rPr>
      </w:pPr>
      <w:r>
        <w:rPr>
          <w:rFonts w:hint="eastAsia" w:ascii="宋体" w:hAnsi="宋体" w:eastAsia="宋体" w:cs="宋体"/>
          <w:color w:val="auto"/>
          <w:kern w:val="1"/>
          <w:szCs w:val="22"/>
          <w:highlight w:val="none"/>
          <w:lang w:bidi="ar"/>
        </w:rPr>
        <w:t>1.9.3 除招标人的原因外，投标人自行负责在踏勘现场中所发生的人员伤亡和财产损失。</w:t>
      </w:r>
    </w:p>
    <w:p>
      <w:pPr>
        <w:spacing w:line="360" w:lineRule="auto"/>
        <w:ind w:firstLine="420"/>
        <w:rPr>
          <w:rFonts w:ascii="宋体" w:hAnsi="宋体" w:eastAsia="宋体" w:cs="宋体"/>
          <w:color w:val="auto"/>
          <w:kern w:val="1"/>
          <w:highlight w:val="none"/>
        </w:rPr>
      </w:pPr>
      <w:r>
        <w:rPr>
          <w:rFonts w:hint="eastAsia" w:ascii="宋体" w:hAnsi="宋体" w:eastAsia="宋体" w:cs="宋体"/>
          <w:color w:val="auto"/>
          <w:kern w:val="1"/>
          <w:szCs w:val="22"/>
          <w:highlight w:val="none"/>
          <w:lang w:bidi="ar"/>
        </w:rPr>
        <w:t>1.9.4</w:t>
      </w:r>
      <w:r>
        <w:rPr>
          <w:rFonts w:hint="eastAsia" w:ascii="宋体" w:hAnsi="宋体" w:eastAsia="宋体" w:cs="宋体"/>
          <w:color w:val="auto"/>
          <w:kern w:val="1"/>
          <w:szCs w:val="22"/>
          <w:highlight w:val="none"/>
          <w:u w:val="single"/>
          <w:lang w:bidi="ar"/>
        </w:rPr>
        <w:t>现场由投标人自行踏勘，投标人不进行踏勘的，视为已熟知现场条件，自行承担相关风险。招标人不对投标人自行踏勘现场作出的判断和决策负责。</w:t>
      </w:r>
    </w:p>
    <w:p>
      <w:pPr>
        <w:pStyle w:val="4"/>
        <w:widowControl/>
        <w:spacing w:line="360" w:lineRule="auto"/>
        <w:ind w:firstLine="118"/>
        <w:rPr>
          <w:rFonts w:hint="default" w:ascii="宋体" w:eastAsia="宋体" w:cs="宋体"/>
          <w:b/>
          <w:color w:val="auto"/>
          <w:sz w:val="24"/>
          <w:szCs w:val="24"/>
          <w:highlight w:val="none"/>
        </w:rPr>
      </w:pPr>
      <w:bookmarkStart w:id="138" w:name="_Toc152042316"/>
      <w:bookmarkEnd w:id="138"/>
      <w:bookmarkStart w:id="139" w:name="_Toc300834960"/>
      <w:bookmarkEnd w:id="139"/>
      <w:bookmarkStart w:id="140" w:name="_Toc152045540"/>
      <w:bookmarkEnd w:id="140"/>
      <w:bookmarkStart w:id="141" w:name="_Toc144974508"/>
      <w:bookmarkEnd w:id="141"/>
      <w:bookmarkStart w:id="142" w:name="_Toc356469187"/>
      <w:bookmarkEnd w:id="142"/>
      <w:bookmarkStart w:id="143" w:name="_Toc247513963"/>
      <w:bookmarkEnd w:id="143"/>
      <w:bookmarkStart w:id="144" w:name="_Toc357089521"/>
      <w:bookmarkEnd w:id="144"/>
      <w:bookmarkStart w:id="145" w:name="_Toc247527564"/>
      <w:bookmarkEnd w:id="145"/>
      <w:bookmarkStart w:id="146" w:name="_Toc362816490"/>
      <w:bookmarkEnd w:id="146"/>
      <w:bookmarkStart w:id="147" w:name="_Toc5620306"/>
      <w:bookmarkStart w:id="148" w:name="_Toc25429"/>
      <w:r>
        <w:rPr>
          <w:rFonts w:ascii="宋体" w:eastAsia="宋体" w:cs="宋体"/>
          <w:b/>
          <w:color w:val="auto"/>
          <w:sz w:val="24"/>
          <w:szCs w:val="24"/>
          <w:highlight w:val="none"/>
        </w:rPr>
        <w:t>1.10 投标预备会</w:t>
      </w:r>
      <w:bookmarkEnd w:id="147"/>
      <w:bookmarkEnd w:id="148"/>
    </w:p>
    <w:p>
      <w:pPr>
        <w:spacing w:line="360" w:lineRule="auto"/>
        <w:ind w:firstLine="420"/>
        <w:rPr>
          <w:rFonts w:ascii="宋体" w:hAnsi="宋体" w:eastAsia="宋体" w:cs="宋体"/>
          <w:color w:val="auto"/>
          <w:kern w:val="1"/>
          <w:highlight w:val="none"/>
        </w:rPr>
      </w:pPr>
      <w:r>
        <w:rPr>
          <w:rFonts w:hint="eastAsia" w:ascii="宋体" w:hAnsi="宋体" w:eastAsia="宋体" w:cs="宋体"/>
          <w:color w:val="auto"/>
          <w:kern w:val="1"/>
          <w:szCs w:val="22"/>
          <w:highlight w:val="none"/>
          <w:lang w:bidi="ar"/>
        </w:rPr>
        <w:t>1.10.1 本项目不召开投标预备会。</w:t>
      </w:r>
    </w:p>
    <w:p>
      <w:pPr>
        <w:spacing w:line="360" w:lineRule="auto"/>
        <w:ind w:firstLine="420"/>
        <w:rPr>
          <w:rFonts w:ascii="宋体" w:hAnsi="宋体" w:eastAsia="宋体" w:cs="宋体"/>
          <w:color w:val="auto"/>
          <w:kern w:val="1"/>
          <w:highlight w:val="none"/>
        </w:rPr>
      </w:pPr>
      <w:r>
        <w:rPr>
          <w:rFonts w:hint="eastAsia" w:ascii="宋体" w:hAnsi="宋体" w:eastAsia="宋体" w:cs="宋体"/>
          <w:color w:val="auto"/>
          <w:kern w:val="1"/>
          <w:szCs w:val="22"/>
          <w:highlight w:val="none"/>
          <w:lang w:bidi="ar"/>
        </w:rPr>
        <w:t>1.10.2 投标人对</w:t>
      </w:r>
      <w:r>
        <w:rPr>
          <w:rFonts w:hint="eastAsia" w:ascii="宋体" w:hAnsi="宋体" w:eastAsia="宋体" w:cs="宋体"/>
          <w:color w:val="auto"/>
          <w:kern w:val="1"/>
          <w:szCs w:val="22"/>
          <w:highlight w:val="none"/>
          <w:u w:val="single"/>
          <w:lang w:bidi="ar"/>
        </w:rPr>
        <w:t>本项目有疑问</w:t>
      </w:r>
      <w:r>
        <w:rPr>
          <w:rFonts w:hint="eastAsia" w:ascii="宋体" w:hAnsi="宋体" w:eastAsia="宋体" w:cs="宋体"/>
          <w:color w:val="auto"/>
          <w:kern w:val="1"/>
          <w:szCs w:val="22"/>
          <w:highlight w:val="none"/>
          <w:lang w:bidi="ar"/>
        </w:rPr>
        <w:t>应在投标人须知前附表规定的时间前，</w:t>
      </w:r>
      <w:r>
        <w:rPr>
          <w:rFonts w:hint="eastAsia" w:ascii="宋体" w:hAnsi="宋体" w:eastAsia="宋体" w:cs="宋体"/>
          <w:color w:val="auto"/>
          <w:kern w:val="1"/>
          <w:szCs w:val="22"/>
          <w:highlight w:val="none"/>
          <w:u w:val="single"/>
          <w:lang w:bidi="ar"/>
        </w:rPr>
        <w:t>通过登录广州公共资源交易中心网站交易系统将问题提交给招标人或招标代理机构</w:t>
      </w:r>
      <w:r>
        <w:rPr>
          <w:rFonts w:hint="eastAsia" w:ascii="宋体" w:hAnsi="宋体" w:eastAsia="宋体" w:cs="宋体"/>
          <w:color w:val="auto"/>
          <w:kern w:val="1"/>
          <w:szCs w:val="22"/>
          <w:highlight w:val="none"/>
          <w:lang w:bidi="ar"/>
        </w:rPr>
        <w:t>。</w:t>
      </w:r>
    </w:p>
    <w:p>
      <w:pPr>
        <w:spacing w:line="360" w:lineRule="auto"/>
        <w:ind w:firstLine="420"/>
        <w:rPr>
          <w:rFonts w:ascii="宋体" w:hAnsi="宋体" w:eastAsia="宋体" w:cs="宋体"/>
          <w:color w:val="auto"/>
          <w:kern w:val="1"/>
          <w:highlight w:val="none"/>
        </w:rPr>
      </w:pPr>
      <w:r>
        <w:rPr>
          <w:rFonts w:hint="eastAsia" w:ascii="宋体" w:hAnsi="宋体" w:eastAsia="宋体" w:cs="宋体"/>
          <w:color w:val="auto"/>
          <w:kern w:val="1"/>
          <w:szCs w:val="22"/>
          <w:highlight w:val="none"/>
          <w:lang w:bidi="ar"/>
        </w:rPr>
        <w:t>1.10.3 招标人在投标人须知前附表规定的时间内，将对投标人所提问题的澄清，</w:t>
      </w:r>
      <w:r>
        <w:rPr>
          <w:rFonts w:hint="eastAsia" w:ascii="宋体" w:hAnsi="宋体" w:eastAsia="宋体" w:cs="宋体"/>
          <w:color w:val="auto"/>
          <w:kern w:val="1"/>
          <w:szCs w:val="22"/>
          <w:highlight w:val="none"/>
          <w:u w:val="single"/>
          <w:lang w:bidi="ar"/>
        </w:rPr>
        <w:t>在广州公共资源交易中心网站通过项目答疑专区网上公开发布，发出即视作收到，以广州公共资源交易中心网站发布时间作为送达时间。无需投标人确认。投标人应自行关注，招标人不再一一通知</w:t>
      </w:r>
      <w:r>
        <w:rPr>
          <w:rFonts w:hint="eastAsia" w:ascii="宋体" w:hAnsi="宋体" w:eastAsia="宋体" w:cs="宋体"/>
          <w:color w:val="auto"/>
          <w:kern w:val="1"/>
          <w:szCs w:val="22"/>
          <w:highlight w:val="none"/>
          <w:lang w:bidi="ar"/>
        </w:rPr>
        <w:t>。该澄清内容为招标文件的组成部分。</w:t>
      </w:r>
    </w:p>
    <w:p>
      <w:pPr>
        <w:pStyle w:val="4"/>
        <w:widowControl/>
        <w:spacing w:line="360" w:lineRule="auto"/>
        <w:ind w:firstLine="118"/>
        <w:rPr>
          <w:rFonts w:hint="default" w:ascii="宋体" w:eastAsia="宋体" w:cs="宋体"/>
          <w:b/>
          <w:color w:val="auto"/>
          <w:sz w:val="24"/>
          <w:szCs w:val="24"/>
          <w:highlight w:val="none"/>
        </w:rPr>
      </w:pPr>
      <w:bookmarkStart w:id="149" w:name="_Toc247527565"/>
      <w:bookmarkEnd w:id="149"/>
      <w:bookmarkStart w:id="150" w:name="_Toc357089522"/>
      <w:bookmarkEnd w:id="150"/>
      <w:bookmarkStart w:id="151" w:name="_Toc152045541"/>
      <w:bookmarkEnd w:id="151"/>
      <w:bookmarkStart w:id="152" w:name="_Toc152042317"/>
      <w:bookmarkEnd w:id="152"/>
      <w:bookmarkStart w:id="153" w:name="_Toc356469188"/>
      <w:bookmarkEnd w:id="153"/>
      <w:bookmarkStart w:id="154" w:name="_Toc144974509"/>
      <w:bookmarkEnd w:id="154"/>
      <w:bookmarkStart w:id="155" w:name="_Toc300834961"/>
      <w:bookmarkEnd w:id="155"/>
      <w:bookmarkStart w:id="156" w:name="_Toc247513964"/>
      <w:bookmarkEnd w:id="156"/>
      <w:bookmarkStart w:id="157" w:name="_Toc362816491"/>
      <w:bookmarkEnd w:id="157"/>
      <w:bookmarkStart w:id="158" w:name="_Toc4945"/>
      <w:bookmarkStart w:id="159" w:name="_Toc5620307"/>
      <w:r>
        <w:rPr>
          <w:rFonts w:ascii="宋体" w:eastAsia="宋体" w:cs="宋体"/>
          <w:b/>
          <w:color w:val="auto"/>
          <w:sz w:val="24"/>
          <w:szCs w:val="24"/>
          <w:highlight w:val="none"/>
        </w:rPr>
        <w:t>1.11 分包</w:t>
      </w:r>
      <w:bookmarkEnd w:id="158"/>
      <w:bookmarkEnd w:id="159"/>
    </w:p>
    <w:p>
      <w:pPr>
        <w:spacing w:line="360" w:lineRule="auto"/>
        <w:ind w:firstLine="420" w:firstLineChars="200"/>
        <w:rPr>
          <w:rFonts w:ascii="宋体" w:hAnsi="宋体" w:eastAsia="宋体" w:cs="宋体"/>
          <w:color w:val="auto"/>
          <w:kern w:val="1"/>
          <w:highlight w:val="none"/>
        </w:rPr>
      </w:pPr>
      <w:r>
        <w:rPr>
          <w:rFonts w:hint="eastAsia" w:ascii="宋体" w:hAnsi="宋体" w:eastAsia="宋体" w:cs="宋体"/>
          <w:color w:val="auto"/>
          <w:kern w:val="1"/>
          <w:szCs w:val="22"/>
          <w:highlight w:val="none"/>
          <w:lang w:bidi="ar"/>
        </w:rPr>
        <w:t>1.11.1 投标人须知前附表规定应当由分包人实施的非主体、非关键性工作，</w:t>
      </w:r>
      <w:r>
        <w:rPr>
          <w:rFonts w:hint="eastAsia" w:ascii="宋体" w:hAnsi="宋体" w:eastAsia="宋体" w:cs="宋体"/>
          <w:color w:val="auto"/>
          <w:kern w:val="0"/>
          <w:szCs w:val="22"/>
          <w:highlight w:val="none"/>
          <w:lang w:bidi="ar"/>
        </w:rPr>
        <w:t>投标人应当按照招标人的规定提供分包人侯选名单及其相应资料。</w:t>
      </w:r>
    </w:p>
    <w:p>
      <w:pPr>
        <w:spacing w:line="360" w:lineRule="auto"/>
        <w:ind w:firstLine="420" w:firstLineChars="200"/>
        <w:rPr>
          <w:rFonts w:ascii="宋体" w:hAnsi="宋体" w:eastAsia="宋体" w:cs="宋体"/>
          <w:color w:val="auto"/>
          <w:kern w:val="1"/>
          <w:highlight w:val="none"/>
        </w:rPr>
      </w:pPr>
      <w:r>
        <w:rPr>
          <w:rFonts w:hint="eastAsia" w:ascii="宋体" w:hAnsi="宋体" w:eastAsia="宋体" w:cs="宋体"/>
          <w:color w:val="auto"/>
          <w:kern w:val="1"/>
          <w:szCs w:val="22"/>
          <w:highlight w:val="none"/>
          <w:lang w:bidi="ar"/>
        </w:rPr>
        <w:t>1.11.2 招标人允许投标人在中标后将中标项目的部分非主体、非关键性工作进行分包的，应符合投标人须知前附表规定的分包内容、</w:t>
      </w:r>
      <w:r>
        <w:rPr>
          <w:rFonts w:hint="eastAsia" w:ascii="宋体" w:hAnsi="宋体" w:eastAsia="宋体" w:cs="宋体"/>
          <w:color w:val="auto"/>
          <w:kern w:val="0"/>
          <w:szCs w:val="22"/>
          <w:highlight w:val="none"/>
          <w:lang w:bidi="ar"/>
        </w:rPr>
        <w:t>分包金额和</w:t>
      </w:r>
      <w:r>
        <w:rPr>
          <w:rFonts w:hint="eastAsia" w:ascii="宋体" w:hAnsi="宋体" w:eastAsia="宋体" w:cs="宋体"/>
          <w:color w:val="auto"/>
          <w:kern w:val="1"/>
          <w:szCs w:val="22"/>
          <w:highlight w:val="none"/>
          <w:lang w:bidi="ar"/>
        </w:rPr>
        <w:t>资质要求等限制性条件。</w:t>
      </w:r>
    </w:p>
    <w:p>
      <w:pPr>
        <w:pStyle w:val="4"/>
        <w:widowControl/>
        <w:spacing w:line="360" w:lineRule="auto"/>
        <w:ind w:firstLine="118"/>
        <w:rPr>
          <w:rFonts w:hint="default" w:ascii="宋体" w:eastAsia="宋体" w:cs="宋体"/>
          <w:b/>
          <w:color w:val="auto"/>
          <w:sz w:val="24"/>
          <w:szCs w:val="24"/>
          <w:highlight w:val="none"/>
        </w:rPr>
      </w:pPr>
      <w:bookmarkStart w:id="160" w:name="_Toc247513965"/>
      <w:bookmarkEnd w:id="160"/>
      <w:bookmarkStart w:id="161" w:name="_Toc300834962"/>
      <w:bookmarkEnd w:id="161"/>
      <w:bookmarkStart w:id="162" w:name="_Toc357089523"/>
      <w:bookmarkEnd w:id="162"/>
      <w:bookmarkStart w:id="163" w:name="_Toc356469189"/>
      <w:bookmarkEnd w:id="163"/>
      <w:bookmarkStart w:id="164" w:name="_Toc362816492"/>
      <w:bookmarkEnd w:id="164"/>
      <w:bookmarkStart w:id="165" w:name="_Toc247527566"/>
      <w:bookmarkEnd w:id="165"/>
      <w:bookmarkStart w:id="166" w:name="_Toc5620308"/>
      <w:bookmarkStart w:id="167" w:name="_Toc1093"/>
      <w:r>
        <w:rPr>
          <w:rFonts w:ascii="宋体" w:eastAsia="宋体" w:cs="宋体"/>
          <w:b/>
          <w:color w:val="auto"/>
          <w:sz w:val="24"/>
          <w:szCs w:val="24"/>
          <w:highlight w:val="none"/>
        </w:rPr>
        <w:t>1.12 偏离</w:t>
      </w:r>
      <w:bookmarkEnd w:id="166"/>
      <w:bookmarkEnd w:id="167"/>
    </w:p>
    <w:p>
      <w:pPr>
        <w:spacing w:line="360" w:lineRule="auto"/>
        <w:ind w:firstLine="420" w:firstLineChars="200"/>
        <w:rPr>
          <w:rFonts w:ascii="宋体" w:hAnsi="宋体" w:eastAsia="宋体" w:cs="宋体"/>
          <w:color w:val="auto"/>
          <w:kern w:val="1"/>
          <w:highlight w:val="none"/>
        </w:rPr>
      </w:pPr>
      <w:r>
        <w:rPr>
          <w:rFonts w:hint="eastAsia" w:ascii="宋体" w:hAnsi="宋体" w:eastAsia="宋体" w:cs="宋体"/>
          <w:color w:val="auto"/>
          <w:kern w:val="1"/>
          <w:szCs w:val="22"/>
          <w:highlight w:val="none"/>
          <w:lang w:bidi="ar"/>
        </w:rPr>
        <w:t>1.12.1投标人须知前附表允许投标文件偏离招标文件某些要求的，偏离应当符合招标文件规定的偏离范围和幅度。</w:t>
      </w:r>
    </w:p>
    <w:p>
      <w:pPr>
        <w:pStyle w:val="3"/>
        <w:widowControl/>
        <w:spacing w:line="360" w:lineRule="auto"/>
        <w:rPr>
          <w:rFonts w:ascii="宋体" w:hAnsi="宋体" w:eastAsia="宋体" w:cs="宋体"/>
          <w:color w:val="auto"/>
          <w:highlight w:val="none"/>
          <w:lang w:val="zh-CN"/>
        </w:rPr>
      </w:pPr>
      <w:bookmarkStart w:id="168" w:name="_Toc152045542"/>
      <w:bookmarkEnd w:id="168"/>
      <w:bookmarkStart w:id="169" w:name="_Toc152042318"/>
      <w:bookmarkEnd w:id="169"/>
      <w:bookmarkStart w:id="170" w:name="_Toc300834963"/>
      <w:bookmarkEnd w:id="170"/>
      <w:bookmarkStart w:id="171" w:name="_Toc357089524"/>
      <w:bookmarkEnd w:id="171"/>
      <w:bookmarkStart w:id="172" w:name="_Toc247527567"/>
      <w:bookmarkEnd w:id="172"/>
      <w:bookmarkStart w:id="173" w:name="_Toc362816493"/>
      <w:bookmarkEnd w:id="173"/>
      <w:bookmarkStart w:id="174" w:name="_Toc247513966"/>
      <w:bookmarkEnd w:id="174"/>
      <w:bookmarkStart w:id="175" w:name="_Toc25799"/>
      <w:bookmarkEnd w:id="175"/>
      <w:bookmarkStart w:id="176" w:name="_Toc23951"/>
      <w:bookmarkEnd w:id="176"/>
      <w:bookmarkStart w:id="177" w:name="_Toc443505823"/>
      <w:bookmarkEnd w:id="177"/>
      <w:bookmarkStart w:id="178" w:name="_Toc144974510"/>
      <w:bookmarkEnd w:id="178"/>
      <w:bookmarkStart w:id="179" w:name="_Toc5620309"/>
      <w:bookmarkStart w:id="180" w:name="_Toc15458"/>
      <w:r>
        <w:rPr>
          <w:rFonts w:hint="eastAsia" w:ascii="宋体" w:hAnsi="宋体" w:eastAsia="宋体" w:cs="宋体"/>
          <w:color w:val="auto"/>
          <w:highlight w:val="none"/>
          <w:lang w:val="zh-CN"/>
        </w:rPr>
        <w:t>2. 招标文件</w:t>
      </w:r>
      <w:bookmarkEnd w:id="179"/>
      <w:bookmarkEnd w:id="180"/>
    </w:p>
    <w:p>
      <w:pPr>
        <w:pStyle w:val="4"/>
        <w:widowControl/>
        <w:spacing w:line="360" w:lineRule="auto"/>
        <w:ind w:firstLine="118"/>
        <w:rPr>
          <w:rFonts w:hint="default" w:ascii="宋体" w:eastAsia="宋体" w:cs="宋体"/>
          <w:b/>
          <w:color w:val="auto"/>
          <w:sz w:val="24"/>
          <w:szCs w:val="24"/>
          <w:highlight w:val="none"/>
        </w:rPr>
      </w:pPr>
      <w:bookmarkStart w:id="181" w:name="_Toc362816494"/>
      <w:bookmarkEnd w:id="181"/>
      <w:bookmarkStart w:id="182" w:name="_Toc357089525"/>
      <w:bookmarkEnd w:id="182"/>
      <w:bookmarkStart w:id="183" w:name="_Toc152042319"/>
      <w:bookmarkEnd w:id="183"/>
      <w:bookmarkStart w:id="184" w:name="_Toc247527568"/>
      <w:bookmarkEnd w:id="184"/>
      <w:bookmarkStart w:id="185" w:name="_Toc152045543"/>
      <w:bookmarkEnd w:id="185"/>
      <w:bookmarkStart w:id="186" w:name="_Toc356469191"/>
      <w:bookmarkEnd w:id="186"/>
      <w:bookmarkStart w:id="187" w:name="_Toc144974511"/>
      <w:bookmarkEnd w:id="187"/>
      <w:bookmarkStart w:id="188" w:name="_Toc300834964"/>
      <w:bookmarkEnd w:id="188"/>
      <w:bookmarkStart w:id="189" w:name="_Toc247513967"/>
      <w:bookmarkEnd w:id="189"/>
      <w:bookmarkStart w:id="190" w:name="_Toc2576"/>
      <w:bookmarkStart w:id="191" w:name="_Toc5620310"/>
      <w:r>
        <w:rPr>
          <w:rFonts w:ascii="宋体" w:eastAsia="宋体" w:cs="宋体"/>
          <w:b/>
          <w:color w:val="auto"/>
          <w:sz w:val="24"/>
          <w:szCs w:val="24"/>
          <w:highlight w:val="none"/>
        </w:rPr>
        <w:t>2.1 招标文件的组成</w:t>
      </w:r>
      <w:bookmarkEnd w:id="190"/>
      <w:bookmarkEnd w:id="191"/>
    </w:p>
    <w:p>
      <w:pPr>
        <w:spacing w:line="360" w:lineRule="auto"/>
        <w:ind w:firstLine="359"/>
        <w:rPr>
          <w:rFonts w:ascii="宋体" w:hAnsi="宋体" w:eastAsia="宋体" w:cs="宋体"/>
          <w:color w:val="auto"/>
          <w:kern w:val="1"/>
          <w:highlight w:val="none"/>
        </w:rPr>
      </w:pPr>
      <w:r>
        <w:rPr>
          <w:rFonts w:hint="eastAsia" w:ascii="宋体" w:hAnsi="宋体" w:eastAsia="宋体" w:cs="宋体"/>
          <w:color w:val="auto"/>
          <w:kern w:val="1"/>
          <w:szCs w:val="22"/>
          <w:highlight w:val="none"/>
          <w:lang w:bidi="ar"/>
        </w:rPr>
        <w:t>2.1.1本招标文件包括：</w:t>
      </w:r>
    </w:p>
    <w:p>
      <w:pPr>
        <w:spacing w:line="360" w:lineRule="auto"/>
        <w:ind w:firstLine="420" w:firstLineChars="200"/>
        <w:rPr>
          <w:rFonts w:ascii="宋体" w:hAnsi="宋体" w:eastAsia="宋体" w:cs="宋体"/>
          <w:color w:val="auto"/>
          <w:kern w:val="1"/>
          <w:highlight w:val="none"/>
        </w:rPr>
      </w:pPr>
      <w:r>
        <w:rPr>
          <w:rFonts w:hint="eastAsia" w:ascii="宋体" w:hAnsi="宋体" w:eastAsia="宋体" w:cs="宋体"/>
          <w:color w:val="auto"/>
          <w:kern w:val="1"/>
          <w:szCs w:val="22"/>
          <w:highlight w:val="none"/>
          <w:lang w:bidi="ar"/>
        </w:rPr>
        <w:t>（1）招标公告；</w:t>
      </w:r>
    </w:p>
    <w:p>
      <w:pPr>
        <w:spacing w:line="360" w:lineRule="auto"/>
        <w:ind w:firstLine="420" w:firstLineChars="200"/>
        <w:rPr>
          <w:rFonts w:ascii="宋体" w:hAnsi="宋体" w:eastAsia="宋体" w:cs="宋体"/>
          <w:color w:val="auto"/>
          <w:kern w:val="1"/>
          <w:highlight w:val="none"/>
        </w:rPr>
      </w:pPr>
      <w:r>
        <w:rPr>
          <w:rFonts w:hint="eastAsia" w:ascii="宋体" w:hAnsi="宋体" w:eastAsia="宋体" w:cs="宋体"/>
          <w:color w:val="auto"/>
          <w:kern w:val="1"/>
          <w:szCs w:val="22"/>
          <w:highlight w:val="none"/>
          <w:lang w:bidi="ar"/>
        </w:rPr>
        <w:t>（2）投标人须知；</w:t>
      </w:r>
    </w:p>
    <w:p>
      <w:pPr>
        <w:spacing w:line="360" w:lineRule="auto"/>
        <w:ind w:firstLine="420" w:firstLineChars="200"/>
        <w:rPr>
          <w:rFonts w:ascii="宋体" w:hAnsi="宋体" w:eastAsia="宋体" w:cs="宋体"/>
          <w:color w:val="auto"/>
          <w:kern w:val="1"/>
          <w:highlight w:val="none"/>
        </w:rPr>
      </w:pPr>
      <w:r>
        <w:rPr>
          <w:rFonts w:hint="eastAsia" w:ascii="宋体" w:hAnsi="宋体" w:eastAsia="宋体" w:cs="宋体"/>
          <w:color w:val="auto"/>
          <w:kern w:val="1"/>
          <w:szCs w:val="22"/>
          <w:highlight w:val="none"/>
          <w:lang w:bidi="ar"/>
        </w:rPr>
        <w:t>（3）评标办法；</w:t>
      </w:r>
    </w:p>
    <w:p>
      <w:pPr>
        <w:spacing w:line="360" w:lineRule="auto"/>
        <w:ind w:firstLine="420" w:firstLineChars="200"/>
        <w:rPr>
          <w:rFonts w:ascii="宋体" w:hAnsi="宋体" w:eastAsia="宋体" w:cs="宋体"/>
          <w:color w:val="auto"/>
          <w:kern w:val="1"/>
          <w:highlight w:val="none"/>
        </w:rPr>
      </w:pPr>
      <w:r>
        <w:rPr>
          <w:rFonts w:hint="eastAsia" w:ascii="宋体" w:hAnsi="宋体" w:eastAsia="宋体" w:cs="宋体"/>
          <w:color w:val="auto"/>
          <w:kern w:val="1"/>
          <w:szCs w:val="22"/>
          <w:highlight w:val="none"/>
          <w:lang w:bidi="ar"/>
        </w:rPr>
        <w:t>（4）合同条款及格式；</w:t>
      </w:r>
    </w:p>
    <w:p>
      <w:pPr>
        <w:spacing w:line="360" w:lineRule="auto"/>
        <w:ind w:firstLine="420" w:firstLineChars="200"/>
        <w:rPr>
          <w:rFonts w:ascii="宋体" w:hAnsi="宋体" w:eastAsia="宋体" w:cs="宋体"/>
          <w:color w:val="auto"/>
          <w:kern w:val="1"/>
          <w:highlight w:val="none"/>
        </w:rPr>
      </w:pPr>
      <w:r>
        <w:rPr>
          <w:rFonts w:hint="eastAsia" w:ascii="宋体" w:hAnsi="宋体" w:eastAsia="宋体" w:cs="宋体"/>
          <w:color w:val="auto"/>
          <w:kern w:val="1"/>
          <w:szCs w:val="22"/>
          <w:highlight w:val="none"/>
          <w:lang w:bidi="ar"/>
        </w:rPr>
        <w:t>（5）招标人要求；</w:t>
      </w:r>
    </w:p>
    <w:p>
      <w:pPr>
        <w:spacing w:line="360" w:lineRule="auto"/>
        <w:ind w:firstLine="420" w:firstLineChars="200"/>
        <w:rPr>
          <w:rFonts w:ascii="宋体" w:hAnsi="宋体" w:eastAsia="宋体" w:cs="宋体"/>
          <w:color w:val="auto"/>
          <w:kern w:val="1"/>
          <w:highlight w:val="none"/>
        </w:rPr>
      </w:pPr>
      <w:r>
        <w:rPr>
          <w:rFonts w:hint="eastAsia" w:ascii="宋体" w:hAnsi="宋体" w:eastAsia="宋体" w:cs="宋体"/>
          <w:color w:val="auto"/>
          <w:kern w:val="1"/>
          <w:szCs w:val="22"/>
          <w:highlight w:val="none"/>
          <w:lang w:bidi="ar"/>
        </w:rPr>
        <w:t>（6）招标人提供的资料；</w:t>
      </w:r>
    </w:p>
    <w:p>
      <w:pPr>
        <w:spacing w:line="360" w:lineRule="auto"/>
        <w:ind w:firstLine="420" w:firstLineChars="200"/>
        <w:rPr>
          <w:rFonts w:ascii="宋体" w:hAnsi="宋体" w:eastAsia="宋体" w:cs="宋体"/>
          <w:color w:val="auto"/>
          <w:kern w:val="1"/>
          <w:highlight w:val="none"/>
        </w:rPr>
      </w:pPr>
      <w:r>
        <w:rPr>
          <w:rFonts w:hint="eastAsia" w:ascii="宋体" w:hAnsi="宋体" w:eastAsia="宋体" w:cs="宋体"/>
          <w:color w:val="auto"/>
          <w:kern w:val="1"/>
          <w:szCs w:val="22"/>
          <w:highlight w:val="none"/>
          <w:lang w:bidi="ar"/>
        </w:rPr>
        <w:t>（7）投标文件格式；</w:t>
      </w:r>
    </w:p>
    <w:p>
      <w:pPr>
        <w:spacing w:line="360" w:lineRule="auto"/>
        <w:ind w:firstLine="420" w:firstLineChars="200"/>
        <w:rPr>
          <w:rFonts w:ascii="宋体" w:hAnsi="宋体" w:eastAsia="宋体" w:cs="宋体"/>
          <w:color w:val="auto"/>
          <w:kern w:val="1"/>
          <w:highlight w:val="none"/>
        </w:rPr>
      </w:pPr>
      <w:r>
        <w:rPr>
          <w:rFonts w:hint="eastAsia" w:ascii="宋体" w:hAnsi="宋体" w:eastAsia="宋体" w:cs="宋体"/>
          <w:color w:val="auto"/>
          <w:kern w:val="1"/>
          <w:szCs w:val="22"/>
          <w:highlight w:val="none"/>
          <w:lang w:bidi="ar"/>
        </w:rPr>
        <w:t>（8）投标人须知前附表规定的其他资料。</w:t>
      </w:r>
    </w:p>
    <w:p>
      <w:pPr>
        <w:spacing w:line="360" w:lineRule="auto"/>
        <w:ind w:firstLine="359"/>
        <w:rPr>
          <w:rFonts w:ascii="宋体" w:hAnsi="宋体" w:eastAsia="宋体" w:cs="宋体"/>
          <w:color w:val="auto"/>
          <w:kern w:val="1"/>
          <w:highlight w:val="none"/>
        </w:rPr>
      </w:pPr>
      <w:r>
        <w:rPr>
          <w:rFonts w:hint="eastAsia" w:ascii="宋体" w:hAnsi="宋体" w:eastAsia="宋体" w:cs="宋体"/>
          <w:color w:val="auto"/>
          <w:kern w:val="1"/>
          <w:szCs w:val="22"/>
          <w:highlight w:val="none"/>
          <w:lang w:bidi="ar"/>
        </w:rPr>
        <w:t>2.1.2根据本章第1.10款、第2.2款和第2.3款对招标文件所作的澄清、修改，构成招标文件的组成部分。</w:t>
      </w:r>
    </w:p>
    <w:p>
      <w:pPr>
        <w:pStyle w:val="4"/>
        <w:widowControl/>
        <w:spacing w:line="360" w:lineRule="auto"/>
        <w:ind w:firstLine="118"/>
        <w:rPr>
          <w:rFonts w:hint="default" w:ascii="宋体" w:eastAsia="宋体" w:cs="宋体"/>
          <w:b/>
          <w:color w:val="auto"/>
          <w:sz w:val="24"/>
          <w:szCs w:val="24"/>
          <w:highlight w:val="none"/>
        </w:rPr>
      </w:pPr>
      <w:bookmarkStart w:id="192" w:name="_Toc362816495"/>
      <w:bookmarkEnd w:id="192"/>
      <w:bookmarkStart w:id="193" w:name="_Toc357089526"/>
      <w:bookmarkEnd w:id="193"/>
      <w:bookmarkStart w:id="194" w:name="_Toc300834965"/>
      <w:bookmarkEnd w:id="194"/>
      <w:bookmarkStart w:id="195" w:name="_Toc247513968"/>
      <w:bookmarkEnd w:id="195"/>
      <w:bookmarkStart w:id="196" w:name="_Toc144974512"/>
      <w:bookmarkEnd w:id="196"/>
      <w:bookmarkStart w:id="197" w:name="_Toc356469192"/>
      <w:bookmarkEnd w:id="197"/>
      <w:bookmarkStart w:id="198" w:name="_Toc152042320"/>
      <w:bookmarkEnd w:id="198"/>
      <w:bookmarkStart w:id="199" w:name="_Toc152045544"/>
      <w:bookmarkEnd w:id="199"/>
      <w:bookmarkStart w:id="200" w:name="_Toc247527569"/>
      <w:bookmarkEnd w:id="200"/>
      <w:bookmarkStart w:id="201" w:name="_Toc5620311"/>
      <w:bookmarkStart w:id="202" w:name="_Toc14885"/>
      <w:r>
        <w:rPr>
          <w:rFonts w:ascii="宋体" w:eastAsia="宋体" w:cs="宋体"/>
          <w:b/>
          <w:color w:val="auto"/>
          <w:sz w:val="24"/>
          <w:szCs w:val="24"/>
          <w:highlight w:val="none"/>
        </w:rPr>
        <w:t>2.2 招标文件的澄清</w:t>
      </w:r>
      <w:bookmarkEnd w:id="201"/>
      <w:bookmarkEnd w:id="202"/>
    </w:p>
    <w:p>
      <w:pPr>
        <w:spacing w:line="360" w:lineRule="auto"/>
        <w:ind w:firstLine="420"/>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2.2.1 投标人应仔细阅读和检查招标文件的全部内容。如发现缺页或附件不全，应及时向招标人提出，以便补齐。如有疑问，</w:t>
      </w:r>
      <w:r>
        <w:rPr>
          <w:rFonts w:hint="eastAsia" w:ascii="宋体" w:hAnsi="宋体" w:eastAsia="宋体" w:cs="宋体"/>
          <w:color w:val="auto"/>
          <w:kern w:val="0"/>
          <w:szCs w:val="22"/>
          <w:highlight w:val="none"/>
          <w:u w:val="single"/>
          <w:lang w:bidi="ar"/>
        </w:rPr>
        <w:t>可在规定的时间内通过广州交易集团有限公司（广州公共资源交易中心）站交易系统将问题提交给招标人或招标代理机构，</w:t>
      </w:r>
      <w:r>
        <w:rPr>
          <w:rFonts w:hint="eastAsia" w:ascii="宋体" w:hAnsi="宋体" w:eastAsia="宋体" w:cs="宋体"/>
          <w:color w:val="auto"/>
          <w:kern w:val="0"/>
          <w:szCs w:val="22"/>
          <w:highlight w:val="none"/>
          <w:lang w:bidi="ar"/>
        </w:rPr>
        <w:t>要求招标人对招标文件予以澄清。</w:t>
      </w:r>
    </w:p>
    <w:p>
      <w:pPr>
        <w:spacing w:line="360" w:lineRule="auto"/>
        <w:ind w:firstLine="420"/>
        <w:rPr>
          <w:rFonts w:ascii="宋体" w:hAnsi="宋体" w:eastAsia="宋体" w:cs="宋体"/>
          <w:color w:val="auto"/>
          <w:kern w:val="1"/>
          <w:szCs w:val="21"/>
          <w:highlight w:val="none"/>
        </w:rPr>
      </w:pPr>
      <w:r>
        <w:rPr>
          <w:rFonts w:hint="eastAsia" w:ascii="宋体" w:hAnsi="宋体" w:eastAsia="宋体" w:cs="宋体"/>
          <w:color w:val="auto"/>
          <w:kern w:val="0"/>
          <w:highlight w:val="none"/>
          <w:lang w:bidi="ar"/>
        </w:rPr>
        <w:t>网上答疑的操作指南为：登陆广州交易集团有限公司（广州公共资源交易中心）网站交易系统→进入“我的投标”专区→进入“招标答疑”选项→通过项目编号或名称找到所需的项目→在答疑时间内点击“答疑提问-新增提问”→提出问题(提问一律不得署名)。</w:t>
      </w:r>
    </w:p>
    <w:p>
      <w:pPr>
        <w:spacing w:line="360" w:lineRule="auto"/>
        <w:ind w:firstLine="420"/>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2.2.2</w:t>
      </w:r>
      <w:r>
        <w:rPr>
          <w:rFonts w:hint="eastAsia" w:ascii="宋体" w:hAnsi="宋体" w:eastAsia="宋体" w:cs="宋体"/>
          <w:color w:val="auto"/>
          <w:kern w:val="0"/>
          <w:szCs w:val="22"/>
          <w:highlight w:val="none"/>
          <w:lang w:bidi="ar"/>
        </w:rPr>
        <w:t>招标文件的澄清</w:t>
      </w:r>
      <w:r>
        <w:rPr>
          <w:rFonts w:hint="eastAsia" w:ascii="宋体" w:hAnsi="宋体" w:eastAsia="宋体" w:cs="宋体"/>
          <w:color w:val="auto"/>
          <w:kern w:val="0"/>
          <w:szCs w:val="22"/>
          <w:highlight w:val="none"/>
          <w:u w:val="single"/>
          <w:lang w:bidi="ar"/>
        </w:rPr>
        <w:t>在</w:t>
      </w:r>
      <w:r>
        <w:rPr>
          <w:rFonts w:hint="eastAsia" w:ascii="宋体" w:hAnsi="宋体" w:cs="宋体"/>
          <w:color w:val="auto"/>
          <w:highlight w:val="none"/>
          <w:u w:val="single"/>
        </w:rPr>
        <w:t>广州交易集团有限公司（广州公共资源交易中心）</w:t>
      </w:r>
      <w:r>
        <w:rPr>
          <w:rFonts w:hint="eastAsia" w:ascii="宋体" w:hAnsi="宋体" w:eastAsia="宋体" w:cs="宋体"/>
          <w:color w:val="auto"/>
          <w:kern w:val="0"/>
          <w:szCs w:val="22"/>
          <w:highlight w:val="none"/>
          <w:u w:val="single"/>
          <w:lang w:bidi="ar"/>
        </w:rPr>
        <w:t>网站发布视为</w:t>
      </w:r>
      <w:r>
        <w:rPr>
          <w:rFonts w:hint="eastAsia" w:ascii="宋体" w:hAnsi="宋体" w:eastAsia="宋体" w:cs="宋体"/>
          <w:color w:val="auto"/>
          <w:kern w:val="0"/>
          <w:szCs w:val="22"/>
          <w:highlight w:val="none"/>
          <w:lang w:bidi="ar"/>
        </w:rPr>
        <w:t>发给所有</w:t>
      </w:r>
      <w:r>
        <w:rPr>
          <w:rFonts w:hint="eastAsia" w:ascii="宋体" w:hAnsi="宋体" w:eastAsia="宋体" w:cs="宋体"/>
          <w:color w:val="auto"/>
          <w:kern w:val="0"/>
          <w:szCs w:val="22"/>
          <w:highlight w:val="none"/>
          <w:u w:val="single"/>
          <w:lang w:bidi="ar"/>
        </w:rPr>
        <w:t>获取</w:t>
      </w:r>
      <w:r>
        <w:rPr>
          <w:rFonts w:hint="eastAsia" w:ascii="宋体" w:hAnsi="宋体" w:eastAsia="宋体" w:cs="宋体"/>
          <w:color w:val="auto"/>
          <w:kern w:val="0"/>
          <w:szCs w:val="22"/>
          <w:highlight w:val="none"/>
          <w:lang w:bidi="ar"/>
        </w:rPr>
        <w:t>招标文件的投标人，但不指明澄清问题的来源。澄清发出的时间距投标人须知前附表规定的投标截止时间不足15天的，并且澄清内容影响投标文件编制的，将相应延长投标截止时间。</w:t>
      </w:r>
    </w:p>
    <w:p>
      <w:pPr>
        <w:spacing w:line="360" w:lineRule="auto"/>
        <w:ind w:firstLine="420"/>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2.2.3</w:t>
      </w:r>
      <w:r>
        <w:rPr>
          <w:rFonts w:hint="eastAsia" w:ascii="宋体" w:hAnsi="宋体" w:eastAsia="宋体" w:cs="宋体"/>
          <w:color w:val="auto"/>
          <w:kern w:val="0"/>
          <w:szCs w:val="22"/>
          <w:highlight w:val="none"/>
          <w:u w:val="single"/>
          <w:lang w:bidi="ar"/>
        </w:rPr>
        <w:t>招标文件澄清在交易平台网站通过答疑纪要专区网上公开发布，发出即视作收到，以</w:t>
      </w:r>
      <w:r>
        <w:rPr>
          <w:rFonts w:hint="eastAsia" w:ascii="宋体" w:hAnsi="宋体" w:cs="宋体"/>
          <w:color w:val="auto"/>
          <w:highlight w:val="none"/>
          <w:u w:val="single"/>
        </w:rPr>
        <w:t>广州交易集团有限公司（广州公共资源交易中心）</w:t>
      </w:r>
      <w:r>
        <w:rPr>
          <w:rFonts w:hint="eastAsia" w:ascii="宋体" w:hAnsi="宋体" w:eastAsia="宋体" w:cs="宋体"/>
          <w:color w:val="auto"/>
          <w:kern w:val="1"/>
          <w:szCs w:val="21"/>
          <w:highlight w:val="none"/>
          <w:u w:val="single"/>
          <w:lang w:bidi="ar"/>
        </w:rPr>
        <w:t>网站</w:t>
      </w:r>
      <w:r>
        <w:rPr>
          <w:rFonts w:hint="eastAsia" w:ascii="宋体" w:hAnsi="宋体" w:eastAsia="宋体" w:cs="宋体"/>
          <w:color w:val="auto"/>
          <w:kern w:val="0"/>
          <w:szCs w:val="22"/>
          <w:highlight w:val="none"/>
          <w:u w:val="single"/>
          <w:lang w:bidi="ar"/>
        </w:rPr>
        <w:t>发布时间作为送达时间。无需投标人确认。投标人应自行关注，招标人不再一一通知。</w:t>
      </w:r>
    </w:p>
    <w:p>
      <w:pPr>
        <w:pStyle w:val="4"/>
        <w:widowControl/>
        <w:spacing w:line="360" w:lineRule="auto"/>
        <w:ind w:firstLine="118"/>
        <w:rPr>
          <w:rFonts w:hint="default" w:ascii="宋体" w:eastAsia="宋体" w:cs="宋体"/>
          <w:b/>
          <w:color w:val="auto"/>
          <w:sz w:val="24"/>
          <w:szCs w:val="24"/>
          <w:highlight w:val="none"/>
        </w:rPr>
      </w:pPr>
      <w:bookmarkStart w:id="203" w:name="_Toc247527570"/>
      <w:bookmarkEnd w:id="203"/>
      <w:bookmarkStart w:id="204" w:name="_Toc356469193"/>
      <w:bookmarkEnd w:id="204"/>
      <w:bookmarkStart w:id="205" w:name="_Toc362816496"/>
      <w:bookmarkEnd w:id="205"/>
      <w:bookmarkStart w:id="206" w:name="_Toc144974513"/>
      <w:bookmarkEnd w:id="206"/>
      <w:bookmarkStart w:id="207" w:name="_Toc247513969"/>
      <w:bookmarkEnd w:id="207"/>
      <w:bookmarkStart w:id="208" w:name="_Toc300834966"/>
      <w:bookmarkEnd w:id="208"/>
      <w:bookmarkStart w:id="209" w:name="_Toc357089527"/>
      <w:bookmarkEnd w:id="209"/>
      <w:bookmarkStart w:id="210" w:name="_Toc152042321"/>
      <w:bookmarkEnd w:id="210"/>
      <w:bookmarkStart w:id="211" w:name="_Toc152045545"/>
      <w:bookmarkEnd w:id="211"/>
      <w:bookmarkStart w:id="212" w:name="_Toc5620312"/>
      <w:bookmarkStart w:id="213" w:name="_Toc11509"/>
      <w:r>
        <w:rPr>
          <w:rFonts w:ascii="宋体" w:eastAsia="宋体" w:cs="宋体"/>
          <w:b/>
          <w:color w:val="auto"/>
          <w:sz w:val="24"/>
          <w:szCs w:val="24"/>
          <w:highlight w:val="none"/>
        </w:rPr>
        <w:t>2.3 招标文件的修改</w:t>
      </w:r>
      <w:bookmarkEnd w:id="212"/>
      <w:bookmarkEnd w:id="213"/>
    </w:p>
    <w:p>
      <w:pPr>
        <w:pStyle w:val="24"/>
        <w:widowControl/>
        <w:spacing w:line="360" w:lineRule="auto"/>
        <w:rPr>
          <w:rFonts w:ascii="宋体" w:hAnsi="宋体" w:cs="宋体"/>
          <w:color w:val="auto"/>
          <w:szCs w:val="21"/>
          <w:highlight w:val="none"/>
        </w:rPr>
      </w:pPr>
      <w:r>
        <w:rPr>
          <w:rFonts w:hint="eastAsia" w:ascii="宋体" w:hAnsi="宋体" w:cs="宋体"/>
          <w:color w:val="auto"/>
          <w:szCs w:val="21"/>
          <w:highlight w:val="none"/>
        </w:rPr>
        <w:t>2.3.1招标文件发出后,在提交投标文件截止时间15日前，招标人可对招标文件进行必要的澄清或修改。</w:t>
      </w:r>
    </w:p>
    <w:p>
      <w:pPr>
        <w:pStyle w:val="24"/>
        <w:widowControl/>
        <w:spacing w:line="360" w:lineRule="auto"/>
        <w:ind w:left="-1"/>
        <w:rPr>
          <w:rFonts w:ascii="宋体" w:hAnsi="宋体" w:cs="宋体"/>
          <w:color w:val="auto"/>
          <w:szCs w:val="21"/>
          <w:highlight w:val="none"/>
        </w:rPr>
      </w:pPr>
      <w:r>
        <w:rPr>
          <w:rFonts w:hint="eastAsia" w:ascii="宋体" w:hAnsi="宋体" w:cs="宋体"/>
          <w:color w:val="auto"/>
          <w:szCs w:val="21"/>
          <w:highlight w:val="none"/>
        </w:rPr>
        <w:t>2.3.2招标文件的澄清或修改在</w:t>
      </w:r>
      <w:r>
        <w:rPr>
          <w:rFonts w:hint="eastAsia" w:ascii="宋体" w:hAnsi="宋体" w:cs="宋体"/>
          <w:color w:val="auto"/>
          <w:highlight w:val="none"/>
          <w:u w:val="single"/>
        </w:rPr>
        <w:t>广州交易集团有限公司（广州公共资源交易中心）</w:t>
      </w:r>
      <w:r>
        <w:rPr>
          <w:rFonts w:hint="eastAsia" w:ascii="宋体" w:hAnsi="宋体" w:cs="宋体"/>
          <w:color w:val="auto"/>
          <w:szCs w:val="21"/>
          <w:highlight w:val="none"/>
        </w:rPr>
        <w:t>网站发布。招标文件的澄清或修改一经在</w:t>
      </w:r>
      <w:r>
        <w:rPr>
          <w:rFonts w:hint="eastAsia" w:ascii="宋体" w:hAnsi="宋体" w:cs="宋体"/>
          <w:color w:val="auto"/>
          <w:highlight w:val="none"/>
          <w:u w:val="single"/>
        </w:rPr>
        <w:t>广州交易集团有限公司（广州公共资源交易中心）</w:t>
      </w:r>
      <w:r>
        <w:rPr>
          <w:rFonts w:hint="eastAsia" w:ascii="宋体" w:hAnsi="宋体" w:cs="宋体"/>
          <w:color w:val="auto"/>
          <w:szCs w:val="21"/>
          <w:highlight w:val="none"/>
        </w:rPr>
        <w:t>网站发布，视作已发放给所有投标人，招标文件的修改内容作为招标文件的组成部分，具有约束作用。</w:t>
      </w:r>
    </w:p>
    <w:p>
      <w:pPr>
        <w:pStyle w:val="24"/>
        <w:widowControl/>
        <w:spacing w:line="360" w:lineRule="auto"/>
        <w:rPr>
          <w:rFonts w:ascii="宋体" w:hAnsi="宋体" w:cs="宋体"/>
          <w:color w:val="auto"/>
          <w:szCs w:val="21"/>
          <w:highlight w:val="none"/>
        </w:rPr>
      </w:pPr>
      <w:r>
        <w:rPr>
          <w:rFonts w:hint="eastAsia" w:ascii="宋体" w:hAnsi="宋体" w:cs="宋体"/>
          <w:color w:val="auto"/>
          <w:szCs w:val="21"/>
          <w:highlight w:val="none"/>
        </w:rPr>
        <w:t>2.3.3招标文件的澄清、修改均以</w:t>
      </w:r>
      <w:r>
        <w:rPr>
          <w:rFonts w:hint="eastAsia" w:ascii="宋体" w:hAnsi="宋体" w:cs="宋体"/>
          <w:color w:val="auto"/>
          <w:highlight w:val="none"/>
          <w:u w:val="single"/>
        </w:rPr>
        <w:t>广州交易集团有限公司（广州公共资源交易中心）</w:t>
      </w:r>
      <w:r>
        <w:rPr>
          <w:rFonts w:hint="eastAsia" w:ascii="宋体" w:hAnsi="宋体" w:cs="宋体"/>
          <w:color w:val="auto"/>
          <w:szCs w:val="21"/>
          <w:highlight w:val="none"/>
        </w:rPr>
        <w:t>网站发布的内容为准。当招标文件的澄清、修改在同一内容的表述不一致时，以</w:t>
      </w:r>
      <w:r>
        <w:rPr>
          <w:rFonts w:hint="eastAsia" w:ascii="宋体" w:hAnsi="宋体" w:cs="宋体"/>
          <w:color w:val="auto"/>
          <w:highlight w:val="none"/>
          <w:u w:val="single"/>
        </w:rPr>
        <w:t>广州交易集团有限公司（广州公共资源交易中心）</w:t>
      </w:r>
      <w:r>
        <w:rPr>
          <w:rFonts w:hint="eastAsia" w:ascii="宋体" w:hAnsi="宋体" w:cs="宋体"/>
          <w:color w:val="auto"/>
          <w:szCs w:val="21"/>
          <w:highlight w:val="none"/>
        </w:rPr>
        <w:t>网站最后发布的内容为准。</w:t>
      </w:r>
    </w:p>
    <w:p>
      <w:pPr>
        <w:spacing w:line="360" w:lineRule="auto"/>
        <w:ind w:firstLine="420"/>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2.3.4为使投标人在编制投标文件时有充分的时间对招标文件的澄清、修改、补充等内容考虑进去，招标人将酌情延长提交投标文件的截止时间，具体时间将在招标文件的修改、补充通知中予以明确。若通知中没有明确延长时间，即表示投标时间不延长。</w:t>
      </w:r>
    </w:p>
    <w:p>
      <w:pPr>
        <w:pStyle w:val="3"/>
        <w:widowControl/>
        <w:spacing w:line="360" w:lineRule="auto"/>
        <w:rPr>
          <w:rFonts w:ascii="宋体" w:hAnsi="宋体" w:eastAsia="宋体" w:cs="宋体"/>
          <w:color w:val="auto"/>
          <w:highlight w:val="none"/>
          <w:lang w:val="zh-CN"/>
        </w:rPr>
      </w:pPr>
      <w:bookmarkStart w:id="214" w:name="_Toc375931087"/>
      <w:bookmarkEnd w:id="214"/>
      <w:bookmarkStart w:id="215" w:name="_Toc362816497"/>
      <w:bookmarkEnd w:id="215"/>
      <w:bookmarkStart w:id="216" w:name="_Toc357089528"/>
      <w:bookmarkEnd w:id="216"/>
      <w:bookmarkStart w:id="217" w:name="_Toc152042322"/>
      <w:bookmarkEnd w:id="217"/>
      <w:bookmarkStart w:id="218" w:name="_Toc443505825"/>
      <w:bookmarkEnd w:id="218"/>
      <w:bookmarkStart w:id="219" w:name="_Toc247527571"/>
      <w:bookmarkEnd w:id="219"/>
      <w:bookmarkStart w:id="220" w:name="_Toc6320"/>
      <w:bookmarkEnd w:id="220"/>
      <w:bookmarkStart w:id="221" w:name="_Toc144974514"/>
      <w:bookmarkEnd w:id="221"/>
      <w:bookmarkStart w:id="222" w:name="_Toc247513970"/>
      <w:bookmarkEnd w:id="222"/>
      <w:bookmarkStart w:id="223" w:name="_Toc410240234"/>
      <w:bookmarkEnd w:id="223"/>
      <w:bookmarkStart w:id="224" w:name="_Toc27122"/>
      <w:bookmarkEnd w:id="224"/>
      <w:bookmarkStart w:id="225" w:name="_Toc300834967"/>
      <w:bookmarkEnd w:id="225"/>
      <w:bookmarkStart w:id="226" w:name="_Toc152045546"/>
      <w:bookmarkEnd w:id="226"/>
      <w:bookmarkStart w:id="227" w:name="_Toc5620313"/>
      <w:bookmarkStart w:id="228" w:name="_Toc8206"/>
      <w:r>
        <w:rPr>
          <w:rFonts w:hint="eastAsia" w:ascii="宋体" w:hAnsi="宋体" w:eastAsia="宋体" w:cs="宋体"/>
          <w:color w:val="auto"/>
          <w:highlight w:val="none"/>
          <w:lang w:val="zh-CN"/>
        </w:rPr>
        <w:t>3. 投标文件</w:t>
      </w:r>
      <w:bookmarkEnd w:id="227"/>
      <w:bookmarkEnd w:id="228"/>
    </w:p>
    <w:p>
      <w:pPr>
        <w:pStyle w:val="4"/>
        <w:widowControl/>
        <w:spacing w:line="360" w:lineRule="auto"/>
        <w:rPr>
          <w:rFonts w:hint="default" w:ascii="宋体" w:eastAsia="宋体" w:cs="宋体"/>
          <w:b/>
          <w:bCs/>
          <w:color w:val="auto"/>
          <w:sz w:val="24"/>
          <w:szCs w:val="24"/>
          <w:highlight w:val="none"/>
        </w:rPr>
      </w:pPr>
      <w:bookmarkStart w:id="229" w:name="_Toc357089529"/>
      <w:bookmarkEnd w:id="229"/>
      <w:bookmarkStart w:id="230" w:name="_Toc247513971"/>
      <w:bookmarkEnd w:id="230"/>
      <w:bookmarkStart w:id="231" w:name="_Toc362816498"/>
      <w:bookmarkEnd w:id="231"/>
      <w:bookmarkStart w:id="232" w:name="_Toc144974515"/>
      <w:bookmarkEnd w:id="232"/>
      <w:bookmarkStart w:id="233" w:name="_Toc300834968"/>
      <w:bookmarkEnd w:id="233"/>
      <w:bookmarkStart w:id="234" w:name="_Toc247527572"/>
      <w:bookmarkEnd w:id="234"/>
      <w:bookmarkStart w:id="235" w:name="_Toc356469195"/>
      <w:bookmarkEnd w:id="235"/>
      <w:bookmarkStart w:id="236" w:name="_Toc152045547"/>
      <w:bookmarkEnd w:id="236"/>
      <w:bookmarkStart w:id="237" w:name="_Toc152042323"/>
      <w:bookmarkEnd w:id="237"/>
      <w:bookmarkStart w:id="238" w:name="_Toc5620314"/>
      <w:bookmarkStart w:id="239" w:name="_Toc9754"/>
      <w:r>
        <w:rPr>
          <w:rFonts w:ascii="宋体" w:eastAsia="宋体" w:cs="宋体"/>
          <w:b/>
          <w:bCs/>
          <w:color w:val="auto"/>
          <w:sz w:val="24"/>
          <w:szCs w:val="24"/>
          <w:highlight w:val="none"/>
        </w:rPr>
        <w:t>3.1 投标文件的组成</w:t>
      </w:r>
      <w:bookmarkEnd w:id="238"/>
      <w:bookmarkEnd w:id="239"/>
    </w:p>
    <w:p>
      <w:pPr>
        <w:spacing w:line="360" w:lineRule="auto"/>
        <w:ind w:firstLine="420"/>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3.1.1</w:t>
      </w:r>
      <w:r>
        <w:rPr>
          <w:rFonts w:hint="eastAsia" w:ascii="宋体" w:hAnsi="宋体" w:eastAsia="宋体" w:cs="宋体"/>
          <w:b/>
          <w:color w:val="auto"/>
          <w:kern w:val="1"/>
          <w:szCs w:val="21"/>
          <w:highlight w:val="none"/>
          <w:u w:val="single"/>
          <w:lang w:bidi="ar"/>
        </w:rPr>
        <w:t>投标文件由资格审查文件、设计方案投标文件、工程总承包实施方案技术投标文件、工程总承包实施方案经济投标文件四部分组成。</w:t>
      </w:r>
    </w:p>
    <w:p>
      <w:pPr>
        <w:spacing w:before="120" w:line="360" w:lineRule="auto"/>
        <w:ind w:firstLine="420"/>
        <w:rPr>
          <w:rFonts w:ascii="宋体" w:hAnsi="宋体" w:eastAsia="宋体" w:cs="宋体"/>
          <w:b/>
          <w:bCs/>
          <w:color w:val="auto"/>
          <w:kern w:val="1"/>
          <w:szCs w:val="21"/>
          <w:highlight w:val="none"/>
          <w:u w:val="single"/>
        </w:rPr>
      </w:pPr>
      <w:r>
        <w:rPr>
          <w:rFonts w:hint="eastAsia" w:ascii="宋体" w:hAnsi="宋体" w:eastAsia="宋体" w:cs="宋体"/>
          <w:b/>
          <w:bCs/>
          <w:color w:val="auto"/>
          <w:kern w:val="1"/>
          <w:szCs w:val="21"/>
          <w:highlight w:val="none"/>
          <w:u w:val="single"/>
          <w:lang w:bidi="ar"/>
        </w:rPr>
        <w:t>3.1.2资格审查文件</w:t>
      </w:r>
    </w:p>
    <w:p>
      <w:pPr>
        <w:spacing w:line="360" w:lineRule="auto"/>
        <w:ind w:firstLine="420"/>
        <w:rPr>
          <w:rFonts w:ascii="宋体" w:hAnsi="宋体" w:eastAsia="宋体" w:cs="宋体"/>
          <w:color w:val="auto"/>
          <w:kern w:val="1"/>
          <w:szCs w:val="21"/>
          <w:highlight w:val="none"/>
          <w:u w:val="single"/>
        </w:rPr>
      </w:pPr>
      <w:r>
        <w:rPr>
          <w:rFonts w:hint="eastAsia" w:ascii="宋体" w:hAnsi="宋体" w:eastAsia="宋体" w:cs="宋体"/>
          <w:color w:val="auto"/>
          <w:kern w:val="1"/>
          <w:szCs w:val="21"/>
          <w:highlight w:val="none"/>
          <w:u w:val="single"/>
          <w:lang w:bidi="ar"/>
        </w:rPr>
        <w:t>主要包括下列内容：</w:t>
      </w:r>
    </w:p>
    <w:p>
      <w:pPr>
        <w:spacing w:line="360" w:lineRule="auto"/>
        <w:ind w:firstLine="420"/>
        <w:rPr>
          <w:rFonts w:ascii="宋体" w:hAnsi="宋体" w:eastAsia="宋体" w:cs="宋体"/>
          <w:color w:val="auto"/>
          <w:kern w:val="1"/>
          <w:szCs w:val="21"/>
          <w:highlight w:val="none"/>
          <w:u w:val="single"/>
        </w:rPr>
      </w:pPr>
      <w:r>
        <w:rPr>
          <w:rFonts w:hint="eastAsia" w:ascii="宋体" w:hAnsi="宋体" w:eastAsia="宋体" w:cs="宋体"/>
          <w:color w:val="auto"/>
          <w:kern w:val="1"/>
          <w:szCs w:val="21"/>
          <w:highlight w:val="none"/>
          <w:u w:val="single"/>
          <w:lang w:bidi="ar"/>
        </w:rPr>
        <w:t>（1）封面：写明项目名称、资格审查文件、投标人单位及年月日；加盖投标人电子印章（联合体投标的，“投标人”一栏需书写所有联合体成员的单位全称，由牵头方签署、盖章）；</w:t>
      </w:r>
    </w:p>
    <w:p>
      <w:pPr>
        <w:spacing w:line="360" w:lineRule="auto"/>
        <w:ind w:firstLine="420"/>
        <w:rPr>
          <w:rFonts w:ascii="宋体" w:hAnsi="宋体" w:eastAsia="宋体" w:cs="宋体"/>
          <w:color w:val="auto"/>
          <w:kern w:val="1"/>
          <w:szCs w:val="21"/>
          <w:highlight w:val="none"/>
          <w:u w:val="single"/>
        </w:rPr>
      </w:pPr>
      <w:r>
        <w:rPr>
          <w:rFonts w:hint="eastAsia" w:ascii="宋体" w:hAnsi="宋体" w:eastAsia="宋体" w:cs="宋体"/>
          <w:color w:val="auto"/>
          <w:kern w:val="1"/>
          <w:szCs w:val="21"/>
          <w:highlight w:val="none"/>
          <w:u w:val="single"/>
          <w:lang w:bidi="ar"/>
        </w:rPr>
        <w:t>（2）满足招标公告第3条投标人资格条件的其他资料。</w:t>
      </w:r>
    </w:p>
    <w:p>
      <w:pPr>
        <w:spacing w:before="120" w:line="360" w:lineRule="auto"/>
        <w:ind w:firstLine="420"/>
        <w:rPr>
          <w:rFonts w:ascii="宋体" w:hAnsi="宋体" w:eastAsia="宋体" w:cs="宋体"/>
          <w:b/>
          <w:bCs/>
          <w:color w:val="auto"/>
          <w:kern w:val="1"/>
          <w:szCs w:val="21"/>
          <w:highlight w:val="none"/>
          <w:u w:val="single"/>
        </w:rPr>
      </w:pPr>
      <w:r>
        <w:rPr>
          <w:rFonts w:hint="eastAsia" w:ascii="宋体" w:hAnsi="宋体" w:eastAsia="宋体" w:cs="宋体"/>
          <w:b/>
          <w:bCs/>
          <w:color w:val="auto"/>
          <w:kern w:val="1"/>
          <w:szCs w:val="21"/>
          <w:highlight w:val="none"/>
          <w:u w:val="single"/>
          <w:lang w:bidi="ar"/>
        </w:rPr>
        <w:t>3.1.3设计方案投标文件</w:t>
      </w:r>
    </w:p>
    <w:p>
      <w:pPr>
        <w:spacing w:line="360" w:lineRule="auto"/>
        <w:ind w:firstLine="420"/>
        <w:rPr>
          <w:rFonts w:ascii="宋体" w:hAnsi="宋体" w:eastAsia="宋体" w:cs="宋体"/>
          <w:color w:val="auto"/>
          <w:kern w:val="1"/>
          <w:szCs w:val="21"/>
          <w:highlight w:val="none"/>
          <w:u w:val="single"/>
        </w:rPr>
      </w:pPr>
      <w:r>
        <w:rPr>
          <w:rFonts w:hint="eastAsia" w:ascii="宋体" w:hAnsi="宋体" w:eastAsia="宋体" w:cs="宋体"/>
          <w:color w:val="auto"/>
          <w:kern w:val="1"/>
          <w:szCs w:val="21"/>
          <w:highlight w:val="none"/>
          <w:u w:val="single"/>
          <w:lang w:bidi="ar"/>
        </w:rPr>
        <w:t>设计方案中不得出现可以辨认投标人及专业技术人员身份的名称、印章、商标、图形等记认符号，也不得通过明标、暗标中包含的相同内容（如报价等）互相印证、辨认投标人身份。内容包括：</w:t>
      </w:r>
    </w:p>
    <w:p>
      <w:pPr>
        <w:spacing w:before="120" w:line="360" w:lineRule="auto"/>
        <w:ind w:firstLine="420"/>
        <w:rPr>
          <w:rFonts w:hint="eastAsia" w:ascii="宋体" w:hAnsi="宋体" w:eastAsia="宋体" w:cs="宋体"/>
          <w:color w:val="auto"/>
          <w:kern w:val="1"/>
          <w:szCs w:val="21"/>
          <w:highlight w:val="none"/>
          <w:u w:val="single"/>
          <w:lang w:bidi="ar"/>
        </w:rPr>
      </w:pPr>
      <w:r>
        <w:rPr>
          <w:rFonts w:hint="eastAsia" w:ascii="宋体" w:hAnsi="宋体" w:eastAsia="宋体" w:cs="宋体"/>
          <w:color w:val="auto"/>
          <w:kern w:val="1"/>
          <w:szCs w:val="21"/>
          <w:highlight w:val="none"/>
          <w:u w:val="single"/>
          <w:lang w:bidi="ar"/>
        </w:rPr>
        <w:t>（1）封面，标明项目名称、“设计方案投标文件”字样、编制日期；</w:t>
      </w:r>
    </w:p>
    <w:p>
      <w:pPr>
        <w:spacing w:before="120" w:line="360" w:lineRule="auto"/>
        <w:ind w:firstLine="420"/>
        <w:rPr>
          <w:rFonts w:hint="eastAsia" w:ascii="宋体" w:hAnsi="宋体" w:eastAsia="宋体" w:cs="宋体"/>
          <w:color w:val="auto"/>
          <w:kern w:val="1"/>
          <w:szCs w:val="21"/>
          <w:highlight w:val="none"/>
          <w:u w:val="single"/>
          <w:lang w:bidi="ar"/>
        </w:rPr>
      </w:pPr>
      <w:r>
        <w:rPr>
          <w:rFonts w:hint="eastAsia" w:ascii="宋体" w:hAnsi="宋体" w:eastAsia="宋体" w:cs="宋体"/>
          <w:color w:val="auto"/>
          <w:kern w:val="1"/>
          <w:szCs w:val="21"/>
          <w:highlight w:val="none"/>
          <w:u w:val="single"/>
          <w:lang w:bidi="ar"/>
        </w:rPr>
        <w:t>（2）目录；</w:t>
      </w:r>
    </w:p>
    <w:p>
      <w:pPr>
        <w:spacing w:before="120" w:line="360" w:lineRule="auto"/>
        <w:ind w:firstLine="420"/>
        <w:rPr>
          <w:rFonts w:hint="eastAsia" w:ascii="宋体" w:hAnsi="宋体" w:eastAsia="宋体" w:cs="宋体"/>
          <w:color w:val="auto"/>
          <w:kern w:val="1"/>
          <w:szCs w:val="21"/>
          <w:highlight w:val="none"/>
          <w:u w:val="single"/>
          <w:lang w:bidi="ar"/>
        </w:rPr>
      </w:pPr>
      <w:r>
        <w:rPr>
          <w:rFonts w:hint="eastAsia" w:ascii="宋体" w:hAnsi="宋体" w:eastAsia="宋体" w:cs="宋体"/>
          <w:color w:val="auto"/>
          <w:kern w:val="1"/>
          <w:szCs w:val="21"/>
          <w:highlight w:val="none"/>
          <w:u w:val="single"/>
          <w:lang w:bidi="ar"/>
        </w:rPr>
        <w:t>（3）设计方案；</w:t>
      </w:r>
    </w:p>
    <w:p>
      <w:pPr>
        <w:spacing w:before="120" w:line="360" w:lineRule="auto"/>
        <w:ind w:firstLine="420"/>
        <w:rPr>
          <w:rFonts w:hint="eastAsia" w:ascii="宋体" w:hAnsi="宋体" w:eastAsia="宋体" w:cs="宋体"/>
          <w:color w:val="auto"/>
          <w:kern w:val="1"/>
          <w:szCs w:val="21"/>
          <w:highlight w:val="none"/>
          <w:u w:val="single"/>
          <w:lang w:bidi="ar"/>
        </w:rPr>
      </w:pPr>
      <w:r>
        <w:rPr>
          <w:rFonts w:hint="eastAsia" w:ascii="宋体" w:hAnsi="宋体" w:eastAsia="宋体" w:cs="宋体"/>
          <w:color w:val="auto"/>
          <w:kern w:val="1"/>
          <w:szCs w:val="21"/>
          <w:highlight w:val="none"/>
          <w:u w:val="single"/>
          <w:lang w:bidi="ar"/>
        </w:rPr>
        <w:t>（4）投标人认为有必要提供的其他资料。</w:t>
      </w:r>
    </w:p>
    <w:p>
      <w:pPr>
        <w:spacing w:before="120" w:line="360" w:lineRule="auto"/>
        <w:ind w:firstLine="420"/>
        <w:rPr>
          <w:rFonts w:ascii="宋体" w:hAnsi="宋体" w:eastAsia="宋体" w:cs="宋体"/>
          <w:b/>
          <w:bCs/>
          <w:color w:val="auto"/>
          <w:kern w:val="1"/>
          <w:szCs w:val="21"/>
          <w:highlight w:val="none"/>
          <w:u w:val="single"/>
        </w:rPr>
      </w:pPr>
      <w:r>
        <w:rPr>
          <w:rFonts w:hint="eastAsia" w:ascii="宋体" w:hAnsi="宋体" w:eastAsia="宋体" w:cs="宋体"/>
          <w:b/>
          <w:bCs/>
          <w:color w:val="auto"/>
          <w:kern w:val="1"/>
          <w:szCs w:val="21"/>
          <w:highlight w:val="none"/>
          <w:u w:val="single"/>
          <w:lang w:bidi="ar"/>
        </w:rPr>
        <w:t>3.1.</w:t>
      </w:r>
      <w:bookmarkStart w:id="240" w:name="_Hlk55920752"/>
      <w:bookmarkStart w:id="241" w:name="_Hlk56585161"/>
      <w:r>
        <w:rPr>
          <w:rFonts w:hint="eastAsia" w:ascii="宋体" w:hAnsi="宋体" w:eastAsia="宋体" w:cs="宋体"/>
          <w:b/>
          <w:bCs/>
          <w:color w:val="auto"/>
          <w:kern w:val="1"/>
          <w:szCs w:val="21"/>
          <w:highlight w:val="none"/>
          <w:u w:val="single"/>
          <w:lang w:bidi="ar"/>
        </w:rPr>
        <w:t>4工程总承包实施方案</w:t>
      </w:r>
      <w:bookmarkEnd w:id="240"/>
      <w:r>
        <w:rPr>
          <w:rFonts w:hint="eastAsia" w:ascii="宋体" w:hAnsi="宋体" w:eastAsia="宋体" w:cs="宋体"/>
          <w:b/>
          <w:bCs/>
          <w:color w:val="auto"/>
          <w:kern w:val="1"/>
          <w:szCs w:val="21"/>
          <w:highlight w:val="none"/>
          <w:u w:val="single"/>
          <w:lang w:bidi="ar"/>
        </w:rPr>
        <w:t>技术投标文件</w:t>
      </w:r>
      <w:bookmarkEnd w:id="241"/>
    </w:p>
    <w:p>
      <w:pPr>
        <w:spacing w:before="120" w:line="360" w:lineRule="auto"/>
        <w:ind w:firstLine="420"/>
        <w:rPr>
          <w:rFonts w:ascii="宋体" w:hAnsi="宋体" w:eastAsia="宋体" w:cs="宋体"/>
          <w:b/>
          <w:bCs/>
          <w:color w:val="auto"/>
          <w:kern w:val="1"/>
          <w:szCs w:val="21"/>
          <w:highlight w:val="none"/>
          <w:u w:val="single"/>
        </w:rPr>
      </w:pPr>
      <w:r>
        <w:rPr>
          <w:rFonts w:hint="eastAsia" w:ascii="宋体" w:hAnsi="宋体" w:eastAsia="宋体" w:cs="宋体"/>
          <w:b/>
          <w:bCs/>
          <w:color w:val="auto"/>
          <w:kern w:val="1"/>
          <w:szCs w:val="21"/>
          <w:highlight w:val="none"/>
          <w:u w:val="single"/>
          <w:lang w:bidi="ar"/>
        </w:rPr>
        <w:t>应包含但不限于以下内容：</w:t>
      </w:r>
    </w:p>
    <w:p>
      <w:pPr>
        <w:spacing w:line="360" w:lineRule="auto"/>
        <w:ind w:firstLine="420"/>
        <w:rPr>
          <w:rFonts w:ascii="宋体" w:hAnsi="宋体" w:eastAsia="宋体" w:cs="宋体"/>
          <w:color w:val="auto"/>
          <w:kern w:val="1"/>
          <w:szCs w:val="21"/>
          <w:highlight w:val="none"/>
          <w:u w:val="single"/>
        </w:rPr>
      </w:pPr>
      <w:r>
        <w:rPr>
          <w:rFonts w:hint="eastAsia" w:ascii="宋体" w:hAnsi="宋体" w:eastAsia="宋体" w:cs="宋体"/>
          <w:color w:val="auto"/>
          <w:kern w:val="1"/>
          <w:szCs w:val="21"/>
          <w:highlight w:val="none"/>
          <w:u w:val="single"/>
          <w:lang w:bidi="ar"/>
        </w:rPr>
        <w:t>（1）封面：</w:t>
      </w:r>
      <w:bookmarkStart w:id="242" w:name="_Hlk56347369"/>
      <w:r>
        <w:rPr>
          <w:rFonts w:hint="eastAsia" w:ascii="宋体" w:hAnsi="宋体" w:eastAsia="宋体" w:cs="宋体"/>
          <w:color w:val="auto"/>
          <w:kern w:val="1"/>
          <w:szCs w:val="21"/>
          <w:highlight w:val="none"/>
          <w:u w:val="single"/>
          <w:lang w:bidi="ar"/>
        </w:rPr>
        <w:t>写明项目名称、工程总承包实施方案技术投标文件、投标人单位及年月日；加盖投标人电子印章（联合体投标的，“投标人”一栏需书写所有联合体成员的单位全称，由牵头方签署、盖章）；</w:t>
      </w:r>
      <w:bookmarkEnd w:id="242"/>
    </w:p>
    <w:p>
      <w:pPr>
        <w:spacing w:line="360" w:lineRule="auto"/>
        <w:ind w:firstLine="420"/>
        <w:rPr>
          <w:rFonts w:ascii="宋体" w:hAnsi="宋体" w:eastAsia="宋体" w:cs="宋体"/>
          <w:color w:val="auto"/>
          <w:kern w:val="1"/>
          <w:szCs w:val="21"/>
          <w:highlight w:val="none"/>
          <w:u w:val="single"/>
        </w:rPr>
      </w:pPr>
      <w:r>
        <w:rPr>
          <w:rFonts w:hint="eastAsia" w:ascii="宋体" w:hAnsi="宋体" w:eastAsia="宋体" w:cs="宋体"/>
          <w:color w:val="auto"/>
          <w:kern w:val="1"/>
          <w:szCs w:val="21"/>
          <w:highlight w:val="none"/>
          <w:u w:val="single"/>
          <w:lang w:bidi="ar"/>
        </w:rPr>
        <w:t>（2）目录</w:t>
      </w:r>
    </w:p>
    <w:p>
      <w:pPr>
        <w:spacing w:line="360" w:lineRule="auto"/>
        <w:ind w:firstLine="420"/>
        <w:rPr>
          <w:rFonts w:ascii="宋体" w:hAnsi="宋体" w:eastAsia="宋体" w:cs="宋体"/>
          <w:color w:val="auto"/>
          <w:kern w:val="1"/>
          <w:szCs w:val="21"/>
          <w:highlight w:val="none"/>
          <w:u w:val="single"/>
        </w:rPr>
      </w:pPr>
      <w:r>
        <w:rPr>
          <w:rFonts w:hint="eastAsia" w:ascii="宋体" w:hAnsi="宋体" w:eastAsia="宋体" w:cs="宋体"/>
          <w:color w:val="auto"/>
          <w:kern w:val="1"/>
          <w:szCs w:val="21"/>
          <w:highlight w:val="none"/>
          <w:u w:val="single"/>
          <w:lang w:bidi="ar"/>
        </w:rPr>
        <w:t>（3）《投标函》(按招标文件的要求填写)；</w:t>
      </w:r>
    </w:p>
    <w:p>
      <w:pPr>
        <w:spacing w:line="360" w:lineRule="auto"/>
        <w:ind w:firstLine="420"/>
        <w:rPr>
          <w:rFonts w:ascii="宋体" w:hAnsi="宋体" w:eastAsia="宋体" w:cs="宋体"/>
          <w:color w:val="auto"/>
          <w:kern w:val="1"/>
          <w:szCs w:val="21"/>
          <w:highlight w:val="none"/>
          <w:u w:val="single"/>
        </w:rPr>
      </w:pPr>
      <w:r>
        <w:rPr>
          <w:rFonts w:hint="eastAsia" w:ascii="宋体" w:hAnsi="宋体" w:eastAsia="宋体" w:cs="宋体"/>
          <w:color w:val="auto"/>
          <w:kern w:val="1"/>
          <w:szCs w:val="21"/>
          <w:highlight w:val="none"/>
          <w:u w:val="single"/>
          <w:lang w:bidi="ar"/>
        </w:rPr>
        <w:t xml:space="preserve">（4）《设计投标书》；(按招标文件的要求填写) </w:t>
      </w:r>
    </w:p>
    <w:p>
      <w:pPr>
        <w:spacing w:line="360" w:lineRule="auto"/>
        <w:ind w:firstLine="420"/>
        <w:rPr>
          <w:rFonts w:ascii="宋体" w:hAnsi="宋体" w:eastAsia="宋体" w:cs="宋体"/>
          <w:color w:val="auto"/>
          <w:kern w:val="1"/>
          <w:szCs w:val="21"/>
          <w:highlight w:val="none"/>
          <w:u w:val="single"/>
        </w:rPr>
      </w:pPr>
      <w:r>
        <w:rPr>
          <w:rFonts w:hint="eastAsia" w:ascii="宋体" w:hAnsi="宋体" w:eastAsia="宋体" w:cs="宋体"/>
          <w:color w:val="auto"/>
          <w:kern w:val="1"/>
          <w:szCs w:val="21"/>
          <w:highlight w:val="none"/>
          <w:u w:val="single"/>
          <w:lang w:bidi="ar"/>
        </w:rPr>
        <w:t>（5）《技术投标书》；（按招标文件的要求填写）</w:t>
      </w:r>
    </w:p>
    <w:p>
      <w:pPr>
        <w:spacing w:line="360" w:lineRule="auto"/>
        <w:ind w:firstLine="420"/>
        <w:rPr>
          <w:rFonts w:ascii="宋体" w:hAnsi="宋体" w:eastAsia="宋体" w:cs="宋体"/>
          <w:color w:val="auto"/>
          <w:kern w:val="1"/>
          <w:szCs w:val="21"/>
          <w:highlight w:val="none"/>
          <w:u w:val="single"/>
        </w:rPr>
      </w:pPr>
      <w:r>
        <w:rPr>
          <w:rFonts w:hint="eastAsia" w:ascii="宋体" w:hAnsi="宋体" w:eastAsia="宋体" w:cs="宋体"/>
          <w:color w:val="auto"/>
          <w:kern w:val="1"/>
          <w:szCs w:val="21"/>
          <w:highlight w:val="none"/>
          <w:u w:val="single"/>
          <w:lang w:bidi="ar"/>
        </w:rPr>
        <w:t>（6）《投标承诺函》；(按招标文件的要求填写)</w:t>
      </w:r>
    </w:p>
    <w:p>
      <w:pPr>
        <w:spacing w:line="360" w:lineRule="auto"/>
        <w:ind w:firstLine="420"/>
        <w:rPr>
          <w:rFonts w:ascii="宋体" w:hAnsi="宋体" w:eastAsia="宋体" w:cs="宋体"/>
          <w:color w:val="auto"/>
          <w:kern w:val="1"/>
          <w:szCs w:val="21"/>
          <w:highlight w:val="none"/>
          <w:u w:val="single"/>
          <w:lang w:bidi="ar"/>
        </w:rPr>
      </w:pPr>
      <w:bookmarkStart w:id="243" w:name="_Hlk55921098"/>
      <w:r>
        <w:rPr>
          <w:rFonts w:hint="eastAsia" w:ascii="宋体" w:hAnsi="宋体" w:eastAsia="宋体" w:cs="宋体"/>
          <w:color w:val="auto"/>
          <w:kern w:val="1"/>
          <w:szCs w:val="21"/>
          <w:highlight w:val="none"/>
          <w:u w:val="single"/>
          <w:lang w:bidi="ar"/>
        </w:rPr>
        <w:t>（7）《法人代表证明书》、《授权委托书》；</w:t>
      </w:r>
      <w:bookmarkEnd w:id="243"/>
    </w:p>
    <w:p>
      <w:pPr>
        <w:spacing w:line="360" w:lineRule="auto"/>
        <w:ind w:firstLine="420"/>
        <w:rPr>
          <w:rFonts w:ascii="宋体" w:hAnsi="宋体" w:eastAsia="宋体" w:cs="宋体"/>
          <w:color w:val="auto"/>
          <w:kern w:val="1"/>
          <w:szCs w:val="21"/>
          <w:highlight w:val="none"/>
          <w:u w:val="single"/>
          <w:lang w:bidi="ar"/>
        </w:rPr>
      </w:pPr>
      <w:r>
        <w:rPr>
          <w:rFonts w:hint="eastAsia" w:ascii="宋体" w:hAnsi="宋体" w:eastAsia="宋体" w:cs="宋体"/>
          <w:color w:val="auto"/>
          <w:kern w:val="1"/>
          <w:szCs w:val="21"/>
          <w:highlight w:val="none"/>
          <w:u w:val="single"/>
          <w:lang w:bidi="ar"/>
        </w:rPr>
        <w:t xml:space="preserve">（8）《设计主要负责人配备表》；(按招标文件的要求填写) </w:t>
      </w:r>
    </w:p>
    <w:p>
      <w:pPr>
        <w:spacing w:line="360" w:lineRule="auto"/>
        <w:ind w:firstLine="420"/>
        <w:rPr>
          <w:rFonts w:ascii="宋体" w:hAnsi="宋体" w:eastAsia="宋体" w:cs="宋体"/>
          <w:color w:val="auto"/>
          <w:kern w:val="1"/>
          <w:szCs w:val="21"/>
          <w:highlight w:val="none"/>
          <w:u w:val="single"/>
        </w:rPr>
      </w:pPr>
      <w:r>
        <w:rPr>
          <w:rFonts w:hint="eastAsia" w:ascii="宋体" w:hAnsi="宋体" w:eastAsia="宋体" w:cs="宋体"/>
          <w:color w:val="auto"/>
          <w:kern w:val="1"/>
          <w:szCs w:val="21"/>
          <w:highlight w:val="none"/>
          <w:u w:val="single"/>
          <w:lang w:bidi="ar"/>
        </w:rPr>
        <w:t xml:space="preserve">（9）《拟投入本项目施工主要负责人员简历表》；(按招标文件的要求填写) </w:t>
      </w:r>
    </w:p>
    <w:p>
      <w:pPr>
        <w:spacing w:line="360" w:lineRule="auto"/>
        <w:ind w:firstLine="420"/>
        <w:rPr>
          <w:rFonts w:ascii="宋体" w:hAnsi="宋体" w:eastAsia="宋体" w:cs="宋体"/>
          <w:color w:val="auto"/>
          <w:kern w:val="1"/>
          <w:szCs w:val="21"/>
          <w:highlight w:val="none"/>
          <w:u w:val="single"/>
          <w:lang w:bidi="ar"/>
        </w:rPr>
      </w:pPr>
      <w:r>
        <w:rPr>
          <w:rFonts w:hint="eastAsia" w:ascii="宋体" w:hAnsi="宋体" w:eastAsia="宋体" w:cs="宋体"/>
          <w:color w:val="auto"/>
          <w:kern w:val="1"/>
          <w:szCs w:val="21"/>
          <w:highlight w:val="none"/>
          <w:u w:val="single"/>
          <w:lang w:bidi="ar"/>
        </w:rPr>
        <w:t>（10）《拟投入本项目施工人员一览表》；(按招标文件的要求填写)</w:t>
      </w:r>
    </w:p>
    <w:p>
      <w:pPr>
        <w:spacing w:line="360" w:lineRule="auto"/>
        <w:ind w:firstLine="420"/>
        <w:rPr>
          <w:rFonts w:ascii="宋体" w:hAnsi="宋体" w:eastAsia="宋体" w:cs="宋体"/>
          <w:color w:val="auto"/>
          <w:kern w:val="1"/>
          <w:szCs w:val="21"/>
          <w:highlight w:val="none"/>
          <w:u w:val="single"/>
        </w:rPr>
      </w:pPr>
      <w:r>
        <w:rPr>
          <w:rFonts w:hint="eastAsia" w:ascii="宋体" w:hAnsi="宋体" w:eastAsia="宋体" w:cs="宋体"/>
          <w:color w:val="auto"/>
          <w:kern w:val="1"/>
          <w:szCs w:val="21"/>
          <w:highlight w:val="none"/>
          <w:u w:val="single"/>
          <w:lang w:bidi="ar"/>
        </w:rPr>
        <w:t>（11）</w:t>
      </w:r>
      <w:bookmarkStart w:id="244" w:name="_Hlk55921535"/>
      <w:r>
        <w:rPr>
          <w:rFonts w:hint="eastAsia" w:ascii="宋体" w:hAnsi="宋体" w:eastAsia="宋体" w:cs="宋体"/>
          <w:color w:val="auto"/>
          <w:kern w:val="1"/>
          <w:szCs w:val="21"/>
          <w:highlight w:val="none"/>
          <w:u w:val="single"/>
          <w:lang w:bidi="ar"/>
        </w:rPr>
        <w:t>企业业绩</w:t>
      </w:r>
      <w:bookmarkEnd w:id="244"/>
      <w:r>
        <w:rPr>
          <w:rFonts w:hint="eastAsia" w:ascii="宋体" w:hAnsi="宋体" w:eastAsia="宋体" w:cs="宋体"/>
          <w:color w:val="auto"/>
          <w:kern w:val="1"/>
          <w:szCs w:val="21"/>
          <w:highlight w:val="none"/>
          <w:u w:val="single"/>
          <w:lang w:bidi="ar"/>
        </w:rPr>
        <w:t>情况、企业获奖情况、企业财务状况及第三方评价（由投标人根据评审要求提供，格式自拟）；</w:t>
      </w:r>
    </w:p>
    <w:p>
      <w:pPr>
        <w:spacing w:line="360" w:lineRule="auto"/>
        <w:ind w:firstLine="420"/>
        <w:rPr>
          <w:rFonts w:ascii="宋体" w:hAnsi="宋体" w:eastAsia="宋体" w:cs="宋体"/>
          <w:color w:val="auto"/>
          <w:kern w:val="1"/>
          <w:szCs w:val="21"/>
          <w:highlight w:val="none"/>
          <w:u w:val="single"/>
        </w:rPr>
      </w:pPr>
      <w:r>
        <w:rPr>
          <w:rFonts w:hint="eastAsia" w:ascii="宋体" w:hAnsi="宋体" w:eastAsia="宋体" w:cs="宋体"/>
          <w:color w:val="auto"/>
          <w:kern w:val="1"/>
          <w:szCs w:val="21"/>
          <w:highlight w:val="none"/>
          <w:u w:val="single"/>
          <w:lang w:bidi="ar"/>
        </w:rPr>
        <w:t>（12）工程实施方案（由投标人根据评审要求提供，格式自拟）；</w:t>
      </w:r>
    </w:p>
    <w:p>
      <w:pPr>
        <w:spacing w:line="360" w:lineRule="auto"/>
        <w:ind w:firstLine="420"/>
        <w:rPr>
          <w:rFonts w:ascii="宋体" w:hAnsi="宋体" w:eastAsia="宋体" w:cs="宋体"/>
          <w:color w:val="auto"/>
          <w:kern w:val="1"/>
          <w:szCs w:val="21"/>
          <w:highlight w:val="none"/>
          <w:u w:val="single"/>
        </w:rPr>
      </w:pPr>
      <w:r>
        <w:rPr>
          <w:rFonts w:hint="eastAsia" w:ascii="宋体" w:hAnsi="宋体" w:eastAsia="宋体" w:cs="宋体"/>
          <w:color w:val="auto"/>
          <w:kern w:val="1"/>
          <w:szCs w:val="21"/>
          <w:highlight w:val="none"/>
          <w:u w:val="single"/>
          <w:lang w:bidi="ar"/>
        </w:rPr>
        <w:t>（</w:t>
      </w:r>
      <w:r>
        <w:rPr>
          <w:rFonts w:ascii="宋体" w:hAnsi="宋体" w:eastAsia="宋体" w:cs="宋体"/>
          <w:color w:val="auto"/>
          <w:kern w:val="1"/>
          <w:szCs w:val="21"/>
          <w:highlight w:val="none"/>
          <w:u w:val="single"/>
          <w:lang w:bidi="ar"/>
        </w:rPr>
        <w:t>13</w:t>
      </w:r>
      <w:r>
        <w:rPr>
          <w:rFonts w:hint="eastAsia" w:ascii="宋体" w:hAnsi="宋体" w:eastAsia="宋体" w:cs="宋体"/>
          <w:color w:val="auto"/>
          <w:kern w:val="1"/>
          <w:szCs w:val="21"/>
          <w:highlight w:val="none"/>
          <w:u w:val="single"/>
          <w:lang w:bidi="ar"/>
        </w:rPr>
        <w:t>）《参与编制工程总承包实施方案技术投标文件人员名单》；（按照招标文件要求填写）</w:t>
      </w:r>
    </w:p>
    <w:p>
      <w:pPr>
        <w:spacing w:line="360" w:lineRule="auto"/>
        <w:ind w:firstLine="420"/>
        <w:rPr>
          <w:rFonts w:ascii="宋体" w:hAnsi="宋体" w:eastAsia="宋体" w:cs="宋体"/>
          <w:color w:val="auto"/>
          <w:kern w:val="1"/>
          <w:szCs w:val="21"/>
          <w:highlight w:val="none"/>
          <w:u w:val="single"/>
          <w:lang w:bidi="ar"/>
        </w:rPr>
      </w:pPr>
      <w:r>
        <w:rPr>
          <w:rFonts w:hint="eastAsia" w:ascii="宋体" w:hAnsi="宋体" w:eastAsia="宋体" w:cs="宋体"/>
          <w:color w:val="auto"/>
          <w:kern w:val="1"/>
          <w:szCs w:val="21"/>
          <w:highlight w:val="none"/>
          <w:u w:val="single"/>
          <w:lang w:bidi="ar"/>
        </w:rPr>
        <w:t>（1</w:t>
      </w:r>
      <w:r>
        <w:rPr>
          <w:rFonts w:ascii="宋体" w:hAnsi="宋体" w:eastAsia="宋体" w:cs="宋体"/>
          <w:color w:val="auto"/>
          <w:kern w:val="1"/>
          <w:szCs w:val="21"/>
          <w:highlight w:val="none"/>
          <w:u w:val="single"/>
          <w:lang w:bidi="ar"/>
        </w:rPr>
        <w:t>4</w:t>
      </w:r>
      <w:r>
        <w:rPr>
          <w:rFonts w:hint="eastAsia" w:ascii="宋体" w:hAnsi="宋体" w:eastAsia="宋体" w:cs="宋体"/>
          <w:color w:val="auto"/>
          <w:kern w:val="1"/>
          <w:szCs w:val="21"/>
          <w:highlight w:val="none"/>
          <w:u w:val="single"/>
          <w:lang w:bidi="ar"/>
        </w:rPr>
        <w:t>）投标保证金；</w:t>
      </w:r>
    </w:p>
    <w:p>
      <w:pPr>
        <w:spacing w:line="360" w:lineRule="auto"/>
        <w:ind w:firstLine="420"/>
        <w:rPr>
          <w:rFonts w:ascii="宋体" w:hAnsi="宋体" w:eastAsia="宋体" w:cs="宋体"/>
          <w:color w:val="auto"/>
          <w:kern w:val="1"/>
          <w:szCs w:val="21"/>
          <w:highlight w:val="none"/>
          <w:u w:val="single"/>
        </w:rPr>
      </w:pPr>
      <w:r>
        <w:rPr>
          <w:rFonts w:hint="eastAsia" w:ascii="宋体" w:hAnsi="宋体" w:eastAsia="宋体" w:cs="宋体"/>
          <w:color w:val="auto"/>
          <w:kern w:val="1"/>
          <w:szCs w:val="21"/>
          <w:highlight w:val="none"/>
          <w:u w:val="single"/>
          <w:lang w:bidi="ar"/>
        </w:rPr>
        <w:t>（15）合作设计协议书（如有）；</w:t>
      </w:r>
    </w:p>
    <w:p>
      <w:pPr>
        <w:spacing w:line="360" w:lineRule="auto"/>
        <w:ind w:firstLine="420"/>
        <w:rPr>
          <w:rFonts w:ascii="宋体" w:hAnsi="宋体" w:eastAsia="宋体" w:cs="宋体"/>
          <w:color w:val="auto"/>
          <w:kern w:val="1"/>
          <w:szCs w:val="21"/>
          <w:highlight w:val="none"/>
          <w:u w:val="single"/>
        </w:rPr>
      </w:pPr>
      <w:r>
        <w:rPr>
          <w:rFonts w:hint="eastAsia" w:ascii="宋体" w:hAnsi="宋体" w:eastAsia="宋体" w:cs="宋体"/>
          <w:color w:val="auto"/>
          <w:kern w:val="1"/>
          <w:szCs w:val="21"/>
          <w:highlight w:val="none"/>
          <w:u w:val="single"/>
          <w:lang w:bidi="ar"/>
        </w:rPr>
        <w:t>（</w:t>
      </w:r>
      <w:r>
        <w:rPr>
          <w:rFonts w:ascii="宋体" w:hAnsi="宋体" w:eastAsia="宋体" w:cs="宋体"/>
          <w:color w:val="auto"/>
          <w:kern w:val="1"/>
          <w:szCs w:val="21"/>
          <w:highlight w:val="none"/>
          <w:u w:val="single"/>
          <w:lang w:bidi="ar"/>
        </w:rPr>
        <w:t>16</w:t>
      </w:r>
      <w:r>
        <w:rPr>
          <w:rFonts w:hint="eastAsia" w:ascii="宋体" w:hAnsi="宋体" w:eastAsia="宋体" w:cs="宋体"/>
          <w:color w:val="auto"/>
          <w:kern w:val="1"/>
          <w:szCs w:val="21"/>
          <w:highlight w:val="none"/>
          <w:u w:val="single"/>
          <w:lang w:bidi="ar"/>
        </w:rPr>
        <w:t>）投标人认为应该提供的其他资料；</w:t>
      </w:r>
    </w:p>
    <w:p>
      <w:pPr>
        <w:spacing w:before="120" w:line="360" w:lineRule="auto"/>
        <w:ind w:firstLine="420"/>
        <w:rPr>
          <w:rFonts w:ascii="宋体" w:hAnsi="宋体" w:eastAsia="宋体" w:cs="宋体"/>
          <w:b/>
          <w:bCs/>
          <w:color w:val="auto"/>
          <w:kern w:val="1"/>
          <w:szCs w:val="21"/>
          <w:highlight w:val="none"/>
          <w:u w:val="single"/>
        </w:rPr>
      </w:pPr>
      <w:r>
        <w:rPr>
          <w:rFonts w:hint="eastAsia" w:ascii="宋体" w:hAnsi="宋体" w:eastAsia="宋体" w:cs="宋体"/>
          <w:b/>
          <w:bCs/>
          <w:color w:val="auto"/>
          <w:kern w:val="1"/>
          <w:szCs w:val="21"/>
          <w:highlight w:val="none"/>
          <w:u w:val="single"/>
          <w:lang w:bidi="ar"/>
        </w:rPr>
        <w:t xml:space="preserve">3.1.5 </w:t>
      </w:r>
      <w:bookmarkStart w:id="245" w:name="_Hlk55921623"/>
      <w:r>
        <w:rPr>
          <w:rFonts w:hint="eastAsia" w:ascii="宋体" w:hAnsi="宋体" w:eastAsia="宋体" w:cs="宋体"/>
          <w:b/>
          <w:bCs/>
          <w:color w:val="auto"/>
          <w:kern w:val="1"/>
          <w:szCs w:val="21"/>
          <w:highlight w:val="none"/>
          <w:u w:val="single"/>
          <w:lang w:bidi="ar"/>
        </w:rPr>
        <w:t>工程总承包实施方案</w:t>
      </w:r>
      <w:bookmarkEnd w:id="245"/>
      <w:r>
        <w:rPr>
          <w:rFonts w:hint="eastAsia" w:ascii="宋体" w:hAnsi="宋体" w:eastAsia="宋体" w:cs="宋体"/>
          <w:b/>
          <w:bCs/>
          <w:color w:val="auto"/>
          <w:kern w:val="1"/>
          <w:szCs w:val="21"/>
          <w:highlight w:val="none"/>
          <w:u w:val="single"/>
          <w:lang w:bidi="ar"/>
        </w:rPr>
        <w:t>经济投标文件</w:t>
      </w:r>
    </w:p>
    <w:p>
      <w:pPr>
        <w:spacing w:line="360" w:lineRule="auto"/>
        <w:ind w:firstLine="420"/>
        <w:rPr>
          <w:rFonts w:ascii="宋体" w:hAnsi="宋体" w:eastAsia="宋体" w:cs="宋体"/>
          <w:color w:val="auto"/>
          <w:kern w:val="1"/>
          <w:szCs w:val="21"/>
          <w:highlight w:val="none"/>
          <w:u w:val="single"/>
        </w:rPr>
      </w:pPr>
      <w:bookmarkStart w:id="246" w:name="_Hlk56585096"/>
      <w:r>
        <w:rPr>
          <w:rFonts w:hint="eastAsia" w:ascii="宋体" w:hAnsi="宋体" w:eastAsia="宋体" w:cs="宋体"/>
          <w:color w:val="auto"/>
          <w:kern w:val="1"/>
          <w:szCs w:val="21"/>
          <w:highlight w:val="none"/>
          <w:u w:val="single"/>
          <w:lang w:bidi="ar"/>
        </w:rPr>
        <w:t>主要包括下列内容：</w:t>
      </w:r>
      <w:bookmarkEnd w:id="246"/>
    </w:p>
    <w:p>
      <w:pPr>
        <w:spacing w:line="360" w:lineRule="auto"/>
        <w:ind w:firstLine="420"/>
        <w:rPr>
          <w:rFonts w:ascii="宋体" w:hAnsi="宋体" w:eastAsia="宋体" w:cs="宋体"/>
          <w:color w:val="auto"/>
          <w:kern w:val="1"/>
          <w:szCs w:val="21"/>
          <w:highlight w:val="none"/>
          <w:u w:val="single"/>
        </w:rPr>
      </w:pPr>
      <w:r>
        <w:rPr>
          <w:rFonts w:hint="eastAsia" w:ascii="宋体" w:hAnsi="宋体" w:eastAsia="宋体" w:cs="宋体"/>
          <w:color w:val="auto"/>
          <w:kern w:val="1"/>
          <w:szCs w:val="21"/>
          <w:highlight w:val="none"/>
          <w:u w:val="single"/>
          <w:lang w:bidi="ar"/>
        </w:rPr>
        <w:t>（1）封面：写明项目名称、工程总承包实施方案经济投标文件、投标人单位及年月日；加盖投标人电子印章（联合体投标的，“投标人”一栏需书写所有联合体成员的单位全称，由牵头方签署、盖章）；</w:t>
      </w:r>
    </w:p>
    <w:p>
      <w:pPr>
        <w:spacing w:line="360" w:lineRule="auto"/>
        <w:ind w:firstLine="420"/>
        <w:rPr>
          <w:rFonts w:ascii="宋体" w:hAnsi="宋体" w:eastAsia="宋体" w:cs="宋体"/>
          <w:color w:val="auto"/>
          <w:kern w:val="1"/>
          <w:szCs w:val="21"/>
          <w:highlight w:val="none"/>
          <w:u w:val="single"/>
        </w:rPr>
      </w:pPr>
      <w:r>
        <w:rPr>
          <w:rFonts w:hint="eastAsia" w:ascii="宋体" w:hAnsi="宋体" w:eastAsia="宋体" w:cs="宋体"/>
          <w:color w:val="auto"/>
          <w:kern w:val="1"/>
          <w:szCs w:val="21"/>
          <w:highlight w:val="none"/>
          <w:u w:val="single"/>
          <w:lang w:bidi="ar"/>
        </w:rPr>
        <w:t>（2）目录</w:t>
      </w:r>
    </w:p>
    <w:p>
      <w:pPr>
        <w:spacing w:line="360" w:lineRule="auto"/>
        <w:ind w:firstLine="420"/>
        <w:rPr>
          <w:rFonts w:ascii="宋体" w:hAnsi="宋体" w:eastAsia="宋体" w:cs="宋体"/>
          <w:color w:val="auto"/>
          <w:kern w:val="1"/>
          <w:szCs w:val="21"/>
          <w:highlight w:val="none"/>
          <w:u w:val="single"/>
        </w:rPr>
      </w:pPr>
      <w:r>
        <w:rPr>
          <w:rFonts w:hint="eastAsia" w:ascii="宋体" w:hAnsi="宋体" w:eastAsia="宋体" w:cs="宋体"/>
          <w:color w:val="auto"/>
          <w:kern w:val="1"/>
          <w:szCs w:val="21"/>
          <w:highlight w:val="none"/>
          <w:u w:val="single"/>
          <w:lang w:bidi="ar"/>
        </w:rPr>
        <w:t>（3）《经济标投标书》（按招标文件的要求填写）；</w:t>
      </w:r>
    </w:p>
    <w:p>
      <w:pPr>
        <w:spacing w:line="360" w:lineRule="auto"/>
        <w:ind w:firstLine="420"/>
        <w:rPr>
          <w:rFonts w:ascii="宋体" w:hAnsi="宋体" w:eastAsia="宋体" w:cs="宋体"/>
          <w:color w:val="auto"/>
          <w:kern w:val="1"/>
          <w:szCs w:val="21"/>
          <w:highlight w:val="none"/>
          <w:u w:val="single"/>
        </w:rPr>
      </w:pPr>
      <w:r>
        <w:rPr>
          <w:rFonts w:hint="eastAsia" w:ascii="宋体" w:hAnsi="宋体" w:eastAsia="宋体" w:cs="宋体"/>
          <w:color w:val="auto"/>
          <w:kern w:val="1"/>
          <w:szCs w:val="21"/>
          <w:highlight w:val="none"/>
          <w:u w:val="single"/>
          <w:lang w:bidi="ar"/>
        </w:rPr>
        <w:t>（4）《参与编制工程总承包实施方案经济投标文件人员名单》（按招标文件的要求填写）；</w:t>
      </w:r>
    </w:p>
    <w:p>
      <w:pPr>
        <w:spacing w:line="360" w:lineRule="auto"/>
        <w:ind w:firstLine="420"/>
        <w:rPr>
          <w:rFonts w:ascii="宋体" w:hAnsi="宋体" w:eastAsia="宋体" w:cs="宋体"/>
          <w:color w:val="auto"/>
          <w:kern w:val="1"/>
          <w:szCs w:val="21"/>
          <w:highlight w:val="none"/>
          <w:u w:val="single"/>
        </w:rPr>
      </w:pPr>
      <w:r>
        <w:rPr>
          <w:rFonts w:hint="eastAsia" w:ascii="宋体" w:hAnsi="宋体" w:eastAsia="宋体" w:cs="宋体"/>
          <w:color w:val="auto"/>
          <w:kern w:val="1"/>
          <w:szCs w:val="21"/>
          <w:highlight w:val="none"/>
          <w:u w:val="single"/>
          <w:lang w:bidi="ar"/>
        </w:rPr>
        <w:t>（5）投标人认为应该提供的其他资料；</w:t>
      </w:r>
    </w:p>
    <w:p>
      <w:pPr>
        <w:pStyle w:val="4"/>
        <w:widowControl/>
        <w:spacing w:line="360" w:lineRule="auto"/>
        <w:rPr>
          <w:rFonts w:hint="default" w:ascii="宋体" w:eastAsia="宋体" w:cs="宋体"/>
          <w:b/>
          <w:bCs/>
          <w:color w:val="auto"/>
          <w:sz w:val="24"/>
          <w:szCs w:val="24"/>
          <w:highlight w:val="none"/>
        </w:rPr>
      </w:pPr>
      <w:bookmarkStart w:id="247" w:name="_Toc28699"/>
      <w:bookmarkStart w:id="248" w:name="_Toc5620315"/>
      <w:r>
        <w:rPr>
          <w:rFonts w:ascii="宋体" w:eastAsia="宋体" w:cs="宋体"/>
          <w:b/>
          <w:bCs/>
          <w:color w:val="auto"/>
          <w:sz w:val="24"/>
          <w:szCs w:val="24"/>
          <w:highlight w:val="none"/>
        </w:rPr>
        <w:t>3.2 投标报价</w:t>
      </w:r>
      <w:bookmarkEnd w:id="247"/>
      <w:bookmarkEnd w:id="248"/>
    </w:p>
    <w:p>
      <w:pPr>
        <w:spacing w:line="360" w:lineRule="auto"/>
        <w:ind w:firstLine="420"/>
        <w:rPr>
          <w:rFonts w:ascii="宋体" w:hAnsi="宋体" w:eastAsia="宋体" w:cs="宋体"/>
          <w:color w:val="auto"/>
          <w:kern w:val="1"/>
          <w:highlight w:val="none"/>
        </w:rPr>
      </w:pPr>
      <w:r>
        <w:rPr>
          <w:rFonts w:hint="eastAsia" w:ascii="宋体" w:hAnsi="宋体" w:eastAsia="宋体" w:cs="宋体"/>
          <w:color w:val="auto"/>
          <w:kern w:val="1"/>
          <w:szCs w:val="21"/>
          <w:highlight w:val="none"/>
          <w:lang w:bidi="ar"/>
        </w:rPr>
        <w:t xml:space="preserve">3.2.1 </w:t>
      </w:r>
      <w:r>
        <w:rPr>
          <w:rFonts w:hint="eastAsia" w:ascii="宋体" w:hAnsi="宋体" w:eastAsia="宋体" w:cs="宋体"/>
          <w:color w:val="auto"/>
          <w:kern w:val="1"/>
          <w:szCs w:val="22"/>
          <w:highlight w:val="none"/>
          <w:u w:val="single"/>
          <w:lang w:bidi="ar"/>
        </w:rPr>
        <w:t>本工程的投标报价方式见投标须知前附表。</w:t>
      </w:r>
    </w:p>
    <w:p>
      <w:pPr>
        <w:spacing w:line="360" w:lineRule="auto"/>
        <w:ind w:firstLine="420"/>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3.2.2 投标人应</w:t>
      </w:r>
      <w:r>
        <w:rPr>
          <w:rFonts w:hint="eastAsia" w:ascii="宋体" w:hAnsi="宋体" w:eastAsia="宋体" w:cs="宋体"/>
          <w:color w:val="auto"/>
          <w:kern w:val="1"/>
          <w:szCs w:val="22"/>
          <w:highlight w:val="none"/>
          <w:lang w:bidi="ar"/>
        </w:rPr>
        <w:t>充分了解</w:t>
      </w:r>
      <w:r>
        <w:rPr>
          <w:rFonts w:hint="eastAsia" w:ascii="宋体" w:hAnsi="宋体" w:eastAsia="宋体" w:cs="宋体"/>
          <w:color w:val="auto"/>
          <w:kern w:val="1"/>
          <w:szCs w:val="21"/>
          <w:highlight w:val="none"/>
          <w:lang w:bidi="ar"/>
        </w:rPr>
        <w:t>施工场地的位置、周边环境、道路、装卸、保管、安装限制以及影响投标报价的其他要素。投标人根据投标设计，结合市场情况进行投标报价。</w:t>
      </w:r>
    </w:p>
    <w:p>
      <w:pPr>
        <w:spacing w:line="360" w:lineRule="auto"/>
        <w:ind w:firstLine="420"/>
        <w:rPr>
          <w:rFonts w:ascii="宋体" w:hAnsi="宋体" w:eastAsia="宋体" w:cs="宋体"/>
          <w:color w:val="auto"/>
          <w:kern w:val="1"/>
          <w:highlight w:val="none"/>
        </w:rPr>
      </w:pPr>
      <w:r>
        <w:rPr>
          <w:rFonts w:hint="eastAsia" w:ascii="宋体" w:hAnsi="宋体" w:eastAsia="宋体" w:cs="宋体"/>
          <w:color w:val="auto"/>
          <w:kern w:val="1"/>
          <w:szCs w:val="22"/>
          <w:highlight w:val="none"/>
          <w:lang w:bidi="ar"/>
        </w:rPr>
        <w:t>3.2.3 招标人设有最高投标限价的，投标人的投标报价不得超过最高投标限价。</w:t>
      </w:r>
    </w:p>
    <w:p>
      <w:pPr>
        <w:spacing w:line="360" w:lineRule="auto"/>
        <w:ind w:firstLine="420" w:firstLineChars="200"/>
        <w:rPr>
          <w:rFonts w:ascii="宋体" w:hAnsi="宋体" w:eastAsia="宋体" w:cs="宋体"/>
          <w:color w:val="auto"/>
          <w:kern w:val="1"/>
          <w:szCs w:val="21"/>
          <w:highlight w:val="none"/>
          <w:u w:val="single"/>
        </w:rPr>
      </w:pPr>
      <w:r>
        <w:rPr>
          <w:rFonts w:hint="eastAsia" w:ascii="宋体" w:hAnsi="宋体" w:eastAsia="宋体" w:cs="宋体"/>
          <w:color w:val="auto"/>
          <w:kern w:val="1"/>
          <w:szCs w:val="21"/>
          <w:highlight w:val="none"/>
          <w:u w:val="single"/>
          <w:lang w:bidi="ar"/>
        </w:rPr>
        <w:t>3.2.3.1招标人按照招标需求制定最高投标限价，有两个含义，①最高投标限价总价，②设计费最高投标限价、建安工程费最高投标限价共二个分项价，投标人按照招标人提供的招标清单中列出的费用项目予以报价。投标时投标人除填报投标报价外，需同时填报投标下浮率（设计费、建安工程费的报价下浮率）。投标人的投标总价或设计费或建安工程费超过上述相应最高投标限价的为无效标。</w:t>
      </w:r>
    </w:p>
    <w:p>
      <w:pPr>
        <w:spacing w:line="360" w:lineRule="auto"/>
        <w:ind w:firstLine="420" w:firstLineChars="200"/>
        <w:rPr>
          <w:rFonts w:ascii="宋体" w:hAnsi="宋体" w:eastAsia="宋体" w:cs="宋体"/>
          <w:color w:val="auto"/>
          <w:highlight w:val="none"/>
          <w:u w:val="single"/>
        </w:rPr>
      </w:pPr>
      <w:r>
        <w:rPr>
          <w:rFonts w:hint="eastAsia" w:ascii="宋体" w:hAnsi="宋体" w:eastAsia="宋体" w:cs="宋体"/>
          <w:color w:val="auto"/>
          <w:kern w:val="0"/>
          <w:szCs w:val="22"/>
          <w:highlight w:val="none"/>
          <w:u w:val="single"/>
          <w:lang w:bidi="ar"/>
        </w:rPr>
        <w:t>投标报价未按照规定填报的，其投标文件将作为废标。</w:t>
      </w:r>
    </w:p>
    <w:p>
      <w:pPr>
        <w:spacing w:line="360" w:lineRule="auto"/>
        <w:ind w:firstLine="420"/>
        <w:rPr>
          <w:rFonts w:ascii="宋体" w:hAnsi="宋体" w:eastAsia="宋体" w:cs="宋体"/>
          <w:color w:val="auto"/>
          <w:kern w:val="1"/>
          <w:szCs w:val="21"/>
          <w:highlight w:val="none"/>
          <w:u w:val="single"/>
        </w:rPr>
      </w:pPr>
      <w:r>
        <w:rPr>
          <w:rFonts w:hint="eastAsia" w:ascii="宋体" w:hAnsi="宋体" w:eastAsia="宋体" w:cs="宋体"/>
          <w:color w:val="auto"/>
          <w:kern w:val="1"/>
          <w:szCs w:val="21"/>
          <w:highlight w:val="none"/>
          <w:u w:val="single"/>
          <w:lang w:bidi="ar"/>
        </w:rPr>
        <w:t>3.2.3.1.1投标报价</w:t>
      </w:r>
      <w:r>
        <w:rPr>
          <w:rFonts w:hint="eastAsia" w:ascii="宋体" w:hAnsi="宋体" w:eastAsia="宋体" w:cs="宋体"/>
          <w:color w:val="auto"/>
          <w:kern w:val="0"/>
          <w:szCs w:val="22"/>
          <w:highlight w:val="none"/>
          <w:u w:val="single"/>
          <w:lang w:bidi="ar"/>
        </w:rPr>
        <w:t>每一项费用只允许有一个报价，任何有选择的报价或未填报单价的投标文件将不予接受。</w:t>
      </w:r>
    </w:p>
    <w:p>
      <w:pPr>
        <w:spacing w:line="360" w:lineRule="auto"/>
        <w:ind w:firstLine="420"/>
        <w:rPr>
          <w:rFonts w:ascii="宋体" w:hAnsi="宋体" w:eastAsia="宋体" w:cs="宋体"/>
          <w:color w:val="auto"/>
          <w:kern w:val="1"/>
          <w:szCs w:val="21"/>
          <w:highlight w:val="none"/>
          <w:u w:val="single"/>
        </w:rPr>
      </w:pPr>
      <w:r>
        <w:rPr>
          <w:rFonts w:hint="eastAsia" w:ascii="宋体" w:hAnsi="宋体" w:eastAsia="宋体" w:cs="宋体"/>
          <w:color w:val="auto"/>
          <w:kern w:val="1"/>
          <w:szCs w:val="21"/>
          <w:highlight w:val="none"/>
          <w:u w:val="single"/>
          <w:lang w:bidi="ar"/>
        </w:rPr>
        <w:t>3.2.3.1.2投标人的投标总报价，包括设计费和建安工程费。投标人应按照投标须知前附表第 1.3.2 项的工期要求，在投标须知前附表第 1.1.5 项的建设地点，完成投标须知前附表第1.3.1项的招标范围内列明工作的全部费用，包括但不限于完成全部设计、建筑安装工程工作的成本、利润、税金、技术措施费、大型机械进出场费、风险费以及政策性文件规定费用等，不得以任何理由予以重复计算。</w:t>
      </w:r>
    </w:p>
    <w:p>
      <w:pPr>
        <w:spacing w:line="360" w:lineRule="auto"/>
        <w:ind w:firstLine="420"/>
        <w:rPr>
          <w:rFonts w:ascii="宋体" w:hAnsi="宋体" w:eastAsia="宋体" w:cs="宋体"/>
          <w:color w:val="auto"/>
          <w:kern w:val="1"/>
          <w:highlight w:val="none"/>
        </w:rPr>
      </w:pPr>
      <w:r>
        <w:rPr>
          <w:rFonts w:hint="eastAsia" w:ascii="宋体" w:hAnsi="宋体" w:eastAsia="宋体" w:cs="宋体"/>
          <w:color w:val="auto"/>
          <w:kern w:val="1"/>
          <w:szCs w:val="21"/>
          <w:highlight w:val="none"/>
          <w:lang w:bidi="ar"/>
        </w:rPr>
        <w:t>3.2.4招标人设有最高投标限价的，投标人的投标报价不得超过最高投标限价，最高投标限价或其计算方法在投标人须知前附表中载明。</w:t>
      </w:r>
    </w:p>
    <w:p>
      <w:pPr>
        <w:spacing w:line="360" w:lineRule="auto"/>
        <w:ind w:firstLine="420"/>
        <w:rPr>
          <w:rFonts w:ascii="宋体" w:hAnsi="宋体" w:eastAsia="宋体" w:cs="宋体"/>
          <w:color w:val="auto"/>
          <w:szCs w:val="21"/>
          <w:highlight w:val="none"/>
          <w:u w:val="single"/>
        </w:rPr>
      </w:pPr>
      <w:r>
        <w:rPr>
          <w:rFonts w:hint="eastAsia" w:ascii="宋体" w:hAnsi="宋体" w:eastAsia="宋体" w:cs="宋体"/>
          <w:color w:val="auto"/>
          <w:kern w:val="1"/>
          <w:szCs w:val="22"/>
          <w:highlight w:val="none"/>
          <w:u w:val="single"/>
          <w:lang w:bidi="ar"/>
        </w:rPr>
        <w:t>3.2.5投标报价的其他要求见投标人须知前附表。</w:t>
      </w:r>
    </w:p>
    <w:p>
      <w:pPr>
        <w:pStyle w:val="4"/>
        <w:widowControl/>
        <w:spacing w:before="312" w:beforeLines="100" w:after="312" w:afterLines="100" w:line="360" w:lineRule="auto"/>
        <w:ind w:firstLine="351"/>
        <w:rPr>
          <w:rFonts w:hint="default" w:ascii="宋体" w:eastAsia="宋体" w:cs="宋体"/>
          <w:b/>
          <w:color w:val="auto"/>
          <w:sz w:val="24"/>
          <w:szCs w:val="24"/>
          <w:highlight w:val="none"/>
        </w:rPr>
      </w:pPr>
      <w:bookmarkStart w:id="249" w:name="_Toc5620316"/>
      <w:bookmarkStart w:id="250" w:name="_Toc20247"/>
      <w:r>
        <w:rPr>
          <w:rFonts w:ascii="宋体" w:eastAsia="宋体" w:cs="宋体"/>
          <w:b/>
          <w:color w:val="auto"/>
          <w:sz w:val="24"/>
          <w:szCs w:val="24"/>
          <w:highlight w:val="none"/>
        </w:rPr>
        <w:t>3.3 投标有效期</w:t>
      </w:r>
      <w:bookmarkEnd w:id="249"/>
      <w:bookmarkEnd w:id="250"/>
    </w:p>
    <w:p>
      <w:pPr>
        <w:spacing w:line="360" w:lineRule="auto"/>
        <w:ind w:firstLine="420"/>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3.3.1</w:t>
      </w:r>
      <w:r>
        <w:rPr>
          <w:rFonts w:hint="eastAsia" w:ascii="宋体" w:hAnsi="宋体" w:eastAsia="宋体" w:cs="宋体"/>
          <w:color w:val="auto"/>
          <w:kern w:val="1"/>
          <w:szCs w:val="22"/>
          <w:highlight w:val="none"/>
          <w:lang w:bidi="ar"/>
        </w:rPr>
        <w:t>投标有效期按须知前附表的规定。</w:t>
      </w:r>
    </w:p>
    <w:p>
      <w:pPr>
        <w:spacing w:line="360" w:lineRule="auto"/>
        <w:ind w:firstLine="420"/>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3.3.2 在投标有效期内，投标人撤销或修改其投标文件的，应承担招标文件和法律规定的责任。</w:t>
      </w:r>
    </w:p>
    <w:p>
      <w:pPr>
        <w:spacing w:line="360" w:lineRule="auto"/>
        <w:ind w:firstLine="420"/>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 xml:space="preserve">3.3.3 </w:t>
      </w:r>
      <w:r>
        <w:rPr>
          <w:rFonts w:hint="eastAsia" w:ascii="宋体" w:hAnsi="宋体" w:eastAsia="宋体" w:cs="宋体"/>
          <w:color w:val="auto"/>
          <w:kern w:val="0"/>
          <w:szCs w:val="22"/>
          <w:highlight w:val="none"/>
          <w:lang w:bidi="ar"/>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pStyle w:val="4"/>
        <w:widowControl/>
        <w:spacing w:before="312" w:beforeLines="100" w:after="312" w:afterLines="100" w:line="360" w:lineRule="auto"/>
        <w:ind w:firstLine="0"/>
        <w:rPr>
          <w:rFonts w:hint="default" w:ascii="宋体" w:eastAsia="宋体" w:cs="宋体"/>
          <w:b/>
          <w:color w:val="auto"/>
          <w:sz w:val="24"/>
          <w:szCs w:val="24"/>
          <w:highlight w:val="none"/>
        </w:rPr>
      </w:pPr>
      <w:bookmarkStart w:id="251" w:name="_Toc18133"/>
      <w:bookmarkStart w:id="252" w:name="_Toc5620317"/>
      <w:r>
        <w:rPr>
          <w:rFonts w:ascii="宋体" w:eastAsia="宋体" w:cs="宋体"/>
          <w:b/>
          <w:color w:val="auto"/>
          <w:sz w:val="24"/>
          <w:szCs w:val="24"/>
          <w:highlight w:val="none"/>
        </w:rPr>
        <w:t xml:space="preserve">3.4 </w:t>
      </w:r>
      <w:bookmarkEnd w:id="251"/>
      <w:bookmarkEnd w:id="252"/>
      <w:r>
        <w:rPr>
          <w:rFonts w:ascii="宋体" w:eastAsia="宋体" w:cs="宋体"/>
          <w:b/>
          <w:color w:val="auto"/>
          <w:sz w:val="24"/>
          <w:szCs w:val="24"/>
          <w:highlight w:val="none"/>
        </w:rPr>
        <w:t>投标保证金</w:t>
      </w:r>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lang w:bidi="ar"/>
        </w:rPr>
        <w:t>3.4.1 投标人在递交投标文件的同时，应按投标人须知前附表规定的金额、形式等规定递交投标保证金，并作为其投标文件的组成部分。联合体投标的，其投标保证金由牵头单位递交，并应符合投标人须知前附表的规定。</w:t>
      </w:r>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lang w:bidi="ar"/>
        </w:rPr>
        <w:t>3.4.2 投标人不按本章第3.4.1项要求提交投标保证金的，评标委员会将否决其投标。</w:t>
      </w:r>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lang w:bidi="ar"/>
        </w:rPr>
        <w:t>3.4.3 招标人应当在中标通知书发出之日起五日内将投标保证金及银行同期存款利息退回中标候选人以外的投标人，在书面合同订立之日起五日内将投标保证金及银行同期存款利息退回中标人和其他中标候选人。</w:t>
      </w:r>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lang w:bidi="ar"/>
        </w:rPr>
        <w:t xml:space="preserve">3.4.4 有下列情形之一的，投标保证金将不予退还： </w:t>
      </w:r>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lang w:bidi="ar"/>
        </w:rPr>
        <w:t>（1）投标人在规定的投标有效期内撤销或修改其投标文件；</w:t>
      </w:r>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lang w:bidi="ar"/>
        </w:rPr>
        <w:t>（2）中标人在收到中标通知书后，无正当理由拒签合同或未按招标文件规定提交履约担保。</w:t>
      </w:r>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lang w:bidi="ar"/>
        </w:rPr>
        <w:t>3.4.5 投标人如存在下列情况之一的，将被拒绝在一定时期内参与招标人后续工程投标（拒绝时限为十二个月）：</w:t>
      </w:r>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lang w:bidi="ar"/>
        </w:rPr>
        <w:t>（1）投标人存在3.4.4条款所列情形且投标人提交的保函、担保或保证保险无法兑付的；</w:t>
      </w:r>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lang w:bidi="ar"/>
        </w:rPr>
        <w:t>（2）采用非电子形式提交投标保证金的投标人存在3.4.4条款所列情形，且未按招标人要求补交银行保函、专业工程担保公司担保或保证保险原件的。</w:t>
      </w:r>
    </w:p>
    <w:p>
      <w:pPr>
        <w:pStyle w:val="4"/>
        <w:widowControl/>
        <w:spacing w:before="312" w:beforeLines="100" w:after="312" w:afterLines="100" w:line="360" w:lineRule="auto"/>
        <w:ind w:firstLine="0"/>
        <w:rPr>
          <w:rFonts w:hint="default" w:ascii="宋体" w:eastAsia="宋体" w:cs="宋体"/>
          <w:b/>
          <w:color w:val="auto"/>
          <w:sz w:val="24"/>
          <w:szCs w:val="24"/>
          <w:highlight w:val="none"/>
        </w:rPr>
      </w:pPr>
      <w:bookmarkStart w:id="253" w:name="_Toc5620318"/>
      <w:bookmarkStart w:id="254" w:name="_Toc32372"/>
      <w:r>
        <w:rPr>
          <w:rFonts w:ascii="宋体" w:eastAsia="宋体" w:cs="宋体"/>
          <w:b/>
          <w:color w:val="auto"/>
          <w:sz w:val="24"/>
          <w:szCs w:val="24"/>
          <w:highlight w:val="none"/>
        </w:rPr>
        <w:t xml:space="preserve">3.5 </w:t>
      </w:r>
      <w:bookmarkEnd w:id="253"/>
      <w:bookmarkEnd w:id="254"/>
      <w:r>
        <w:rPr>
          <w:rFonts w:ascii="宋体" w:eastAsia="宋体" w:cs="宋体"/>
          <w:b/>
          <w:color w:val="auto"/>
          <w:sz w:val="24"/>
          <w:szCs w:val="24"/>
          <w:highlight w:val="none"/>
        </w:rPr>
        <w:t>资格审查资料（适用于未进行资格预审的）</w:t>
      </w:r>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lang w:bidi="ar"/>
        </w:rPr>
        <w:t>3.5.1本项目采用电子化资格后审，由评标委员会负责对投标人的资格进行审查，评标时只对通过资格审查的投标人进行下一阶段的评审。</w:t>
      </w:r>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u w:val="single"/>
          <w:lang w:bidi="ar"/>
        </w:rPr>
        <w:t>资审合格后，投标人的资格发生变化而不满足投标人合格条件，在发出中标通知书前，资格问题仍未解决的，招标人将取消其中标资格。</w:t>
      </w:r>
    </w:p>
    <w:p>
      <w:pPr>
        <w:pStyle w:val="4"/>
        <w:widowControl/>
        <w:spacing w:before="312" w:beforeLines="100" w:after="312" w:afterLines="100" w:line="360" w:lineRule="auto"/>
        <w:ind w:firstLine="0"/>
        <w:rPr>
          <w:rFonts w:hint="default" w:ascii="宋体" w:eastAsia="宋体" w:cs="宋体"/>
          <w:b/>
          <w:color w:val="auto"/>
          <w:sz w:val="24"/>
          <w:szCs w:val="24"/>
          <w:highlight w:val="none"/>
        </w:rPr>
      </w:pPr>
      <w:bookmarkStart w:id="255" w:name="_Toc9278"/>
      <w:bookmarkStart w:id="256" w:name="_Toc5620319"/>
      <w:r>
        <w:rPr>
          <w:rFonts w:ascii="宋体" w:eastAsia="宋体" w:cs="宋体"/>
          <w:b/>
          <w:color w:val="auto"/>
          <w:sz w:val="24"/>
          <w:szCs w:val="24"/>
          <w:highlight w:val="none"/>
        </w:rPr>
        <w:t>3.6 备选投标方案</w:t>
      </w:r>
      <w:bookmarkEnd w:id="255"/>
      <w:bookmarkEnd w:id="256"/>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lang w:bidi="ar"/>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4"/>
        <w:widowControl/>
        <w:spacing w:before="312" w:beforeLines="100" w:after="312" w:afterLines="100" w:line="360" w:lineRule="auto"/>
        <w:ind w:firstLine="0"/>
        <w:rPr>
          <w:rFonts w:hint="default" w:ascii="宋体" w:eastAsia="宋体" w:cs="宋体"/>
          <w:b/>
          <w:color w:val="auto"/>
          <w:sz w:val="24"/>
          <w:szCs w:val="24"/>
          <w:highlight w:val="none"/>
        </w:rPr>
      </w:pPr>
      <w:bookmarkStart w:id="257" w:name="_Toc5620320"/>
      <w:bookmarkStart w:id="258" w:name="_Toc4446"/>
      <w:r>
        <w:rPr>
          <w:rFonts w:ascii="宋体" w:eastAsia="宋体" w:cs="宋体"/>
          <w:b/>
          <w:color w:val="auto"/>
          <w:sz w:val="24"/>
          <w:szCs w:val="24"/>
          <w:highlight w:val="none"/>
        </w:rPr>
        <w:t>3.7 投标文件的编制</w:t>
      </w:r>
      <w:bookmarkEnd w:id="257"/>
      <w:bookmarkEnd w:id="258"/>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lang w:bidi="ar"/>
        </w:rPr>
        <w:t>3.7.1 投标文件应按第七章“投标文件格式”进行编写，如有必要，可以增加附页，作为投标文件的组成部分。在满足招标文件实质性要求的基础上，可以提出比招标文件要求更有利于招标人的承诺。</w:t>
      </w:r>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lang w:bidi="ar"/>
        </w:rPr>
        <w:t>3.7.2 投标文件应当对招标文件有关招标范围、投标有效期、工期、质量标准、发包人要求等实质性内容作出响应。</w:t>
      </w:r>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lang w:bidi="ar"/>
        </w:rPr>
        <w:t xml:space="preserve">3.7.3 </w:t>
      </w:r>
      <w:r>
        <w:rPr>
          <w:rFonts w:hint="eastAsia" w:ascii="宋体" w:hAnsi="宋体" w:eastAsia="宋体" w:cs="宋体"/>
          <w:color w:val="auto"/>
          <w:kern w:val="0"/>
          <w:szCs w:val="22"/>
          <w:highlight w:val="none"/>
          <w:u w:val="single"/>
          <w:lang w:bidi="ar"/>
        </w:rPr>
        <w:t>投标文件全部采用电子文档，投标文件应按</w:t>
      </w:r>
      <w:r>
        <w:rPr>
          <w:rFonts w:hint="eastAsia" w:ascii="宋体" w:hAnsi="宋体" w:cs="宋体"/>
          <w:color w:val="auto"/>
          <w:highlight w:val="none"/>
          <w:u w:val="single"/>
        </w:rPr>
        <w:t>广州交易集团有限公司（广州公共资源交易中心）</w:t>
      </w:r>
      <w:r>
        <w:rPr>
          <w:rFonts w:hint="eastAsia" w:ascii="宋体" w:hAnsi="宋体" w:eastAsia="宋体" w:cs="宋体"/>
          <w:color w:val="auto"/>
          <w:kern w:val="0"/>
          <w:szCs w:val="22"/>
          <w:highlight w:val="none"/>
          <w:u w:val="single"/>
          <w:lang w:bidi="ar"/>
        </w:rPr>
        <w:t>交易平台相关操作指南编制。投标文件所附证书证件均为原件扫描件，并采用单位数字证书，按招标文件要求在相应位置加盖电子印章。投标文件中需个人签字或盖章的，应加盖个人电子印章或在线下完成后扫描上传。具体操作详见</w:t>
      </w:r>
      <w:r>
        <w:rPr>
          <w:rFonts w:hint="eastAsia" w:ascii="宋体" w:hAnsi="宋体" w:cs="宋体"/>
          <w:color w:val="auto"/>
          <w:highlight w:val="none"/>
          <w:u w:val="single"/>
        </w:rPr>
        <w:t>广州交易集团有限公司（广州公共资源交易中心）</w:t>
      </w:r>
      <w:r>
        <w:rPr>
          <w:rFonts w:hint="eastAsia" w:ascii="宋体" w:hAnsi="宋体" w:eastAsia="宋体" w:cs="宋体"/>
          <w:color w:val="auto"/>
          <w:kern w:val="0"/>
          <w:szCs w:val="22"/>
          <w:highlight w:val="none"/>
          <w:u w:val="single"/>
          <w:lang w:bidi="ar"/>
        </w:rPr>
        <w:t>交易平台相关操作指南。联合体投标时，除《联合体共同投标协议书》必须联合体各单位分别按要求进行签字或盖章外，其他资料若需要签字或盖章的均可由联合体牵头单位签字或盖章；投标资料封面及其他内容及落款中要求填写单位名称的应填写联合体各单位的单位全称【格式表示为：(主)单位全称(成)单位全称……】，由联合体牵头单位签字、盖章即可。</w:t>
      </w:r>
    </w:p>
    <w:p>
      <w:pPr>
        <w:pStyle w:val="3"/>
        <w:widowControl/>
        <w:spacing w:before="312" w:beforeLines="100" w:after="312" w:afterLines="100" w:line="360" w:lineRule="auto"/>
        <w:rPr>
          <w:rFonts w:ascii="宋体" w:hAnsi="宋体" w:eastAsia="宋体" w:cs="宋体"/>
          <w:color w:val="auto"/>
          <w:sz w:val="24"/>
          <w:szCs w:val="24"/>
          <w:highlight w:val="none"/>
          <w:lang w:val="zh-CN"/>
        </w:rPr>
      </w:pPr>
      <w:bookmarkStart w:id="259" w:name="_Toc3979"/>
      <w:bookmarkEnd w:id="259"/>
      <w:bookmarkStart w:id="260" w:name="_Toc8024"/>
      <w:bookmarkEnd w:id="260"/>
      <w:bookmarkStart w:id="261" w:name="_Toc443505826"/>
      <w:bookmarkEnd w:id="261"/>
      <w:bookmarkStart w:id="262" w:name="_Toc5620321"/>
      <w:bookmarkStart w:id="263" w:name="_Toc8504"/>
      <w:r>
        <w:rPr>
          <w:rFonts w:hint="eastAsia" w:ascii="宋体" w:hAnsi="宋体" w:eastAsia="宋体" w:cs="宋体"/>
          <w:color w:val="auto"/>
          <w:sz w:val="24"/>
          <w:szCs w:val="24"/>
          <w:highlight w:val="none"/>
          <w:lang w:val="zh-CN"/>
        </w:rPr>
        <w:t>4. 投标</w:t>
      </w:r>
      <w:bookmarkEnd w:id="262"/>
      <w:bookmarkEnd w:id="263"/>
    </w:p>
    <w:p>
      <w:pPr>
        <w:pStyle w:val="4"/>
        <w:widowControl/>
        <w:spacing w:line="360" w:lineRule="auto"/>
        <w:ind w:firstLine="118"/>
        <w:rPr>
          <w:rFonts w:hint="default" w:ascii="宋体" w:eastAsia="宋体" w:cs="宋体"/>
          <w:b/>
          <w:bCs/>
          <w:color w:val="auto"/>
          <w:sz w:val="24"/>
          <w:szCs w:val="24"/>
          <w:highlight w:val="none"/>
        </w:rPr>
      </w:pPr>
      <w:bookmarkStart w:id="264" w:name="_Toc357089537"/>
      <w:bookmarkEnd w:id="264"/>
      <w:bookmarkStart w:id="265" w:name="_Toc362816506"/>
      <w:bookmarkEnd w:id="265"/>
      <w:bookmarkStart w:id="266" w:name="_Toc5620322"/>
      <w:bookmarkStart w:id="267" w:name="_Toc21485"/>
      <w:r>
        <w:rPr>
          <w:rFonts w:ascii="宋体" w:eastAsia="宋体" w:cs="宋体"/>
          <w:b/>
          <w:bCs/>
          <w:color w:val="auto"/>
          <w:sz w:val="24"/>
          <w:szCs w:val="24"/>
          <w:highlight w:val="none"/>
        </w:rPr>
        <w:t>4.1 投标文件的密封和标记</w:t>
      </w:r>
      <w:bookmarkEnd w:id="266"/>
      <w:bookmarkEnd w:id="267"/>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lang w:bidi="ar"/>
        </w:rPr>
        <w:t>4.1.1 投标人应当按照招标文件和</w:t>
      </w:r>
      <w:r>
        <w:rPr>
          <w:rFonts w:hint="eastAsia" w:ascii="宋体" w:hAnsi="宋体" w:cs="宋体"/>
          <w:color w:val="auto"/>
          <w:highlight w:val="none"/>
          <w:u w:val="single"/>
        </w:rPr>
        <w:t>广州交易集团有限公司（广州公共资源交易中心）</w:t>
      </w:r>
      <w:r>
        <w:rPr>
          <w:rFonts w:hint="eastAsia" w:ascii="宋体" w:hAnsi="宋体" w:eastAsia="宋体" w:cs="宋体"/>
          <w:color w:val="auto"/>
          <w:kern w:val="0"/>
          <w:szCs w:val="22"/>
          <w:highlight w:val="none"/>
          <w:lang w:bidi="ar"/>
        </w:rPr>
        <w:t>交易平台的要求加密投标文件，具体操作详见</w:t>
      </w:r>
      <w:r>
        <w:rPr>
          <w:rFonts w:hint="eastAsia" w:ascii="宋体" w:hAnsi="宋体" w:cs="宋体"/>
          <w:color w:val="auto"/>
          <w:highlight w:val="none"/>
          <w:u w:val="single"/>
        </w:rPr>
        <w:t>广州交易集团有限公司（广州公共资源交易中心）</w:t>
      </w:r>
      <w:r>
        <w:rPr>
          <w:rFonts w:hint="eastAsia" w:ascii="宋体" w:hAnsi="宋体" w:eastAsia="宋体" w:cs="宋体"/>
          <w:color w:val="auto"/>
          <w:kern w:val="0"/>
          <w:szCs w:val="22"/>
          <w:highlight w:val="none"/>
          <w:lang w:bidi="ar"/>
        </w:rPr>
        <w:t>交易平台相关服务指南。</w:t>
      </w:r>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lang w:bidi="ar"/>
        </w:rPr>
        <w:t>4.1.2 未按本章第4.1.1项要求加密的投标文件，</w:t>
      </w:r>
      <w:r>
        <w:rPr>
          <w:rFonts w:hint="eastAsia" w:ascii="宋体" w:hAnsi="宋体" w:cs="宋体"/>
          <w:color w:val="auto"/>
          <w:highlight w:val="none"/>
          <w:u w:val="single"/>
        </w:rPr>
        <w:t>广州交易集团有限公司（广州公共资源交易中心）</w:t>
      </w:r>
      <w:r>
        <w:rPr>
          <w:rFonts w:hint="eastAsia" w:ascii="宋体" w:hAnsi="宋体" w:eastAsia="宋体" w:cs="宋体"/>
          <w:color w:val="auto"/>
          <w:kern w:val="0"/>
          <w:szCs w:val="22"/>
          <w:highlight w:val="none"/>
          <w:lang w:bidi="ar"/>
        </w:rPr>
        <w:t>交易平台将予以拒收。</w:t>
      </w:r>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lang w:bidi="ar"/>
        </w:rPr>
        <w:t>4.1.3</w:t>
      </w:r>
      <w:r>
        <w:rPr>
          <w:rFonts w:hint="eastAsia" w:ascii="宋体" w:hAnsi="宋体" w:eastAsia="宋体" w:cs="宋体"/>
          <w:color w:val="auto"/>
          <w:kern w:val="0"/>
          <w:szCs w:val="22"/>
          <w:highlight w:val="none"/>
          <w:u w:val="single"/>
          <w:lang w:bidi="ar"/>
        </w:rPr>
        <w:t xml:space="preserve"> 如有提交备用电子投标文件，封套上应写明的内容见投标人须知前附表</w:t>
      </w:r>
      <w:r>
        <w:rPr>
          <w:rFonts w:hint="eastAsia" w:ascii="宋体" w:hAnsi="宋体" w:eastAsia="宋体" w:cs="宋体"/>
          <w:color w:val="auto"/>
          <w:kern w:val="0"/>
          <w:szCs w:val="22"/>
          <w:highlight w:val="none"/>
          <w:lang w:bidi="ar"/>
        </w:rPr>
        <w:t>。</w:t>
      </w:r>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lang w:bidi="ar"/>
        </w:rPr>
        <w:t>4.1.4</w:t>
      </w:r>
      <w:r>
        <w:rPr>
          <w:rFonts w:hint="eastAsia" w:ascii="宋体" w:hAnsi="宋体" w:eastAsia="宋体" w:cs="宋体"/>
          <w:color w:val="auto"/>
          <w:kern w:val="0"/>
          <w:szCs w:val="22"/>
          <w:highlight w:val="none"/>
          <w:u w:val="single"/>
          <w:lang w:bidi="ar"/>
        </w:rPr>
        <w:t>投标人在投标截止期后逾期或未在指定地点递交备用电子投标文件的，或投标人递交的备用电子投标文件未按招标文件要求密封或未在密封处盖章的，或投标人代表未凭法定代表人证明书原件、授权委托书原件（仅限于非法定代表人）、本人身份证原件按要求递交备用电子投标文件的，招标人将予以拒收。</w:t>
      </w:r>
    </w:p>
    <w:p>
      <w:pPr>
        <w:pStyle w:val="4"/>
        <w:widowControl/>
        <w:spacing w:line="360" w:lineRule="auto"/>
        <w:ind w:firstLine="118"/>
        <w:rPr>
          <w:rFonts w:hint="default" w:ascii="宋体" w:eastAsia="宋体" w:cs="宋体"/>
          <w:b/>
          <w:bCs/>
          <w:color w:val="auto"/>
          <w:sz w:val="24"/>
          <w:szCs w:val="24"/>
          <w:highlight w:val="none"/>
        </w:rPr>
      </w:pPr>
      <w:bookmarkStart w:id="268" w:name="_Toc5620323"/>
      <w:bookmarkStart w:id="269" w:name="_Toc7472"/>
      <w:r>
        <w:rPr>
          <w:rFonts w:ascii="宋体" w:eastAsia="宋体" w:cs="宋体"/>
          <w:b/>
          <w:bCs/>
          <w:color w:val="auto"/>
          <w:sz w:val="24"/>
          <w:szCs w:val="24"/>
          <w:highlight w:val="none"/>
        </w:rPr>
        <w:t>4.2 投标文件的递交</w:t>
      </w:r>
      <w:bookmarkEnd w:id="268"/>
      <w:bookmarkEnd w:id="269"/>
    </w:p>
    <w:p>
      <w:pPr>
        <w:spacing w:line="360" w:lineRule="auto"/>
        <w:ind w:firstLine="420"/>
        <w:rPr>
          <w:rFonts w:ascii="宋体" w:hAnsi="宋体" w:eastAsia="宋体" w:cs="宋体"/>
          <w:color w:val="auto"/>
          <w:highlight w:val="none"/>
          <w:u w:val="single"/>
        </w:rPr>
      </w:pPr>
      <w:r>
        <w:rPr>
          <w:rFonts w:hint="eastAsia" w:ascii="宋体" w:hAnsi="宋体" w:eastAsia="宋体" w:cs="宋体"/>
          <w:color w:val="auto"/>
          <w:kern w:val="0"/>
          <w:szCs w:val="22"/>
          <w:highlight w:val="none"/>
          <w:u w:val="single"/>
          <w:lang w:bidi="ar"/>
        </w:rPr>
        <w:t>4.2.1投标人通过</w:t>
      </w:r>
      <w:r>
        <w:rPr>
          <w:rFonts w:hint="eastAsia" w:ascii="宋体" w:hAnsi="宋体" w:cs="宋体"/>
          <w:color w:val="auto"/>
          <w:highlight w:val="none"/>
          <w:u w:val="single"/>
        </w:rPr>
        <w:t>电子招标投标交易平台</w:t>
      </w:r>
      <w:r>
        <w:rPr>
          <w:rFonts w:hint="eastAsia" w:ascii="宋体" w:hAnsi="宋体" w:eastAsia="宋体" w:cs="宋体"/>
          <w:color w:val="auto"/>
          <w:kern w:val="0"/>
          <w:szCs w:val="22"/>
          <w:highlight w:val="none"/>
          <w:u w:val="single"/>
          <w:lang w:bidi="ar"/>
        </w:rPr>
        <w:t>递交电子投标文件。</w:t>
      </w:r>
    </w:p>
    <w:p>
      <w:pPr>
        <w:spacing w:line="360" w:lineRule="auto"/>
        <w:ind w:firstLine="420"/>
        <w:rPr>
          <w:rFonts w:ascii="宋体" w:hAnsi="宋体" w:eastAsia="宋体" w:cs="宋体"/>
          <w:color w:val="auto"/>
          <w:highlight w:val="none"/>
          <w:u w:val="single"/>
        </w:rPr>
      </w:pPr>
      <w:r>
        <w:rPr>
          <w:rFonts w:hint="eastAsia" w:ascii="宋体" w:hAnsi="宋体" w:eastAsia="宋体" w:cs="宋体"/>
          <w:color w:val="auto"/>
          <w:kern w:val="0"/>
          <w:szCs w:val="22"/>
          <w:highlight w:val="none"/>
          <w:u w:val="single"/>
          <w:lang w:bidi="ar"/>
        </w:rPr>
        <w:t>4.2.2投标人完成电子投标文件上传后，</w:t>
      </w:r>
      <w:r>
        <w:rPr>
          <w:rFonts w:hint="eastAsia" w:ascii="宋体" w:hAnsi="宋体" w:cs="宋体"/>
          <w:color w:val="auto"/>
          <w:highlight w:val="none"/>
          <w:u w:val="single"/>
        </w:rPr>
        <w:t>电子招标投标交易平台</w:t>
      </w:r>
      <w:r>
        <w:rPr>
          <w:rFonts w:hint="eastAsia" w:ascii="宋体" w:hAnsi="宋体" w:eastAsia="宋体" w:cs="宋体"/>
          <w:color w:val="auto"/>
          <w:kern w:val="0"/>
          <w:szCs w:val="22"/>
          <w:highlight w:val="none"/>
          <w:u w:val="single"/>
          <w:lang w:bidi="ar"/>
        </w:rPr>
        <w:t>即时向投标人发出递交回执通知。递交时间以递交回执通知载明的传输完成时间为准。</w:t>
      </w:r>
    </w:p>
    <w:p>
      <w:pPr>
        <w:spacing w:line="360" w:lineRule="auto"/>
        <w:ind w:firstLine="420"/>
        <w:rPr>
          <w:rFonts w:ascii="宋体" w:hAnsi="宋体" w:eastAsia="宋体" w:cs="宋体"/>
          <w:color w:val="auto"/>
          <w:highlight w:val="none"/>
          <w:u w:val="single"/>
        </w:rPr>
      </w:pPr>
      <w:r>
        <w:rPr>
          <w:rFonts w:hint="eastAsia" w:ascii="宋体" w:hAnsi="宋体" w:eastAsia="宋体" w:cs="宋体"/>
          <w:color w:val="auto"/>
          <w:kern w:val="0"/>
          <w:szCs w:val="22"/>
          <w:highlight w:val="none"/>
          <w:u w:val="single"/>
          <w:lang w:bidi="ar"/>
        </w:rPr>
        <w:t>4.2.3逾期送达的电子投标文件，</w:t>
      </w:r>
      <w:r>
        <w:rPr>
          <w:rFonts w:hint="eastAsia" w:ascii="宋体" w:hAnsi="宋体" w:cs="宋体"/>
          <w:color w:val="auto"/>
          <w:highlight w:val="none"/>
          <w:u w:val="single"/>
        </w:rPr>
        <w:t>电子招标投标交易平台</w:t>
      </w:r>
      <w:r>
        <w:rPr>
          <w:rFonts w:hint="eastAsia" w:ascii="宋体" w:hAnsi="宋体" w:eastAsia="宋体" w:cs="宋体"/>
          <w:color w:val="auto"/>
          <w:kern w:val="0"/>
          <w:szCs w:val="22"/>
          <w:highlight w:val="none"/>
          <w:u w:val="single"/>
          <w:lang w:bidi="ar"/>
        </w:rPr>
        <w:t>将予以拒收。</w:t>
      </w:r>
    </w:p>
    <w:p>
      <w:pPr>
        <w:spacing w:line="360" w:lineRule="auto"/>
        <w:ind w:firstLine="420"/>
        <w:rPr>
          <w:rFonts w:ascii="宋体" w:hAnsi="宋体" w:eastAsia="宋体" w:cs="宋体"/>
          <w:color w:val="auto"/>
          <w:highlight w:val="none"/>
          <w:u w:val="single"/>
        </w:rPr>
      </w:pPr>
      <w:r>
        <w:rPr>
          <w:rFonts w:hint="eastAsia" w:ascii="宋体" w:hAnsi="宋体" w:eastAsia="宋体" w:cs="宋体"/>
          <w:color w:val="auto"/>
          <w:kern w:val="0"/>
          <w:szCs w:val="22"/>
          <w:highlight w:val="none"/>
          <w:u w:val="single"/>
          <w:lang w:bidi="ar"/>
        </w:rPr>
        <w:t>4.2.4到投标截止时间止，若电子招标投标交易平台收到的投标文件少于3家的，本项目招标失败，将依法重新招标。</w:t>
      </w:r>
    </w:p>
    <w:p>
      <w:pPr>
        <w:pStyle w:val="4"/>
        <w:widowControl/>
        <w:spacing w:line="360" w:lineRule="auto"/>
        <w:ind w:firstLine="118"/>
        <w:rPr>
          <w:rFonts w:hint="default" w:ascii="宋体" w:eastAsia="宋体" w:cs="宋体"/>
          <w:b/>
          <w:bCs/>
          <w:color w:val="auto"/>
          <w:sz w:val="24"/>
          <w:szCs w:val="24"/>
          <w:highlight w:val="none"/>
        </w:rPr>
      </w:pPr>
      <w:bookmarkStart w:id="270" w:name="_Toc357089539"/>
      <w:bookmarkEnd w:id="270"/>
      <w:bookmarkStart w:id="271" w:name="_Toc362816508"/>
      <w:bookmarkEnd w:id="271"/>
      <w:bookmarkStart w:id="272" w:name="_Toc5620324"/>
      <w:bookmarkStart w:id="273" w:name="_Toc17582"/>
      <w:r>
        <w:rPr>
          <w:rFonts w:ascii="宋体" w:eastAsia="宋体" w:cs="宋体"/>
          <w:b/>
          <w:bCs/>
          <w:color w:val="auto"/>
          <w:sz w:val="24"/>
          <w:szCs w:val="24"/>
          <w:highlight w:val="none"/>
        </w:rPr>
        <w:t>4.3 投标文件的修改与撤回</w:t>
      </w:r>
      <w:bookmarkEnd w:id="272"/>
      <w:bookmarkEnd w:id="273"/>
    </w:p>
    <w:p>
      <w:pPr>
        <w:spacing w:line="360" w:lineRule="auto"/>
        <w:ind w:firstLine="420"/>
        <w:rPr>
          <w:rFonts w:ascii="宋体" w:hAnsi="宋体" w:eastAsia="宋体" w:cs="宋体"/>
          <w:color w:val="auto"/>
          <w:highlight w:val="none"/>
          <w:u w:val="single"/>
        </w:rPr>
      </w:pPr>
      <w:r>
        <w:rPr>
          <w:rFonts w:hint="eastAsia" w:ascii="宋体" w:hAnsi="宋体" w:eastAsia="宋体" w:cs="宋体"/>
          <w:color w:val="auto"/>
          <w:kern w:val="0"/>
          <w:szCs w:val="22"/>
          <w:highlight w:val="none"/>
          <w:u w:val="single"/>
          <w:lang w:bidi="ar"/>
        </w:rPr>
        <w:t>4.3.1 在规定的投标截止时间前，投标人可以修改或撤回已递交的投标文件，但应以书面形式通知招标人。</w:t>
      </w:r>
    </w:p>
    <w:p>
      <w:pPr>
        <w:spacing w:line="360" w:lineRule="auto"/>
        <w:ind w:firstLine="420"/>
        <w:rPr>
          <w:rFonts w:ascii="宋体" w:hAnsi="宋体" w:eastAsia="宋体" w:cs="宋体"/>
          <w:color w:val="auto"/>
          <w:highlight w:val="none"/>
          <w:u w:val="single"/>
        </w:rPr>
      </w:pPr>
      <w:r>
        <w:rPr>
          <w:rFonts w:hint="eastAsia" w:ascii="宋体" w:hAnsi="宋体" w:eastAsia="宋体" w:cs="宋体"/>
          <w:color w:val="auto"/>
          <w:kern w:val="0"/>
          <w:szCs w:val="22"/>
          <w:highlight w:val="none"/>
          <w:u w:val="single"/>
          <w:lang w:bidi="ar"/>
        </w:rPr>
        <w:t>4.3.2 投标人修改或撤回已递交的投标文件，需在</w:t>
      </w:r>
      <w:r>
        <w:rPr>
          <w:rFonts w:hint="eastAsia" w:ascii="宋体" w:hAnsi="宋体" w:cs="宋体"/>
          <w:color w:val="auto"/>
          <w:highlight w:val="none"/>
          <w:u w:val="single"/>
        </w:rPr>
        <w:t>电子招标投标交易平台</w:t>
      </w:r>
      <w:r>
        <w:rPr>
          <w:rFonts w:hint="eastAsia" w:ascii="宋体" w:hAnsi="宋体" w:eastAsia="宋体" w:cs="宋体"/>
          <w:color w:val="auto"/>
          <w:kern w:val="0"/>
          <w:szCs w:val="22"/>
          <w:highlight w:val="none"/>
          <w:u w:val="single"/>
          <w:lang w:bidi="ar"/>
        </w:rPr>
        <w:t>发出修改或撤回通知，并按要求加盖电子印章。</w:t>
      </w:r>
      <w:r>
        <w:rPr>
          <w:rFonts w:hint="eastAsia" w:ascii="宋体" w:hAnsi="宋体" w:cs="宋体"/>
          <w:color w:val="auto"/>
          <w:highlight w:val="none"/>
          <w:u w:val="single"/>
        </w:rPr>
        <w:t>电子招标投标交易平台</w:t>
      </w:r>
      <w:r>
        <w:rPr>
          <w:rFonts w:hint="eastAsia" w:ascii="宋体" w:hAnsi="宋体" w:eastAsia="宋体" w:cs="宋体"/>
          <w:color w:val="auto"/>
          <w:kern w:val="0"/>
          <w:szCs w:val="22"/>
          <w:highlight w:val="none"/>
          <w:u w:val="single"/>
          <w:lang w:bidi="ar"/>
        </w:rPr>
        <w:t>收到通知后，即时向投标人发出确认回执通知。</w:t>
      </w:r>
    </w:p>
    <w:p>
      <w:pPr>
        <w:spacing w:line="360" w:lineRule="auto"/>
        <w:ind w:firstLine="420"/>
        <w:rPr>
          <w:rFonts w:ascii="宋体" w:hAnsi="宋体" w:eastAsia="宋体" w:cs="宋体"/>
          <w:color w:val="auto"/>
          <w:highlight w:val="none"/>
          <w:u w:val="single"/>
        </w:rPr>
      </w:pPr>
      <w:r>
        <w:rPr>
          <w:rFonts w:hint="eastAsia" w:ascii="宋体" w:hAnsi="宋体" w:eastAsia="宋体" w:cs="宋体"/>
          <w:color w:val="auto"/>
          <w:kern w:val="0"/>
          <w:szCs w:val="22"/>
          <w:highlight w:val="none"/>
          <w:u w:val="single"/>
          <w:lang w:bidi="ar"/>
        </w:rPr>
        <w:t>4.3.3 修改后再次递交的，按4.2点的规定执行。</w:t>
      </w:r>
    </w:p>
    <w:p>
      <w:pPr>
        <w:spacing w:line="360" w:lineRule="auto"/>
        <w:ind w:firstLine="420"/>
        <w:rPr>
          <w:rFonts w:ascii="宋体" w:hAnsi="宋体" w:eastAsia="宋体" w:cs="宋体"/>
          <w:color w:val="auto"/>
          <w:highlight w:val="none"/>
          <w:u w:val="single"/>
        </w:rPr>
      </w:pPr>
      <w:r>
        <w:rPr>
          <w:rFonts w:hint="eastAsia" w:ascii="宋体" w:hAnsi="宋体" w:eastAsia="宋体" w:cs="宋体"/>
          <w:color w:val="auto"/>
          <w:kern w:val="0"/>
          <w:szCs w:val="22"/>
          <w:highlight w:val="none"/>
          <w:u w:val="single"/>
          <w:lang w:bidi="ar"/>
        </w:rPr>
        <w:t>4.3.4 在投标截止时间之后，投标人不得补充、修改和更换投标文件。</w:t>
      </w:r>
    </w:p>
    <w:p>
      <w:pPr>
        <w:pStyle w:val="3"/>
        <w:widowControl/>
        <w:spacing w:before="312" w:beforeLines="100" w:after="312" w:afterLines="100" w:line="360" w:lineRule="auto"/>
        <w:rPr>
          <w:rFonts w:ascii="宋体" w:hAnsi="宋体" w:eastAsia="宋体" w:cs="宋体"/>
          <w:color w:val="auto"/>
          <w:sz w:val="24"/>
          <w:szCs w:val="24"/>
          <w:highlight w:val="none"/>
          <w:lang w:val="zh-CN"/>
        </w:rPr>
      </w:pPr>
      <w:bookmarkStart w:id="274" w:name="_Toc443505828"/>
      <w:bookmarkEnd w:id="274"/>
      <w:bookmarkStart w:id="275" w:name="_Toc7909"/>
      <w:bookmarkEnd w:id="275"/>
      <w:bookmarkStart w:id="276" w:name="_Toc16809"/>
      <w:bookmarkEnd w:id="276"/>
      <w:bookmarkStart w:id="277" w:name="_Toc3600"/>
      <w:r>
        <w:rPr>
          <w:rFonts w:hint="eastAsia" w:ascii="宋体" w:hAnsi="宋体" w:eastAsia="宋体" w:cs="宋体"/>
          <w:color w:val="auto"/>
          <w:sz w:val="24"/>
          <w:szCs w:val="24"/>
          <w:highlight w:val="none"/>
          <w:lang w:val="zh-CN"/>
        </w:rPr>
        <w:t>5. 开标</w:t>
      </w:r>
      <w:bookmarkEnd w:id="277"/>
    </w:p>
    <w:p>
      <w:pPr>
        <w:pStyle w:val="4"/>
        <w:widowControl/>
        <w:spacing w:line="360" w:lineRule="auto"/>
        <w:ind w:firstLine="118"/>
        <w:rPr>
          <w:rFonts w:hint="default" w:ascii="宋体" w:eastAsia="宋体" w:cs="宋体"/>
          <w:b/>
          <w:bCs/>
          <w:color w:val="auto"/>
          <w:sz w:val="24"/>
          <w:szCs w:val="24"/>
          <w:highlight w:val="none"/>
        </w:rPr>
      </w:pPr>
      <w:bookmarkStart w:id="278" w:name="_Toc21830"/>
      <w:r>
        <w:rPr>
          <w:rFonts w:ascii="宋体" w:eastAsia="宋体" w:cs="宋体"/>
          <w:b/>
          <w:bCs/>
          <w:color w:val="auto"/>
          <w:sz w:val="24"/>
          <w:szCs w:val="24"/>
          <w:highlight w:val="none"/>
        </w:rPr>
        <w:t>5.1 开标时间和地点</w:t>
      </w:r>
      <w:bookmarkEnd w:id="278"/>
    </w:p>
    <w:p>
      <w:pPr>
        <w:spacing w:line="360" w:lineRule="auto"/>
        <w:ind w:firstLine="420"/>
        <w:rPr>
          <w:rFonts w:ascii="宋体" w:hAnsi="宋体" w:eastAsia="宋体" w:cs="宋体"/>
          <w:color w:val="auto"/>
          <w:kern w:val="1"/>
          <w:highlight w:val="none"/>
        </w:rPr>
      </w:pPr>
      <w:r>
        <w:rPr>
          <w:rFonts w:hint="eastAsia" w:ascii="宋体" w:hAnsi="宋体" w:eastAsia="宋体" w:cs="宋体"/>
          <w:color w:val="auto"/>
          <w:kern w:val="0"/>
          <w:szCs w:val="22"/>
          <w:highlight w:val="none"/>
          <w:lang w:bidi="ar"/>
        </w:rPr>
        <w:t>招标人在本章第2.2.2项规定的投标截止时间（开标时间）和投标人须知前附表规定的地点公开开标，并邀请所有投标人的法定代表人或其委托代理人准时参加。</w:t>
      </w:r>
    </w:p>
    <w:p>
      <w:pPr>
        <w:pStyle w:val="4"/>
        <w:widowControl/>
        <w:spacing w:line="360" w:lineRule="auto"/>
        <w:ind w:firstLine="118"/>
        <w:rPr>
          <w:rFonts w:hint="default" w:ascii="宋体" w:eastAsia="宋体" w:cs="宋体"/>
          <w:b/>
          <w:bCs/>
          <w:color w:val="auto"/>
          <w:sz w:val="24"/>
          <w:szCs w:val="24"/>
          <w:highlight w:val="none"/>
        </w:rPr>
      </w:pPr>
      <w:r>
        <w:rPr>
          <w:rFonts w:ascii="宋体" w:eastAsia="宋体" w:cs="宋体"/>
          <w:b/>
          <w:bCs/>
          <w:color w:val="auto"/>
          <w:sz w:val="24"/>
          <w:szCs w:val="24"/>
          <w:highlight w:val="none"/>
        </w:rPr>
        <w:t>5.2 开标程序</w:t>
      </w:r>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lang w:bidi="ar"/>
        </w:rPr>
        <w:t>5.2.1主持人按下列程序进行开标：</w:t>
      </w:r>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lang w:bidi="ar"/>
        </w:rPr>
        <w:t>（1）宣布开标纪律；</w:t>
      </w:r>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lang w:bidi="ar"/>
        </w:rPr>
        <w:t>（2）公布在投标截止时间前递交投标文件的投标人名称；</w:t>
      </w:r>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u w:val="single"/>
          <w:lang w:bidi="ar"/>
        </w:rPr>
        <w:t>（3）在投标截止时间后30分钟内，投标人通过递交投标文件的广州公共资源交易中心交易平台对已递交的电子投标文件进行解密。投标人完成解密后，再由招标人进行解密（投标人只用执行一次解密，招标人执行解密次数根据招标文件开标次数确定）。</w:t>
      </w:r>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u w:val="single"/>
          <w:lang w:bidi="ar"/>
        </w:rPr>
        <w:t>（4）解密完成后，公布：a投标人名称；b投标文件递交情况；c投标文件解密情况；d投标保证金递交情况；e项目负责人、技术负责人、设计负责人、专职安全员；f投标报价（含设计费报价和</w:t>
      </w:r>
      <w:r>
        <w:rPr>
          <w:rFonts w:hint="eastAsia" w:ascii="宋体" w:hAnsi="宋体" w:eastAsia="宋体" w:cs="宋体"/>
          <w:color w:val="auto"/>
          <w:kern w:val="1"/>
          <w:szCs w:val="21"/>
          <w:highlight w:val="none"/>
          <w:u w:val="single"/>
          <w:lang w:bidi="ar"/>
        </w:rPr>
        <w:t>建安工程费</w:t>
      </w:r>
      <w:r>
        <w:rPr>
          <w:rFonts w:hint="eastAsia" w:ascii="宋体" w:hAnsi="宋体" w:eastAsia="宋体" w:cs="宋体"/>
          <w:color w:val="auto"/>
          <w:kern w:val="0"/>
          <w:szCs w:val="22"/>
          <w:highlight w:val="none"/>
          <w:u w:val="single"/>
          <w:lang w:bidi="ar"/>
        </w:rPr>
        <w:t>报价）；g工期；h投标人的加密打包投标文件电脑机器特征码等主要内容，并记录在案。未在规定时间内解密的投标文件不参与开标、评标。</w:t>
      </w:r>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u w:val="single"/>
          <w:lang w:bidi="ar"/>
        </w:rPr>
        <w:t>（5）截标后，开标开始时间因故推迟的，相关评标信息仍以原定的开标开始时间的信息为准。</w:t>
      </w:r>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u w:val="single"/>
          <w:lang w:bidi="ar"/>
        </w:rPr>
        <w:t>（6）备用光盘或U盘的读取按投标人须知前附表“10 电子招标投标”第6点的规定执行。</w:t>
      </w:r>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u w:val="single"/>
          <w:lang w:bidi="ar"/>
        </w:rPr>
        <w:t>（7）开标方式采用电子开标和现场开标两种模式，投标人可选择在开标室参与开标或准时在线参加电子开标，也可不参加开标。参加电子开标的投标人登录广州公共资源交易中心交易平台实时查看开标、唱标情况。广州公共资源交易中心交易平台生成开标记录并向社会公众公布。</w:t>
      </w:r>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u w:val="single"/>
          <w:lang w:bidi="ar"/>
        </w:rPr>
        <w:t>（8）参加现场开标的投标人对开标结果有异议的，应当在开标现场提出，招标人应当当场作出答复，并制作记录。参加电子开标的投标人对开标结果有异议的，应当在唱标结束后的规定时间内、使用单位数字证书登录广州公共资源交易中心交易平台后通过广州公共资源交易中心交易平台提出。招标人授权招标代理机构工作人员使用招标代理机构数字证书登录广州公共资源交易中心交易平台答复异议，异议答复是招标人真实意思表示。未答复的，开标程序不得结束。</w:t>
      </w:r>
    </w:p>
    <w:p>
      <w:pPr>
        <w:spacing w:line="360" w:lineRule="auto"/>
        <w:ind w:firstLine="420"/>
        <w:rPr>
          <w:rFonts w:ascii="宋体" w:hAnsi="宋体" w:eastAsia="宋体" w:cs="宋体"/>
          <w:color w:val="auto"/>
          <w:highlight w:val="none"/>
          <w:u w:val="single"/>
        </w:rPr>
      </w:pPr>
      <w:r>
        <w:rPr>
          <w:rFonts w:hint="eastAsia" w:ascii="宋体" w:hAnsi="宋体" w:eastAsia="宋体" w:cs="宋体"/>
          <w:color w:val="auto"/>
          <w:kern w:val="0"/>
          <w:szCs w:val="22"/>
          <w:highlight w:val="none"/>
          <w:u w:val="single"/>
          <w:lang w:bidi="ar"/>
        </w:rPr>
        <w:t>（9）投标人未参加开标或在规定的时间内未提出异议的，视为对开标无异议。</w:t>
      </w:r>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u w:val="single"/>
          <w:lang w:bidi="ar"/>
        </w:rPr>
        <w:t>（10）开标时，两个（含两个）以上的投标人加密打包投标文件电脑机器特征码一致的，不参与下一程序，并由评标委员会否决其投标。</w:t>
      </w:r>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lang w:bidi="ar"/>
        </w:rPr>
        <w:t>（11）投标人代表、招标人代表、监标人、记录人等有关人员在开标记录上签字确认；若有关人员不签字的，不影响开标程序；</w:t>
      </w:r>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lang w:bidi="ar"/>
        </w:rPr>
        <w:t>（12）开标结束。</w:t>
      </w:r>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1"/>
          <w:highlight w:val="none"/>
          <w:lang w:bidi="ar"/>
        </w:rPr>
        <w:t>5.2.2 投标截止时间前未完成投标文件传输的或因投标人之外的原因造成投标文件未解密且未按要求递交备用光盘（或U盘）的，视为投标人撤回投标文件。因投标人原因造成投标文件未解密或未在规定的时间内解密的，视为撤销其投标文件。</w:t>
      </w:r>
    </w:p>
    <w:p>
      <w:pPr>
        <w:pStyle w:val="4"/>
        <w:widowControl/>
        <w:spacing w:line="360" w:lineRule="auto"/>
        <w:ind w:firstLine="118"/>
        <w:rPr>
          <w:rFonts w:hint="default" w:ascii="宋体" w:eastAsia="宋体" w:cs="宋体"/>
          <w:b/>
          <w:bCs/>
          <w:color w:val="auto"/>
          <w:sz w:val="24"/>
          <w:szCs w:val="24"/>
          <w:highlight w:val="none"/>
        </w:rPr>
      </w:pPr>
      <w:bookmarkStart w:id="279" w:name="_Toc11457"/>
      <w:r>
        <w:rPr>
          <w:rFonts w:ascii="宋体" w:eastAsia="宋体" w:cs="宋体"/>
          <w:b/>
          <w:bCs/>
          <w:color w:val="auto"/>
          <w:sz w:val="24"/>
          <w:szCs w:val="24"/>
          <w:highlight w:val="none"/>
        </w:rPr>
        <w:t>5.3 开标异议</w:t>
      </w:r>
      <w:bookmarkEnd w:id="279"/>
    </w:p>
    <w:p>
      <w:pPr>
        <w:spacing w:line="360" w:lineRule="auto"/>
        <w:ind w:firstLine="42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投标人对开标有异议的，应当</w:t>
      </w:r>
      <w:r>
        <w:rPr>
          <w:rFonts w:hint="eastAsia" w:ascii="宋体" w:hAnsi="宋体" w:eastAsia="宋体" w:cs="宋体"/>
          <w:color w:val="auto"/>
          <w:kern w:val="0"/>
          <w:szCs w:val="21"/>
          <w:highlight w:val="none"/>
          <w:u w:val="single"/>
          <w:lang w:bidi="ar"/>
        </w:rPr>
        <w:t>广州公共资源中心交易平台规定的时间内</w:t>
      </w:r>
      <w:r>
        <w:rPr>
          <w:rFonts w:hint="eastAsia" w:ascii="宋体" w:hAnsi="宋体" w:eastAsia="宋体" w:cs="宋体"/>
          <w:color w:val="auto"/>
          <w:kern w:val="0"/>
          <w:szCs w:val="21"/>
          <w:highlight w:val="none"/>
          <w:lang w:bidi="ar"/>
        </w:rPr>
        <w:t>提出，招标人当场作出答复，并制作记录。</w:t>
      </w:r>
    </w:p>
    <w:p>
      <w:pPr>
        <w:pStyle w:val="3"/>
        <w:widowControl/>
        <w:spacing w:before="312" w:beforeLines="100" w:after="312" w:afterLines="100" w:line="360" w:lineRule="auto"/>
        <w:rPr>
          <w:rFonts w:ascii="宋体" w:hAnsi="宋体" w:eastAsia="宋体" w:cs="宋体"/>
          <w:color w:val="auto"/>
          <w:sz w:val="24"/>
          <w:szCs w:val="24"/>
          <w:highlight w:val="none"/>
          <w:lang w:val="zh-CN"/>
        </w:rPr>
      </w:pPr>
      <w:bookmarkStart w:id="280" w:name="_Toc23707"/>
      <w:bookmarkEnd w:id="280"/>
      <w:bookmarkStart w:id="281" w:name="_Toc20998"/>
      <w:bookmarkEnd w:id="281"/>
      <w:bookmarkStart w:id="282" w:name="_Toc6507"/>
      <w:bookmarkStart w:id="283" w:name="_Toc5620328"/>
      <w:r>
        <w:rPr>
          <w:rFonts w:hint="eastAsia" w:ascii="宋体" w:hAnsi="宋体" w:eastAsia="宋体" w:cs="宋体"/>
          <w:color w:val="auto"/>
          <w:sz w:val="24"/>
          <w:szCs w:val="24"/>
          <w:highlight w:val="none"/>
          <w:lang w:val="zh-CN"/>
        </w:rPr>
        <w:t>6. 评标</w:t>
      </w:r>
      <w:bookmarkEnd w:id="282"/>
      <w:bookmarkEnd w:id="283"/>
    </w:p>
    <w:p>
      <w:pPr>
        <w:pStyle w:val="4"/>
        <w:widowControl/>
        <w:spacing w:line="360" w:lineRule="auto"/>
        <w:ind w:firstLine="118"/>
        <w:rPr>
          <w:rFonts w:hint="default" w:ascii="宋体" w:eastAsia="宋体" w:cs="宋体"/>
          <w:b/>
          <w:bCs/>
          <w:color w:val="auto"/>
          <w:sz w:val="24"/>
          <w:szCs w:val="24"/>
          <w:highlight w:val="none"/>
        </w:rPr>
      </w:pPr>
      <w:bookmarkStart w:id="284" w:name="_Toc5620329"/>
      <w:bookmarkStart w:id="285" w:name="_Toc19143"/>
      <w:r>
        <w:rPr>
          <w:rFonts w:ascii="宋体" w:eastAsia="宋体" w:cs="宋体"/>
          <w:b/>
          <w:bCs/>
          <w:color w:val="auto"/>
          <w:sz w:val="24"/>
          <w:szCs w:val="24"/>
          <w:highlight w:val="none"/>
        </w:rPr>
        <w:t>6.1 评标委员会</w:t>
      </w:r>
      <w:bookmarkEnd w:id="284"/>
      <w:bookmarkEnd w:id="285"/>
    </w:p>
    <w:p>
      <w:pPr>
        <w:spacing w:line="360" w:lineRule="auto"/>
        <w:ind w:firstLine="420"/>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 xml:space="preserve">6.1.1 </w:t>
      </w:r>
      <w:r>
        <w:rPr>
          <w:rFonts w:hint="eastAsia" w:ascii="宋体" w:hAnsi="宋体"/>
          <w:color w:val="auto"/>
          <w:szCs w:val="21"/>
          <w:highlight w:val="none"/>
        </w:rPr>
        <w:t>评标委员会由招标人依法组建。</w:t>
      </w:r>
      <w:r>
        <w:rPr>
          <w:rFonts w:hint="eastAsia" w:ascii="宋体" w:hAnsi="宋体"/>
          <w:color w:val="auto"/>
          <w:szCs w:val="22"/>
          <w:highlight w:val="none"/>
        </w:rPr>
        <w:t>评标委员会人数为5人，除招标人代表外，其他评委均从广东省综合评标评审专家库中抽。</w:t>
      </w:r>
    </w:p>
    <w:p>
      <w:pPr>
        <w:spacing w:line="360" w:lineRule="auto"/>
        <w:ind w:firstLine="42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6.1.2 评标委员会成员有下列情形之一的，应当回避：</w:t>
      </w:r>
    </w:p>
    <w:p>
      <w:pPr>
        <w:spacing w:line="360" w:lineRule="auto"/>
        <w:ind w:firstLine="42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（1）投标人或投标人主要负责人的近亲属；</w:t>
      </w:r>
    </w:p>
    <w:p>
      <w:pPr>
        <w:spacing w:line="360" w:lineRule="auto"/>
        <w:ind w:firstLine="42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（2）项目主管部门或者行政监督部门的人员；</w:t>
      </w:r>
    </w:p>
    <w:p>
      <w:pPr>
        <w:spacing w:line="360" w:lineRule="auto"/>
        <w:ind w:firstLine="42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（3）与投标人有经济利益关系，可能影响对投标公正评审的；</w:t>
      </w:r>
    </w:p>
    <w:p>
      <w:pPr>
        <w:spacing w:line="360" w:lineRule="auto"/>
        <w:ind w:firstLine="42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（4）曾因在招标、评标以及其他与招标投标有关活动中从事违法行为而受过行政处罚或刑事处罚的；</w:t>
      </w:r>
    </w:p>
    <w:p>
      <w:pPr>
        <w:spacing w:line="360" w:lineRule="auto"/>
        <w:ind w:firstLine="42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（5）与投标人有其他利害关系。</w:t>
      </w:r>
    </w:p>
    <w:p>
      <w:pPr>
        <w:spacing w:line="360" w:lineRule="auto"/>
        <w:ind w:firstLine="42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6.1.3 评标委员会的职责及守则：</w:t>
      </w:r>
    </w:p>
    <w:p>
      <w:pPr>
        <w:spacing w:line="360" w:lineRule="auto"/>
        <w:ind w:firstLine="42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1.根据评标细则，对投标文件进行认真评审，完成评审报告；</w:t>
      </w:r>
    </w:p>
    <w:p>
      <w:pPr>
        <w:spacing w:line="360" w:lineRule="auto"/>
        <w:ind w:firstLine="42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2.向招标人报告评审意见，推荐合格的中标候选人；</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3.所有参加评标人员必须遵守国家、地方政府制定的有关工程招标投标的法则、规定，遵守有关工程招标投标的保密制度；如有违反者，给予行政处分；情节严重，构成犯罪的，由司法机关依法追究其刑事责任。</w:t>
      </w:r>
    </w:p>
    <w:p>
      <w:pPr>
        <w:pStyle w:val="4"/>
        <w:widowControl/>
        <w:spacing w:line="360" w:lineRule="auto"/>
        <w:ind w:firstLine="118"/>
        <w:rPr>
          <w:rFonts w:hint="default" w:ascii="宋体" w:eastAsia="宋体" w:cs="宋体"/>
          <w:b/>
          <w:bCs/>
          <w:color w:val="auto"/>
          <w:sz w:val="24"/>
          <w:szCs w:val="24"/>
          <w:highlight w:val="none"/>
        </w:rPr>
      </w:pPr>
      <w:bookmarkStart w:id="286" w:name="_Toc443505829"/>
      <w:bookmarkEnd w:id="286"/>
      <w:bookmarkStart w:id="287" w:name="_Toc7827"/>
      <w:bookmarkStart w:id="288" w:name="_Toc5620330"/>
      <w:r>
        <w:rPr>
          <w:rFonts w:ascii="宋体" w:eastAsia="宋体" w:cs="宋体"/>
          <w:b/>
          <w:bCs/>
          <w:color w:val="auto"/>
          <w:sz w:val="24"/>
          <w:szCs w:val="24"/>
          <w:highlight w:val="none"/>
        </w:rPr>
        <w:t>6.2 评标原则</w:t>
      </w:r>
      <w:bookmarkEnd w:id="287"/>
      <w:bookmarkEnd w:id="288"/>
      <w:r>
        <w:rPr>
          <w:rFonts w:ascii="宋体" w:eastAsia="宋体" w:cs="宋体"/>
          <w:b/>
          <w:bCs/>
          <w:color w:val="auto"/>
          <w:sz w:val="24"/>
          <w:szCs w:val="24"/>
          <w:highlight w:val="none"/>
        </w:rPr>
        <w:tab/>
      </w:r>
    </w:p>
    <w:p>
      <w:pPr>
        <w:spacing w:line="360" w:lineRule="auto"/>
        <w:ind w:firstLine="420"/>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评标活动遵循公平、公正、科学和择优的原则。</w:t>
      </w:r>
    </w:p>
    <w:p>
      <w:pPr>
        <w:pStyle w:val="4"/>
        <w:widowControl/>
        <w:spacing w:line="360" w:lineRule="auto"/>
        <w:ind w:firstLine="118"/>
        <w:rPr>
          <w:rFonts w:hint="default" w:ascii="宋体" w:eastAsia="宋体" w:cs="宋体"/>
          <w:b/>
          <w:bCs/>
          <w:color w:val="auto"/>
          <w:sz w:val="24"/>
          <w:szCs w:val="24"/>
          <w:highlight w:val="none"/>
        </w:rPr>
      </w:pPr>
      <w:bookmarkStart w:id="289" w:name="_Toc5620331"/>
      <w:bookmarkStart w:id="290" w:name="_Toc16832"/>
      <w:r>
        <w:rPr>
          <w:rFonts w:ascii="宋体" w:eastAsia="宋体" w:cs="宋体"/>
          <w:b/>
          <w:bCs/>
          <w:color w:val="auto"/>
          <w:sz w:val="24"/>
          <w:szCs w:val="24"/>
          <w:highlight w:val="none"/>
        </w:rPr>
        <w:t>6.3 评标</w:t>
      </w:r>
      <w:bookmarkEnd w:id="289"/>
      <w:bookmarkEnd w:id="290"/>
    </w:p>
    <w:p>
      <w:pPr>
        <w:spacing w:line="360" w:lineRule="auto"/>
        <w:ind w:firstLine="420"/>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评标委员会按照第三章“评标办法”规定的方法、评审因素、标准和程序对投标文件进行评审。第三章“评标办法”没有规定的方法、评审因素和标准，不作为评标依据。</w:t>
      </w:r>
    </w:p>
    <w:p>
      <w:pPr>
        <w:spacing w:line="360" w:lineRule="auto"/>
        <w:ind w:firstLine="420"/>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在评审过程中，评标委员会可以以书面形式要求投标人就资格审查文件和投标文件中含义不明确的内容进行书面说明并提供相关材料。</w:t>
      </w:r>
    </w:p>
    <w:p>
      <w:pPr>
        <w:spacing w:line="360" w:lineRule="auto"/>
        <w:ind w:firstLine="420"/>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评标委员会经评审，认为所有投标都不符合招标文件要求的，可以否决所有投标。所有投标被否决后，招标人应当依法重新招标。</w:t>
      </w:r>
    </w:p>
    <w:p>
      <w:pPr>
        <w:pStyle w:val="4"/>
        <w:widowControl/>
        <w:spacing w:line="360" w:lineRule="auto"/>
        <w:ind w:firstLine="118"/>
        <w:rPr>
          <w:rFonts w:hint="default" w:ascii="宋体" w:eastAsia="宋体" w:cs="宋体"/>
          <w:b/>
          <w:bCs/>
          <w:color w:val="auto"/>
          <w:sz w:val="24"/>
          <w:szCs w:val="24"/>
          <w:highlight w:val="none"/>
        </w:rPr>
      </w:pPr>
      <w:bookmarkStart w:id="291" w:name="_Toc3416"/>
      <w:r>
        <w:rPr>
          <w:rFonts w:ascii="宋体" w:eastAsia="宋体" w:cs="宋体"/>
          <w:b/>
          <w:bCs/>
          <w:color w:val="auto"/>
          <w:sz w:val="24"/>
          <w:szCs w:val="24"/>
          <w:highlight w:val="none"/>
        </w:rPr>
        <w:t>6.4评标过程的保密</w:t>
      </w:r>
      <w:bookmarkEnd w:id="291"/>
    </w:p>
    <w:p>
      <w:pPr>
        <w:spacing w:line="360" w:lineRule="auto"/>
        <w:ind w:firstLine="420"/>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6.4.1 开标后，直至授予中标人合同为止，凡属于对资格审查文件和投标文件的审查、澄清、评价和比较有关的资料以及中标候选人的推荐情况，与评标有关的其他任何情况均严格保密。</w:t>
      </w:r>
    </w:p>
    <w:p>
      <w:pPr>
        <w:spacing w:line="360" w:lineRule="auto"/>
        <w:ind w:firstLine="420"/>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6.4.2 在资格审查文件和投标文件的评审和比较、中标候选人推荐以及授予合同的过程中，投标人向招标人和评标委员会施加影响的任何行为，都将会导致其投标被拒绝。</w:t>
      </w:r>
    </w:p>
    <w:p>
      <w:pPr>
        <w:spacing w:line="360" w:lineRule="auto"/>
        <w:ind w:firstLine="420"/>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6.4.3 中标人确定后，招标人不对未中标人就评标过程以及未能中标原因作出任何解释。未中标人不得向评标委员会组成人员或其他有关人员索问评标过程的情况和材料。</w:t>
      </w:r>
    </w:p>
    <w:p>
      <w:pPr>
        <w:pStyle w:val="3"/>
        <w:widowControl/>
        <w:spacing w:before="312" w:beforeLines="100" w:after="312" w:afterLines="100" w:line="360" w:lineRule="auto"/>
        <w:rPr>
          <w:rFonts w:ascii="宋体" w:hAnsi="宋体" w:eastAsia="宋体" w:cs="宋体"/>
          <w:color w:val="auto"/>
          <w:sz w:val="24"/>
          <w:szCs w:val="24"/>
          <w:highlight w:val="none"/>
          <w:lang w:val="zh-CN"/>
        </w:rPr>
      </w:pPr>
      <w:bookmarkStart w:id="292" w:name="_Toc27077"/>
      <w:bookmarkEnd w:id="292"/>
      <w:bookmarkStart w:id="293" w:name="_Toc7746"/>
      <w:bookmarkEnd w:id="293"/>
      <w:bookmarkStart w:id="294" w:name="_Toc5620333"/>
      <w:bookmarkStart w:id="295" w:name="_Toc13256"/>
      <w:r>
        <w:rPr>
          <w:rFonts w:hint="eastAsia" w:ascii="宋体" w:hAnsi="宋体" w:eastAsia="宋体" w:cs="宋体"/>
          <w:color w:val="auto"/>
          <w:sz w:val="24"/>
          <w:szCs w:val="24"/>
          <w:highlight w:val="none"/>
          <w:lang w:val="zh-CN"/>
        </w:rPr>
        <w:t>7. 合同授予</w:t>
      </w:r>
      <w:bookmarkEnd w:id="294"/>
      <w:bookmarkEnd w:id="295"/>
    </w:p>
    <w:p>
      <w:pPr>
        <w:pStyle w:val="4"/>
        <w:widowControl/>
        <w:spacing w:line="360" w:lineRule="auto"/>
        <w:ind w:firstLine="118"/>
        <w:rPr>
          <w:rFonts w:hint="default" w:ascii="宋体" w:eastAsia="宋体" w:cs="宋体"/>
          <w:b/>
          <w:bCs/>
          <w:color w:val="auto"/>
          <w:sz w:val="24"/>
          <w:szCs w:val="24"/>
          <w:highlight w:val="none"/>
        </w:rPr>
      </w:pPr>
      <w:bookmarkStart w:id="296" w:name="_Toc5620334"/>
      <w:bookmarkStart w:id="297" w:name="_Toc18404"/>
      <w:r>
        <w:rPr>
          <w:rFonts w:ascii="宋体" w:eastAsia="宋体" w:cs="宋体"/>
          <w:b/>
          <w:bCs/>
          <w:color w:val="auto"/>
          <w:sz w:val="24"/>
          <w:szCs w:val="24"/>
          <w:highlight w:val="none"/>
        </w:rPr>
        <w:t>7.1 定标方式</w:t>
      </w:r>
      <w:bookmarkEnd w:id="296"/>
      <w:bookmarkEnd w:id="297"/>
    </w:p>
    <w:p>
      <w:pPr>
        <w:spacing w:line="360" w:lineRule="auto"/>
        <w:ind w:firstLine="420"/>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7.1.1除投标人须知前附表规定评标委员会直接确定中标人外，招标人依据评标委员会推荐的中标候选人确定中标人，评标委员会推荐中标候选人的人数见投标人须知前附表。</w:t>
      </w:r>
    </w:p>
    <w:p>
      <w:pPr>
        <w:spacing w:line="360" w:lineRule="auto"/>
        <w:ind w:firstLine="420"/>
        <w:rPr>
          <w:rFonts w:ascii="宋体" w:hAnsi="宋体" w:eastAsia="宋体" w:cs="宋体"/>
          <w:color w:val="auto"/>
          <w:kern w:val="1"/>
          <w:szCs w:val="21"/>
          <w:highlight w:val="none"/>
          <w:u w:val="single"/>
        </w:rPr>
      </w:pPr>
      <w:r>
        <w:rPr>
          <w:rFonts w:hint="eastAsia" w:ascii="宋体" w:hAnsi="宋体" w:eastAsia="宋体" w:cs="宋体"/>
          <w:color w:val="auto"/>
          <w:kern w:val="1"/>
          <w:szCs w:val="21"/>
          <w:highlight w:val="none"/>
          <w:u w:val="single"/>
          <w:lang w:bidi="ar"/>
        </w:rPr>
        <w:t>7.1.2依法必须进行公开招标的项目，招标人应当确定排名第一的中标候选人为中标人。</w:t>
      </w:r>
    </w:p>
    <w:p>
      <w:pPr>
        <w:spacing w:line="360" w:lineRule="auto"/>
        <w:ind w:firstLine="420"/>
        <w:rPr>
          <w:rFonts w:ascii="宋体" w:hAnsi="宋体" w:eastAsia="宋体" w:cs="宋体"/>
          <w:color w:val="auto"/>
          <w:kern w:val="1"/>
          <w:szCs w:val="21"/>
          <w:highlight w:val="none"/>
          <w:u w:val="single"/>
        </w:rPr>
      </w:pPr>
      <w:r>
        <w:rPr>
          <w:rFonts w:hint="eastAsia" w:ascii="宋体" w:hAnsi="宋体" w:eastAsia="宋体" w:cs="宋体"/>
          <w:color w:val="auto"/>
          <w:kern w:val="1"/>
          <w:szCs w:val="21"/>
          <w:highlight w:val="none"/>
          <w:u w:val="single"/>
          <w:lang w:bidi="ar"/>
        </w:rPr>
        <w:t>7.1.3排名第一的中标候选人放弃中标、或因不可抗力提出不能履行合同，或者招标文件规定应当提交履约担保而在规定的期限内未能提交的，招标人可以确定排名第二的中标候选人为中标人。</w:t>
      </w:r>
    </w:p>
    <w:p>
      <w:pPr>
        <w:spacing w:line="360" w:lineRule="auto"/>
        <w:ind w:firstLine="420"/>
        <w:rPr>
          <w:rFonts w:ascii="宋体" w:hAnsi="宋体" w:eastAsia="宋体" w:cs="宋体"/>
          <w:color w:val="auto"/>
          <w:kern w:val="1"/>
          <w:szCs w:val="21"/>
          <w:highlight w:val="none"/>
          <w:u w:val="single"/>
        </w:rPr>
      </w:pPr>
      <w:r>
        <w:rPr>
          <w:rFonts w:hint="eastAsia" w:ascii="宋体" w:hAnsi="宋体" w:eastAsia="宋体" w:cs="宋体"/>
          <w:color w:val="auto"/>
          <w:kern w:val="1"/>
          <w:szCs w:val="21"/>
          <w:highlight w:val="none"/>
          <w:u w:val="single"/>
          <w:lang w:bidi="ar"/>
        </w:rPr>
        <w:t>7.1.4排名第二的中标候选人出现前款所列的情形的，招标人可以确定排名第三的中标候选人为中标人。以此类推，如所有中标候选人均出现前款所列的情形，为招标失败，招标人依法重新招标。</w:t>
      </w:r>
    </w:p>
    <w:p>
      <w:pPr>
        <w:pStyle w:val="4"/>
        <w:widowControl/>
        <w:spacing w:line="360" w:lineRule="auto"/>
        <w:ind w:firstLine="118"/>
        <w:rPr>
          <w:rFonts w:hint="default" w:ascii="宋体" w:eastAsia="宋体" w:cs="宋体"/>
          <w:b/>
          <w:bCs/>
          <w:color w:val="auto"/>
          <w:sz w:val="24"/>
          <w:szCs w:val="24"/>
          <w:highlight w:val="none"/>
        </w:rPr>
      </w:pPr>
      <w:bookmarkStart w:id="298" w:name="_Toc5620335"/>
      <w:bookmarkStart w:id="299" w:name="_Toc19474"/>
      <w:r>
        <w:rPr>
          <w:rFonts w:ascii="宋体" w:eastAsia="宋体" w:cs="宋体"/>
          <w:b/>
          <w:bCs/>
          <w:color w:val="auto"/>
          <w:sz w:val="24"/>
          <w:szCs w:val="24"/>
          <w:highlight w:val="none"/>
        </w:rPr>
        <w:t>7.2 中标候选人公示</w:t>
      </w:r>
      <w:bookmarkEnd w:id="298"/>
      <w:bookmarkEnd w:id="299"/>
    </w:p>
    <w:p>
      <w:pPr>
        <w:spacing w:line="360" w:lineRule="auto"/>
        <w:ind w:firstLine="420"/>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7.2.1</w:t>
      </w:r>
      <w:r>
        <w:rPr>
          <w:rFonts w:hint="eastAsia" w:ascii="宋体" w:hAnsi="宋体" w:eastAsia="宋体" w:cs="宋体"/>
          <w:color w:val="auto"/>
          <w:kern w:val="1"/>
          <w:highlight w:val="none"/>
          <w:lang w:bidi="ar"/>
        </w:rPr>
        <w:t>招标人在投标人须知前附表规定的媒介公示中标候选人</w:t>
      </w:r>
      <w:r>
        <w:rPr>
          <w:rFonts w:hint="eastAsia" w:ascii="宋体" w:hAnsi="宋体" w:eastAsia="宋体" w:cs="宋体"/>
          <w:color w:val="auto"/>
          <w:kern w:val="1"/>
          <w:szCs w:val="21"/>
          <w:highlight w:val="none"/>
          <w:lang w:bidi="ar"/>
        </w:rPr>
        <w:t>。</w:t>
      </w:r>
    </w:p>
    <w:p>
      <w:pPr>
        <w:spacing w:line="360" w:lineRule="auto"/>
        <w:ind w:firstLine="420"/>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u w:val="single"/>
          <w:lang w:bidi="ar"/>
        </w:rPr>
        <w:t>7.2.2在产生中标候选人后，招标人将中标候选人的投标文件商务部分文件的电子文件（包括人员、业绩、奖项等资料）要求提供资料的电子版在广州公共资源交易中心网站和广东省招标投标监管网公开。</w:t>
      </w:r>
    </w:p>
    <w:p>
      <w:pPr>
        <w:pStyle w:val="4"/>
        <w:widowControl/>
        <w:spacing w:line="360" w:lineRule="auto"/>
        <w:ind w:firstLine="118"/>
        <w:rPr>
          <w:rFonts w:hint="default" w:ascii="宋体" w:eastAsia="宋体" w:cs="宋体"/>
          <w:b/>
          <w:bCs/>
          <w:color w:val="auto"/>
          <w:sz w:val="24"/>
          <w:szCs w:val="24"/>
          <w:highlight w:val="none"/>
        </w:rPr>
      </w:pPr>
      <w:bookmarkStart w:id="300" w:name="_Toc5620336"/>
      <w:bookmarkStart w:id="301" w:name="_Toc28278"/>
      <w:r>
        <w:rPr>
          <w:rFonts w:ascii="宋体" w:eastAsia="宋体" w:cs="宋体"/>
          <w:b/>
          <w:bCs/>
          <w:color w:val="auto"/>
          <w:sz w:val="24"/>
          <w:szCs w:val="24"/>
          <w:highlight w:val="none"/>
        </w:rPr>
        <w:t>7.3 中标通知</w:t>
      </w:r>
      <w:bookmarkEnd w:id="300"/>
      <w:bookmarkEnd w:id="301"/>
    </w:p>
    <w:p>
      <w:pPr>
        <w:spacing w:line="360" w:lineRule="auto"/>
        <w:ind w:firstLine="420"/>
        <w:rPr>
          <w:rFonts w:ascii="宋体" w:hAnsi="宋体" w:eastAsia="宋体" w:cs="宋体"/>
          <w:color w:val="auto"/>
          <w:kern w:val="1"/>
          <w:highlight w:val="none"/>
        </w:rPr>
      </w:pPr>
      <w:r>
        <w:rPr>
          <w:rFonts w:hint="eastAsia" w:ascii="宋体" w:hAnsi="宋体" w:eastAsia="宋体" w:cs="宋体"/>
          <w:color w:val="auto"/>
          <w:kern w:val="1"/>
          <w:szCs w:val="22"/>
          <w:highlight w:val="none"/>
          <w:lang w:bidi="ar"/>
        </w:rPr>
        <w:t>7.3.1 评标公示后，在本章第3.3 款规定的投标有效期内，招标人以书面形式向中标人发出中标通知书，中标通知书发出前须经广州公共资源交易中心盖章确认。</w:t>
      </w:r>
    </w:p>
    <w:p>
      <w:pPr>
        <w:spacing w:line="360" w:lineRule="auto"/>
        <w:ind w:firstLine="420"/>
        <w:rPr>
          <w:rFonts w:ascii="宋体" w:hAnsi="宋体" w:eastAsia="宋体" w:cs="宋体"/>
          <w:color w:val="auto"/>
          <w:kern w:val="1"/>
          <w:highlight w:val="none"/>
        </w:rPr>
      </w:pPr>
      <w:r>
        <w:rPr>
          <w:rFonts w:hint="eastAsia" w:ascii="宋体" w:hAnsi="宋体" w:eastAsia="宋体" w:cs="宋体"/>
          <w:color w:val="auto"/>
          <w:kern w:val="1"/>
          <w:szCs w:val="22"/>
          <w:highlight w:val="none"/>
          <w:lang w:bidi="ar"/>
        </w:rPr>
        <w:t>7.3.2中标人自行于广州公共资源交易中心交易平台下载中标通知书，同时招标人将中标结果通过广州公共资源交易中心交易平台公开发布。中标人须对其投标文件真实性负责，并准备投标文件涉及的所有原件待查，如存在弄虚作假情况或原件不齐或与原件不符的，招标人有权取消其中标人资格，并上报建设行政主管部门。</w:t>
      </w:r>
    </w:p>
    <w:p>
      <w:pPr>
        <w:spacing w:line="360" w:lineRule="auto"/>
        <w:ind w:firstLine="420"/>
        <w:rPr>
          <w:rFonts w:ascii="宋体" w:hAnsi="宋体" w:eastAsia="宋体" w:cs="宋体"/>
          <w:color w:val="auto"/>
          <w:kern w:val="1"/>
          <w:highlight w:val="none"/>
        </w:rPr>
      </w:pPr>
      <w:r>
        <w:rPr>
          <w:rFonts w:hint="eastAsia" w:ascii="宋体" w:hAnsi="宋体" w:eastAsia="宋体" w:cs="宋体"/>
          <w:color w:val="auto"/>
          <w:kern w:val="1"/>
          <w:szCs w:val="22"/>
          <w:highlight w:val="none"/>
          <w:lang w:bidi="ar"/>
        </w:rPr>
        <w:t>7.3.3 招标人应当自确定中标人后，向招投标监管机构提交招标投标情况的书面报告；经招投标监管机构备案后，方可发出中标通知书。中标通知书由招标人（或招标代理机构）颁发，并经广州公共资源交易中心确认。</w:t>
      </w:r>
    </w:p>
    <w:p>
      <w:pPr>
        <w:pStyle w:val="4"/>
        <w:widowControl/>
        <w:spacing w:line="360" w:lineRule="auto"/>
        <w:ind w:firstLine="118"/>
        <w:rPr>
          <w:rFonts w:hint="default" w:ascii="宋体" w:eastAsia="宋体" w:cs="宋体"/>
          <w:b/>
          <w:bCs/>
          <w:color w:val="auto"/>
          <w:sz w:val="24"/>
          <w:szCs w:val="24"/>
          <w:highlight w:val="none"/>
        </w:rPr>
      </w:pPr>
      <w:bookmarkStart w:id="302" w:name="_Toc26932"/>
      <w:bookmarkStart w:id="303" w:name="_Toc5620337"/>
      <w:r>
        <w:rPr>
          <w:rFonts w:ascii="宋体" w:eastAsia="宋体" w:cs="宋体"/>
          <w:b/>
          <w:bCs/>
          <w:color w:val="auto"/>
          <w:sz w:val="24"/>
          <w:szCs w:val="24"/>
          <w:highlight w:val="none"/>
        </w:rPr>
        <w:t>7.4 履约担保</w:t>
      </w:r>
      <w:bookmarkEnd w:id="302"/>
      <w:bookmarkEnd w:id="303"/>
    </w:p>
    <w:p>
      <w:pPr>
        <w:spacing w:line="360" w:lineRule="auto"/>
        <w:ind w:firstLine="420"/>
        <w:rPr>
          <w:rFonts w:ascii="宋体" w:hAnsi="宋体" w:eastAsia="宋体" w:cs="宋体"/>
          <w:color w:val="auto"/>
          <w:kern w:val="1"/>
          <w:highlight w:val="none"/>
        </w:rPr>
      </w:pPr>
      <w:r>
        <w:rPr>
          <w:rFonts w:hint="eastAsia" w:ascii="宋体" w:hAnsi="宋体" w:eastAsia="宋体" w:cs="宋体"/>
          <w:color w:val="auto"/>
          <w:kern w:val="1"/>
          <w:szCs w:val="21"/>
          <w:highlight w:val="none"/>
          <w:lang w:bidi="ar"/>
        </w:rPr>
        <w:t>7.4.1 在签订合同前，中标人应按投标人须知前附表规定的担保形式向招标人提交履约担保。除投标人须知前附表另有规定外，履约担保金额为中标合同金额的10%。履约保函的担保期限为履约担保之日起至合同工程经结算审定部门结算审定完成并移交工程档案后止。</w:t>
      </w:r>
    </w:p>
    <w:p>
      <w:pPr>
        <w:spacing w:line="360" w:lineRule="auto"/>
        <w:ind w:firstLine="420"/>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7.4.2 中标人不能按本章第7.4.1项要求提交履约担保的，视为放弃中标，给招标人造成损失的，中标人还应当予以赔偿。</w:t>
      </w:r>
    </w:p>
    <w:p>
      <w:pPr>
        <w:spacing w:line="360" w:lineRule="auto"/>
        <w:ind w:firstLine="420"/>
        <w:rPr>
          <w:rFonts w:ascii="宋体" w:hAnsi="宋体" w:eastAsia="宋体" w:cs="宋体"/>
          <w:color w:val="auto"/>
          <w:kern w:val="1"/>
          <w:szCs w:val="21"/>
          <w:highlight w:val="none"/>
        </w:rPr>
      </w:pPr>
      <w:r>
        <w:rPr>
          <w:rFonts w:hint="eastAsia" w:ascii="宋体" w:hAnsi="宋体" w:eastAsia="宋体" w:cs="宋体"/>
          <w:color w:val="auto"/>
          <w:kern w:val="0"/>
          <w:szCs w:val="21"/>
          <w:highlight w:val="none"/>
          <w:u w:val="single"/>
          <w:lang w:bidi="ar"/>
        </w:rPr>
        <w:t>7.4.3 在收到中标通知书后的10日内，中标人应按投标人须知前附表第7.4.1项的规定向招标人提交履约担保；如果中标人的履约担保是以银行保函的形式提供，则该银行保函应由在中国注册且营业地点在广州行政辖区内的银行开具。</w:t>
      </w:r>
    </w:p>
    <w:p>
      <w:pPr>
        <w:pStyle w:val="4"/>
        <w:widowControl/>
        <w:spacing w:line="360" w:lineRule="auto"/>
        <w:ind w:firstLine="118"/>
        <w:rPr>
          <w:rFonts w:hint="default" w:ascii="宋体" w:eastAsia="宋体" w:cs="宋体"/>
          <w:b/>
          <w:bCs/>
          <w:color w:val="auto"/>
          <w:sz w:val="24"/>
          <w:szCs w:val="24"/>
          <w:highlight w:val="none"/>
        </w:rPr>
      </w:pPr>
      <w:bookmarkStart w:id="304" w:name="_Toc5620338"/>
      <w:bookmarkStart w:id="305" w:name="_Toc18213"/>
      <w:r>
        <w:rPr>
          <w:rFonts w:ascii="宋体" w:eastAsia="宋体" w:cs="宋体"/>
          <w:b/>
          <w:bCs/>
          <w:color w:val="auto"/>
          <w:sz w:val="24"/>
          <w:szCs w:val="24"/>
          <w:highlight w:val="none"/>
        </w:rPr>
        <w:t>7.5 签订合同</w:t>
      </w:r>
      <w:bookmarkEnd w:id="304"/>
      <w:bookmarkEnd w:id="305"/>
    </w:p>
    <w:p>
      <w:pPr>
        <w:spacing w:line="360" w:lineRule="auto"/>
        <w:ind w:firstLine="420"/>
        <w:rPr>
          <w:rFonts w:ascii="宋体" w:hAnsi="宋体" w:eastAsia="宋体" w:cs="宋体"/>
          <w:color w:val="auto"/>
          <w:kern w:val="1"/>
          <w:highlight w:val="none"/>
        </w:rPr>
      </w:pPr>
      <w:r>
        <w:rPr>
          <w:rFonts w:hint="eastAsia" w:ascii="宋体" w:hAnsi="宋体" w:eastAsia="宋体" w:cs="宋体"/>
          <w:color w:val="auto"/>
          <w:kern w:val="1"/>
          <w:szCs w:val="22"/>
          <w:highlight w:val="none"/>
          <w:lang w:bidi="ar"/>
        </w:rPr>
        <w:t xml:space="preserve">7.5.1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 </w:t>
      </w:r>
    </w:p>
    <w:p>
      <w:pPr>
        <w:spacing w:line="360" w:lineRule="auto"/>
        <w:ind w:firstLine="420"/>
        <w:rPr>
          <w:rFonts w:ascii="宋体" w:hAnsi="宋体" w:eastAsia="宋体" w:cs="宋体"/>
          <w:color w:val="auto"/>
          <w:kern w:val="1"/>
          <w:highlight w:val="none"/>
        </w:rPr>
      </w:pPr>
      <w:r>
        <w:rPr>
          <w:rFonts w:hint="eastAsia" w:ascii="宋体" w:hAnsi="宋体" w:eastAsia="宋体" w:cs="宋体"/>
          <w:color w:val="auto"/>
          <w:kern w:val="1"/>
          <w:szCs w:val="22"/>
          <w:highlight w:val="none"/>
          <w:lang w:bidi="ar"/>
        </w:rPr>
        <w:t>7.5.2 发出中标通知书后，招标人无正当理由拒签合同的，招标人向中标人退还投标保证金；给中标人造成损失的，还应当赔偿损失。</w:t>
      </w:r>
    </w:p>
    <w:p>
      <w:pPr>
        <w:pStyle w:val="3"/>
        <w:widowControl/>
        <w:spacing w:before="312" w:beforeLines="100" w:after="312" w:afterLines="100" w:line="360" w:lineRule="auto"/>
        <w:rPr>
          <w:rFonts w:ascii="宋体" w:hAnsi="宋体" w:eastAsia="宋体" w:cs="宋体"/>
          <w:color w:val="auto"/>
          <w:sz w:val="24"/>
          <w:szCs w:val="24"/>
          <w:highlight w:val="none"/>
          <w:lang w:val="zh-CN"/>
        </w:rPr>
      </w:pPr>
      <w:bookmarkStart w:id="306" w:name="_Toc21320"/>
      <w:bookmarkEnd w:id="306"/>
      <w:bookmarkStart w:id="307" w:name="_Toc30835"/>
      <w:bookmarkEnd w:id="307"/>
      <w:bookmarkStart w:id="308" w:name="_Toc443505831"/>
      <w:bookmarkEnd w:id="308"/>
      <w:bookmarkStart w:id="309" w:name="_Toc5620339"/>
      <w:bookmarkStart w:id="310" w:name="_Toc9984"/>
      <w:r>
        <w:rPr>
          <w:rFonts w:hint="eastAsia" w:ascii="宋体" w:hAnsi="宋体" w:eastAsia="宋体" w:cs="宋体"/>
          <w:color w:val="auto"/>
          <w:sz w:val="24"/>
          <w:szCs w:val="24"/>
          <w:highlight w:val="none"/>
          <w:lang w:val="zh-CN"/>
        </w:rPr>
        <w:t>8. 纪律和监督</w:t>
      </w:r>
      <w:bookmarkEnd w:id="309"/>
      <w:bookmarkEnd w:id="310"/>
    </w:p>
    <w:p>
      <w:pPr>
        <w:pStyle w:val="4"/>
        <w:widowControl/>
        <w:spacing w:line="360" w:lineRule="auto"/>
        <w:ind w:firstLine="118"/>
        <w:rPr>
          <w:rFonts w:hint="default" w:ascii="宋体" w:eastAsia="宋体" w:cs="宋体"/>
          <w:b/>
          <w:bCs/>
          <w:color w:val="auto"/>
          <w:sz w:val="24"/>
          <w:szCs w:val="24"/>
          <w:highlight w:val="none"/>
          <w:lang w:val="zh-CN"/>
        </w:rPr>
      </w:pPr>
      <w:bookmarkStart w:id="311" w:name="_Toc443505832"/>
      <w:bookmarkEnd w:id="311"/>
      <w:bookmarkStart w:id="312" w:name="_Toc30367"/>
      <w:bookmarkEnd w:id="312"/>
      <w:bookmarkStart w:id="313" w:name="_Toc7252"/>
      <w:bookmarkEnd w:id="313"/>
      <w:bookmarkStart w:id="314" w:name="_Toc5620340"/>
      <w:r>
        <w:rPr>
          <w:rFonts w:ascii="宋体" w:eastAsia="宋体" w:cs="宋体"/>
          <w:b/>
          <w:bCs/>
          <w:color w:val="auto"/>
          <w:sz w:val="24"/>
          <w:szCs w:val="24"/>
          <w:highlight w:val="none"/>
          <w:lang w:val="zh-CN"/>
        </w:rPr>
        <w:t>8.1 对招标人的纪律要求</w:t>
      </w:r>
      <w:bookmarkEnd w:id="314"/>
    </w:p>
    <w:p>
      <w:pPr>
        <w:spacing w:line="360" w:lineRule="auto"/>
        <w:ind w:firstLine="420"/>
        <w:rPr>
          <w:rFonts w:ascii="宋体" w:hAnsi="宋体" w:eastAsia="宋体" w:cs="宋体"/>
          <w:color w:val="auto"/>
          <w:kern w:val="1"/>
          <w:highlight w:val="none"/>
        </w:rPr>
      </w:pPr>
      <w:r>
        <w:rPr>
          <w:rFonts w:hint="eastAsia" w:ascii="宋体" w:hAnsi="宋体" w:eastAsia="宋体" w:cs="宋体"/>
          <w:color w:val="auto"/>
          <w:kern w:val="1"/>
          <w:szCs w:val="22"/>
          <w:highlight w:val="none"/>
          <w:lang w:bidi="ar"/>
        </w:rPr>
        <w:t>招标人不得泄漏招标投标活动中应当保密的情况和资料，不得与投标人串通损害国家利益、社会公共利益或者他人合法权益。</w:t>
      </w:r>
    </w:p>
    <w:p>
      <w:pPr>
        <w:pStyle w:val="4"/>
        <w:widowControl/>
        <w:spacing w:line="360" w:lineRule="auto"/>
        <w:ind w:firstLine="118"/>
        <w:rPr>
          <w:rFonts w:hint="default" w:ascii="宋体" w:eastAsia="宋体" w:cs="宋体"/>
          <w:b/>
          <w:bCs/>
          <w:color w:val="auto"/>
          <w:sz w:val="24"/>
          <w:szCs w:val="24"/>
          <w:highlight w:val="none"/>
          <w:lang w:val="zh-CN"/>
        </w:rPr>
      </w:pPr>
      <w:r>
        <w:rPr>
          <w:rFonts w:ascii="宋体" w:eastAsia="宋体" w:cs="宋体"/>
          <w:b/>
          <w:bCs/>
          <w:color w:val="auto"/>
          <w:sz w:val="24"/>
          <w:szCs w:val="24"/>
          <w:highlight w:val="none"/>
          <w:lang w:val="zh-CN"/>
        </w:rPr>
        <w:t>8.2 对投标人的纪律要求</w:t>
      </w:r>
    </w:p>
    <w:p>
      <w:pPr>
        <w:spacing w:line="360" w:lineRule="auto"/>
        <w:ind w:firstLine="420"/>
        <w:rPr>
          <w:rFonts w:ascii="宋体" w:hAnsi="宋体" w:eastAsia="宋体" w:cs="宋体"/>
          <w:color w:val="auto"/>
          <w:kern w:val="1"/>
          <w:highlight w:val="none"/>
        </w:rPr>
      </w:pPr>
      <w:r>
        <w:rPr>
          <w:rFonts w:hint="eastAsia" w:ascii="宋体" w:hAnsi="宋体" w:eastAsia="宋体" w:cs="宋体"/>
          <w:color w:val="auto"/>
          <w:kern w:val="0"/>
          <w:szCs w:val="22"/>
          <w:highlight w:val="none"/>
          <w:lang w:bidi="ar"/>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4"/>
        <w:widowControl/>
        <w:spacing w:line="360" w:lineRule="auto"/>
        <w:ind w:firstLine="118"/>
        <w:rPr>
          <w:rFonts w:hint="default" w:ascii="宋体" w:eastAsia="宋体" w:cs="宋体"/>
          <w:b/>
          <w:bCs/>
          <w:color w:val="auto"/>
          <w:sz w:val="24"/>
          <w:szCs w:val="24"/>
          <w:highlight w:val="none"/>
          <w:lang w:val="zh-CN"/>
        </w:rPr>
      </w:pPr>
      <w:r>
        <w:rPr>
          <w:rFonts w:ascii="宋体" w:eastAsia="宋体" w:cs="宋体"/>
          <w:b/>
          <w:bCs/>
          <w:color w:val="auto"/>
          <w:sz w:val="24"/>
          <w:szCs w:val="24"/>
          <w:highlight w:val="none"/>
          <w:lang w:val="zh-CN"/>
        </w:rPr>
        <w:t>8.3 对评标委员会成员的纪律要求</w:t>
      </w:r>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lang w:bidi="ar"/>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pStyle w:val="4"/>
        <w:widowControl/>
        <w:spacing w:line="360" w:lineRule="auto"/>
        <w:ind w:firstLine="118"/>
        <w:rPr>
          <w:rFonts w:hint="default" w:ascii="宋体" w:eastAsia="宋体" w:cs="宋体"/>
          <w:b/>
          <w:bCs/>
          <w:color w:val="auto"/>
          <w:sz w:val="24"/>
          <w:szCs w:val="24"/>
          <w:highlight w:val="none"/>
          <w:lang w:val="zh-CN"/>
        </w:rPr>
      </w:pPr>
      <w:r>
        <w:rPr>
          <w:rFonts w:ascii="宋体" w:eastAsia="宋体" w:cs="宋体"/>
          <w:b/>
          <w:bCs/>
          <w:color w:val="auto"/>
          <w:sz w:val="24"/>
          <w:szCs w:val="24"/>
          <w:highlight w:val="none"/>
          <w:lang w:val="zh-CN"/>
        </w:rPr>
        <w:t>8.4 对与评标活动有关的工作人员的纪律要求</w:t>
      </w:r>
    </w:p>
    <w:p>
      <w:pPr>
        <w:spacing w:line="360" w:lineRule="auto"/>
        <w:ind w:firstLine="420"/>
        <w:rPr>
          <w:rFonts w:ascii="宋体" w:hAnsi="宋体" w:eastAsia="宋体" w:cs="宋体"/>
          <w:color w:val="auto"/>
          <w:kern w:val="1"/>
          <w:highlight w:val="none"/>
        </w:rPr>
      </w:pPr>
      <w:bookmarkStart w:id="315" w:name="_Toc152042355"/>
      <w:r>
        <w:rPr>
          <w:rFonts w:hint="eastAsia" w:ascii="宋体" w:hAnsi="宋体" w:eastAsia="宋体" w:cs="宋体"/>
          <w:color w:val="auto"/>
          <w:kern w:val="0"/>
          <w:szCs w:val="22"/>
          <w:highlight w:val="none"/>
          <w:lang w:bidi="ar"/>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15"/>
    </w:p>
    <w:p>
      <w:pPr>
        <w:pStyle w:val="4"/>
        <w:widowControl/>
        <w:spacing w:line="360" w:lineRule="auto"/>
        <w:ind w:firstLine="118"/>
        <w:rPr>
          <w:rFonts w:hint="default" w:ascii="宋体" w:eastAsia="宋体" w:cs="宋体"/>
          <w:b/>
          <w:bCs/>
          <w:color w:val="auto"/>
          <w:sz w:val="24"/>
          <w:szCs w:val="24"/>
          <w:highlight w:val="none"/>
          <w:lang w:val="zh-CN"/>
        </w:rPr>
      </w:pPr>
      <w:r>
        <w:rPr>
          <w:rFonts w:ascii="宋体" w:eastAsia="宋体" w:cs="宋体"/>
          <w:b/>
          <w:bCs/>
          <w:color w:val="auto"/>
          <w:sz w:val="24"/>
          <w:szCs w:val="24"/>
          <w:highlight w:val="none"/>
          <w:lang w:val="zh-CN"/>
        </w:rPr>
        <w:t>8.5 投诉</w:t>
      </w:r>
    </w:p>
    <w:p>
      <w:pPr>
        <w:spacing w:line="360" w:lineRule="auto"/>
        <w:ind w:firstLine="420"/>
        <w:rPr>
          <w:rFonts w:ascii="宋体" w:hAnsi="宋体" w:eastAsia="宋体" w:cs="宋体"/>
          <w:color w:val="auto"/>
          <w:kern w:val="1"/>
          <w:highlight w:val="none"/>
        </w:rPr>
      </w:pPr>
      <w:r>
        <w:rPr>
          <w:rFonts w:hint="eastAsia" w:ascii="宋体" w:hAnsi="宋体" w:eastAsia="宋体" w:cs="宋体"/>
          <w:color w:val="auto"/>
          <w:kern w:val="0"/>
          <w:szCs w:val="22"/>
          <w:highlight w:val="none"/>
          <w:lang w:bidi="ar"/>
        </w:rPr>
        <w:t>投标人和其他利害关系人认为本次招标活动违反法律、法规和规章规定的，有权向有关行政监督部门投诉。</w:t>
      </w:r>
    </w:p>
    <w:p>
      <w:pPr>
        <w:pStyle w:val="3"/>
        <w:widowControl/>
        <w:spacing w:line="360" w:lineRule="auto"/>
        <w:rPr>
          <w:rFonts w:ascii="宋体" w:hAnsi="宋体" w:eastAsia="宋体" w:cs="宋体"/>
          <w:color w:val="auto"/>
          <w:sz w:val="24"/>
          <w:szCs w:val="24"/>
          <w:highlight w:val="none"/>
          <w:lang w:val="zh-CN"/>
        </w:rPr>
      </w:pPr>
      <w:bookmarkStart w:id="316" w:name="_Toc443505833"/>
      <w:bookmarkEnd w:id="316"/>
      <w:bookmarkStart w:id="317" w:name="_Toc17396"/>
      <w:bookmarkEnd w:id="317"/>
      <w:bookmarkStart w:id="318" w:name="_Toc10775"/>
      <w:bookmarkEnd w:id="318"/>
      <w:bookmarkStart w:id="319" w:name="_Toc5620341"/>
      <w:bookmarkStart w:id="320" w:name="_Toc11223"/>
      <w:r>
        <w:rPr>
          <w:rFonts w:hint="eastAsia" w:ascii="宋体" w:hAnsi="宋体" w:eastAsia="宋体" w:cs="宋体"/>
          <w:color w:val="auto"/>
          <w:sz w:val="24"/>
          <w:szCs w:val="24"/>
          <w:highlight w:val="none"/>
          <w:lang w:val="zh-CN"/>
        </w:rPr>
        <w:t>9. 需要补充的其他内容</w:t>
      </w:r>
      <w:bookmarkEnd w:id="319"/>
      <w:bookmarkEnd w:id="320"/>
    </w:p>
    <w:p>
      <w:pPr>
        <w:spacing w:line="360" w:lineRule="auto"/>
        <w:ind w:firstLine="420"/>
        <w:rPr>
          <w:rFonts w:ascii="宋体" w:hAnsi="宋体" w:eastAsia="宋体" w:cs="宋体"/>
          <w:color w:val="auto"/>
          <w:kern w:val="1"/>
          <w:highlight w:val="none"/>
        </w:rPr>
      </w:pPr>
      <w:r>
        <w:rPr>
          <w:rFonts w:hint="eastAsia" w:ascii="宋体" w:hAnsi="宋体" w:eastAsia="宋体" w:cs="宋体"/>
          <w:color w:val="auto"/>
          <w:kern w:val="1"/>
          <w:szCs w:val="22"/>
          <w:highlight w:val="none"/>
          <w:lang w:bidi="ar"/>
        </w:rPr>
        <w:t>需要补充的其他内容：见投标人须知前附表。</w:t>
      </w:r>
    </w:p>
    <w:p>
      <w:pPr>
        <w:pStyle w:val="3"/>
        <w:widowControl/>
        <w:spacing w:line="360" w:lineRule="auto"/>
        <w:rPr>
          <w:rFonts w:ascii="宋体" w:hAnsi="宋体" w:eastAsia="宋体" w:cs="宋体"/>
          <w:color w:val="auto"/>
          <w:sz w:val="24"/>
          <w:szCs w:val="24"/>
          <w:highlight w:val="none"/>
          <w:lang w:val="zh-CN"/>
        </w:rPr>
      </w:pPr>
      <w:bookmarkStart w:id="321" w:name="_Toc26121"/>
      <w:bookmarkEnd w:id="321"/>
      <w:bookmarkStart w:id="322" w:name="_Toc3028"/>
      <w:bookmarkEnd w:id="322"/>
      <w:bookmarkStart w:id="323" w:name="_Toc443505834"/>
      <w:bookmarkEnd w:id="323"/>
      <w:bookmarkStart w:id="324" w:name="_Toc10563"/>
      <w:bookmarkStart w:id="325" w:name="_Toc5620342"/>
      <w:r>
        <w:rPr>
          <w:rFonts w:hint="eastAsia" w:ascii="宋体" w:hAnsi="宋体" w:eastAsia="宋体" w:cs="宋体"/>
          <w:color w:val="auto"/>
          <w:sz w:val="24"/>
          <w:szCs w:val="24"/>
          <w:highlight w:val="none"/>
          <w:lang w:val="zh-CN"/>
        </w:rPr>
        <w:t>10. 电子招标投标</w:t>
      </w:r>
      <w:bookmarkEnd w:id="324"/>
      <w:bookmarkEnd w:id="325"/>
    </w:p>
    <w:p>
      <w:pPr>
        <w:spacing w:line="360" w:lineRule="auto"/>
        <w:ind w:firstLine="420"/>
        <w:rPr>
          <w:rFonts w:ascii="宋体" w:hAnsi="宋体" w:eastAsia="宋体" w:cs="宋体"/>
          <w:color w:val="auto"/>
          <w:kern w:val="1"/>
          <w:highlight w:val="none"/>
        </w:rPr>
      </w:pPr>
      <w:r>
        <w:rPr>
          <w:rFonts w:hint="eastAsia" w:ascii="宋体" w:hAnsi="宋体" w:eastAsia="宋体" w:cs="宋体"/>
          <w:color w:val="auto"/>
          <w:kern w:val="0"/>
          <w:szCs w:val="22"/>
          <w:highlight w:val="none"/>
          <w:lang w:bidi="ar"/>
        </w:rPr>
        <w:t>采用电子招标投标，对投标文件的编制、密封和标记、递交、开标、评标等具体要求，见投标人须知前附表。</w:t>
      </w:r>
    </w:p>
    <w:p>
      <w:pPr>
        <w:pStyle w:val="3"/>
        <w:widowControl/>
        <w:spacing w:line="360" w:lineRule="auto"/>
        <w:rPr>
          <w:rFonts w:ascii="宋体" w:hAnsi="宋体" w:eastAsia="宋体" w:cs="宋体"/>
          <w:color w:val="auto"/>
          <w:sz w:val="24"/>
          <w:szCs w:val="24"/>
          <w:highlight w:val="none"/>
          <w:u w:val="single"/>
          <w:lang w:val="zh-CN"/>
        </w:rPr>
      </w:pPr>
      <w:bookmarkStart w:id="326" w:name="_Toc25267"/>
      <w:bookmarkEnd w:id="326"/>
      <w:bookmarkStart w:id="327" w:name="_Toc20042"/>
      <w:bookmarkEnd w:id="327"/>
      <w:bookmarkStart w:id="328" w:name="_Toc5620343"/>
      <w:bookmarkStart w:id="329" w:name="_Toc25448"/>
      <w:bookmarkStart w:id="330" w:name="_Toc32213"/>
      <w:r>
        <w:rPr>
          <w:rFonts w:hint="eastAsia" w:ascii="宋体" w:hAnsi="宋体" w:eastAsia="宋体" w:cs="宋体"/>
          <w:color w:val="auto"/>
          <w:sz w:val="24"/>
          <w:szCs w:val="24"/>
          <w:highlight w:val="none"/>
          <w:u w:val="single"/>
          <w:lang w:val="zh-CN"/>
        </w:rPr>
        <w:t>11.其他</w:t>
      </w:r>
      <w:bookmarkEnd w:id="328"/>
      <w:bookmarkEnd w:id="329"/>
      <w:bookmarkEnd w:id="330"/>
    </w:p>
    <w:p>
      <w:pPr>
        <w:spacing w:line="360" w:lineRule="auto"/>
        <w:ind w:firstLine="420"/>
        <w:rPr>
          <w:rFonts w:ascii="宋体" w:hAnsi="宋体" w:eastAsia="宋体" w:cs="宋体"/>
          <w:color w:val="auto"/>
          <w:highlight w:val="none"/>
          <w:u w:val="single"/>
        </w:rPr>
      </w:pPr>
      <w:bookmarkStart w:id="331" w:name="_Toc5620344"/>
      <w:r>
        <w:rPr>
          <w:rFonts w:hint="eastAsia" w:ascii="宋体" w:hAnsi="宋体" w:eastAsia="宋体" w:cs="宋体"/>
          <w:color w:val="auto"/>
          <w:kern w:val="0"/>
          <w:szCs w:val="22"/>
          <w:highlight w:val="none"/>
          <w:u w:val="single"/>
          <w:lang w:bidi="ar"/>
        </w:rPr>
        <w:t>11.1 投标人按招标文件要求递交的所有资料,若存在虚假材料，一经发现或被投诉，经确认证实后，招标人将取消其中标资格，并上报给相关主管部门予以通报。</w:t>
      </w:r>
      <w:bookmarkEnd w:id="331"/>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u w:val="single"/>
          <w:lang w:bidi="ar"/>
        </w:rPr>
        <w:t>11.2投标人如在本项目中存在串通投标、弄虚作假、行贿情形的，中标无效，该投标人将被招标人列入黑名单并限制其投标。行政监督部门将对其违法行为进行政处罚并通报。</w:t>
      </w:r>
    </w:p>
    <w:p>
      <w:pPr>
        <w:spacing w:line="360" w:lineRule="auto"/>
        <w:rPr>
          <w:rFonts w:ascii="宋体" w:hAnsi="宋体" w:eastAsia="宋体" w:cs="宋体"/>
          <w:color w:val="auto"/>
          <w:szCs w:val="22"/>
          <w:highlight w:val="none"/>
          <w:lang w:bidi="ar"/>
        </w:rPr>
        <w:sectPr>
          <w:footerReference r:id="rId3" w:type="default"/>
          <w:pgSz w:w="11906" w:h="16838"/>
          <w:pgMar w:top="1440" w:right="1269" w:bottom="1440" w:left="1597" w:header="851" w:footer="992" w:gutter="0"/>
          <w:cols w:space="425" w:num="1"/>
          <w:docGrid w:type="lines" w:linePitch="312" w:charSpace="0"/>
        </w:sectPr>
      </w:pPr>
    </w:p>
    <w:p>
      <w:pPr>
        <w:keepNext/>
        <w:keepLines/>
        <w:spacing w:before="120" w:after="120" w:line="412" w:lineRule="auto"/>
        <w:ind w:firstLine="136"/>
        <w:outlineLvl w:val="0"/>
        <w:rPr>
          <w:rFonts w:ascii="宋体" w:hAnsi="宋体" w:eastAsia="宋体" w:cs="宋体"/>
          <w:color w:val="auto"/>
          <w:highlight w:val="none"/>
        </w:rPr>
      </w:pPr>
      <w:bookmarkStart w:id="332" w:name="_Toc5620345"/>
      <w:bookmarkStart w:id="333" w:name="_Toc31712"/>
      <w:r>
        <w:rPr>
          <w:rFonts w:hint="eastAsia" w:ascii="宋体" w:hAnsi="宋体" w:eastAsia="宋体" w:cs="宋体"/>
          <w:color w:val="auto"/>
          <w:kern w:val="0"/>
          <w:szCs w:val="22"/>
          <w:highlight w:val="none"/>
          <w:lang w:bidi="ar"/>
        </w:rPr>
        <w:t>附件一：开标记录表</w:t>
      </w:r>
      <w:bookmarkEnd w:id="332"/>
      <w:bookmarkEnd w:id="333"/>
    </w:p>
    <w:p>
      <w:pPr>
        <w:spacing w:line="400" w:lineRule="exact"/>
        <w:jc w:val="center"/>
        <w:rPr>
          <w:rFonts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lang w:bidi="ar"/>
        </w:rPr>
        <w:t>开标记录表</w:t>
      </w:r>
    </w:p>
    <w:p>
      <w:pPr>
        <w:spacing w:line="400" w:lineRule="exact"/>
        <w:ind w:right="420"/>
        <w:jc w:val="center"/>
        <w:rPr>
          <w:rFonts w:ascii="宋体" w:hAnsi="宋体" w:eastAsia="宋体" w:cs="宋体"/>
          <w:color w:val="auto"/>
          <w:kern w:val="1"/>
          <w:highlight w:val="none"/>
        </w:rPr>
      </w:pPr>
      <w:r>
        <w:rPr>
          <w:rFonts w:hint="eastAsia" w:ascii="宋体" w:hAnsi="宋体" w:eastAsia="宋体" w:cs="宋体"/>
          <w:color w:val="auto"/>
          <w:kern w:val="1"/>
          <w:szCs w:val="22"/>
          <w:highlight w:val="none"/>
          <w:lang w:bidi="ar"/>
        </w:rPr>
        <w:t xml:space="preserve">                                                                                                        开标时间： 年 月 日 时 分</w:t>
      </w:r>
    </w:p>
    <w:tbl>
      <w:tblPr>
        <w:tblStyle w:val="26"/>
        <w:tblW w:w="14326" w:type="dxa"/>
        <w:jc w:val="center"/>
        <w:tblLayout w:type="fixed"/>
        <w:tblCellMar>
          <w:top w:w="0" w:type="dxa"/>
          <w:left w:w="108" w:type="dxa"/>
          <w:bottom w:w="0" w:type="dxa"/>
          <w:right w:w="108" w:type="dxa"/>
        </w:tblCellMar>
      </w:tblPr>
      <w:tblGrid>
        <w:gridCol w:w="384"/>
        <w:gridCol w:w="1293"/>
        <w:gridCol w:w="538"/>
        <w:gridCol w:w="745"/>
        <w:gridCol w:w="559"/>
        <w:gridCol w:w="500"/>
        <w:gridCol w:w="1037"/>
        <w:gridCol w:w="1060"/>
        <w:gridCol w:w="740"/>
        <w:gridCol w:w="740"/>
        <w:gridCol w:w="1047"/>
        <w:gridCol w:w="772"/>
        <w:gridCol w:w="788"/>
        <w:gridCol w:w="756"/>
        <w:gridCol w:w="801"/>
        <w:gridCol w:w="638"/>
        <w:gridCol w:w="689"/>
        <w:gridCol w:w="689"/>
        <w:gridCol w:w="550"/>
      </w:tblGrid>
      <w:tr>
        <w:trPr>
          <w:trHeight w:val="686" w:hRule="atLeast"/>
          <w:jc w:val="center"/>
        </w:trPr>
        <w:tc>
          <w:tcPr>
            <w:tcW w:w="3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 w:val="18"/>
                <w:szCs w:val="18"/>
                <w:highlight w:val="none"/>
              </w:rPr>
            </w:pPr>
            <w:r>
              <w:rPr>
                <w:rFonts w:hint="eastAsia" w:ascii="宋体" w:hAnsi="宋体" w:eastAsia="宋体" w:cs="宋体"/>
                <w:color w:val="auto"/>
                <w:kern w:val="1"/>
                <w:sz w:val="18"/>
                <w:szCs w:val="18"/>
                <w:highlight w:val="none"/>
                <w:lang w:bidi="ar"/>
              </w:rPr>
              <w:t>序号</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 w:val="18"/>
                <w:szCs w:val="18"/>
                <w:highlight w:val="none"/>
              </w:rPr>
            </w:pPr>
            <w:r>
              <w:rPr>
                <w:rFonts w:hint="eastAsia" w:ascii="宋体" w:hAnsi="宋体" w:eastAsia="宋体" w:cs="宋体"/>
                <w:color w:val="auto"/>
                <w:kern w:val="1"/>
                <w:sz w:val="18"/>
                <w:szCs w:val="18"/>
                <w:highlight w:val="none"/>
                <w:lang w:bidi="ar"/>
              </w:rPr>
              <w:t>投标人名称</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 w:val="18"/>
                <w:szCs w:val="18"/>
                <w:highlight w:val="none"/>
              </w:rPr>
            </w:pPr>
            <w:r>
              <w:rPr>
                <w:rFonts w:hint="eastAsia" w:ascii="宋体" w:hAnsi="宋体" w:eastAsia="宋体" w:cs="宋体"/>
                <w:color w:val="auto"/>
                <w:kern w:val="1"/>
                <w:sz w:val="18"/>
                <w:szCs w:val="18"/>
                <w:highlight w:val="none"/>
                <w:lang w:bidi="ar"/>
              </w:rPr>
              <w:t>投标文件解密情况</w:t>
            </w:r>
          </w:p>
        </w:tc>
        <w:tc>
          <w:tcPr>
            <w:tcW w:w="7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 w:val="18"/>
                <w:szCs w:val="18"/>
                <w:highlight w:val="none"/>
              </w:rPr>
            </w:pPr>
            <w:r>
              <w:rPr>
                <w:rFonts w:hint="eastAsia" w:ascii="宋体" w:hAnsi="宋体" w:eastAsia="宋体" w:cs="宋体"/>
                <w:color w:val="auto"/>
                <w:kern w:val="1"/>
                <w:sz w:val="18"/>
                <w:szCs w:val="18"/>
                <w:highlight w:val="none"/>
                <w:lang w:bidi="ar"/>
              </w:rPr>
              <w:t>有无法定代表人证明书及授权委托证明书</w:t>
            </w:r>
          </w:p>
        </w:tc>
        <w:tc>
          <w:tcPr>
            <w:tcW w:w="5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 w:val="18"/>
                <w:szCs w:val="18"/>
                <w:highlight w:val="none"/>
              </w:rPr>
            </w:pPr>
            <w:r>
              <w:rPr>
                <w:rFonts w:hint="eastAsia" w:ascii="宋体" w:hAnsi="宋体" w:eastAsia="宋体" w:cs="宋体"/>
                <w:color w:val="auto"/>
                <w:kern w:val="1"/>
                <w:sz w:val="18"/>
                <w:szCs w:val="18"/>
                <w:highlight w:val="none"/>
                <w:lang w:bidi="ar"/>
              </w:rPr>
              <w:t>投标总工期</w:t>
            </w:r>
          </w:p>
        </w:tc>
        <w:tc>
          <w:tcPr>
            <w:tcW w:w="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 w:val="18"/>
                <w:szCs w:val="18"/>
                <w:highlight w:val="none"/>
              </w:rPr>
            </w:pPr>
            <w:r>
              <w:rPr>
                <w:rFonts w:hint="eastAsia" w:ascii="宋体" w:hAnsi="宋体" w:eastAsia="宋体" w:cs="宋体"/>
                <w:color w:val="auto"/>
                <w:kern w:val="1"/>
                <w:sz w:val="18"/>
                <w:szCs w:val="18"/>
                <w:highlight w:val="none"/>
                <w:lang w:bidi="ar"/>
              </w:rPr>
              <w:t>质量标准</w:t>
            </w:r>
          </w:p>
        </w:tc>
        <w:tc>
          <w:tcPr>
            <w:tcW w:w="1037"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eastAsia="宋体" w:cs="宋体"/>
                <w:color w:val="auto"/>
                <w:kern w:val="1"/>
                <w:sz w:val="18"/>
                <w:szCs w:val="18"/>
                <w:highlight w:val="none"/>
              </w:rPr>
            </w:pPr>
            <w:r>
              <w:rPr>
                <w:rFonts w:hint="eastAsia" w:ascii="宋体" w:hAnsi="宋体" w:eastAsia="宋体" w:cs="宋体"/>
                <w:color w:val="auto"/>
                <w:kern w:val="1"/>
                <w:sz w:val="18"/>
                <w:szCs w:val="18"/>
                <w:highlight w:val="none"/>
                <w:lang w:bidi="ar"/>
              </w:rPr>
              <w:t>项目负责人</w:t>
            </w: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 w:val="18"/>
                <w:szCs w:val="18"/>
                <w:highlight w:val="none"/>
              </w:rPr>
            </w:pPr>
            <w:r>
              <w:rPr>
                <w:rFonts w:hint="eastAsia" w:ascii="宋体" w:hAnsi="宋体" w:eastAsia="宋体" w:cs="宋体"/>
                <w:color w:val="auto"/>
                <w:kern w:val="1"/>
                <w:sz w:val="18"/>
                <w:szCs w:val="18"/>
                <w:highlight w:val="none"/>
                <w:lang w:bidi="ar"/>
              </w:rPr>
              <w:t>设计负责人</w:t>
            </w:r>
          </w:p>
        </w:tc>
        <w:tc>
          <w:tcPr>
            <w:tcW w:w="740" w:type="dxa"/>
            <w:vMerge w:val="restart"/>
            <w:tcBorders>
              <w:top w:val="single" w:color="000000" w:sz="4" w:space="0"/>
              <w:left w:val="single" w:color="000000" w:sz="4" w:space="0"/>
              <w:right w:val="single" w:color="000000" w:sz="4" w:space="0"/>
            </w:tcBorders>
            <w:vAlign w:val="center"/>
          </w:tcPr>
          <w:p>
            <w:pPr>
              <w:jc w:val="center"/>
              <w:rPr>
                <w:rFonts w:ascii="宋体" w:hAnsi="宋体" w:eastAsia="宋体" w:cs="宋体"/>
                <w:color w:val="auto"/>
                <w:kern w:val="1"/>
                <w:sz w:val="18"/>
                <w:szCs w:val="18"/>
                <w:highlight w:val="none"/>
                <w:lang w:bidi="ar"/>
              </w:rPr>
            </w:pPr>
            <w:r>
              <w:rPr>
                <w:rFonts w:hint="eastAsia" w:ascii="宋体" w:hAnsi="宋体" w:eastAsia="宋体" w:cs="宋体"/>
                <w:color w:val="auto"/>
                <w:kern w:val="1"/>
                <w:sz w:val="18"/>
                <w:szCs w:val="18"/>
                <w:highlight w:val="none"/>
                <w:lang w:bidi="ar"/>
              </w:rPr>
              <w:t>技术负责人</w:t>
            </w: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 w:val="18"/>
                <w:szCs w:val="18"/>
                <w:highlight w:val="none"/>
              </w:rPr>
            </w:pPr>
            <w:r>
              <w:rPr>
                <w:rFonts w:hint="eastAsia" w:ascii="宋体" w:hAnsi="宋体" w:eastAsia="宋体" w:cs="宋体"/>
                <w:color w:val="auto"/>
                <w:kern w:val="1"/>
                <w:sz w:val="18"/>
                <w:szCs w:val="18"/>
                <w:highlight w:val="none"/>
                <w:lang w:bidi="ar"/>
              </w:rPr>
              <w:t>专职安全员</w:t>
            </w:r>
          </w:p>
        </w:tc>
        <w:tc>
          <w:tcPr>
            <w:tcW w:w="10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 w:val="18"/>
                <w:szCs w:val="18"/>
                <w:highlight w:val="none"/>
              </w:rPr>
            </w:pPr>
            <w:r>
              <w:rPr>
                <w:rFonts w:hint="eastAsia" w:ascii="宋体" w:hAnsi="宋体" w:eastAsia="宋体" w:cs="宋体"/>
                <w:color w:val="auto"/>
                <w:kern w:val="1"/>
                <w:sz w:val="18"/>
                <w:szCs w:val="18"/>
                <w:highlight w:val="none"/>
                <w:lang w:bidi="ar"/>
              </w:rPr>
              <w:t>投标总报价（人民币：万元）</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 w:val="18"/>
                <w:szCs w:val="18"/>
                <w:highlight w:val="none"/>
                <w:lang w:bidi="ar"/>
              </w:rPr>
            </w:pPr>
            <w:r>
              <w:rPr>
                <w:rFonts w:hint="eastAsia" w:ascii="宋体" w:hAnsi="宋体" w:eastAsia="宋体" w:cs="宋体"/>
                <w:color w:val="auto"/>
                <w:kern w:val="1"/>
                <w:sz w:val="18"/>
                <w:szCs w:val="18"/>
                <w:highlight w:val="none"/>
                <w:lang w:bidi="ar"/>
              </w:rPr>
              <w:t>投标报价（人民币：万元）</w:t>
            </w:r>
          </w:p>
        </w:tc>
        <w:tc>
          <w:tcPr>
            <w:tcW w:w="1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 w:val="18"/>
                <w:szCs w:val="18"/>
                <w:highlight w:val="none"/>
                <w:lang w:bidi="ar"/>
              </w:rPr>
            </w:pPr>
            <w:r>
              <w:rPr>
                <w:rFonts w:hint="eastAsia" w:ascii="宋体" w:hAnsi="宋体" w:eastAsia="宋体" w:cs="宋体"/>
                <w:color w:val="auto"/>
                <w:kern w:val="1"/>
                <w:sz w:val="18"/>
                <w:szCs w:val="18"/>
                <w:highlight w:val="none"/>
                <w:lang w:bidi="ar"/>
              </w:rPr>
              <w:t>投标下浮率（%）</w:t>
            </w:r>
          </w:p>
        </w:tc>
        <w:tc>
          <w:tcPr>
            <w:tcW w:w="638"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eastAsia="宋体" w:cs="宋体"/>
                <w:color w:val="auto"/>
                <w:kern w:val="1"/>
                <w:sz w:val="18"/>
                <w:szCs w:val="18"/>
                <w:highlight w:val="none"/>
              </w:rPr>
            </w:pPr>
            <w:r>
              <w:rPr>
                <w:rFonts w:hint="eastAsia" w:ascii="宋体" w:hAnsi="宋体" w:eastAsia="宋体" w:cs="宋体"/>
                <w:color w:val="auto"/>
                <w:kern w:val="1"/>
                <w:sz w:val="18"/>
                <w:szCs w:val="18"/>
                <w:highlight w:val="none"/>
                <w:lang w:bidi="ar"/>
              </w:rPr>
              <w:t>投标保证金(万元)</w:t>
            </w:r>
          </w:p>
        </w:tc>
        <w:tc>
          <w:tcPr>
            <w:tcW w:w="689" w:type="dxa"/>
            <w:vMerge w:val="restart"/>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ascii="宋体" w:hAnsi="宋体" w:eastAsia="宋体" w:cs="宋体"/>
                <w:color w:val="auto"/>
                <w:kern w:val="1"/>
                <w:sz w:val="18"/>
                <w:szCs w:val="18"/>
                <w:highlight w:val="none"/>
              </w:rPr>
            </w:pPr>
            <w:r>
              <w:rPr>
                <w:rFonts w:hint="eastAsia" w:ascii="宋体" w:hAnsi="宋体" w:eastAsia="宋体" w:cs="宋体"/>
                <w:color w:val="auto"/>
                <w:kern w:val="1"/>
                <w:sz w:val="18"/>
                <w:szCs w:val="18"/>
                <w:highlight w:val="none"/>
                <w:lang w:bidi="ar"/>
              </w:rPr>
              <w:t>电脑机器特征码</w:t>
            </w:r>
          </w:p>
        </w:tc>
        <w:tc>
          <w:tcPr>
            <w:tcW w:w="689"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 w:val="18"/>
                <w:szCs w:val="18"/>
                <w:highlight w:val="none"/>
              </w:rPr>
            </w:pPr>
            <w:r>
              <w:rPr>
                <w:rFonts w:hint="eastAsia" w:ascii="宋体" w:hAnsi="宋体" w:eastAsia="宋体" w:cs="宋体"/>
                <w:color w:val="auto"/>
                <w:kern w:val="1"/>
                <w:sz w:val="18"/>
                <w:szCs w:val="18"/>
                <w:highlight w:val="none"/>
                <w:lang w:bidi="ar"/>
              </w:rPr>
              <w:t>投标人代表签名</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 w:val="18"/>
                <w:szCs w:val="18"/>
                <w:highlight w:val="none"/>
              </w:rPr>
            </w:pPr>
            <w:r>
              <w:rPr>
                <w:rFonts w:hint="eastAsia" w:ascii="宋体" w:hAnsi="宋体" w:eastAsia="宋体" w:cs="宋体"/>
                <w:color w:val="auto"/>
                <w:kern w:val="1"/>
                <w:sz w:val="18"/>
                <w:szCs w:val="18"/>
                <w:highlight w:val="none"/>
                <w:lang w:bidi="ar"/>
              </w:rPr>
              <w:t>备注</w:t>
            </w:r>
          </w:p>
        </w:tc>
      </w:tr>
      <w:tr>
        <w:trPr>
          <w:trHeight w:val="1136" w:hRule="atLeast"/>
          <w:jc w:val="center"/>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color w:val="auto"/>
                <w:sz w:val="20"/>
                <w:szCs w:val="20"/>
                <w:highlight w:val="none"/>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color w:val="auto"/>
                <w:sz w:val="20"/>
                <w:szCs w:val="20"/>
                <w:highlight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color w:val="auto"/>
                <w:sz w:val="20"/>
                <w:szCs w:val="20"/>
                <w:highlight w:val="none"/>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color w:val="auto"/>
                <w:sz w:val="20"/>
                <w:szCs w:val="20"/>
                <w:highlight w:val="none"/>
              </w:rPr>
            </w:pP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color w:val="auto"/>
                <w:sz w:val="20"/>
                <w:szCs w:val="20"/>
                <w:highlight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color w:val="auto"/>
                <w:sz w:val="20"/>
                <w:szCs w:val="20"/>
                <w:highlight w:val="none"/>
              </w:rPr>
            </w:pPr>
          </w:p>
        </w:tc>
        <w:tc>
          <w:tcPr>
            <w:tcW w:w="103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rPr>
                <w:rFonts w:ascii="Times New Roman" w:hAnsi="Times New Roman" w:cs="Times New Roman"/>
                <w:color w:val="auto"/>
                <w:sz w:val="20"/>
                <w:szCs w:val="20"/>
                <w:highlight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color w:val="auto"/>
                <w:sz w:val="20"/>
                <w:szCs w:val="20"/>
                <w:highlight w:val="none"/>
              </w:rPr>
            </w:pPr>
          </w:p>
        </w:tc>
        <w:tc>
          <w:tcPr>
            <w:tcW w:w="740" w:type="dxa"/>
            <w:vMerge w:val="continue"/>
            <w:tcBorders>
              <w:left w:val="single" w:color="000000" w:sz="4" w:space="0"/>
              <w:bottom w:val="single" w:color="000000" w:sz="4" w:space="0"/>
              <w:right w:val="single" w:color="000000" w:sz="4" w:space="0"/>
            </w:tcBorders>
          </w:tcPr>
          <w:p>
            <w:pPr>
              <w:rPr>
                <w:rFonts w:ascii="Times New Roman" w:hAnsi="Times New Roman" w:cs="Times New Roman"/>
                <w:color w:val="auto"/>
                <w:sz w:val="20"/>
                <w:szCs w:val="20"/>
                <w:highlight w:val="none"/>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color w:val="auto"/>
                <w:sz w:val="20"/>
                <w:szCs w:val="20"/>
                <w:highlight w:val="none"/>
              </w:rPr>
            </w:pPr>
          </w:p>
        </w:tc>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color w:val="auto"/>
                <w:sz w:val="20"/>
                <w:szCs w:val="20"/>
                <w:highlight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 w:val="18"/>
                <w:szCs w:val="18"/>
                <w:highlight w:val="none"/>
              </w:rPr>
            </w:pPr>
            <w:r>
              <w:rPr>
                <w:rFonts w:hint="eastAsia" w:ascii="宋体" w:hAnsi="宋体" w:eastAsia="宋体" w:cs="宋体"/>
                <w:color w:val="auto"/>
                <w:kern w:val="1"/>
                <w:sz w:val="18"/>
                <w:szCs w:val="18"/>
                <w:highlight w:val="none"/>
                <w:lang w:bidi="ar"/>
              </w:rPr>
              <w:t>设计费</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 w:val="18"/>
                <w:szCs w:val="18"/>
                <w:highlight w:val="none"/>
              </w:rPr>
            </w:pPr>
            <w:r>
              <w:rPr>
                <w:rFonts w:hint="eastAsia" w:ascii="宋体" w:hAnsi="宋体" w:eastAsia="宋体" w:cs="宋体"/>
                <w:color w:val="auto"/>
                <w:kern w:val="1"/>
                <w:sz w:val="18"/>
                <w:szCs w:val="18"/>
                <w:highlight w:val="none"/>
                <w:lang w:bidi="ar"/>
              </w:rPr>
              <w:t>建安工程费</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 w:val="18"/>
                <w:szCs w:val="18"/>
                <w:highlight w:val="none"/>
              </w:rPr>
            </w:pPr>
            <w:r>
              <w:rPr>
                <w:rFonts w:hint="eastAsia" w:ascii="宋体" w:hAnsi="宋体" w:eastAsia="宋体" w:cs="宋体"/>
                <w:color w:val="auto"/>
                <w:kern w:val="1"/>
                <w:sz w:val="18"/>
                <w:szCs w:val="18"/>
                <w:highlight w:val="none"/>
                <w:lang w:bidi="ar"/>
              </w:rPr>
              <w:t>设计费</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 w:val="18"/>
                <w:szCs w:val="18"/>
                <w:highlight w:val="none"/>
              </w:rPr>
            </w:pPr>
            <w:r>
              <w:rPr>
                <w:rFonts w:hint="eastAsia" w:ascii="宋体" w:hAnsi="宋体" w:eastAsia="宋体" w:cs="宋体"/>
                <w:color w:val="auto"/>
                <w:kern w:val="1"/>
                <w:sz w:val="18"/>
                <w:szCs w:val="18"/>
                <w:highlight w:val="none"/>
                <w:lang w:bidi="ar"/>
              </w:rPr>
              <w:t>建安工程费</w:t>
            </w:r>
          </w:p>
        </w:tc>
        <w:tc>
          <w:tcPr>
            <w:tcW w:w="638"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eastAsia="宋体" w:cs="宋体"/>
                <w:color w:val="auto"/>
                <w:kern w:val="1"/>
                <w:sz w:val="18"/>
                <w:szCs w:val="18"/>
                <w:highlight w:val="none"/>
              </w:rPr>
            </w:pPr>
          </w:p>
        </w:tc>
        <w:tc>
          <w:tcPr>
            <w:tcW w:w="689"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rPr>
                <w:rFonts w:ascii="Times New Roman" w:hAnsi="Times New Roman" w:cs="Times New Roman"/>
                <w:color w:val="auto"/>
                <w:sz w:val="20"/>
                <w:szCs w:val="20"/>
                <w:highlight w:val="none"/>
              </w:rPr>
            </w:pPr>
          </w:p>
        </w:tc>
        <w:tc>
          <w:tcPr>
            <w:tcW w:w="689"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 w:val="18"/>
                <w:szCs w:val="18"/>
                <w:highlight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 w:val="18"/>
                <w:szCs w:val="18"/>
                <w:highlight w:val="none"/>
              </w:rPr>
            </w:pPr>
          </w:p>
        </w:tc>
      </w:tr>
      <w:tr>
        <w:trPr>
          <w:trHeight w:val="609" w:hRule="atLeast"/>
          <w:jc w:val="center"/>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1037"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eastAsia="宋体" w:cs="宋体"/>
                <w:color w:val="auto"/>
                <w:kern w:val="1"/>
                <w:szCs w:val="21"/>
                <w:highlight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740" w:type="dxa"/>
            <w:tcBorders>
              <w:top w:val="single" w:color="000000" w:sz="4" w:space="0"/>
              <w:left w:val="single" w:color="000000" w:sz="4" w:space="0"/>
              <w:bottom w:val="single" w:color="000000" w:sz="4" w:space="0"/>
              <w:right w:val="single" w:color="000000" w:sz="4" w:space="0"/>
            </w:tcBorders>
          </w:tcPr>
          <w:p>
            <w:pPr>
              <w:jc w:val="center"/>
              <w:rPr>
                <w:rFonts w:ascii="宋体" w:hAnsi="宋体" w:eastAsia="宋体" w:cs="宋体"/>
                <w:color w:val="auto"/>
                <w:kern w:val="1"/>
                <w:szCs w:val="21"/>
                <w:highlight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宋体" w:hAnsi="宋体" w:eastAsia="宋体" w:cs="宋体"/>
                <w:color w:val="auto"/>
                <w:kern w:val="1"/>
                <w:szCs w:val="21"/>
                <w:highlight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宋体" w:hAnsi="宋体" w:eastAsia="宋体" w:cs="宋体"/>
                <w:color w:val="auto"/>
                <w:kern w:val="1"/>
                <w:szCs w:val="21"/>
                <w:highlight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638"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eastAsia="宋体" w:cs="宋体"/>
                <w:color w:val="auto"/>
                <w:kern w:val="1"/>
                <w:szCs w:val="21"/>
                <w:highlight w:val="none"/>
              </w:rPr>
            </w:pPr>
          </w:p>
        </w:tc>
        <w:tc>
          <w:tcPr>
            <w:tcW w:w="689" w:type="dxa"/>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ascii="宋体" w:hAnsi="宋体" w:eastAsia="宋体" w:cs="宋体"/>
                <w:color w:val="auto"/>
                <w:kern w:val="1"/>
                <w:szCs w:val="21"/>
                <w:highlight w:val="none"/>
              </w:rPr>
            </w:pPr>
          </w:p>
        </w:tc>
        <w:tc>
          <w:tcPr>
            <w:tcW w:w="689"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r>
      <w:tr>
        <w:trPr>
          <w:trHeight w:val="609" w:hRule="atLeast"/>
          <w:jc w:val="center"/>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1037"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eastAsia="宋体" w:cs="宋体"/>
                <w:color w:val="auto"/>
                <w:kern w:val="1"/>
                <w:szCs w:val="21"/>
                <w:highlight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740" w:type="dxa"/>
            <w:tcBorders>
              <w:top w:val="single" w:color="000000" w:sz="4" w:space="0"/>
              <w:left w:val="single" w:color="000000" w:sz="4" w:space="0"/>
              <w:bottom w:val="single" w:color="000000" w:sz="4" w:space="0"/>
              <w:right w:val="single" w:color="000000" w:sz="4" w:space="0"/>
            </w:tcBorders>
          </w:tcPr>
          <w:p>
            <w:pPr>
              <w:jc w:val="center"/>
              <w:rPr>
                <w:rFonts w:ascii="宋体" w:hAnsi="宋体" w:eastAsia="宋体" w:cs="宋体"/>
                <w:color w:val="auto"/>
                <w:kern w:val="1"/>
                <w:szCs w:val="21"/>
                <w:highlight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宋体" w:hAnsi="宋体" w:eastAsia="宋体" w:cs="宋体"/>
                <w:color w:val="auto"/>
                <w:kern w:val="1"/>
                <w:szCs w:val="21"/>
                <w:highlight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宋体" w:hAnsi="宋体" w:eastAsia="宋体" w:cs="宋体"/>
                <w:color w:val="auto"/>
                <w:kern w:val="1"/>
                <w:szCs w:val="21"/>
                <w:highlight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638"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eastAsia="宋体" w:cs="宋体"/>
                <w:color w:val="auto"/>
                <w:kern w:val="1"/>
                <w:szCs w:val="21"/>
                <w:highlight w:val="none"/>
              </w:rPr>
            </w:pPr>
          </w:p>
        </w:tc>
        <w:tc>
          <w:tcPr>
            <w:tcW w:w="689" w:type="dxa"/>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ascii="宋体" w:hAnsi="宋体" w:eastAsia="宋体" w:cs="宋体"/>
                <w:color w:val="auto"/>
                <w:kern w:val="1"/>
                <w:szCs w:val="21"/>
                <w:highlight w:val="none"/>
              </w:rPr>
            </w:pPr>
          </w:p>
        </w:tc>
        <w:tc>
          <w:tcPr>
            <w:tcW w:w="689"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r>
      <w:tr>
        <w:trPr>
          <w:trHeight w:val="609" w:hRule="atLeast"/>
          <w:jc w:val="center"/>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1037"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eastAsia="宋体" w:cs="宋体"/>
                <w:color w:val="auto"/>
                <w:kern w:val="1"/>
                <w:szCs w:val="21"/>
                <w:highlight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740" w:type="dxa"/>
            <w:tcBorders>
              <w:top w:val="single" w:color="000000" w:sz="4" w:space="0"/>
              <w:left w:val="single" w:color="000000" w:sz="4" w:space="0"/>
              <w:bottom w:val="single" w:color="000000" w:sz="4" w:space="0"/>
              <w:right w:val="single" w:color="000000" w:sz="4" w:space="0"/>
            </w:tcBorders>
          </w:tcPr>
          <w:p>
            <w:pPr>
              <w:jc w:val="center"/>
              <w:rPr>
                <w:rFonts w:ascii="宋体" w:hAnsi="宋体" w:eastAsia="宋体" w:cs="宋体"/>
                <w:color w:val="auto"/>
                <w:kern w:val="1"/>
                <w:szCs w:val="21"/>
                <w:highlight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宋体" w:hAnsi="宋体" w:eastAsia="宋体" w:cs="宋体"/>
                <w:color w:val="auto"/>
                <w:kern w:val="1"/>
                <w:szCs w:val="21"/>
                <w:highlight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宋体" w:hAnsi="宋体" w:eastAsia="宋体" w:cs="宋体"/>
                <w:color w:val="auto"/>
                <w:kern w:val="1"/>
                <w:szCs w:val="21"/>
                <w:highlight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638"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eastAsia="宋体" w:cs="宋体"/>
                <w:color w:val="auto"/>
                <w:kern w:val="1"/>
                <w:szCs w:val="21"/>
                <w:highlight w:val="none"/>
              </w:rPr>
            </w:pPr>
          </w:p>
        </w:tc>
        <w:tc>
          <w:tcPr>
            <w:tcW w:w="689" w:type="dxa"/>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ascii="宋体" w:hAnsi="宋体" w:eastAsia="宋体" w:cs="宋体"/>
                <w:color w:val="auto"/>
                <w:kern w:val="1"/>
                <w:szCs w:val="21"/>
                <w:highlight w:val="none"/>
              </w:rPr>
            </w:pPr>
          </w:p>
        </w:tc>
        <w:tc>
          <w:tcPr>
            <w:tcW w:w="689"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r>
      <w:tr>
        <w:trPr>
          <w:trHeight w:val="609" w:hRule="atLeast"/>
          <w:jc w:val="center"/>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1037"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eastAsia="宋体" w:cs="宋体"/>
                <w:color w:val="auto"/>
                <w:kern w:val="1"/>
                <w:szCs w:val="21"/>
                <w:highlight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740" w:type="dxa"/>
            <w:tcBorders>
              <w:top w:val="single" w:color="000000" w:sz="4" w:space="0"/>
              <w:left w:val="single" w:color="000000" w:sz="4" w:space="0"/>
              <w:bottom w:val="single" w:color="000000" w:sz="4" w:space="0"/>
              <w:right w:val="single" w:color="000000" w:sz="4" w:space="0"/>
            </w:tcBorders>
          </w:tcPr>
          <w:p>
            <w:pPr>
              <w:jc w:val="center"/>
              <w:rPr>
                <w:rFonts w:ascii="宋体" w:hAnsi="宋体" w:eastAsia="宋体" w:cs="宋体"/>
                <w:color w:val="auto"/>
                <w:kern w:val="1"/>
                <w:szCs w:val="21"/>
                <w:highlight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宋体" w:hAnsi="宋体" w:eastAsia="宋体" w:cs="宋体"/>
                <w:color w:val="auto"/>
                <w:kern w:val="1"/>
                <w:szCs w:val="21"/>
                <w:highlight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宋体" w:hAnsi="宋体" w:eastAsia="宋体" w:cs="宋体"/>
                <w:color w:val="auto"/>
                <w:kern w:val="1"/>
                <w:szCs w:val="21"/>
                <w:highlight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638"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eastAsia="宋体" w:cs="宋体"/>
                <w:color w:val="auto"/>
                <w:kern w:val="1"/>
                <w:szCs w:val="21"/>
                <w:highlight w:val="none"/>
              </w:rPr>
            </w:pPr>
          </w:p>
        </w:tc>
        <w:tc>
          <w:tcPr>
            <w:tcW w:w="689" w:type="dxa"/>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ascii="宋体" w:hAnsi="宋体" w:eastAsia="宋体" w:cs="宋体"/>
                <w:color w:val="auto"/>
                <w:kern w:val="1"/>
                <w:szCs w:val="21"/>
                <w:highlight w:val="none"/>
              </w:rPr>
            </w:pPr>
          </w:p>
        </w:tc>
        <w:tc>
          <w:tcPr>
            <w:tcW w:w="689"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r>
      <w:tr>
        <w:trPr>
          <w:trHeight w:val="609" w:hRule="atLeast"/>
          <w:jc w:val="center"/>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1037"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eastAsia="宋体" w:cs="宋体"/>
                <w:color w:val="auto"/>
                <w:kern w:val="1"/>
                <w:szCs w:val="21"/>
                <w:highlight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740" w:type="dxa"/>
            <w:tcBorders>
              <w:top w:val="single" w:color="000000" w:sz="4" w:space="0"/>
              <w:left w:val="single" w:color="000000" w:sz="4" w:space="0"/>
              <w:bottom w:val="single" w:color="000000" w:sz="4" w:space="0"/>
              <w:right w:val="single" w:color="000000" w:sz="4" w:space="0"/>
            </w:tcBorders>
          </w:tcPr>
          <w:p>
            <w:pPr>
              <w:jc w:val="center"/>
              <w:rPr>
                <w:rFonts w:ascii="宋体" w:hAnsi="宋体" w:eastAsia="宋体" w:cs="宋体"/>
                <w:color w:val="auto"/>
                <w:kern w:val="1"/>
                <w:szCs w:val="21"/>
                <w:highlight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宋体" w:hAnsi="宋体" w:eastAsia="宋体" w:cs="宋体"/>
                <w:color w:val="auto"/>
                <w:kern w:val="1"/>
                <w:szCs w:val="21"/>
                <w:highlight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宋体" w:hAnsi="宋体" w:eastAsia="宋体" w:cs="宋体"/>
                <w:color w:val="auto"/>
                <w:kern w:val="1"/>
                <w:szCs w:val="21"/>
                <w:highlight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638"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eastAsia="宋体" w:cs="宋体"/>
                <w:color w:val="auto"/>
                <w:kern w:val="1"/>
                <w:szCs w:val="21"/>
                <w:highlight w:val="none"/>
              </w:rPr>
            </w:pPr>
          </w:p>
        </w:tc>
        <w:tc>
          <w:tcPr>
            <w:tcW w:w="689" w:type="dxa"/>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ascii="宋体" w:hAnsi="宋体" w:eastAsia="宋体" w:cs="宋体"/>
                <w:color w:val="auto"/>
                <w:kern w:val="1"/>
                <w:szCs w:val="21"/>
                <w:highlight w:val="none"/>
              </w:rPr>
            </w:pPr>
          </w:p>
        </w:tc>
        <w:tc>
          <w:tcPr>
            <w:tcW w:w="689"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r>
      <w:tr>
        <w:trPr>
          <w:trHeight w:val="618" w:hRule="atLeast"/>
          <w:jc w:val="center"/>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1037"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eastAsia="宋体" w:cs="宋体"/>
                <w:color w:val="auto"/>
                <w:kern w:val="1"/>
                <w:szCs w:val="21"/>
                <w:highlight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740" w:type="dxa"/>
            <w:tcBorders>
              <w:top w:val="single" w:color="000000" w:sz="4" w:space="0"/>
              <w:left w:val="single" w:color="000000" w:sz="4" w:space="0"/>
              <w:bottom w:val="single" w:color="000000" w:sz="4" w:space="0"/>
              <w:right w:val="single" w:color="000000" w:sz="4" w:space="0"/>
            </w:tcBorders>
          </w:tcPr>
          <w:p>
            <w:pPr>
              <w:jc w:val="center"/>
              <w:rPr>
                <w:rFonts w:ascii="宋体" w:hAnsi="宋体" w:eastAsia="宋体" w:cs="宋体"/>
                <w:color w:val="auto"/>
                <w:kern w:val="1"/>
                <w:szCs w:val="21"/>
                <w:highlight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宋体" w:hAnsi="宋体" w:eastAsia="宋体" w:cs="宋体"/>
                <w:color w:val="auto"/>
                <w:kern w:val="1"/>
                <w:szCs w:val="21"/>
                <w:highlight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宋体" w:hAnsi="宋体" w:eastAsia="宋体" w:cs="宋体"/>
                <w:color w:val="auto"/>
                <w:kern w:val="1"/>
                <w:szCs w:val="21"/>
                <w:highlight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638"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eastAsia="宋体" w:cs="宋体"/>
                <w:color w:val="auto"/>
                <w:kern w:val="1"/>
                <w:szCs w:val="21"/>
                <w:highlight w:val="none"/>
              </w:rPr>
            </w:pPr>
          </w:p>
        </w:tc>
        <w:tc>
          <w:tcPr>
            <w:tcW w:w="689" w:type="dxa"/>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ascii="宋体" w:hAnsi="宋体" w:eastAsia="宋体" w:cs="宋体"/>
                <w:color w:val="auto"/>
                <w:kern w:val="1"/>
                <w:szCs w:val="21"/>
                <w:highlight w:val="none"/>
              </w:rPr>
            </w:pPr>
          </w:p>
        </w:tc>
        <w:tc>
          <w:tcPr>
            <w:tcW w:w="689"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r>
    </w:tbl>
    <w:p>
      <w:pPr>
        <w:spacing w:line="360" w:lineRule="auto"/>
        <w:ind w:firstLine="840" w:firstLineChars="400"/>
        <w:rPr>
          <w:rFonts w:ascii="宋体" w:hAnsi="宋体" w:eastAsia="宋体" w:cs="宋体"/>
          <w:color w:val="auto"/>
          <w:kern w:val="1"/>
          <w:szCs w:val="21"/>
          <w:highlight w:val="none"/>
          <w:u w:val="single"/>
        </w:rPr>
      </w:pPr>
      <w:bookmarkStart w:id="334" w:name="_Toc31642"/>
      <w:bookmarkEnd w:id="334"/>
      <w:bookmarkStart w:id="335" w:name="_Toc5620346"/>
      <w:bookmarkStart w:id="336" w:name="_Toc16394"/>
      <w:r>
        <w:rPr>
          <w:rFonts w:hint="eastAsia" w:ascii="宋体" w:hAnsi="宋体" w:eastAsia="宋体" w:cs="宋体"/>
          <w:color w:val="auto"/>
          <w:kern w:val="1"/>
          <w:szCs w:val="21"/>
          <w:highlight w:val="none"/>
          <w:lang w:bidi="ar"/>
        </w:rPr>
        <w:t>招标人代表：                               记录人：                               交易中心见证人：</w:t>
      </w:r>
    </w:p>
    <w:p>
      <w:pPr>
        <w:spacing w:line="360" w:lineRule="auto"/>
        <w:rPr>
          <w:rFonts w:ascii="宋体" w:hAnsi="宋体" w:eastAsia="宋体" w:cs="宋体"/>
          <w:color w:val="auto"/>
          <w:kern w:val="1"/>
          <w:szCs w:val="21"/>
          <w:highlight w:val="none"/>
          <w:u w:val="single"/>
        </w:rPr>
      </w:pPr>
      <w:r>
        <w:rPr>
          <w:rFonts w:hint="eastAsia" w:ascii="宋体" w:hAnsi="宋体" w:eastAsia="宋体" w:cs="宋体"/>
          <w:color w:val="auto"/>
          <w:kern w:val="1"/>
          <w:szCs w:val="21"/>
          <w:highlight w:val="none"/>
          <w:u w:val="single"/>
          <w:lang w:bidi="ar"/>
        </w:rPr>
        <w:t>本表仅供参考，具体以开标时广州公共资源交易中心系统的开标记录表为准。</w:t>
      </w:r>
    </w:p>
    <w:p>
      <w:pPr>
        <w:spacing w:line="360" w:lineRule="auto"/>
        <w:rPr>
          <w:rFonts w:ascii="宋体" w:hAnsi="宋体" w:eastAsia="宋体" w:cs="宋体"/>
          <w:color w:val="auto"/>
          <w:kern w:val="1"/>
          <w:szCs w:val="21"/>
          <w:highlight w:val="none"/>
          <w:u w:val="single"/>
          <w:lang w:bidi="ar"/>
        </w:rPr>
        <w:sectPr>
          <w:pgSz w:w="16838" w:h="11906" w:orient="landscape"/>
          <w:pgMar w:top="1361" w:right="1304" w:bottom="1304" w:left="1304" w:header="851" w:footer="992" w:gutter="0"/>
          <w:cols w:space="425" w:num="1"/>
          <w:docGrid w:type="lines" w:linePitch="312" w:charSpace="0"/>
        </w:sectPr>
      </w:pPr>
    </w:p>
    <w:p>
      <w:pPr>
        <w:pStyle w:val="2"/>
        <w:widowControl/>
        <w:spacing w:line="240" w:lineRule="auto"/>
        <w:jc w:val="center"/>
        <w:rPr>
          <w:rFonts w:ascii="宋体" w:hAnsi="宋体" w:cs="宋体"/>
          <w:color w:val="auto"/>
          <w:kern w:val="1"/>
          <w:highlight w:val="none"/>
        </w:rPr>
      </w:pPr>
      <w:bookmarkStart w:id="337" w:name="_Toc2959"/>
      <w:r>
        <w:rPr>
          <w:rFonts w:hint="eastAsia" w:ascii="宋体" w:hAnsi="宋体" w:cs="宋体"/>
          <w:color w:val="auto"/>
          <w:kern w:val="1"/>
          <w:highlight w:val="none"/>
        </w:rPr>
        <w:t>第三章 评标办法（综合评估法）</w:t>
      </w:r>
      <w:bookmarkEnd w:id="335"/>
      <w:bookmarkEnd w:id="336"/>
      <w:bookmarkEnd w:id="337"/>
    </w:p>
    <w:p>
      <w:pPr>
        <w:spacing w:line="360" w:lineRule="auto"/>
        <w:jc w:val="center"/>
        <w:rPr>
          <w:rFonts w:ascii="宋体" w:hAnsi="宋体" w:eastAsia="宋体" w:cs="宋体"/>
          <w:b/>
          <w:color w:val="auto"/>
          <w:kern w:val="1"/>
          <w:sz w:val="28"/>
          <w:szCs w:val="22"/>
          <w:highlight w:val="none"/>
        </w:rPr>
      </w:pPr>
      <w:bookmarkStart w:id="338" w:name="_Toc3262"/>
      <w:bookmarkEnd w:id="338"/>
      <w:bookmarkStart w:id="339" w:name="_Toc27323"/>
      <w:bookmarkEnd w:id="339"/>
      <w:bookmarkStart w:id="340" w:name="_Toc1626"/>
      <w:bookmarkStart w:id="341" w:name="_Toc5620347"/>
      <w:r>
        <w:rPr>
          <w:rFonts w:hint="eastAsia" w:ascii="宋体" w:hAnsi="宋体" w:eastAsia="宋体" w:cs="宋体"/>
          <w:b/>
          <w:color w:val="auto"/>
          <w:kern w:val="1"/>
          <w:sz w:val="28"/>
          <w:szCs w:val="22"/>
          <w:highlight w:val="none"/>
          <w:lang w:bidi="ar"/>
        </w:rPr>
        <w:t>评标办法前附表</w:t>
      </w:r>
    </w:p>
    <w:tbl>
      <w:tblPr>
        <w:tblStyle w:val="26"/>
        <w:tblW w:w="9781"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2"/>
        <w:gridCol w:w="1032"/>
        <w:gridCol w:w="666"/>
        <w:gridCol w:w="1489"/>
        <w:gridCol w:w="5812"/>
      </w:tblGrid>
      <w:tr>
        <w:trPr>
          <w:trHeight w:val="400" w:hRule="atLeast"/>
        </w:trPr>
        <w:tc>
          <w:tcPr>
            <w:tcW w:w="2480" w:type="dxa"/>
            <w:gridSpan w:val="3"/>
            <w:tcBorders>
              <w:top w:val="single" w:color="auto" w:sz="4" w:space="0"/>
              <w:bottom w:val="single" w:color="auto" w:sz="4" w:space="0"/>
              <w:right w:val="single" w:color="auto" w:sz="4" w:space="0"/>
            </w:tcBorders>
            <w:vAlign w:val="center"/>
          </w:tcPr>
          <w:p>
            <w:pPr>
              <w:jc w:val="center"/>
              <w:rPr>
                <w:rFonts w:ascii="Calibri" w:hAnsi="Calibri" w:eastAsia="宋体" w:cs="Times New Roman"/>
                <w:b/>
                <w:color w:val="auto"/>
                <w:szCs w:val="21"/>
                <w:highlight w:val="none"/>
              </w:rPr>
            </w:pPr>
            <w:r>
              <w:rPr>
                <w:rFonts w:ascii="Calibri" w:hAnsi="Calibri" w:eastAsia="宋体" w:cs="Times New Roman"/>
                <w:b/>
                <w:color w:val="auto"/>
                <w:szCs w:val="21"/>
                <w:highlight w:val="none"/>
              </w:rPr>
              <w:t>条款号</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b/>
                <w:color w:val="auto"/>
                <w:szCs w:val="21"/>
                <w:highlight w:val="none"/>
              </w:rPr>
            </w:pPr>
            <w:r>
              <w:rPr>
                <w:rFonts w:ascii="Calibri" w:hAnsi="Calibri" w:eastAsia="宋体" w:cs="Times New Roman"/>
                <w:b/>
                <w:color w:val="auto"/>
                <w:szCs w:val="21"/>
                <w:highlight w:val="none"/>
              </w:rPr>
              <w:t>评审因素</w:t>
            </w:r>
          </w:p>
        </w:tc>
        <w:tc>
          <w:tcPr>
            <w:tcW w:w="5812"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b/>
                <w:color w:val="auto"/>
                <w:szCs w:val="21"/>
                <w:highlight w:val="none"/>
              </w:rPr>
            </w:pPr>
            <w:r>
              <w:rPr>
                <w:rFonts w:ascii="Calibri" w:hAnsi="Calibri" w:eastAsia="宋体" w:cs="Times New Roman"/>
                <w:b/>
                <w:color w:val="auto"/>
                <w:szCs w:val="21"/>
                <w:highlight w:val="none"/>
              </w:rPr>
              <w:t>评审标准</w:t>
            </w:r>
          </w:p>
        </w:tc>
      </w:tr>
      <w:tr>
        <w:trPr>
          <w:trHeight w:val="454" w:hRule="atLeast"/>
        </w:trPr>
        <w:tc>
          <w:tcPr>
            <w:tcW w:w="782" w:type="dxa"/>
            <w:vMerge w:val="restart"/>
            <w:tcBorders>
              <w:top w:val="single" w:color="auto" w:sz="4" w:space="0"/>
              <w:right w:val="single" w:color="auto" w:sz="4" w:space="0"/>
            </w:tcBorders>
            <w:vAlign w:val="center"/>
          </w:tcPr>
          <w:p>
            <w:pPr>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rPr>
              <w:t>2.1.1</w:t>
            </w:r>
          </w:p>
        </w:tc>
        <w:tc>
          <w:tcPr>
            <w:tcW w:w="1698" w:type="dxa"/>
            <w:gridSpan w:val="2"/>
            <w:vMerge w:val="restart"/>
            <w:tcBorders>
              <w:top w:val="single" w:color="auto" w:sz="4" w:space="0"/>
              <w:right w:val="single" w:color="auto" w:sz="4" w:space="0"/>
            </w:tcBorders>
            <w:vAlign w:val="center"/>
          </w:tcPr>
          <w:p>
            <w:pPr>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rPr>
              <w:t>形式评审标准</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rPr>
              <w:t>投标人名称</w:t>
            </w:r>
          </w:p>
        </w:tc>
        <w:tc>
          <w:tcPr>
            <w:tcW w:w="5812"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Times New Roman"/>
                <w:color w:val="auto"/>
                <w:szCs w:val="21"/>
                <w:highlight w:val="none"/>
              </w:rPr>
            </w:pPr>
            <w:r>
              <w:rPr>
                <w:rFonts w:ascii="Calibri" w:hAnsi="Calibri" w:eastAsia="宋体" w:cs="Times New Roman"/>
                <w:color w:val="auto"/>
                <w:szCs w:val="21"/>
                <w:highlight w:val="none"/>
              </w:rPr>
              <w:t>与营业执照、资质证书一致</w:t>
            </w:r>
          </w:p>
        </w:tc>
      </w:tr>
      <w:tr>
        <w:tc>
          <w:tcPr>
            <w:tcW w:w="782" w:type="dxa"/>
            <w:vMerge w:val="continue"/>
            <w:tcBorders>
              <w:right w:val="single" w:color="auto" w:sz="4" w:space="0"/>
            </w:tcBorders>
            <w:vAlign w:val="center"/>
          </w:tcPr>
          <w:p>
            <w:pPr>
              <w:jc w:val="center"/>
              <w:rPr>
                <w:rFonts w:ascii="Calibri" w:hAnsi="Calibri" w:eastAsia="宋体" w:cs="Times New Roman"/>
                <w:color w:val="auto"/>
                <w:szCs w:val="21"/>
                <w:highlight w:val="none"/>
              </w:rPr>
            </w:pPr>
          </w:p>
        </w:tc>
        <w:tc>
          <w:tcPr>
            <w:tcW w:w="1698" w:type="dxa"/>
            <w:gridSpan w:val="2"/>
            <w:vMerge w:val="continue"/>
            <w:tcBorders>
              <w:right w:val="single" w:color="auto" w:sz="4" w:space="0"/>
            </w:tcBorders>
            <w:vAlign w:val="center"/>
          </w:tcPr>
          <w:p>
            <w:pPr>
              <w:jc w:val="center"/>
              <w:rPr>
                <w:rFonts w:ascii="Calibri" w:hAnsi="Calibri" w:eastAsia="宋体" w:cs="Times New Roman"/>
                <w:color w:val="auto"/>
                <w:szCs w:val="21"/>
                <w:highlight w:val="none"/>
              </w:rPr>
            </w:pP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rPr>
              <w:t>法定代表人证明及授权</w:t>
            </w:r>
          </w:p>
        </w:tc>
        <w:tc>
          <w:tcPr>
            <w:tcW w:w="5812"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Times New Roman"/>
                <w:color w:val="auto"/>
                <w:szCs w:val="21"/>
                <w:highlight w:val="none"/>
              </w:rPr>
            </w:pPr>
            <w:r>
              <w:rPr>
                <w:rFonts w:ascii="Calibri" w:hAnsi="Calibri" w:eastAsia="宋体" w:cs="Times New Roman"/>
                <w:color w:val="auto"/>
                <w:szCs w:val="21"/>
                <w:highlight w:val="none"/>
              </w:rPr>
              <w:t>投标文件中有有效的法定代表人证明书，或由委托代理人签字或盖章的投标文件中有法定代表人证明书和授权委托证明书</w:t>
            </w:r>
          </w:p>
        </w:tc>
      </w:tr>
      <w:tr>
        <w:tc>
          <w:tcPr>
            <w:tcW w:w="782" w:type="dxa"/>
            <w:vMerge w:val="continue"/>
            <w:tcBorders>
              <w:right w:val="single" w:color="auto" w:sz="4" w:space="0"/>
            </w:tcBorders>
            <w:vAlign w:val="center"/>
          </w:tcPr>
          <w:p>
            <w:pPr>
              <w:jc w:val="center"/>
              <w:rPr>
                <w:rFonts w:ascii="Calibri" w:hAnsi="Calibri" w:eastAsia="宋体" w:cs="Times New Roman"/>
                <w:color w:val="auto"/>
                <w:szCs w:val="21"/>
                <w:highlight w:val="none"/>
              </w:rPr>
            </w:pPr>
          </w:p>
        </w:tc>
        <w:tc>
          <w:tcPr>
            <w:tcW w:w="1698" w:type="dxa"/>
            <w:gridSpan w:val="2"/>
            <w:vMerge w:val="continue"/>
            <w:tcBorders>
              <w:right w:val="single" w:color="auto" w:sz="4" w:space="0"/>
            </w:tcBorders>
            <w:vAlign w:val="center"/>
          </w:tcPr>
          <w:p>
            <w:pPr>
              <w:jc w:val="center"/>
              <w:rPr>
                <w:rFonts w:ascii="Calibri" w:hAnsi="Calibri" w:eastAsia="宋体" w:cs="Times New Roman"/>
                <w:color w:val="auto"/>
                <w:szCs w:val="21"/>
                <w:highlight w:val="none"/>
              </w:rPr>
            </w:pP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rPr>
              <w:t>《投标函》、《投标承诺函》</w:t>
            </w:r>
          </w:p>
        </w:tc>
        <w:tc>
          <w:tcPr>
            <w:tcW w:w="5812"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Times New Roman"/>
                <w:color w:val="auto"/>
                <w:szCs w:val="21"/>
                <w:highlight w:val="none"/>
              </w:rPr>
            </w:pPr>
            <w:r>
              <w:rPr>
                <w:rFonts w:ascii="Calibri" w:hAnsi="Calibri" w:eastAsia="宋体" w:cs="Times New Roman"/>
                <w:color w:val="auto"/>
                <w:szCs w:val="21"/>
                <w:highlight w:val="none"/>
              </w:rPr>
              <w:t>内容与招标文件规定一致，有法定代表人或其委托代理人签字（或盖章）且按规定加盖投标人电子印章</w:t>
            </w:r>
          </w:p>
        </w:tc>
      </w:tr>
      <w:tr>
        <w:trPr>
          <w:trHeight w:val="454" w:hRule="atLeast"/>
        </w:trPr>
        <w:tc>
          <w:tcPr>
            <w:tcW w:w="782" w:type="dxa"/>
            <w:vMerge w:val="continue"/>
            <w:tcBorders>
              <w:right w:val="single" w:color="auto" w:sz="4" w:space="0"/>
            </w:tcBorders>
            <w:vAlign w:val="center"/>
          </w:tcPr>
          <w:p>
            <w:pPr>
              <w:jc w:val="center"/>
              <w:rPr>
                <w:rFonts w:ascii="Calibri" w:hAnsi="Calibri" w:eastAsia="宋体" w:cs="Times New Roman"/>
                <w:color w:val="auto"/>
                <w:szCs w:val="21"/>
                <w:highlight w:val="none"/>
              </w:rPr>
            </w:pPr>
          </w:p>
        </w:tc>
        <w:tc>
          <w:tcPr>
            <w:tcW w:w="1698" w:type="dxa"/>
            <w:gridSpan w:val="2"/>
            <w:vMerge w:val="continue"/>
            <w:tcBorders>
              <w:right w:val="single" w:color="auto" w:sz="4" w:space="0"/>
            </w:tcBorders>
            <w:vAlign w:val="center"/>
          </w:tcPr>
          <w:p>
            <w:pPr>
              <w:jc w:val="center"/>
              <w:rPr>
                <w:rFonts w:ascii="Calibri" w:hAnsi="Calibri" w:eastAsia="宋体" w:cs="Times New Roman"/>
                <w:color w:val="auto"/>
                <w:szCs w:val="21"/>
                <w:highlight w:val="none"/>
              </w:rPr>
            </w:pP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rPr>
              <w:t>投标文件格式</w:t>
            </w:r>
          </w:p>
        </w:tc>
        <w:tc>
          <w:tcPr>
            <w:tcW w:w="5812"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Times New Roman"/>
                <w:color w:val="auto"/>
                <w:szCs w:val="21"/>
                <w:highlight w:val="none"/>
              </w:rPr>
            </w:pPr>
            <w:r>
              <w:rPr>
                <w:rFonts w:ascii="Calibri" w:hAnsi="Calibri" w:eastAsia="宋体" w:cs="Times New Roman"/>
                <w:color w:val="auto"/>
                <w:szCs w:val="21"/>
                <w:highlight w:val="none"/>
              </w:rPr>
              <w:t>符合第七章“投标文件格式”的格式要求</w:t>
            </w:r>
          </w:p>
        </w:tc>
      </w:tr>
      <w:tr>
        <w:trPr>
          <w:trHeight w:val="454" w:hRule="atLeast"/>
        </w:trPr>
        <w:tc>
          <w:tcPr>
            <w:tcW w:w="782" w:type="dxa"/>
            <w:vMerge w:val="continue"/>
            <w:tcBorders>
              <w:right w:val="single" w:color="auto" w:sz="4" w:space="0"/>
            </w:tcBorders>
            <w:vAlign w:val="center"/>
          </w:tcPr>
          <w:p>
            <w:pPr>
              <w:jc w:val="center"/>
              <w:rPr>
                <w:rFonts w:ascii="Calibri" w:hAnsi="Calibri" w:eastAsia="宋体" w:cs="Times New Roman"/>
                <w:color w:val="auto"/>
                <w:szCs w:val="21"/>
                <w:highlight w:val="none"/>
              </w:rPr>
            </w:pPr>
          </w:p>
        </w:tc>
        <w:tc>
          <w:tcPr>
            <w:tcW w:w="1698" w:type="dxa"/>
            <w:gridSpan w:val="2"/>
            <w:vMerge w:val="continue"/>
            <w:tcBorders>
              <w:right w:val="single" w:color="auto" w:sz="4" w:space="0"/>
            </w:tcBorders>
            <w:vAlign w:val="center"/>
          </w:tcPr>
          <w:p>
            <w:pPr>
              <w:jc w:val="center"/>
              <w:rPr>
                <w:rFonts w:ascii="Calibri" w:hAnsi="Calibri" w:eastAsia="宋体" w:cs="Times New Roman"/>
                <w:color w:val="auto"/>
                <w:szCs w:val="21"/>
                <w:highlight w:val="none"/>
              </w:rPr>
            </w:pP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rPr>
              <w:t>报价唯一</w:t>
            </w:r>
          </w:p>
        </w:tc>
        <w:tc>
          <w:tcPr>
            <w:tcW w:w="5812"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Times New Roman"/>
                <w:color w:val="auto"/>
                <w:szCs w:val="21"/>
                <w:highlight w:val="none"/>
              </w:rPr>
            </w:pPr>
            <w:r>
              <w:rPr>
                <w:rFonts w:ascii="Calibri" w:hAnsi="Calibri" w:eastAsia="宋体" w:cs="Times New Roman"/>
                <w:color w:val="auto"/>
                <w:szCs w:val="21"/>
                <w:highlight w:val="none"/>
              </w:rPr>
              <w:t>只能有一个有效报价</w:t>
            </w:r>
          </w:p>
        </w:tc>
      </w:tr>
      <w:tr>
        <w:tc>
          <w:tcPr>
            <w:tcW w:w="782" w:type="dxa"/>
            <w:vMerge w:val="continue"/>
            <w:tcBorders>
              <w:right w:val="single" w:color="auto" w:sz="4" w:space="0"/>
            </w:tcBorders>
            <w:vAlign w:val="center"/>
          </w:tcPr>
          <w:p>
            <w:pPr>
              <w:jc w:val="center"/>
              <w:rPr>
                <w:rFonts w:ascii="Calibri" w:hAnsi="Calibri" w:eastAsia="宋体" w:cs="Times New Roman"/>
                <w:color w:val="auto"/>
                <w:szCs w:val="21"/>
                <w:highlight w:val="none"/>
              </w:rPr>
            </w:pPr>
          </w:p>
        </w:tc>
        <w:tc>
          <w:tcPr>
            <w:tcW w:w="1698" w:type="dxa"/>
            <w:gridSpan w:val="2"/>
            <w:vMerge w:val="continue"/>
            <w:tcBorders>
              <w:right w:val="single" w:color="auto" w:sz="4" w:space="0"/>
            </w:tcBorders>
            <w:vAlign w:val="center"/>
          </w:tcPr>
          <w:p>
            <w:pPr>
              <w:jc w:val="center"/>
              <w:rPr>
                <w:rFonts w:ascii="Calibri" w:hAnsi="Calibri" w:eastAsia="宋体" w:cs="Times New Roman"/>
                <w:color w:val="auto"/>
                <w:szCs w:val="21"/>
                <w:highlight w:val="none"/>
              </w:rPr>
            </w:pP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r>
              <w:rPr>
                <w:rFonts w:ascii="Calibri" w:hAnsi="Calibri" w:eastAsia="宋体" w:cs="Times New Roman"/>
                <w:strike/>
                <w:color w:val="auto"/>
                <w:szCs w:val="21"/>
                <w:highlight w:val="none"/>
              </w:rPr>
              <w:t>投标保证金递交情况</w:t>
            </w:r>
          </w:p>
        </w:tc>
        <w:tc>
          <w:tcPr>
            <w:tcW w:w="5812"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Times New Roman"/>
                <w:color w:val="auto"/>
                <w:szCs w:val="21"/>
                <w:highlight w:val="none"/>
              </w:rPr>
            </w:pPr>
            <w:r>
              <w:rPr>
                <w:rFonts w:ascii="Calibri" w:hAnsi="Calibri" w:eastAsia="宋体" w:cs="Times New Roman"/>
                <w:strike/>
                <w:color w:val="auto"/>
                <w:szCs w:val="21"/>
                <w:highlight w:val="none"/>
              </w:rPr>
              <w:t>按招标文件要求递交投标保证金</w:t>
            </w:r>
          </w:p>
        </w:tc>
      </w:tr>
      <w:tr>
        <w:tc>
          <w:tcPr>
            <w:tcW w:w="782" w:type="dxa"/>
            <w:vMerge w:val="continue"/>
            <w:tcBorders>
              <w:right w:val="single" w:color="auto" w:sz="4" w:space="0"/>
            </w:tcBorders>
            <w:vAlign w:val="center"/>
          </w:tcPr>
          <w:p>
            <w:pPr>
              <w:jc w:val="center"/>
              <w:rPr>
                <w:rFonts w:ascii="Calibri" w:hAnsi="Calibri" w:eastAsia="宋体" w:cs="Times New Roman"/>
                <w:color w:val="auto"/>
                <w:szCs w:val="21"/>
                <w:highlight w:val="none"/>
              </w:rPr>
            </w:pPr>
          </w:p>
        </w:tc>
        <w:tc>
          <w:tcPr>
            <w:tcW w:w="1698" w:type="dxa"/>
            <w:gridSpan w:val="2"/>
            <w:vMerge w:val="continue"/>
            <w:tcBorders>
              <w:right w:val="single" w:color="auto" w:sz="4" w:space="0"/>
            </w:tcBorders>
            <w:vAlign w:val="center"/>
          </w:tcPr>
          <w:p>
            <w:pPr>
              <w:jc w:val="center"/>
              <w:rPr>
                <w:rFonts w:ascii="Calibri" w:hAnsi="Calibri" w:eastAsia="宋体" w:cs="Times New Roman"/>
                <w:color w:val="auto"/>
                <w:szCs w:val="21"/>
                <w:highlight w:val="none"/>
              </w:rPr>
            </w:pP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rPr>
              <w:t>机器特征码一致</w:t>
            </w:r>
          </w:p>
        </w:tc>
        <w:tc>
          <w:tcPr>
            <w:tcW w:w="5812"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Times New Roman"/>
                <w:color w:val="auto"/>
                <w:szCs w:val="21"/>
                <w:highlight w:val="none"/>
              </w:rPr>
            </w:pPr>
            <w:r>
              <w:rPr>
                <w:rFonts w:ascii="Calibri" w:hAnsi="Calibri" w:eastAsia="宋体" w:cs="Times New Roman"/>
                <w:color w:val="auto"/>
                <w:szCs w:val="21"/>
                <w:highlight w:val="none"/>
              </w:rPr>
              <w:t>不同投标人的加密打包投标文件电脑机器特征码不一致</w:t>
            </w:r>
          </w:p>
        </w:tc>
      </w:tr>
      <w:tr>
        <w:trPr>
          <w:trHeight w:val="492" w:hRule="atLeast"/>
        </w:trPr>
        <w:tc>
          <w:tcPr>
            <w:tcW w:w="782" w:type="dxa"/>
            <w:vMerge w:val="continue"/>
            <w:tcBorders>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p>
        </w:tc>
        <w:tc>
          <w:tcPr>
            <w:tcW w:w="1698" w:type="dxa"/>
            <w:gridSpan w:val="2"/>
            <w:vMerge w:val="continue"/>
            <w:tcBorders>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u w:val="single"/>
              </w:rPr>
              <w:t>备选投标方案</w:t>
            </w:r>
          </w:p>
        </w:tc>
        <w:tc>
          <w:tcPr>
            <w:tcW w:w="5812"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Times New Roman"/>
                <w:color w:val="auto"/>
                <w:szCs w:val="21"/>
                <w:highlight w:val="none"/>
              </w:rPr>
            </w:pPr>
            <w:r>
              <w:rPr>
                <w:rFonts w:ascii="Calibri" w:hAnsi="Calibri" w:eastAsia="宋体" w:cs="Times New Roman"/>
                <w:color w:val="auto"/>
                <w:szCs w:val="21"/>
                <w:highlight w:val="none"/>
                <w:u w:val="single"/>
              </w:rPr>
              <w:t>不允许</w:t>
            </w:r>
          </w:p>
        </w:tc>
      </w:tr>
      <w:tr>
        <w:trPr>
          <w:trHeight w:val="454" w:hRule="atLeast"/>
        </w:trPr>
        <w:tc>
          <w:tcPr>
            <w:tcW w:w="782" w:type="dxa"/>
            <w:vMerge w:val="restart"/>
            <w:tcBorders>
              <w:top w:val="single" w:color="auto" w:sz="4" w:space="0"/>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rPr>
              <w:t>2.1.2</w:t>
            </w:r>
          </w:p>
        </w:tc>
        <w:tc>
          <w:tcPr>
            <w:tcW w:w="1698" w:type="dxa"/>
            <w:gridSpan w:val="2"/>
            <w:vMerge w:val="restart"/>
            <w:tcBorders>
              <w:top w:val="single" w:color="auto" w:sz="4" w:space="0"/>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rPr>
              <w:t>资格评审标准</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rPr>
              <w:t>投标人代表授权书</w:t>
            </w:r>
          </w:p>
        </w:tc>
        <w:tc>
          <w:tcPr>
            <w:tcW w:w="5812"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Times New Roman"/>
                <w:color w:val="auto"/>
                <w:szCs w:val="21"/>
                <w:highlight w:val="none"/>
              </w:rPr>
            </w:pPr>
            <w:r>
              <w:rPr>
                <w:rFonts w:ascii="Calibri" w:hAnsi="Calibri" w:eastAsia="宋体" w:cs="Times New Roman"/>
                <w:color w:val="auto"/>
                <w:szCs w:val="21"/>
                <w:highlight w:val="none"/>
              </w:rPr>
              <w:t>具有有效的投标人代表授权书</w:t>
            </w:r>
          </w:p>
        </w:tc>
      </w:tr>
      <w:tr>
        <w:trPr>
          <w:trHeight w:val="454" w:hRule="atLeast"/>
        </w:trPr>
        <w:tc>
          <w:tcPr>
            <w:tcW w:w="782" w:type="dxa"/>
            <w:vMerge w:val="continue"/>
            <w:tcBorders>
              <w:right w:val="single" w:color="auto" w:sz="4" w:space="0"/>
            </w:tcBorders>
            <w:vAlign w:val="center"/>
          </w:tcPr>
          <w:p>
            <w:pPr>
              <w:jc w:val="center"/>
              <w:rPr>
                <w:rFonts w:ascii="Calibri" w:hAnsi="Calibri" w:eastAsia="宋体" w:cs="Times New Roman"/>
                <w:color w:val="auto"/>
                <w:szCs w:val="21"/>
                <w:highlight w:val="none"/>
              </w:rPr>
            </w:pPr>
          </w:p>
        </w:tc>
        <w:tc>
          <w:tcPr>
            <w:tcW w:w="1698" w:type="dxa"/>
            <w:gridSpan w:val="2"/>
            <w:vMerge w:val="continue"/>
            <w:tcBorders>
              <w:right w:val="single" w:color="auto" w:sz="4" w:space="0"/>
            </w:tcBorders>
            <w:vAlign w:val="center"/>
          </w:tcPr>
          <w:p>
            <w:pPr>
              <w:jc w:val="center"/>
              <w:rPr>
                <w:rFonts w:ascii="Calibri" w:hAnsi="Calibri" w:eastAsia="宋体" w:cs="Times New Roman"/>
                <w:color w:val="auto"/>
                <w:szCs w:val="21"/>
                <w:highlight w:val="none"/>
              </w:rPr>
            </w:pP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rPr>
              <w:t>营业执照</w:t>
            </w:r>
          </w:p>
        </w:tc>
        <w:tc>
          <w:tcPr>
            <w:tcW w:w="5812"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Times New Roman"/>
                <w:color w:val="auto"/>
                <w:szCs w:val="21"/>
                <w:highlight w:val="none"/>
              </w:rPr>
            </w:pPr>
            <w:r>
              <w:rPr>
                <w:rFonts w:ascii="Calibri" w:hAnsi="Calibri" w:eastAsia="宋体" w:cs="Times New Roman"/>
                <w:color w:val="auto"/>
                <w:szCs w:val="21"/>
                <w:highlight w:val="none"/>
              </w:rPr>
              <w:t>具备有效的营业执照</w:t>
            </w:r>
          </w:p>
        </w:tc>
      </w:tr>
      <w:tr>
        <w:trPr>
          <w:trHeight w:val="454" w:hRule="atLeast"/>
        </w:trPr>
        <w:tc>
          <w:tcPr>
            <w:tcW w:w="782" w:type="dxa"/>
            <w:vMerge w:val="continue"/>
            <w:tcBorders>
              <w:top w:val="nil"/>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p>
        </w:tc>
        <w:tc>
          <w:tcPr>
            <w:tcW w:w="1698" w:type="dxa"/>
            <w:gridSpan w:val="2"/>
            <w:vMerge w:val="continue"/>
            <w:tcBorders>
              <w:top w:val="nil"/>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p>
        </w:tc>
        <w:tc>
          <w:tcPr>
            <w:tcW w:w="1489" w:type="dxa"/>
            <w:tcBorders>
              <w:top w:val="single" w:color="auto" w:sz="4" w:space="0"/>
              <w:left w:val="single" w:color="auto" w:sz="4" w:space="0"/>
              <w:right w:val="single" w:color="auto" w:sz="4" w:space="0"/>
            </w:tcBorders>
            <w:vAlign w:val="center"/>
          </w:tcPr>
          <w:p>
            <w:pPr>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rPr>
              <w:t>安全生产许可证</w:t>
            </w:r>
          </w:p>
        </w:tc>
        <w:tc>
          <w:tcPr>
            <w:tcW w:w="5812"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Times New Roman"/>
                <w:color w:val="auto"/>
                <w:szCs w:val="21"/>
                <w:highlight w:val="none"/>
              </w:rPr>
            </w:pPr>
            <w:r>
              <w:rPr>
                <w:rFonts w:ascii="Calibri" w:hAnsi="Calibri" w:eastAsia="宋体" w:cs="Times New Roman"/>
                <w:color w:val="auto"/>
                <w:szCs w:val="21"/>
                <w:highlight w:val="none"/>
              </w:rPr>
              <w:t>具备有效的建设行政主管部门颁发的安全生产许可证</w:t>
            </w:r>
          </w:p>
        </w:tc>
      </w:tr>
      <w:tr>
        <w:trPr>
          <w:trHeight w:val="454" w:hRule="atLeast"/>
        </w:trPr>
        <w:tc>
          <w:tcPr>
            <w:tcW w:w="782" w:type="dxa"/>
            <w:vMerge w:val="continue"/>
            <w:tcBorders>
              <w:top w:val="nil"/>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p>
        </w:tc>
        <w:tc>
          <w:tcPr>
            <w:tcW w:w="1698" w:type="dxa"/>
            <w:gridSpan w:val="2"/>
            <w:vMerge w:val="continue"/>
            <w:tcBorders>
              <w:top w:val="nil"/>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p>
        </w:tc>
        <w:tc>
          <w:tcPr>
            <w:tcW w:w="1489" w:type="dxa"/>
            <w:tcBorders>
              <w:top w:val="single" w:color="auto" w:sz="4" w:space="0"/>
              <w:left w:val="single" w:color="auto" w:sz="4" w:space="0"/>
              <w:right w:val="single" w:color="auto" w:sz="4" w:space="0"/>
            </w:tcBorders>
            <w:vAlign w:val="center"/>
          </w:tcPr>
          <w:p>
            <w:pPr>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rPr>
              <w:t>资质等级</w:t>
            </w:r>
          </w:p>
        </w:tc>
        <w:tc>
          <w:tcPr>
            <w:tcW w:w="5812"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Times New Roman"/>
                <w:color w:val="auto"/>
                <w:szCs w:val="21"/>
                <w:highlight w:val="none"/>
              </w:rPr>
            </w:pPr>
            <w:r>
              <w:rPr>
                <w:rFonts w:ascii="Calibri" w:hAnsi="Calibri" w:eastAsia="宋体" w:cs="Times New Roman"/>
                <w:color w:val="auto"/>
                <w:szCs w:val="21"/>
                <w:highlight w:val="none"/>
              </w:rPr>
              <w:t>符合第二章“投标人须知”第1.4.1项规定</w:t>
            </w:r>
          </w:p>
        </w:tc>
      </w:tr>
      <w:tr>
        <w:trPr>
          <w:trHeight w:val="454" w:hRule="atLeast"/>
        </w:trPr>
        <w:tc>
          <w:tcPr>
            <w:tcW w:w="782" w:type="dxa"/>
            <w:vMerge w:val="continue"/>
            <w:tcBorders>
              <w:top w:val="nil"/>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p>
        </w:tc>
        <w:tc>
          <w:tcPr>
            <w:tcW w:w="1698" w:type="dxa"/>
            <w:gridSpan w:val="2"/>
            <w:vMerge w:val="continue"/>
            <w:tcBorders>
              <w:top w:val="nil"/>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p>
        </w:tc>
        <w:tc>
          <w:tcPr>
            <w:tcW w:w="1489" w:type="dxa"/>
            <w:tcBorders>
              <w:top w:val="single" w:color="auto" w:sz="4" w:space="0"/>
              <w:left w:val="single" w:color="auto" w:sz="4" w:space="0"/>
              <w:right w:val="single" w:color="auto" w:sz="4" w:space="0"/>
            </w:tcBorders>
            <w:vAlign w:val="center"/>
          </w:tcPr>
          <w:p>
            <w:pPr>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rPr>
              <w:t>投标人声明</w:t>
            </w:r>
          </w:p>
        </w:tc>
        <w:tc>
          <w:tcPr>
            <w:tcW w:w="5812"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Times New Roman"/>
                <w:color w:val="auto"/>
                <w:szCs w:val="21"/>
                <w:highlight w:val="none"/>
              </w:rPr>
            </w:pPr>
            <w:r>
              <w:rPr>
                <w:rFonts w:ascii="Calibri" w:hAnsi="Calibri" w:eastAsia="宋体" w:cs="Times New Roman"/>
                <w:color w:val="auto"/>
                <w:szCs w:val="21"/>
                <w:highlight w:val="none"/>
              </w:rPr>
              <w:t>符合第二章“投标人须知”第1.4.1项规定</w:t>
            </w:r>
          </w:p>
        </w:tc>
      </w:tr>
      <w:tr>
        <w:trPr>
          <w:trHeight w:val="1070" w:hRule="atLeast"/>
        </w:trPr>
        <w:tc>
          <w:tcPr>
            <w:tcW w:w="782" w:type="dxa"/>
            <w:vMerge w:val="continue"/>
            <w:tcBorders>
              <w:top w:val="nil"/>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p>
        </w:tc>
        <w:tc>
          <w:tcPr>
            <w:tcW w:w="1698" w:type="dxa"/>
            <w:gridSpan w:val="2"/>
            <w:vMerge w:val="continue"/>
            <w:tcBorders>
              <w:top w:val="nil"/>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rPr>
              <w:t>项目负责人</w:t>
            </w:r>
          </w:p>
          <w:p>
            <w:pPr>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rPr>
              <w:t>（可兼任施工负责人）</w:t>
            </w:r>
          </w:p>
        </w:tc>
        <w:tc>
          <w:tcPr>
            <w:tcW w:w="5812"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Times New Roman"/>
                <w:color w:val="auto"/>
                <w:szCs w:val="21"/>
                <w:highlight w:val="none"/>
              </w:rPr>
            </w:pPr>
            <w:r>
              <w:rPr>
                <w:rFonts w:ascii="Calibri" w:hAnsi="Calibri" w:eastAsia="宋体" w:cs="Times New Roman"/>
                <w:color w:val="auto"/>
                <w:szCs w:val="21"/>
                <w:highlight w:val="none"/>
              </w:rPr>
              <w:t>符合第二章“投标人须知”第1.4.1项规定</w:t>
            </w:r>
          </w:p>
        </w:tc>
      </w:tr>
      <w:tr>
        <w:trPr>
          <w:trHeight w:val="454" w:hRule="atLeast"/>
        </w:trPr>
        <w:tc>
          <w:tcPr>
            <w:tcW w:w="782" w:type="dxa"/>
            <w:vMerge w:val="continue"/>
            <w:tcBorders>
              <w:top w:val="nil"/>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p>
        </w:tc>
        <w:tc>
          <w:tcPr>
            <w:tcW w:w="1698" w:type="dxa"/>
            <w:gridSpan w:val="2"/>
            <w:vMerge w:val="continue"/>
            <w:tcBorders>
              <w:top w:val="nil"/>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rPr>
              <w:t>设计负责人</w:t>
            </w:r>
          </w:p>
        </w:tc>
        <w:tc>
          <w:tcPr>
            <w:tcW w:w="5812"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Times New Roman"/>
                <w:color w:val="auto"/>
                <w:szCs w:val="21"/>
                <w:highlight w:val="none"/>
              </w:rPr>
            </w:pPr>
            <w:r>
              <w:rPr>
                <w:rFonts w:ascii="Calibri" w:hAnsi="Calibri" w:eastAsia="宋体" w:cs="Times New Roman"/>
                <w:color w:val="auto"/>
                <w:szCs w:val="21"/>
                <w:highlight w:val="none"/>
              </w:rPr>
              <w:t>符合第二章“投标人须知”第1.4.1项规定</w:t>
            </w:r>
          </w:p>
        </w:tc>
      </w:tr>
      <w:tr>
        <w:trPr>
          <w:trHeight w:val="454" w:hRule="atLeast"/>
        </w:trPr>
        <w:tc>
          <w:tcPr>
            <w:tcW w:w="782" w:type="dxa"/>
            <w:vMerge w:val="continue"/>
            <w:tcBorders>
              <w:top w:val="nil"/>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p>
        </w:tc>
        <w:tc>
          <w:tcPr>
            <w:tcW w:w="1698" w:type="dxa"/>
            <w:gridSpan w:val="2"/>
            <w:vMerge w:val="continue"/>
            <w:tcBorders>
              <w:top w:val="nil"/>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rPr>
              <w:t>施工技术负责人</w:t>
            </w:r>
          </w:p>
        </w:tc>
        <w:tc>
          <w:tcPr>
            <w:tcW w:w="5812"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Times New Roman"/>
                <w:color w:val="auto"/>
                <w:szCs w:val="21"/>
                <w:highlight w:val="none"/>
              </w:rPr>
            </w:pPr>
            <w:r>
              <w:rPr>
                <w:rFonts w:ascii="Calibri" w:hAnsi="Calibri" w:eastAsia="宋体" w:cs="Times New Roman"/>
                <w:color w:val="auto"/>
                <w:szCs w:val="21"/>
                <w:highlight w:val="none"/>
              </w:rPr>
              <w:t>符合第二章“投标人须知”第1.4.1项规定</w:t>
            </w:r>
          </w:p>
        </w:tc>
      </w:tr>
      <w:tr>
        <w:trPr>
          <w:trHeight w:val="454" w:hRule="atLeast"/>
        </w:trPr>
        <w:tc>
          <w:tcPr>
            <w:tcW w:w="782" w:type="dxa"/>
            <w:vMerge w:val="continue"/>
            <w:tcBorders>
              <w:top w:val="nil"/>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p>
        </w:tc>
        <w:tc>
          <w:tcPr>
            <w:tcW w:w="1698" w:type="dxa"/>
            <w:gridSpan w:val="2"/>
            <w:vMerge w:val="continue"/>
            <w:tcBorders>
              <w:top w:val="nil"/>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等线" w:cs="Times New Roman"/>
                <w:color w:val="auto"/>
                <w:szCs w:val="21"/>
                <w:highlight w:val="none"/>
              </w:rPr>
            </w:pPr>
            <w:r>
              <w:rPr>
                <w:rFonts w:ascii="Calibri" w:hAnsi="Calibri" w:eastAsia="宋体" w:cs="Times New Roman"/>
                <w:color w:val="auto"/>
                <w:szCs w:val="21"/>
                <w:highlight w:val="none"/>
              </w:rPr>
              <w:t>专职安全员</w:t>
            </w:r>
          </w:p>
        </w:tc>
        <w:tc>
          <w:tcPr>
            <w:tcW w:w="5812"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Times New Roman"/>
                <w:color w:val="auto"/>
                <w:szCs w:val="21"/>
                <w:highlight w:val="none"/>
              </w:rPr>
            </w:pPr>
            <w:r>
              <w:rPr>
                <w:rFonts w:ascii="Calibri" w:hAnsi="Calibri" w:eastAsia="宋体" w:cs="Times New Roman"/>
                <w:color w:val="auto"/>
                <w:szCs w:val="21"/>
                <w:highlight w:val="none"/>
              </w:rPr>
              <w:t>符合第二章“投标人须知”第1.4.1项规定</w:t>
            </w:r>
          </w:p>
        </w:tc>
      </w:tr>
      <w:tr>
        <w:trPr>
          <w:trHeight w:val="454" w:hRule="atLeast"/>
        </w:trPr>
        <w:tc>
          <w:tcPr>
            <w:tcW w:w="782" w:type="dxa"/>
            <w:vMerge w:val="continue"/>
            <w:tcBorders>
              <w:top w:val="nil"/>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p>
        </w:tc>
        <w:tc>
          <w:tcPr>
            <w:tcW w:w="1698" w:type="dxa"/>
            <w:gridSpan w:val="2"/>
            <w:vMerge w:val="continue"/>
            <w:tcBorders>
              <w:top w:val="nil"/>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rPr>
              <w:t>其他要求</w:t>
            </w:r>
          </w:p>
        </w:tc>
        <w:tc>
          <w:tcPr>
            <w:tcW w:w="5812"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Times New Roman"/>
                <w:color w:val="auto"/>
                <w:szCs w:val="21"/>
                <w:highlight w:val="none"/>
              </w:rPr>
            </w:pPr>
            <w:r>
              <w:rPr>
                <w:rFonts w:ascii="Calibri" w:hAnsi="Calibri" w:eastAsia="宋体" w:cs="Times New Roman"/>
                <w:color w:val="auto"/>
                <w:szCs w:val="21"/>
                <w:highlight w:val="none"/>
              </w:rPr>
              <w:t>符合第二章“投标人须知”第1.4.1项规定</w:t>
            </w:r>
          </w:p>
        </w:tc>
      </w:tr>
      <w:tr>
        <w:trPr>
          <w:trHeight w:val="454" w:hRule="atLeast"/>
        </w:trPr>
        <w:tc>
          <w:tcPr>
            <w:tcW w:w="782" w:type="dxa"/>
            <w:vMerge w:val="continue"/>
            <w:tcBorders>
              <w:top w:val="nil"/>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p>
        </w:tc>
        <w:tc>
          <w:tcPr>
            <w:tcW w:w="1698" w:type="dxa"/>
            <w:gridSpan w:val="2"/>
            <w:vMerge w:val="continue"/>
            <w:tcBorders>
              <w:top w:val="nil"/>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rPr>
              <w:t>联合体投标人</w:t>
            </w:r>
          </w:p>
        </w:tc>
        <w:tc>
          <w:tcPr>
            <w:tcW w:w="5812"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Times New Roman"/>
                <w:color w:val="auto"/>
                <w:szCs w:val="21"/>
                <w:highlight w:val="none"/>
              </w:rPr>
            </w:pPr>
            <w:r>
              <w:rPr>
                <w:rFonts w:ascii="Calibri" w:hAnsi="Calibri" w:eastAsia="宋体" w:cs="Times New Roman"/>
                <w:color w:val="auto"/>
                <w:szCs w:val="21"/>
                <w:highlight w:val="none"/>
              </w:rPr>
              <w:t>符合第二章“投标人须知”第1.4.2项规定</w:t>
            </w:r>
          </w:p>
        </w:tc>
      </w:tr>
      <w:tr>
        <w:trPr>
          <w:trHeight w:val="454" w:hRule="atLeast"/>
        </w:trPr>
        <w:tc>
          <w:tcPr>
            <w:tcW w:w="782" w:type="dxa"/>
            <w:vMerge w:val="restart"/>
            <w:tcBorders>
              <w:top w:val="single" w:color="auto" w:sz="4" w:space="0"/>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rPr>
              <w:t>2.1.3</w:t>
            </w:r>
          </w:p>
          <w:p>
            <w:pPr>
              <w:jc w:val="center"/>
              <w:rPr>
                <w:rFonts w:ascii="Calibri" w:hAnsi="Calibri" w:eastAsia="宋体" w:cs="Times New Roman"/>
                <w:color w:val="auto"/>
                <w:szCs w:val="21"/>
                <w:highlight w:val="none"/>
              </w:rPr>
            </w:pPr>
          </w:p>
        </w:tc>
        <w:tc>
          <w:tcPr>
            <w:tcW w:w="169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rPr>
              <w:t>工程总承包实施方案响应性评审标准</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rPr>
              <w:t>投标报价</w:t>
            </w:r>
          </w:p>
        </w:tc>
        <w:tc>
          <w:tcPr>
            <w:tcW w:w="5812"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Times New Roman"/>
                <w:color w:val="auto"/>
                <w:szCs w:val="21"/>
                <w:highlight w:val="none"/>
              </w:rPr>
            </w:pPr>
            <w:r>
              <w:rPr>
                <w:rFonts w:ascii="Calibri" w:hAnsi="Calibri" w:eastAsia="宋体" w:cs="Times New Roman"/>
                <w:color w:val="auto"/>
                <w:szCs w:val="21"/>
                <w:highlight w:val="none"/>
              </w:rPr>
              <w:t>符合第二章“投标人须知”第3.2.4规定且不低于企业成本</w:t>
            </w:r>
          </w:p>
        </w:tc>
      </w:tr>
      <w:tr>
        <w:trPr>
          <w:trHeight w:val="393" w:hRule="atLeast"/>
        </w:trPr>
        <w:tc>
          <w:tcPr>
            <w:tcW w:w="782" w:type="dxa"/>
            <w:vMerge w:val="continue"/>
            <w:tcBorders>
              <w:top w:val="single" w:color="auto" w:sz="4" w:space="0"/>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p>
        </w:tc>
        <w:tc>
          <w:tcPr>
            <w:tcW w:w="1698" w:type="dxa"/>
            <w:gridSpan w:val="2"/>
            <w:vMerge w:val="continue"/>
            <w:tcBorders>
              <w:top w:val="single" w:color="auto" w:sz="4" w:space="0"/>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rPr>
              <w:t>投标内容</w:t>
            </w:r>
          </w:p>
        </w:tc>
        <w:tc>
          <w:tcPr>
            <w:tcW w:w="5812"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Times New Roman"/>
                <w:color w:val="auto"/>
                <w:szCs w:val="21"/>
                <w:highlight w:val="none"/>
              </w:rPr>
            </w:pPr>
            <w:r>
              <w:rPr>
                <w:rFonts w:ascii="Calibri" w:hAnsi="Calibri" w:eastAsia="宋体" w:cs="Times New Roman"/>
                <w:color w:val="auto"/>
                <w:szCs w:val="21"/>
                <w:highlight w:val="none"/>
              </w:rPr>
              <w:t>符合第二章“投标人须知”第1.3.1项规定</w:t>
            </w:r>
          </w:p>
        </w:tc>
      </w:tr>
      <w:tr>
        <w:trPr>
          <w:trHeight w:val="399" w:hRule="atLeast"/>
        </w:trPr>
        <w:tc>
          <w:tcPr>
            <w:tcW w:w="782" w:type="dxa"/>
            <w:vMerge w:val="continue"/>
            <w:tcBorders>
              <w:top w:val="single" w:color="auto" w:sz="4" w:space="0"/>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p>
        </w:tc>
        <w:tc>
          <w:tcPr>
            <w:tcW w:w="1698" w:type="dxa"/>
            <w:gridSpan w:val="2"/>
            <w:vMerge w:val="continue"/>
            <w:tcBorders>
              <w:top w:val="single" w:color="auto" w:sz="4" w:space="0"/>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rPr>
              <w:t>工期</w:t>
            </w:r>
          </w:p>
        </w:tc>
        <w:tc>
          <w:tcPr>
            <w:tcW w:w="5812"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Times New Roman"/>
                <w:color w:val="auto"/>
                <w:szCs w:val="21"/>
                <w:highlight w:val="none"/>
              </w:rPr>
            </w:pPr>
            <w:r>
              <w:rPr>
                <w:rFonts w:ascii="Calibri" w:hAnsi="Calibri" w:eastAsia="宋体" w:cs="Times New Roman"/>
                <w:color w:val="auto"/>
                <w:szCs w:val="21"/>
                <w:highlight w:val="none"/>
              </w:rPr>
              <w:t>符合第二章“投标人须知”第1.3.2项规定</w:t>
            </w:r>
          </w:p>
        </w:tc>
      </w:tr>
      <w:tr>
        <w:trPr>
          <w:trHeight w:val="282" w:hRule="atLeast"/>
        </w:trPr>
        <w:tc>
          <w:tcPr>
            <w:tcW w:w="782" w:type="dxa"/>
            <w:vMerge w:val="continue"/>
            <w:tcBorders>
              <w:top w:val="single" w:color="auto" w:sz="4" w:space="0"/>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p>
        </w:tc>
        <w:tc>
          <w:tcPr>
            <w:tcW w:w="1698" w:type="dxa"/>
            <w:gridSpan w:val="2"/>
            <w:vMerge w:val="continue"/>
            <w:tcBorders>
              <w:top w:val="single" w:color="auto" w:sz="4" w:space="0"/>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rPr>
              <w:t>质量标准</w:t>
            </w:r>
          </w:p>
        </w:tc>
        <w:tc>
          <w:tcPr>
            <w:tcW w:w="5812"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Times New Roman"/>
                <w:color w:val="auto"/>
                <w:szCs w:val="21"/>
                <w:highlight w:val="none"/>
              </w:rPr>
            </w:pPr>
            <w:r>
              <w:rPr>
                <w:rFonts w:ascii="Calibri" w:hAnsi="Calibri" w:eastAsia="宋体" w:cs="Times New Roman"/>
                <w:color w:val="auto"/>
                <w:szCs w:val="21"/>
                <w:highlight w:val="none"/>
              </w:rPr>
              <w:t>符合第二章“投标人须知”第1.3.3项规定</w:t>
            </w:r>
          </w:p>
        </w:tc>
      </w:tr>
      <w:tr>
        <w:trPr>
          <w:trHeight w:val="388" w:hRule="atLeast"/>
        </w:trPr>
        <w:tc>
          <w:tcPr>
            <w:tcW w:w="782" w:type="dxa"/>
            <w:vMerge w:val="continue"/>
            <w:tcBorders>
              <w:top w:val="single" w:color="auto" w:sz="4" w:space="0"/>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p>
        </w:tc>
        <w:tc>
          <w:tcPr>
            <w:tcW w:w="1698" w:type="dxa"/>
            <w:gridSpan w:val="2"/>
            <w:vMerge w:val="continue"/>
            <w:tcBorders>
              <w:top w:val="single" w:color="auto" w:sz="4" w:space="0"/>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rPr>
              <w:t>投标有效期</w:t>
            </w:r>
          </w:p>
        </w:tc>
        <w:tc>
          <w:tcPr>
            <w:tcW w:w="5812"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Times New Roman"/>
                <w:color w:val="auto"/>
                <w:szCs w:val="21"/>
                <w:highlight w:val="none"/>
              </w:rPr>
            </w:pPr>
            <w:r>
              <w:rPr>
                <w:rFonts w:ascii="Calibri" w:hAnsi="Calibri" w:eastAsia="宋体" w:cs="Times New Roman"/>
                <w:color w:val="auto"/>
                <w:szCs w:val="21"/>
                <w:highlight w:val="none"/>
              </w:rPr>
              <w:t>符合第二章“投标人须知”第3.3.1项规定</w:t>
            </w:r>
          </w:p>
        </w:tc>
      </w:tr>
      <w:tr>
        <w:trPr>
          <w:trHeight w:val="876" w:hRule="atLeast"/>
        </w:trPr>
        <w:tc>
          <w:tcPr>
            <w:tcW w:w="782" w:type="dxa"/>
            <w:vMerge w:val="continue"/>
            <w:tcBorders>
              <w:top w:val="single" w:color="auto" w:sz="4" w:space="0"/>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p>
        </w:tc>
        <w:tc>
          <w:tcPr>
            <w:tcW w:w="1698" w:type="dxa"/>
            <w:gridSpan w:val="2"/>
            <w:vMerge w:val="continue"/>
            <w:tcBorders>
              <w:top w:val="single" w:color="auto" w:sz="4" w:space="0"/>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rPr>
              <w:t>合法合规性</w:t>
            </w:r>
          </w:p>
        </w:tc>
        <w:tc>
          <w:tcPr>
            <w:tcW w:w="5812"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Times New Roman"/>
                <w:color w:val="auto"/>
                <w:szCs w:val="21"/>
                <w:highlight w:val="none"/>
              </w:rPr>
            </w:pPr>
            <w:r>
              <w:rPr>
                <w:rFonts w:ascii="Calibri" w:hAnsi="Calibri" w:eastAsia="宋体" w:cs="Times New Roman"/>
                <w:color w:val="auto"/>
                <w:szCs w:val="21"/>
                <w:highlight w:val="none"/>
              </w:rPr>
              <w:t>投标人之间不存在《广东省实施&lt;中华人民共和国招标投标法&gt;》第十六条所禁止的情形的</w:t>
            </w:r>
          </w:p>
        </w:tc>
      </w:tr>
      <w:tr>
        <w:trPr>
          <w:trHeight w:val="261" w:hRule="atLeast"/>
        </w:trPr>
        <w:tc>
          <w:tcPr>
            <w:tcW w:w="782" w:type="dxa"/>
            <w:vMerge w:val="restart"/>
            <w:tcBorders>
              <w:top w:val="single" w:color="auto" w:sz="4" w:space="0"/>
              <w:right w:val="single" w:color="auto" w:sz="4" w:space="0"/>
            </w:tcBorders>
            <w:vAlign w:val="center"/>
          </w:tcPr>
          <w:p>
            <w:pPr>
              <w:jc w:val="center"/>
              <w:rPr>
                <w:rFonts w:ascii="Calibri" w:hAnsi="Calibri" w:eastAsia="宋体" w:cs="Times New Roman"/>
                <w:b/>
                <w:color w:val="auto"/>
                <w:szCs w:val="21"/>
                <w:highlight w:val="none"/>
              </w:rPr>
            </w:pPr>
            <w:r>
              <w:rPr>
                <w:rFonts w:ascii="Calibri" w:hAnsi="Calibri" w:eastAsia="宋体" w:cs="Times New Roman"/>
                <w:color w:val="auto"/>
                <w:szCs w:val="21"/>
                <w:highlight w:val="none"/>
              </w:rPr>
              <w:t>2.1.</w:t>
            </w:r>
            <w:r>
              <w:rPr>
                <w:rFonts w:hint="eastAsia" w:ascii="Calibri" w:hAnsi="Calibri" w:eastAsia="宋体" w:cs="Times New Roman"/>
                <w:color w:val="auto"/>
                <w:szCs w:val="21"/>
                <w:highlight w:val="none"/>
              </w:rPr>
              <w:t>4</w:t>
            </w:r>
          </w:p>
        </w:tc>
        <w:tc>
          <w:tcPr>
            <w:tcW w:w="1698" w:type="dxa"/>
            <w:gridSpan w:val="2"/>
            <w:vMerge w:val="restart"/>
            <w:tcBorders>
              <w:top w:val="single" w:color="auto" w:sz="4" w:space="0"/>
              <w:right w:val="single" w:color="auto" w:sz="4" w:space="0"/>
            </w:tcBorders>
            <w:vAlign w:val="center"/>
          </w:tcPr>
          <w:p>
            <w:pPr>
              <w:jc w:val="center"/>
              <w:rPr>
                <w:rFonts w:ascii="Calibri" w:hAnsi="Calibri" w:eastAsia="宋体" w:cs="Times New Roman"/>
                <w:b/>
                <w:color w:val="auto"/>
                <w:szCs w:val="21"/>
                <w:highlight w:val="none"/>
              </w:rPr>
            </w:pPr>
            <w:r>
              <w:rPr>
                <w:rFonts w:hint="eastAsia" w:ascii="Calibri" w:hAnsi="Calibri" w:eastAsia="宋体" w:cs="Times New Roman"/>
                <w:b/>
                <w:color w:val="auto"/>
                <w:szCs w:val="21"/>
                <w:highlight w:val="none"/>
              </w:rPr>
              <w:t>设计方案文件有效性评审标准（暗标）</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r>
              <w:rPr>
                <w:rFonts w:hint="eastAsia" w:ascii="Calibri" w:hAnsi="Calibri" w:eastAsia="宋体" w:cs="Times New Roman"/>
                <w:color w:val="auto"/>
                <w:szCs w:val="21"/>
                <w:highlight w:val="none"/>
              </w:rPr>
              <w:t>暗标形式</w:t>
            </w:r>
          </w:p>
        </w:tc>
        <w:tc>
          <w:tcPr>
            <w:tcW w:w="5812"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Times New Roman"/>
                <w:color w:val="auto"/>
                <w:szCs w:val="21"/>
                <w:highlight w:val="none"/>
              </w:rPr>
            </w:pPr>
            <w:r>
              <w:rPr>
                <w:rFonts w:hint="eastAsia" w:ascii="Calibri" w:hAnsi="Calibri" w:eastAsia="宋体" w:cs="Times New Roman"/>
                <w:color w:val="auto"/>
                <w:szCs w:val="21"/>
                <w:highlight w:val="none"/>
              </w:rPr>
              <w:t>投标人未在设计方案上标注或做任何可以辨认投标人及专业技术人员身份的名称、印章、商标、图形等</w:t>
            </w:r>
          </w:p>
        </w:tc>
      </w:tr>
      <w:tr>
        <w:trPr>
          <w:trHeight w:val="261" w:hRule="atLeast"/>
        </w:trPr>
        <w:tc>
          <w:tcPr>
            <w:tcW w:w="782" w:type="dxa"/>
            <w:vMerge w:val="continue"/>
            <w:tcBorders>
              <w:right w:val="single" w:color="auto" w:sz="4" w:space="0"/>
            </w:tcBorders>
            <w:vAlign w:val="center"/>
          </w:tcPr>
          <w:p>
            <w:pPr>
              <w:jc w:val="center"/>
              <w:rPr>
                <w:rFonts w:ascii="Calibri" w:hAnsi="Calibri" w:eastAsia="宋体" w:cs="Times New Roman"/>
                <w:b/>
                <w:color w:val="auto"/>
                <w:szCs w:val="21"/>
                <w:highlight w:val="none"/>
              </w:rPr>
            </w:pPr>
          </w:p>
        </w:tc>
        <w:tc>
          <w:tcPr>
            <w:tcW w:w="1698" w:type="dxa"/>
            <w:gridSpan w:val="2"/>
            <w:vMerge w:val="continue"/>
            <w:tcBorders>
              <w:right w:val="single" w:color="auto" w:sz="4" w:space="0"/>
            </w:tcBorders>
            <w:vAlign w:val="center"/>
          </w:tcPr>
          <w:p>
            <w:pPr>
              <w:jc w:val="center"/>
              <w:rPr>
                <w:rFonts w:ascii="Calibri" w:hAnsi="Calibri" w:eastAsia="宋体" w:cs="Times New Roman"/>
                <w:b/>
                <w:color w:val="auto"/>
                <w:szCs w:val="21"/>
                <w:highlight w:val="none"/>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Calibri" w:hAnsi="Calibri" w:eastAsia="宋体" w:cs="Times New Roman"/>
                <w:color w:val="auto"/>
                <w:szCs w:val="21"/>
                <w:highlight w:val="none"/>
              </w:rPr>
            </w:pPr>
            <w:r>
              <w:rPr>
                <w:rFonts w:hint="eastAsia" w:ascii="宋体" w:hAnsi="宋体" w:eastAsia="宋体" w:cs="宋体"/>
                <w:color w:val="auto"/>
                <w:szCs w:val="21"/>
                <w:highlight w:val="none"/>
              </w:rPr>
              <w:t>明标暗标互相印证</w:t>
            </w:r>
          </w:p>
        </w:tc>
        <w:tc>
          <w:tcPr>
            <w:tcW w:w="58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Calibri" w:hAnsi="Calibri" w:eastAsia="宋体" w:cs="Times New Roman"/>
                <w:color w:val="auto"/>
                <w:szCs w:val="21"/>
                <w:highlight w:val="none"/>
              </w:rPr>
            </w:pPr>
            <w:r>
              <w:rPr>
                <w:rFonts w:hint="eastAsia" w:ascii="宋体" w:hAnsi="宋体" w:eastAsia="宋体" w:cs="宋体"/>
                <w:color w:val="auto"/>
                <w:szCs w:val="21"/>
                <w:highlight w:val="none"/>
              </w:rPr>
              <w:t>投标文件未通过明标、暗标中包含的相同内容（如报价等）互相印证、辨认投标人身份</w:t>
            </w:r>
          </w:p>
        </w:tc>
      </w:tr>
      <w:tr>
        <w:trPr>
          <w:trHeight w:val="261" w:hRule="atLeast"/>
        </w:trPr>
        <w:tc>
          <w:tcPr>
            <w:tcW w:w="782" w:type="dxa"/>
            <w:vMerge w:val="continue"/>
            <w:tcBorders>
              <w:right w:val="single" w:color="auto" w:sz="4" w:space="0"/>
            </w:tcBorders>
            <w:vAlign w:val="center"/>
          </w:tcPr>
          <w:p>
            <w:pPr>
              <w:jc w:val="center"/>
              <w:rPr>
                <w:rFonts w:ascii="Calibri" w:hAnsi="Calibri" w:eastAsia="宋体" w:cs="Times New Roman"/>
                <w:b/>
                <w:color w:val="auto"/>
                <w:szCs w:val="21"/>
                <w:highlight w:val="none"/>
              </w:rPr>
            </w:pPr>
          </w:p>
        </w:tc>
        <w:tc>
          <w:tcPr>
            <w:tcW w:w="1698" w:type="dxa"/>
            <w:gridSpan w:val="2"/>
            <w:vMerge w:val="continue"/>
            <w:tcBorders>
              <w:right w:val="single" w:color="auto" w:sz="4" w:space="0"/>
            </w:tcBorders>
            <w:vAlign w:val="center"/>
          </w:tcPr>
          <w:p>
            <w:pPr>
              <w:jc w:val="center"/>
              <w:rPr>
                <w:rFonts w:ascii="Calibri" w:hAnsi="Calibri" w:eastAsia="宋体" w:cs="Times New Roman"/>
                <w:b/>
                <w:color w:val="auto"/>
                <w:szCs w:val="21"/>
                <w:highlight w:val="none"/>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Calibri" w:hAnsi="Calibri" w:eastAsia="宋体" w:cs="Times New Roman"/>
                <w:color w:val="auto"/>
                <w:szCs w:val="21"/>
                <w:highlight w:val="none"/>
              </w:rPr>
            </w:pPr>
            <w:r>
              <w:rPr>
                <w:rFonts w:hint="eastAsia" w:ascii="宋体" w:hAnsi="宋体" w:eastAsia="宋体" w:cs="宋体"/>
                <w:color w:val="auto"/>
                <w:szCs w:val="21"/>
                <w:highlight w:val="none"/>
              </w:rPr>
              <w:t>抄袭行为</w:t>
            </w:r>
          </w:p>
        </w:tc>
        <w:tc>
          <w:tcPr>
            <w:tcW w:w="58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Calibri" w:hAnsi="Calibri" w:eastAsia="宋体" w:cs="Times New Roman"/>
                <w:color w:val="auto"/>
                <w:szCs w:val="21"/>
                <w:highlight w:val="none"/>
              </w:rPr>
            </w:pPr>
            <w:r>
              <w:rPr>
                <w:rFonts w:hint="eastAsia" w:ascii="宋体" w:hAnsi="宋体" w:eastAsia="宋体" w:cs="宋体"/>
                <w:color w:val="auto"/>
                <w:szCs w:val="21"/>
                <w:highlight w:val="none"/>
              </w:rPr>
              <w:t>投标文件未发现明显抄袭行为（除本项目公开的前期资料外）</w:t>
            </w:r>
          </w:p>
        </w:tc>
      </w:tr>
      <w:tr>
        <w:trPr>
          <w:trHeight w:val="261" w:hRule="atLeast"/>
        </w:trPr>
        <w:tc>
          <w:tcPr>
            <w:tcW w:w="782" w:type="dxa"/>
            <w:vMerge w:val="continue"/>
            <w:tcBorders>
              <w:right w:val="single" w:color="auto" w:sz="4" w:space="0"/>
            </w:tcBorders>
            <w:vAlign w:val="center"/>
          </w:tcPr>
          <w:p>
            <w:pPr>
              <w:jc w:val="center"/>
              <w:rPr>
                <w:rFonts w:ascii="Calibri" w:hAnsi="Calibri" w:eastAsia="宋体" w:cs="Times New Roman"/>
                <w:b/>
                <w:color w:val="auto"/>
                <w:szCs w:val="21"/>
                <w:highlight w:val="none"/>
              </w:rPr>
            </w:pPr>
          </w:p>
        </w:tc>
        <w:tc>
          <w:tcPr>
            <w:tcW w:w="1698" w:type="dxa"/>
            <w:gridSpan w:val="2"/>
            <w:vMerge w:val="continue"/>
            <w:tcBorders>
              <w:right w:val="single" w:color="auto" w:sz="4" w:space="0"/>
            </w:tcBorders>
            <w:vAlign w:val="center"/>
          </w:tcPr>
          <w:p>
            <w:pPr>
              <w:jc w:val="center"/>
              <w:rPr>
                <w:rFonts w:ascii="Calibri" w:hAnsi="Calibri" w:eastAsia="宋体" w:cs="Times New Roman"/>
                <w:b/>
                <w:color w:val="auto"/>
                <w:szCs w:val="21"/>
                <w:highlight w:val="none"/>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Calibri" w:hAnsi="Calibri" w:eastAsia="宋体" w:cs="Times New Roman"/>
                <w:color w:val="auto"/>
                <w:szCs w:val="21"/>
                <w:highlight w:val="none"/>
              </w:rPr>
            </w:pPr>
            <w:r>
              <w:rPr>
                <w:rFonts w:hint="eastAsia" w:ascii="宋体" w:hAnsi="宋体" w:eastAsia="宋体" w:cs="宋体"/>
                <w:color w:val="auto"/>
                <w:szCs w:val="21"/>
                <w:highlight w:val="none"/>
              </w:rPr>
              <w:t>著作权和特许权</w:t>
            </w:r>
          </w:p>
        </w:tc>
        <w:tc>
          <w:tcPr>
            <w:tcW w:w="58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Calibri" w:hAnsi="Calibri" w:eastAsia="宋体" w:cs="Times New Roman"/>
                <w:color w:val="auto"/>
                <w:szCs w:val="21"/>
                <w:highlight w:val="none"/>
              </w:rPr>
            </w:pPr>
            <w:r>
              <w:rPr>
                <w:rFonts w:hint="eastAsia" w:ascii="宋体" w:hAnsi="宋体" w:eastAsia="宋体" w:cs="宋体"/>
                <w:color w:val="auto"/>
                <w:szCs w:val="21"/>
                <w:highlight w:val="none"/>
              </w:rPr>
              <w:t>投标文件未发现侵犯他人著作权和特许权（除本项目公开的前期资料外）</w:t>
            </w:r>
          </w:p>
        </w:tc>
      </w:tr>
      <w:tr>
        <w:trPr>
          <w:trHeight w:val="261" w:hRule="atLeast"/>
        </w:trPr>
        <w:tc>
          <w:tcPr>
            <w:tcW w:w="782" w:type="dxa"/>
            <w:vMerge w:val="continue"/>
            <w:tcBorders>
              <w:bottom w:val="single" w:color="auto" w:sz="4" w:space="0"/>
              <w:right w:val="single" w:color="auto" w:sz="4" w:space="0"/>
            </w:tcBorders>
            <w:vAlign w:val="center"/>
          </w:tcPr>
          <w:p>
            <w:pPr>
              <w:jc w:val="center"/>
              <w:rPr>
                <w:rFonts w:ascii="Calibri" w:hAnsi="Calibri" w:eastAsia="宋体" w:cs="Times New Roman"/>
                <w:b/>
                <w:color w:val="auto"/>
                <w:szCs w:val="21"/>
                <w:highlight w:val="none"/>
              </w:rPr>
            </w:pPr>
          </w:p>
        </w:tc>
        <w:tc>
          <w:tcPr>
            <w:tcW w:w="1698" w:type="dxa"/>
            <w:gridSpan w:val="2"/>
            <w:vMerge w:val="continue"/>
            <w:tcBorders>
              <w:bottom w:val="single" w:color="auto" w:sz="4" w:space="0"/>
              <w:right w:val="single" w:color="auto" w:sz="4" w:space="0"/>
            </w:tcBorders>
            <w:vAlign w:val="center"/>
          </w:tcPr>
          <w:p>
            <w:pPr>
              <w:jc w:val="center"/>
              <w:rPr>
                <w:rFonts w:ascii="Calibri" w:hAnsi="Calibri" w:eastAsia="宋体" w:cs="Times New Roman"/>
                <w:b/>
                <w:color w:val="auto"/>
                <w:szCs w:val="21"/>
                <w:highlight w:val="none"/>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Calibri" w:hAnsi="Calibri" w:eastAsia="宋体" w:cs="Times New Roman"/>
                <w:color w:val="auto"/>
                <w:szCs w:val="21"/>
                <w:highlight w:val="none"/>
              </w:rPr>
            </w:pPr>
            <w:r>
              <w:rPr>
                <w:rFonts w:hint="eastAsia" w:ascii="宋体" w:hAnsi="宋体" w:eastAsia="宋体" w:cs="宋体"/>
                <w:color w:val="auto"/>
                <w:szCs w:val="21"/>
                <w:highlight w:val="none"/>
              </w:rPr>
              <w:t>合法合规性</w:t>
            </w:r>
          </w:p>
        </w:tc>
        <w:tc>
          <w:tcPr>
            <w:tcW w:w="58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Calibri" w:hAnsi="Calibri" w:eastAsia="宋体" w:cs="Times New Roman"/>
                <w:color w:val="auto"/>
                <w:szCs w:val="21"/>
                <w:highlight w:val="none"/>
              </w:rPr>
            </w:pPr>
            <w:r>
              <w:rPr>
                <w:rFonts w:hint="eastAsia" w:ascii="宋体" w:hAnsi="宋体" w:eastAsia="宋体" w:cs="宋体"/>
                <w:color w:val="auto"/>
                <w:szCs w:val="21"/>
                <w:highlight w:val="none"/>
              </w:rPr>
              <w:t>投标人之间不存在《广东省实施&lt;中华人民共和国招标投标法&gt;》第十六条所禁止的情形的</w:t>
            </w:r>
          </w:p>
        </w:tc>
      </w:tr>
      <w:tr>
        <w:trPr>
          <w:trHeight w:val="261" w:hRule="atLeast"/>
        </w:trPr>
        <w:tc>
          <w:tcPr>
            <w:tcW w:w="2480" w:type="dxa"/>
            <w:gridSpan w:val="3"/>
            <w:tcBorders>
              <w:top w:val="single" w:color="auto" w:sz="4" w:space="0"/>
              <w:bottom w:val="single" w:color="auto" w:sz="4" w:space="0"/>
              <w:right w:val="single" w:color="auto" w:sz="4" w:space="0"/>
            </w:tcBorders>
            <w:vAlign w:val="center"/>
          </w:tcPr>
          <w:p>
            <w:pPr>
              <w:jc w:val="center"/>
              <w:rPr>
                <w:rFonts w:ascii="Calibri" w:hAnsi="Calibri" w:eastAsia="宋体" w:cs="Times New Roman"/>
                <w:b/>
                <w:color w:val="auto"/>
                <w:szCs w:val="21"/>
                <w:highlight w:val="none"/>
              </w:rPr>
            </w:pPr>
            <w:r>
              <w:rPr>
                <w:rFonts w:ascii="Calibri" w:hAnsi="Calibri" w:eastAsia="宋体" w:cs="Times New Roman"/>
                <w:b/>
                <w:color w:val="auto"/>
                <w:szCs w:val="21"/>
                <w:highlight w:val="none"/>
              </w:rPr>
              <w:t>条款号</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rPr>
              <w:t>条款内容</w:t>
            </w:r>
          </w:p>
        </w:tc>
        <w:tc>
          <w:tcPr>
            <w:tcW w:w="5812"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b/>
                <w:color w:val="auto"/>
                <w:szCs w:val="21"/>
                <w:highlight w:val="none"/>
              </w:rPr>
            </w:pPr>
            <w:r>
              <w:rPr>
                <w:rFonts w:ascii="Calibri" w:hAnsi="Calibri" w:eastAsia="宋体" w:cs="Times New Roman"/>
                <w:b/>
                <w:color w:val="auto"/>
                <w:szCs w:val="21"/>
                <w:highlight w:val="none"/>
              </w:rPr>
              <w:t>编列内容</w:t>
            </w:r>
          </w:p>
        </w:tc>
      </w:tr>
      <w:tr>
        <w:trPr>
          <w:trHeight w:val="1779" w:hRule="atLeast"/>
        </w:trPr>
        <w:tc>
          <w:tcPr>
            <w:tcW w:w="2480" w:type="dxa"/>
            <w:gridSpan w:val="3"/>
            <w:tcBorders>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rPr>
              <w:t>2.2.1</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rPr>
              <w:t>分值构成</w:t>
            </w:r>
          </w:p>
          <w:p>
            <w:pPr>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rPr>
              <w:t>(总分100分)</w:t>
            </w:r>
          </w:p>
        </w:tc>
        <w:tc>
          <w:tcPr>
            <w:tcW w:w="581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Calibri" w:hAnsi="Calibri" w:eastAsia="宋体" w:cs="Times New Roman"/>
                <w:b/>
                <w:color w:val="auto"/>
                <w:szCs w:val="21"/>
                <w:highlight w:val="none"/>
              </w:rPr>
            </w:pPr>
            <w:r>
              <w:rPr>
                <w:rFonts w:ascii="Calibri" w:hAnsi="Calibri" w:eastAsia="宋体" w:cs="Times New Roman"/>
                <w:color w:val="auto"/>
                <w:szCs w:val="21"/>
                <w:highlight w:val="none"/>
              </w:rPr>
              <w:t>投标总得分（满分100分）=</w:t>
            </w:r>
            <w:r>
              <w:rPr>
                <w:rFonts w:hint="eastAsia" w:ascii="Calibri" w:hAnsi="Calibri" w:eastAsia="宋体" w:cs="Times New Roman"/>
                <w:color w:val="auto"/>
                <w:szCs w:val="21"/>
                <w:highlight w:val="none"/>
                <w:lang w:val="zh-TW"/>
              </w:rPr>
              <w:t>设计方案部分得分（满分100分）×总权重（</w:t>
            </w:r>
            <w:r>
              <w:rPr>
                <w:rFonts w:hint="eastAsia" w:ascii="Calibri" w:hAnsi="Calibri" w:eastAsia="宋体" w:cs="Times New Roman"/>
                <w:color w:val="auto"/>
                <w:szCs w:val="21"/>
                <w:highlight w:val="none"/>
              </w:rPr>
              <w:t>1</w:t>
            </w:r>
            <w:r>
              <w:rPr>
                <w:rFonts w:ascii="Calibri" w:hAnsi="Calibri" w:eastAsia="宋体" w:cs="Times New Roman"/>
                <w:color w:val="auto"/>
                <w:szCs w:val="21"/>
                <w:highlight w:val="none"/>
                <w:lang w:val="zh-TW" w:eastAsia="zh-TW"/>
              </w:rPr>
              <w:t>0</w:t>
            </w:r>
            <w:r>
              <w:rPr>
                <w:rFonts w:hint="eastAsia" w:ascii="Calibri" w:hAnsi="Calibri" w:eastAsia="宋体" w:cs="Times New Roman"/>
                <w:color w:val="auto"/>
                <w:szCs w:val="21"/>
                <w:highlight w:val="none"/>
                <w:lang w:val="zh-TW"/>
              </w:rPr>
              <w:t>%）+</w:t>
            </w:r>
            <w:r>
              <w:rPr>
                <w:rFonts w:ascii="Calibri" w:hAnsi="Calibri" w:eastAsia="宋体" w:cs="Times New Roman"/>
                <w:color w:val="auto"/>
                <w:szCs w:val="21"/>
                <w:highlight w:val="none"/>
                <w:lang w:val="zh-TW"/>
              </w:rPr>
              <w:t>工程总承包实施方案部分得分（满分100分）×工程总承包实施方案部分得分权重（</w:t>
            </w:r>
            <w:r>
              <w:rPr>
                <w:rFonts w:hint="eastAsia" w:ascii="Calibri" w:hAnsi="Calibri" w:eastAsia="宋体" w:cs="Times New Roman"/>
                <w:color w:val="auto"/>
                <w:szCs w:val="21"/>
                <w:highlight w:val="none"/>
              </w:rPr>
              <w:t>45</w:t>
            </w:r>
            <w:r>
              <w:rPr>
                <w:rFonts w:ascii="Calibri" w:hAnsi="Calibri" w:eastAsia="宋体" w:cs="Times New Roman"/>
                <w:color w:val="auto"/>
                <w:szCs w:val="21"/>
                <w:highlight w:val="none"/>
                <w:lang w:val="zh-TW"/>
              </w:rPr>
              <w:t>%）+投标报价得分（满分100分）×投标报价得分权重（</w:t>
            </w:r>
            <w:r>
              <w:rPr>
                <w:rFonts w:hint="eastAsia" w:ascii="Calibri" w:hAnsi="Calibri" w:eastAsia="宋体" w:cs="Times New Roman"/>
                <w:color w:val="auto"/>
                <w:szCs w:val="21"/>
                <w:highlight w:val="none"/>
              </w:rPr>
              <w:t>45</w:t>
            </w:r>
            <w:r>
              <w:rPr>
                <w:rFonts w:ascii="Calibri" w:hAnsi="Calibri" w:eastAsia="宋体" w:cs="Times New Roman"/>
                <w:color w:val="auto"/>
                <w:szCs w:val="21"/>
                <w:highlight w:val="none"/>
                <w:lang w:val="zh-TW"/>
              </w:rPr>
              <w:t>%）</w:t>
            </w:r>
          </w:p>
          <w:p>
            <w:pPr>
              <w:rPr>
                <w:rFonts w:ascii="Calibri" w:hAnsi="Calibri" w:eastAsia="宋体" w:cs="Times New Roman"/>
                <w:color w:val="auto"/>
                <w:szCs w:val="21"/>
                <w:highlight w:val="none"/>
                <w:u w:val="single"/>
              </w:rPr>
            </w:pPr>
            <w:r>
              <w:rPr>
                <w:rFonts w:ascii="Calibri" w:hAnsi="Calibri" w:eastAsia="宋体" w:cs="Times New Roman"/>
                <w:b/>
                <w:color w:val="auto"/>
                <w:szCs w:val="21"/>
                <w:highlight w:val="none"/>
              </w:rPr>
              <w:t>其中：工程总承包实施方案=资信部分（满分为36分）+施工组织设计（满分为64分）</w:t>
            </w:r>
          </w:p>
        </w:tc>
      </w:tr>
      <w:tr>
        <w:trPr>
          <w:trHeight w:val="4971" w:hRule="atLeast"/>
        </w:trPr>
        <w:tc>
          <w:tcPr>
            <w:tcW w:w="2480" w:type="dxa"/>
            <w:gridSpan w:val="3"/>
            <w:tcBorders>
              <w:top w:val="single" w:color="auto" w:sz="4" w:space="0"/>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rPr>
              <w:t>2.2.2</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rPr>
              <w:t>评标基准价计算方法</w:t>
            </w:r>
          </w:p>
        </w:tc>
        <w:tc>
          <w:tcPr>
            <w:tcW w:w="5812"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Times New Roman"/>
                <w:color w:val="auto"/>
                <w:szCs w:val="21"/>
                <w:highlight w:val="none"/>
              </w:rPr>
            </w:pPr>
            <w:r>
              <w:rPr>
                <w:rFonts w:ascii="Calibri" w:hAnsi="Calibri" w:eastAsia="宋体" w:cs="Times New Roman"/>
                <w:color w:val="auto"/>
                <w:szCs w:val="21"/>
                <w:highlight w:val="none"/>
              </w:rPr>
              <w:t>（1）在通过形式审查、资格审查、工程总承包实施方案响应性审查的投标文件且经算术校核的投标总报价位于[投标总报价最高投标限价×95%，投标总报价最高投标限价]区间的投标人大于5家时，在该区间中的投标总报价中去掉一个最高价和一个最低价后，取剩余投标总报价的算术平均值为评标基准价（精确到小数点后两位）；</w:t>
            </w:r>
          </w:p>
          <w:p>
            <w:pPr>
              <w:rPr>
                <w:rFonts w:ascii="Calibri" w:hAnsi="Calibri" w:eastAsia="宋体" w:cs="Times New Roman"/>
                <w:color w:val="auto"/>
                <w:szCs w:val="21"/>
                <w:highlight w:val="none"/>
              </w:rPr>
            </w:pPr>
            <w:r>
              <w:rPr>
                <w:rFonts w:ascii="Calibri" w:hAnsi="Calibri" w:eastAsia="宋体" w:cs="Times New Roman"/>
                <w:color w:val="auto"/>
                <w:szCs w:val="21"/>
                <w:highlight w:val="none"/>
              </w:rPr>
              <w:t>（2）在通过形式审查、资格审查、工程总承包实施方案响应性审查的投标文件且经算术校核的投标总报价位于[投标总报价最高投标限价×95%，投标总报价最高投标限价]区间的投标人少于或等于5家时，直接取区间中的投标总报价的算术平均值为评标基准价（精确到小数点后两位）。</w:t>
            </w:r>
          </w:p>
          <w:p>
            <w:pPr>
              <w:rPr>
                <w:rFonts w:ascii="Calibri" w:hAnsi="Calibri" w:eastAsia="宋体" w:cs="Times New Roman"/>
                <w:color w:val="auto"/>
                <w:szCs w:val="21"/>
                <w:highlight w:val="none"/>
              </w:rPr>
            </w:pPr>
            <w:r>
              <w:rPr>
                <w:rFonts w:ascii="Calibri" w:hAnsi="Calibri" w:eastAsia="宋体" w:cs="Times New Roman"/>
                <w:color w:val="auto"/>
                <w:szCs w:val="21"/>
                <w:highlight w:val="none"/>
              </w:rPr>
              <w:t>（3）若在通过形式审查、资格审查、工程总承包实施方案响应性审查的投标文件的投标总报价中，没有投标报价位于[投标总报价最高投标限价×95%，投标总报价最高限价]区间，则以最高总投标限价×95%作为评标参考价。</w:t>
            </w:r>
          </w:p>
        </w:tc>
      </w:tr>
      <w:tr>
        <w:trPr>
          <w:trHeight w:val="538" w:hRule="atLeast"/>
        </w:trPr>
        <w:tc>
          <w:tcPr>
            <w:tcW w:w="2480" w:type="dxa"/>
            <w:gridSpan w:val="3"/>
            <w:tcBorders>
              <w:top w:val="single" w:color="auto" w:sz="4" w:space="0"/>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rPr>
              <w:t>2.2.3</w:t>
            </w:r>
          </w:p>
        </w:tc>
        <w:tc>
          <w:tcPr>
            <w:tcW w:w="1489" w:type="dxa"/>
            <w:tcBorders>
              <w:top w:val="single" w:color="auto" w:sz="4" w:space="0"/>
              <w:left w:val="single" w:color="auto" w:sz="4" w:space="0"/>
              <w:right w:val="single" w:color="auto" w:sz="4" w:space="0"/>
            </w:tcBorders>
            <w:vAlign w:val="center"/>
          </w:tcPr>
          <w:p>
            <w:pPr>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rPr>
              <w:t>投标报价的偏差率计算公式</w:t>
            </w:r>
          </w:p>
        </w:tc>
        <w:tc>
          <w:tcPr>
            <w:tcW w:w="5812" w:type="dxa"/>
            <w:tcBorders>
              <w:top w:val="single" w:color="auto" w:sz="4" w:space="0"/>
              <w:left w:val="single" w:color="auto" w:sz="4" w:space="0"/>
              <w:right w:val="single" w:color="auto" w:sz="4" w:space="0"/>
            </w:tcBorders>
            <w:vAlign w:val="center"/>
          </w:tcPr>
          <w:p>
            <w:pPr>
              <w:rPr>
                <w:rFonts w:ascii="Calibri" w:hAnsi="Calibri" w:eastAsia="宋体" w:cs="Times New Roman"/>
                <w:color w:val="auto"/>
                <w:szCs w:val="21"/>
                <w:highlight w:val="none"/>
              </w:rPr>
            </w:pPr>
            <w:r>
              <w:rPr>
                <w:rFonts w:ascii="Calibri" w:hAnsi="Calibri" w:eastAsia="宋体" w:cs="Times New Roman"/>
                <w:color w:val="auto"/>
                <w:szCs w:val="21"/>
                <w:highlight w:val="none"/>
              </w:rPr>
              <w:t>偏差率=100% ×（投标总报价－评标基准价）/评标基准价</w:t>
            </w:r>
          </w:p>
        </w:tc>
      </w:tr>
      <w:tr>
        <w:trPr>
          <w:trHeight w:val="374" w:hRule="atLeast"/>
        </w:trPr>
        <w:tc>
          <w:tcPr>
            <w:tcW w:w="2480" w:type="dxa"/>
            <w:gridSpan w:val="3"/>
            <w:tcBorders>
              <w:top w:val="nil"/>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r>
              <w:rPr>
                <w:rFonts w:ascii="Calibri" w:hAnsi="Calibri" w:eastAsia="宋体" w:cs="Times New Roman"/>
                <w:b/>
                <w:color w:val="auto"/>
                <w:szCs w:val="21"/>
                <w:highlight w:val="none"/>
              </w:rPr>
              <w:t>条款号</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rPr>
              <w:t>评分因素</w:t>
            </w:r>
          </w:p>
        </w:tc>
        <w:tc>
          <w:tcPr>
            <w:tcW w:w="5812"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r>
              <w:rPr>
                <w:rFonts w:ascii="Calibri" w:hAnsi="Calibri" w:eastAsia="宋体" w:cs="Times New Roman"/>
                <w:b/>
                <w:color w:val="auto"/>
                <w:szCs w:val="21"/>
                <w:highlight w:val="none"/>
              </w:rPr>
              <w:t>评分标准</w:t>
            </w:r>
          </w:p>
        </w:tc>
      </w:tr>
      <w:tr>
        <w:trPr>
          <w:trHeight w:val="857" w:hRule="atLeast"/>
        </w:trPr>
        <w:tc>
          <w:tcPr>
            <w:tcW w:w="782" w:type="dxa"/>
            <w:vMerge w:val="restart"/>
            <w:tcBorders>
              <w:top w:val="single" w:color="auto" w:sz="4" w:space="0"/>
              <w:right w:val="single" w:color="auto" w:sz="4" w:space="0"/>
            </w:tcBorders>
            <w:vAlign w:val="center"/>
          </w:tcPr>
          <w:p>
            <w:pPr>
              <w:rPr>
                <w:rFonts w:ascii="Calibri" w:hAnsi="Calibri" w:eastAsia="宋体" w:cs="Times New Roman"/>
                <w:color w:val="auto"/>
                <w:szCs w:val="21"/>
                <w:highlight w:val="none"/>
              </w:rPr>
            </w:pPr>
            <w:r>
              <w:rPr>
                <w:rFonts w:ascii="Calibri" w:hAnsi="Calibri" w:eastAsia="宋体" w:cs="Times New Roman"/>
                <w:color w:val="auto"/>
                <w:szCs w:val="21"/>
                <w:highlight w:val="none"/>
              </w:rPr>
              <w:t>2.2.4（1）</w:t>
            </w:r>
          </w:p>
        </w:tc>
        <w:tc>
          <w:tcPr>
            <w:tcW w:w="1698" w:type="dxa"/>
            <w:gridSpan w:val="2"/>
            <w:vMerge w:val="restart"/>
            <w:tcBorders>
              <w:top w:val="single" w:color="auto" w:sz="4" w:space="0"/>
              <w:right w:val="single" w:color="auto" w:sz="4" w:space="0"/>
            </w:tcBorders>
            <w:vAlign w:val="center"/>
          </w:tcPr>
          <w:p>
            <w:pPr>
              <w:rPr>
                <w:rFonts w:ascii="Calibri" w:hAnsi="Calibri" w:eastAsia="宋体" w:cs="Times New Roman"/>
                <w:color w:val="auto"/>
                <w:szCs w:val="21"/>
                <w:highlight w:val="none"/>
              </w:rPr>
            </w:pPr>
            <w:r>
              <w:rPr>
                <w:rFonts w:hint="eastAsia" w:ascii="Calibri" w:hAnsi="Calibri" w:eastAsia="宋体" w:cs="Times New Roman"/>
                <w:color w:val="auto"/>
                <w:szCs w:val="21"/>
                <w:highlight w:val="none"/>
              </w:rPr>
              <w:t>设计</w:t>
            </w:r>
            <w:r>
              <w:rPr>
                <w:rFonts w:ascii="Calibri" w:hAnsi="Calibri" w:eastAsia="宋体" w:cs="Times New Roman"/>
                <w:color w:val="auto"/>
                <w:szCs w:val="21"/>
                <w:highlight w:val="none"/>
              </w:rPr>
              <w:t>方案评分标准（100分）</w:t>
            </w:r>
          </w:p>
        </w:tc>
        <w:tc>
          <w:tcPr>
            <w:tcW w:w="1489" w:type="dxa"/>
            <w:tcBorders>
              <w:top w:val="single" w:color="auto" w:sz="4" w:space="0"/>
              <w:left w:val="single" w:color="auto" w:sz="4" w:space="0"/>
              <w:right w:val="single" w:color="auto" w:sz="4" w:space="0"/>
            </w:tcBorders>
            <w:vAlign w:val="center"/>
          </w:tcPr>
          <w:p>
            <w:pPr>
              <w:rPr>
                <w:rFonts w:ascii="Calibri" w:hAnsi="Calibri" w:eastAsia="宋体" w:cs="Times New Roman"/>
                <w:color w:val="auto"/>
                <w:szCs w:val="21"/>
                <w:highlight w:val="none"/>
              </w:rPr>
            </w:pPr>
            <w:r>
              <w:rPr>
                <w:rFonts w:hint="eastAsia" w:ascii="Calibri" w:hAnsi="Calibri" w:eastAsia="宋体" w:cs="Times New Roman"/>
                <w:color w:val="auto"/>
                <w:szCs w:val="21"/>
                <w:highlight w:val="none"/>
              </w:rPr>
              <w:t>对项目的理解（20分）</w:t>
            </w:r>
          </w:p>
        </w:tc>
        <w:tc>
          <w:tcPr>
            <w:tcW w:w="5812" w:type="dxa"/>
            <w:tcBorders>
              <w:top w:val="single" w:color="auto" w:sz="4" w:space="0"/>
              <w:left w:val="single" w:color="auto" w:sz="4" w:space="0"/>
              <w:right w:val="single" w:color="auto" w:sz="4" w:space="0"/>
            </w:tcBorders>
            <w:vAlign w:val="center"/>
          </w:tcPr>
          <w:p>
            <w:pPr>
              <w:numPr>
                <w:ilvl w:val="0"/>
                <w:numId w:val="2"/>
              </w:numPr>
              <w:rPr>
                <w:rFonts w:ascii="Calibri" w:hAnsi="Calibri" w:eastAsia="宋体" w:cs="Times New Roman"/>
                <w:color w:val="auto"/>
                <w:highlight w:val="none"/>
              </w:rPr>
            </w:pPr>
            <w:r>
              <w:rPr>
                <w:rFonts w:ascii="Calibri" w:hAnsi="Calibri" w:eastAsia="宋体" w:cs="Times New Roman"/>
                <w:color w:val="auto"/>
                <w:highlight w:val="none"/>
              </w:rPr>
              <w:t>对项目的理解</w:t>
            </w:r>
          </w:p>
          <w:p>
            <w:pPr>
              <w:wordWrap w:val="0"/>
              <w:topLinePunct/>
              <w:rPr>
                <w:rFonts w:ascii="Calibri" w:hAnsi="Calibri" w:eastAsia="宋体" w:cs="Times New Roman"/>
                <w:color w:val="auto"/>
                <w:highlight w:val="none"/>
              </w:rPr>
            </w:pPr>
            <w:r>
              <w:rPr>
                <w:rFonts w:ascii="Calibri" w:hAnsi="Calibri" w:eastAsia="宋体" w:cs="Times New Roman"/>
                <w:color w:val="auto"/>
                <w:highlight w:val="none"/>
              </w:rPr>
              <w:t>对项目背景、现状情况能充分理解和掌握；</w:t>
            </w:r>
            <w:r>
              <w:rPr>
                <w:rFonts w:ascii="Calibri" w:hAnsi="Calibri" w:eastAsia="宋体" w:cs="Times New Roman"/>
                <w:color w:val="auto"/>
                <w:szCs w:val="21"/>
                <w:highlight w:val="none"/>
                <w:lang w:val="zh-CN"/>
              </w:rPr>
              <w:t>道路、排水、</w:t>
            </w:r>
            <w:r>
              <w:rPr>
                <w:rFonts w:ascii="Calibri" w:hAnsi="Calibri" w:eastAsia="宋体" w:cs="Times New Roman"/>
                <w:color w:val="auto"/>
                <w:szCs w:val="21"/>
                <w:highlight w:val="none"/>
              </w:rPr>
              <w:t>周边现状衔接等</w:t>
            </w:r>
            <w:r>
              <w:rPr>
                <w:rFonts w:ascii="Calibri" w:hAnsi="Calibri" w:eastAsia="宋体" w:cs="Times New Roman"/>
                <w:color w:val="auto"/>
                <w:szCs w:val="21"/>
                <w:highlight w:val="none"/>
                <w:lang w:val="zh-CN"/>
              </w:rPr>
              <w:t>之间的关系处理得当</w:t>
            </w:r>
            <w:r>
              <w:rPr>
                <w:rFonts w:hint="eastAsia" w:ascii="Calibri" w:hAnsi="Calibri" w:eastAsia="宋体" w:cs="Times New Roman"/>
                <w:color w:val="auto"/>
                <w:szCs w:val="21"/>
                <w:highlight w:val="none"/>
                <w:lang w:val="zh-CN"/>
              </w:rPr>
              <w:t>：</w:t>
            </w:r>
            <w:r>
              <w:rPr>
                <w:rFonts w:ascii="Calibri" w:hAnsi="Calibri" w:eastAsia="宋体" w:cs="Times New Roman"/>
                <w:color w:val="auto"/>
                <w:highlight w:val="none"/>
              </w:rPr>
              <w:t>对存在问题分析透彻</w:t>
            </w:r>
            <w:r>
              <w:rPr>
                <w:rFonts w:hint="eastAsia" w:ascii="Calibri" w:hAnsi="Calibri" w:eastAsia="宋体" w:cs="Times New Roman"/>
                <w:color w:val="auto"/>
                <w:highlight w:val="none"/>
              </w:rPr>
              <w:t>。</w:t>
            </w:r>
          </w:p>
          <w:p>
            <w:pPr>
              <w:wordWrap w:val="0"/>
              <w:topLinePunct/>
              <w:rPr>
                <w:rFonts w:ascii="Calibri" w:hAnsi="Calibri" w:eastAsia="宋体" w:cs="Times New Roman"/>
                <w:color w:val="auto"/>
                <w:highlight w:val="none"/>
              </w:rPr>
            </w:pPr>
            <w:r>
              <w:rPr>
                <w:rFonts w:hint="eastAsia" w:ascii="Calibri" w:hAnsi="Calibri" w:eastAsia="宋体" w:cs="Times New Roman"/>
                <w:color w:val="auto"/>
                <w:highlight w:val="none"/>
                <w:lang w:val="zh-CN"/>
              </w:rPr>
              <w:t>优</w:t>
            </w:r>
            <w:r>
              <w:rPr>
                <w:rFonts w:hint="eastAsia" w:ascii="Calibri" w:hAnsi="Calibri" w:eastAsia="宋体" w:cs="Times New Roman"/>
                <w:color w:val="auto"/>
                <w:highlight w:val="none"/>
              </w:rPr>
              <w:t>：20</w:t>
            </w:r>
            <w:r>
              <w:rPr>
                <w:rFonts w:hint="eastAsia" w:ascii="Calibri" w:hAnsi="Calibri" w:eastAsia="宋体" w:cs="Times New Roman"/>
                <w:color w:val="auto"/>
                <w:highlight w:val="none"/>
                <w:lang w:val="zh-CN"/>
              </w:rPr>
              <w:t>分</w:t>
            </w:r>
            <w:r>
              <w:rPr>
                <w:rFonts w:hint="eastAsia" w:ascii="Calibri" w:hAnsi="Calibri" w:eastAsia="宋体" w:cs="Times New Roman"/>
                <w:color w:val="auto"/>
                <w:highlight w:val="none"/>
              </w:rPr>
              <w:t>，</w:t>
            </w:r>
            <w:r>
              <w:rPr>
                <w:rFonts w:hint="eastAsia" w:ascii="Calibri" w:hAnsi="Calibri" w:eastAsia="宋体" w:cs="Times New Roman"/>
                <w:color w:val="auto"/>
                <w:highlight w:val="none"/>
                <w:lang w:val="zh-CN"/>
              </w:rPr>
              <w:t>良</w:t>
            </w:r>
            <w:r>
              <w:rPr>
                <w:rFonts w:hint="eastAsia" w:ascii="Calibri" w:hAnsi="Calibri" w:eastAsia="宋体" w:cs="Times New Roman"/>
                <w:color w:val="auto"/>
                <w:highlight w:val="none"/>
              </w:rPr>
              <w:t>：19</w:t>
            </w:r>
            <w:r>
              <w:rPr>
                <w:rFonts w:hint="eastAsia" w:ascii="Calibri" w:hAnsi="Calibri" w:eastAsia="宋体" w:cs="Times New Roman"/>
                <w:color w:val="auto"/>
                <w:highlight w:val="none"/>
                <w:lang w:val="zh-CN"/>
              </w:rPr>
              <w:t>分</w:t>
            </w:r>
            <w:r>
              <w:rPr>
                <w:rFonts w:hint="eastAsia" w:ascii="Calibri" w:hAnsi="Calibri" w:eastAsia="宋体" w:cs="Times New Roman"/>
                <w:color w:val="auto"/>
                <w:highlight w:val="none"/>
              </w:rPr>
              <w:t>，</w:t>
            </w:r>
            <w:r>
              <w:rPr>
                <w:rFonts w:hint="eastAsia" w:ascii="Calibri" w:hAnsi="Calibri" w:eastAsia="宋体" w:cs="Times New Roman"/>
                <w:color w:val="auto"/>
                <w:highlight w:val="none"/>
                <w:lang w:val="zh-CN"/>
              </w:rPr>
              <w:t>一般</w:t>
            </w:r>
            <w:r>
              <w:rPr>
                <w:rFonts w:hint="eastAsia" w:ascii="Calibri" w:hAnsi="Calibri" w:eastAsia="宋体" w:cs="Times New Roman"/>
                <w:color w:val="auto"/>
                <w:highlight w:val="none"/>
              </w:rPr>
              <w:t>：18</w:t>
            </w:r>
            <w:r>
              <w:rPr>
                <w:rFonts w:hint="eastAsia" w:ascii="Calibri" w:hAnsi="Calibri" w:eastAsia="宋体" w:cs="Times New Roman"/>
                <w:color w:val="auto"/>
                <w:highlight w:val="none"/>
                <w:lang w:val="zh-CN"/>
              </w:rPr>
              <w:t>分</w:t>
            </w:r>
            <w:r>
              <w:rPr>
                <w:rFonts w:hint="eastAsia" w:ascii="Calibri" w:hAnsi="Calibri" w:eastAsia="宋体" w:cs="Times New Roman"/>
                <w:color w:val="auto"/>
                <w:highlight w:val="none"/>
              </w:rPr>
              <w:t>，</w:t>
            </w:r>
            <w:r>
              <w:rPr>
                <w:rFonts w:hint="eastAsia" w:ascii="Calibri" w:hAnsi="Calibri" w:eastAsia="宋体" w:cs="Times New Roman"/>
                <w:color w:val="auto"/>
                <w:highlight w:val="none"/>
                <w:lang w:val="zh-CN"/>
              </w:rPr>
              <w:t>未提供得</w:t>
            </w:r>
            <w:r>
              <w:rPr>
                <w:rFonts w:hint="eastAsia" w:ascii="Calibri" w:hAnsi="Calibri" w:eastAsia="宋体" w:cs="Times New Roman"/>
                <w:color w:val="auto"/>
                <w:highlight w:val="none"/>
              </w:rPr>
              <w:t>0</w:t>
            </w:r>
            <w:r>
              <w:rPr>
                <w:rFonts w:hint="eastAsia" w:ascii="Calibri" w:hAnsi="Calibri" w:eastAsia="宋体" w:cs="Times New Roman"/>
                <w:color w:val="auto"/>
                <w:highlight w:val="none"/>
                <w:lang w:val="zh-CN"/>
              </w:rPr>
              <w:t>分。</w:t>
            </w:r>
          </w:p>
        </w:tc>
      </w:tr>
      <w:tr>
        <w:trPr>
          <w:trHeight w:val="857" w:hRule="atLeast"/>
        </w:trPr>
        <w:tc>
          <w:tcPr>
            <w:tcW w:w="782" w:type="dxa"/>
            <w:vMerge w:val="continue"/>
            <w:tcBorders>
              <w:right w:val="single" w:color="auto" w:sz="4" w:space="0"/>
            </w:tcBorders>
            <w:vAlign w:val="center"/>
          </w:tcPr>
          <w:p>
            <w:pPr>
              <w:rPr>
                <w:rFonts w:ascii="Calibri" w:hAnsi="Calibri" w:eastAsia="宋体" w:cs="Times New Roman"/>
                <w:color w:val="auto"/>
                <w:szCs w:val="21"/>
                <w:highlight w:val="none"/>
              </w:rPr>
            </w:pPr>
          </w:p>
        </w:tc>
        <w:tc>
          <w:tcPr>
            <w:tcW w:w="1698" w:type="dxa"/>
            <w:gridSpan w:val="2"/>
            <w:vMerge w:val="continue"/>
            <w:tcBorders>
              <w:right w:val="single" w:color="auto" w:sz="4" w:space="0"/>
            </w:tcBorders>
            <w:vAlign w:val="center"/>
          </w:tcPr>
          <w:p>
            <w:pPr>
              <w:rPr>
                <w:rFonts w:ascii="Calibri" w:hAnsi="Calibri" w:eastAsia="宋体" w:cs="Times New Roman"/>
                <w:color w:val="auto"/>
                <w:szCs w:val="21"/>
                <w:highlight w:val="none"/>
              </w:rPr>
            </w:pPr>
          </w:p>
        </w:tc>
        <w:tc>
          <w:tcPr>
            <w:tcW w:w="1489" w:type="dxa"/>
            <w:tcBorders>
              <w:top w:val="single" w:color="auto" w:sz="4" w:space="0"/>
              <w:left w:val="single" w:color="auto" w:sz="4" w:space="0"/>
              <w:right w:val="single" w:color="auto" w:sz="4" w:space="0"/>
            </w:tcBorders>
            <w:vAlign w:val="center"/>
          </w:tcPr>
          <w:p>
            <w:pPr>
              <w:rPr>
                <w:rFonts w:ascii="Calibri" w:hAnsi="Calibri" w:eastAsia="宋体" w:cs="Times New Roman"/>
                <w:color w:val="auto"/>
                <w:szCs w:val="21"/>
                <w:highlight w:val="none"/>
              </w:rPr>
            </w:pPr>
            <w:r>
              <w:rPr>
                <w:rFonts w:ascii="Calibri" w:hAnsi="Calibri" w:eastAsia="宋体" w:cs="Times New Roman"/>
                <w:color w:val="auto"/>
                <w:szCs w:val="21"/>
                <w:highlight w:val="none"/>
              </w:rPr>
              <w:t>设计方案合理性</w:t>
            </w:r>
            <w:r>
              <w:rPr>
                <w:rFonts w:hint="eastAsia" w:ascii="Calibri" w:hAnsi="Calibri" w:eastAsia="宋体" w:cs="Times New Roman"/>
                <w:color w:val="auto"/>
                <w:szCs w:val="21"/>
                <w:highlight w:val="none"/>
              </w:rPr>
              <w:t>（30分）</w:t>
            </w:r>
          </w:p>
        </w:tc>
        <w:tc>
          <w:tcPr>
            <w:tcW w:w="5812" w:type="dxa"/>
            <w:tcBorders>
              <w:top w:val="single" w:color="auto" w:sz="4" w:space="0"/>
              <w:left w:val="single" w:color="auto" w:sz="4" w:space="0"/>
              <w:right w:val="single" w:color="auto" w:sz="4" w:space="0"/>
            </w:tcBorders>
            <w:vAlign w:val="center"/>
          </w:tcPr>
          <w:p>
            <w:pPr>
              <w:numPr>
                <w:ilvl w:val="0"/>
                <w:numId w:val="2"/>
              </w:numPr>
              <w:rPr>
                <w:rFonts w:ascii="Calibri" w:hAnsi="Calibri" w:eastAsia="宋体" w:cs="Times New Roman"/>
                <w:color w:val="auto"/>
                <w:highlight w:val="none"/>
              </w:rPr>
            </w:pPr>
            <w:r>
              <w:rPr>
                <w:rFonts w:ascii="Calibri" w:hAnsi="Calibri" w:eastAsia="宋体" w:cs="Times New Roman"/>
                <w:color w:val="auto"/>
                <w:highlight w:val="none"/>
              </w:rPr>
              <w:t>设计方案合理性</w:t>
            </w:r>
          </w:p>
          <w:p>
            <w:pPr>
              <w:numPr>
                <w:ilvl w:val="0"/>
                <w:numId w:val="3"/>
              </w:numPr>
              <w:rPr>
                <w:rFonts w:ascii="Calibri" w:hAnsi="Calibri" w:eastAsia="宋体" w:cs="Times New Roman"/>
                <w:color w:val="auto"/>
                <w:highlight w:val="none"/>
              </w:rPr>
            </w:pPr>
            <w:r>
              <w:rPr>
                <w:rFonts w:ascii="Calibri" w:hAnsi="Calibri" w:eastAsia="宋体" w:cs="Times New Roman"/>
                <w:color w:val="auto"/>
                <w:highlight w:val="none"/>
              </w:rPr>
              <w:t>设计思路明确，对本类型工程有深刻认识，总体设计方案全面完整、科学合理。</w:t>
            </w:r>
            <w:r>
              <w:rPr>
                <w:rFonts w:hint="eastAsia" w:ascii="Calibri" w:hAnsi="Calibri" w:eastAsia="宋体" w:cs="Times New Roman"/>
                <w:color w:val="auto"/>
                <w:highlight w:val="none"/>
              </w:rPr>
              <w:t>优：15分，良：14分，一般：13分，未提供得0分。</w:t>
            </w:r>
          </w:p>
          <w:p>
            <w:pPr>
              <w:numPr>
                <w:ilvl w:val="0"/>
                <w:numId w:val="3"/>
              </w:numPr>
              <w:rPr>
                <w:rFonts w:hint="default" w:ascii="Calibri" w:hAnsi="Calibri" w:eastAsia="宋体" w:cs="Times New Roman"/>
                <w:color w:val="auto"/>
                <w:highlight w:val="none"/>
                <w:lang w:val="en-US" w:eastAsia="zh-CN"/>
              </w:rPr>
            </w:pPr>
            <w:r>
              <w:rPr>
                <w:rFonts w:hint="eastAsia" w:ascii="Calibri" w:hAnsi="Calibri" w:eastAsia="宋体" w:cs="Times New Roman"/>
                <w:color w:val="auto"/>
                <w:highlight w:val="none"/>
                <w:lang w:val="en-US" w:eastAsia="zh-CN"/>
              </w:rPr>
              <w:t>对工程的难点分析准确到位，采取的措施合理可行的。优：15分，良：14分，一般：13分，未提供得0分。</w:t>
            </w:r>
          </w:p>
          <w:p>
            <w:pPr>
              <w:numPr>
                <w:ilvl w:val="0"/>
                <w:numId w:val="0"/>
              </w:numPr>
              <w:rPr>
                <w:rFonts w:ascii="Calibri" w:hAnsi="Calibri" w:eastAsia="宋体" w:cs="Times New Roman"/>
                <w:color w:val="auto"/>
                <w:highlight w:val="none"/>
              </w:rPr>
            </w:pPr>
            <w:r>
              <w:rPr>
                <w:rFonts w:hint="eastAsia" w:ascii="Calibri" w:hAnsi="Calibri" w:eastAsia="宋体" w:cs="Times New Roman"/>
                <w:color w:val="auto"/>
                <w:highlight w:val="none"/>
              </w:rPr>
              <w:t>本项累计最高可得30分。</w:t>
            </w:r>
          </w:p>
        </w:tc>
      </w:tr>
      <w:tr>
        <w:trPr>
          <w:trHeight w:val="857" w:hRule="atLeast"/>
        </w:trPr>
        <w:tc>
          <w:tcPr>
            <w:tcW w:w="782" w:type="dxa"/>
            <w:vMerge w:val="continue"/>
            <w:tcBorders>
              <w:right w:val="single" w:color="auto" w:sz="4" w:space="0"/>
            </w:tcBorders>
            <w:vAlign w:val="center"/>
          </w:tcPr>
          <w:p>
            <w:pPr>
              <w:rPr>
                <w:rFonts w:ascii="Calibri" w:hAnsi="Calibri" w:eastAsia="宋体" w:cs="Times New Roman"/>
                <w:color w:val="auto"/>
                <w:szCs w:val="21"/>
                <w:highlight w:val="none"/>
              </w:rPr>
            </w:pPr>
          </w:p>
        </w:tc>
        <w:tc>
          <w:tcPr>
            <w:tcW w:w="1698" w:type="dxa"/>
            <w:gridSpan w:val="2"/>
            <w:vMerge w:val="continue"/>
            <w:tcBorders>
              <w:right w:val="single" w:color="auto" w:sz="4" w:space="0"/>
            </w:tcBorders>
            <w:vAlign w:val="center"/>
          </w:tcPr>
          <w:p>
            <w:pPr>
              <w:rPr>
                <w:rFonts w:ascii="Calibri" w:hAnsi="Calibri" w:eastAsia="宋体" w:cs="Times New Roman"/>
                <w:color w:val="auto"/>
                <w:szCs w:val="21"/>
                <w:highlight w:val="none"/>
              </w:rPr>
            </w:pPr>
          </w:p>
        </w:tc>
        <w:tc>
          <w:tcPr>
            <w:tcW w:w="1489" w:type="dxa"/>
            <w:tcBorders>
              <w:top w:val="single" w:color="auto" w:sz="4" w:space="0"/>
              <w:left w:val="single" w:color="auto" w:sz="4" w:space="0"/>
              <w:right w:val="single" w:color="auto" w:sz="4" w:space="0"/>
            </w:tcBorders>
            <w:vAlign w:val="center"/>
          </w:tcPr>
          <w:p>
            <w:pPr>
              <w:rPr>
                <w:rFonts w:ascii="Calibri" w:hAnsi="Calibri" w:eastAsia="宋体" w:cs="Times New Roman"/>
                <w:color w:val="auto"/>
                <w:szCs w:val="21"/>
                <w:highlight w:val="none"/>
              </w:rPr>
            </w:pPr>
            <w:r>
              <w:rPr>
                <w:rFonts w:ascii="Calibri" w:hAnsi="Calibri" w:eastAsia="宋体" w:cs="Times New Roman"/>
                <w:color w:val="auto"/>
                <w:szCs w:val="21"/>
                <w:highlight w:val="none"/>
              </w:rPr>
              <w:t>设计合理化建议</w:t>
            </w:r>
            <w:r>
              <w:rPr>
                <w:rFonts w:hint="eastAsia" w:ascii="Calibri" w:hAnsi="Calibri" w:eastAsia="宋体" w:cs="Times New Roman"/>
                <w:color w:val="auto"/>
                <w:szCs w:val="21"/>
                <w:highlight w:val="none"/>
              </w:rPr>
              <w:t>（10分）</w:t>
            </w:r>
          </w:p>
        </w:tc>
        <w:tc>
          <w:tcPr>
            <w:tcW w:w="5812" w:type="dxa"/>
            <w:tcBorders>
              <w:top w:val="single" w:color="auto" w:sz="4" w:space="0"/>
              <w:left w:val="single" w:color="auto" w:sz="4" w:space="0"/>
              <w:right w:val="single" w:color="auto" w:sz="4" w:space="0"/>
            </w:tcBorders>
            <w:vAlign w:val="center"/>
          </w:tcPr>
          <w:p>
            <w:pPr>
              <w:numPr>
                <w:ilvl w:val="0"/>
                <w:numId w:val="2"/>
              </w:numPr>
              <w:rPr>
                <w:rFonts w:ascii="Calibri" w:hAnsi="Calibri" w:eastAsia="宋体" w:cs="Times New Roman"/>
                <w:color w:val="auto"/>
                <w:highlight w:val="none"/>
              </w:rPr>
            </w:pPr>
            <w:r>
              <w:rPr>
                <w:rFonts w:ascii="Calibri" w:hAnsi="Calibri" w:eastAsia="宋体" w:cs="Times New Roman"/>
                <w:color w:val="auto"/>
                <w:highlight w:val="none"/>
              </w:rPr>
              <w:t>设计合理化建议</w:t>
            </w:r>
          </w:p>
          <w:p>
            <w:pPr>
              <w:rPr>
                <w:rFonts w:ascii="Calibri" w:hAnsi="Calibri" w:eastAsia="宋体" w:cs="Times New Roman"/>
                <w:color w:val="auto"/>
                <w:highlight w:val="none"/>
              </w:rPr>
            </w:pPr>
            <w:r>
              <w:rPr>
                <w:rFonts w:ascii="Calibri" w:hAnsi="Calibri" w:eastAsia="宋体" w:cs="Times New Roman"/>
                <w:color w:val="auto"/>
                <w:highlight w:val="none"/>
              </w:rPr>
              <w:t>结合本项目的设计，采用经济合理的技术方案，</w:t>
            </w:r>
            <w:r>
              <w:rPr>
                <w:rFonts w:ascii="Calibri" w:hAnsi="Calibri" w:eastAsia="宋体" w:cs="Times New Roman"/>
                <w:color w:val="auto"/>
                <w:szCs w:val="21"/>
                <w:highlight w:val="none"/>
                <w:lang w:val="zh-CN"/>
              </w:rPr>
              <w:t>方案</w:t>
            </w:r>
            <w:r>
              <w:rPr>
                <w:rFonts w:ascii="Calibri" w:hAnsi="Calibri" w:eastAsia="宋体" w:cs="Times New Roman"/>
                <w:color w:val="auto"/>
                <w:szCs w:val="21"/>
                <w:highlight w:val="none"/>
              </w:rPr>
              <w:t>在</w:t>
            </w:r>
            <w:r>
              <w:rPr>
                <w:rFonts w:ascii="Calibri" w:hAnsi="Calibri" w:eastAsia="宋体" w:cs="Times New Roman"/>
                <w:color w:val="auto"/>
                <w:szCs w:val="21"/>
                <w:highlight w:val="none"/>
                <w:lang w:val="zh-CN"/>
              </w:rPr>
              <w:t>绿色环保概念</w:t>
            </w:r>
            <w:r>
              <w:rPr>
                <w:rFonts w:ascii="Calibri" w:hAnsi="Calibri" w:eastAsia="宋体" w:cs="Times New Roman"/>
                <w:color w:val="auto"/>
                <w:szCs w:val="21"/>
                <w:highlight w:val="none"/>
              </w:rPr>
              <w:t>方面</w:t>
            </w:r>
            <w:r>
              <w:rPr>
                <w:rFonts w:ascii="Calibri" w:hAnsi="Calibri" w:eastAsia="宋体" w:cs="Times New Roman"/>
                <w:color w:val="auto"/>
                <w:highlight w:val="none"/>
              </w:rPr>
              <w:t>提出合理化建议</w:t>
            </w:r>
            <w:r>
              <w:rPr>
                <w:rFonts w:hint="eastAsia" w:ascii="Calibri" w:hAnsi="Calibri" w:eastAsia="宋体" w:cs="Times New Roman"/>
                <w:color w:val="auto"/>
                <w:highlight w:val="none"/>
              </w:rPr>
              <w:t>。</w:t>
            </w:r>
          </w:p>
          <w:p>
            <w:pPr>
              <w:rPr>
                <w:rFonts w:ascii="Calibri" w:hAnsi="Calibri" w:eastAsia="宋体" w:cs="Times New Roman"/>
                <w:color w:val="auto"/>
                <w:highlight w:val="none"/>
              </w:rPr>
            </w:pPr>
            <w:r>
              <w:rPr>
                <w:rFonts w:hint="eastAsia" w:ascii="Calibri" w:hAnsi="Calibri" w:eastAsia="宋体" w:cs="Times New Roman"/>
                <w:color w:val="auto"/>
                <w:highlight w:val="none"/>
              </w:rPr>
              <w:t>优：10分，良：9分，一般：8分，未提供得0分。</w:t>
            </w:r>
          </w:p>
        </w:tc>
      </w:tr>
      <w:tr>
        <w:trPr>
          <w:trHeight w:val="857" w:hRule="atLeast"/>
        </w:trPr>
        <w:tc>
          <w:tcPr>
            <w:tcW w:w="782" w:type="dxa"/>
            <w:vMerge w:val="continue"/>
            <w:tcBorders>
              <w:right w:val="single" w:color="auto" w:sz="4" w:space="0"/>
            </w:tcBorders>
            <w:vAlign w:val="center"/>
          </w:tcPr>
          <w:p>
            <w:pPr>
              <w:rPr>
                <w:rFonts w:ascii="Calibri" w:hAnsi="Calibri" w:eastAsia="宋体" w:cs="Times New Roman"/>
                <w:color w:val="auto"/>
                <w:szCs w:val="21"/>
                <w:highlight w:val="none"/>
              </w:rPr>
            </w:pPr>
          </w:p>
        </w:tc>
        <w:tc>
          <w:tcPr>
            <w:tcW w:w="1698" w:type="dxa"/>
            <w:gridSpan w:val="2"/>
            <w:vMerge w:val="continue"/>
            <w:tcBorders>
              <w:right w:val="single" w:color="auto" w:sz="4" w:space="0"/>
            </w:tcBorders>
            <w:vAlign w:val="center"/>
          </w:tcPr>
          <w:p>
            <w:pPr>
              <w:rPr>
                <w:rFonts w:ascii="Calibri" w:hAnsi="Calibri" w:eastAsia="宋体" w:cs="Times New Roman"/>
                <w:color w:val="auto"/>
                <w:szCs w:val="21"/>
                <w:highlight w:val="none"/>
              </w:rPr>
            </w:pPr>
          </w:p>
        </w:tc>
        <w:tc>
          <w:tcPr>
            <w:tcW w:w="1489" w:type="dxa"/>
            <w:tcBorders>
              <w:top w:val="single" w:color="auto" w:sz="4" w:space="0"/>
              <w:left w:val="single" w:color="auto" w:sz="4" w:space="0"/>
              <w:right w:val="single" w:color="auto" w:sz="4" w:space="0"/>
            </w:tcBorders>
            <w:vAlign w:val="center"/>
          </w:tcPr>
          <w:p>
            <w:pPr>
              <w:rPr>
                <w:rFonts w:ascii="Calibri" w:hAnsi="Calibri" w:eastAsia="宋体" w:cs="Times New Roman"/>
                <w:color w:val="auto"/>
                <w:szCs w:val="21"/>
                <w:highlight w:val="none"/>
              </w:rPr>
            </w:pPr>
            <w:r>
              <w:rPr>
                <w:rFonts w:ascii="Calibri" w:hAnsi="Calibri" w:eastAsia="宋体" w:cs="Times New Roman"/>
                <w:color w:val="auto"/>
                <w:szCs w:val="21"/>
                <w:highlight w:val="none"/>
              </w:rPr>
              <w:t>设计进度计划</w:t>
            </w:r>
            <w:r>
              <w:rPr>
                <w:rFonts w:hint="eastAsia" w:ascii="Calibri" w:hAnsi="Calibri" w:eastAsia="宋体" w:cs="Times New Roman"/>
                <w:color w:val="auto"/>
                <w:szCs w:val="21"/>
                <w:highlight w:val="none"/>
              </w:rPr>
              <w:t>（10分）</w:t>
            </w:r>
          </w:p>
        </w:tc>
        <w:tc>
          <w:tcPr>
            <w:tcW w:w="5812" w:type="dxa"/>
            <w:tcBorders>
              <w:top w:val="single" w:color="auto" w:sz="4" w:space="0"/>
              <w:left w:val="single" w:color="auto" w:sz="4" w:space="0"/>
              <w:right w:val="single" w:color="auto" w:sz="4" w:space="0"/>
            </w:tcBorders>
            <w:vAlign w:val="center"/>
          </w:tcPr>
          <w:p>
            <w:pPr>
              <w:numPr>
                <w:ilvl w:val="0"/>
                <w:numId w:val="2"/>
              </w:numPr>
              <w:rPr>
                <w:rFonts w:ascii="Calibri" w:hAnsi="Calibri" w:eastAsia="宋体" w:cs="Times New Roman"/>
                <w:color w:val="auto"/>
                <w:highlight w:val="none"/>
              </w:rPr>
            </w:pPr>
            <w:r>
              <w:rPr>
                <w:rFonts w:ascii="Calibri" w:hAnsi="Calibri" w:eastAsia="宋体" w:cs="Times New Roman"/>
                <w:color w:val="auto"/>
                <w:highlight w:val="none"/>
              </w:rPr>
              <w:t>设计进度计划</w:t>
            </w:r>
          </w:p>
          <w:p>
            <w:pPr>
              <w:rPr>
                <w:rFonts w:ascii="Calibri" w:hAnsi="Calibri" w:eastAsia="宋体" w:cs="Times New Roman"/>
                <w:color w:val="auto"/>
                <w:highlight w:val="none"/>
              </w:rPr>
            </w:pPr>
            <w:r>
              <w:rPr>
                <w:rFonts w:ascii="Calibri" w:hAnsi="Calibri" w:eastAsia="宋体" w:cs="Times New Roman"/>
                <w:color w:val="auto"/>
                <w:highlight w:val="none"/>
              </w:rPr>
              <w:t>设计进度计划编制满足招标文件工期要求的，有针对本项目所制定的质量保证措施、服务目标。</w:t>
            </w:r>
          </w:p>
          <w:p>
            <w:pPr>
              <w:rPr>
                <w:rFonts w:ascii="Calibri" w:hAnsi="Calibri" w:eastAsia="宋体" w:cs="Times New Roman"/>
                <w:color w:val="auto"/>
                <w:highlight w:val="none"/>
              </w:rPr>
            </w:pPr>
            <w:r>
              <w:rPr>
                <w:rFonts w:hint="eastAsia" w:ascii="Calibri" w:hAnsi="Calibri" w:eastAsia="宋体" w:cs="Times New Roman"/>
                <w:color w:val="auto"/>
                <w:highlight w:val="none"/>
              </w:rPr>
              <w:t>优：10分，良：9分，一般：8分，未提供得0分。</w:t>
            </w:r>
          </w:p>
        </w:tc>
      </w:tr>
      <w:tr>
        <w:trPr>
          <w:trHeight w:val="857" w:hRule="atLeast"/>
        </w:trPr>
        <w:tc>
          <w:tcPr>
            <w:tcW w:w="782" w:type="dxa"/>
            <w:vMerge w:val="continue"/>
            <w:tcBorders>
              <w:right w:val="single" w:color="auto" w:sz="4" w:space="0"/>
            </w:tcBorders>
            <w:vAlign w:val="center"/>
          </w:tcPr>
          <w:p>
            <w:pPr>
              <w:rPr>
                <w:rFonts w:ascii="Calibri" w:hAnsi="Calibri" w:eastAsia="宋体" w:cs="Times New Roman"/>
                <w:color w:val="auto"/>
                <w:szCs w:val="21"/>
                <w:highlight w:val="none"/>
              </w:rPr>
            </w:pPr>
          </w:p>
        </w:tc>
        <w:tc>
          <w:tcPr>
            <w:tcW w:w="1698" w:type="dxa"/>
            <w:gridSpan w:val="2"/>
            <w:vMerge w:val="continue"/>
            <w:tcBorders>
              <w:right w:val="single" w:color="auto" w:sz="4" w:space="0"/>
            </w:tcBorders>
            <w:vAlign w:val="center"/>
          </w:tcPr>
          <w:p>
            <w:pPr>
              <w:rPr>
                <w:rFonts w:ascii="Calibri" w:hAnsi="Calibri" w:eastAsia="宋体" w:cs="Times New Roman"/>
                <w:color w:val="auto"/>
                <w:szCs w:val="21"/>
                <w:highlight w:val="none"/>
              </w:rPr>
            </w:pPr>
          </w:p>
        </w:tc>
        <w:tc>
          <w:tcPr>
            <w:tcW w:w="1489" w:type="dxa"/>
            <w:tcBorders>
              <w:top w:val="single" w:color="auto" w:sz="4" w:space="0"/>
              <w:left w:val="single" w:color="auto" w:sz="4" w:space="0"/>
              <w:right w:val="single" w:color="auto" w:sz="4" w:space="0"/>
            </w:tcBorders>
            <w:vAlign w:val="center"/>
          </w:tcPr>
          <w:p>
            <w:pPr>
              <w:rPr>
                <w:rFonts w:ascii="Calibri" w:hAnsi="Calibri" w:eastAsia="宋体" w:cs="Times New Roman"/>
                <w:color w:val="auto"/>
                <w:szCs w:val="21"/>
                <w:highlight w:val="none"/>
              </w:rPr>
            </w:pPr>
            <w:r>
              <w:rPr>
                <w:rFonts w:ascii="Calibri" w:hAnsi="Calibri" w:eastAsia="宋体" w:cs="Times New Roman"/>
                <w:color w:val="auto"/>
                <w:szCs w:val="21"/>
                <w:highlight w:val="none"/>
              </w:rPr>
              <w:t>投资控制</w:t>
            </w:r>
          </w:p>
          <w:p>
            <w:pPr>
              <w:rPr>
                <w:rFonts w:ascii="Calibri" w:hAnsi="Calibri" w:eastAsia="宋体" w:cs="Times New Roman"/>
                <w:color w:val="auto"/>
                <w:highlight w:val="none"/>
              </w:rPr>
            </w:pPr>
            <w:r>
              <w:rPr>
                <w:rFonts w:hint="eastAsia" w:ascii="Calibri" w:hAnsi="Calibri" w:eastAsia="宋体" w:cs="Times New Roman"/>
                <w:color w:val="auto"/>
                <w:highlight w:val="none"/>
              </w:rPr>
              <w:t>（10分）</w:t>
            </w:r>
          </w:p>
        </w:tc>
        <w:tc>
          <w:tcPr>
            <w:tcW w:w="5812" w:type="dxa"/>
            <w:tcBorders>
              <w:top w:val="single" w:color="auto" w:sz="4" w:space="0"/>
              <w:left w:val="single" w:color="auto" w:sz="4" w:space="0"/>
              <w:right w:val="single" w:color="auto" w:sz="4" w:space="0"/>
            </w:tcBorders>
            <w:vAlign w:val="center"/>
          </w:tcPr>
          <w:p>
            <w:pPr>
              <w:numPr>
                <w:ilvl w:val="0"/>
                <w:numId w:val="2"/>
              </w:numPr>
              <w:rPr>
                <w:rFonts w:ascii="Calibri" w:hAnsi="Calibri" w:eastAsia="宋体" w:cs="Times New Roman"/>
                <w:color w:val="auto"/>
                <w:highlight w:val="none"/>
              </w:rPr>
            </w:pPr>
            <w:r>
              <w:rPr>
                <w:rFonts w:ascii="Calibri" w:hAnsi="Calibri" w:eastAsia="宋体" w:cs="Times New Roman"/>
                <w:color w:val="auto"/>
                <w:highlight w:val="none"/>
              </w:rPr>
              <w:t>投资控制</w:t>
            </w:r>
          </w:p>
          <w:p>
            <w:pPr>
              <w:rPr>
                <w:rFonts w:ascii="Calibri" w:hAnsi="Calibri" w:eastAsia="宋体" w:cs="Times New Roman"/>
                <w:color w:val="auto"/>
                <w:highlight w:val="none"/>
              </w:rPr>
            </w:pPr>
            <w:r>
              <w:rPr>
                <w:rFonts w:ascii="Calibri" w:hAnsi="Calibri" w:eastAsia="宋体" w:cs="Times New Roman"/>
                <w:color w:val="auto"/>
                <w:highlight w:val="none"/>
              </w:rPr>
              <w:t>工程总投资合理，节约工程总投资的措施及理由合理、可信、可行。</w:t>
            </w:r>
          </w:p>
          <w:p>
            <w:pPr>
              <w:rPr>
                <w:rFonts w:ascii="Calibri" w:hAnsi="Calibri" w:eastAsia="宋体" w:cs="Times New Roman"/>
                <w:color w:val="auto"/>
                <w:highlight w:val="none"/>
              </w:rPr>
            </w:pPr>
            <w:r>
              <w:rPr>
                <w:rFonts w:hint="eastAsia" w:ascii="Calibri" w:hAnsi="Calibri" w:eastAsia="宋体" w:cs="Times New Roman"/>
                <w:color w:val="auto"/>
                <w:highlight w:val="none"/>
              </w:rPr>
              <w:t>优：10分，良：9分，一般：8分，未提供得0分。</w:t>
            </w:r>
          </w:p>
        </w:tc>
      </w:tr>
      <w:tr>
        <w:trPr>
          <w:trHeight w:val="857" w:hRule="atLeast"/>
        </w:trPr>
        <w:tc>
          <w:tcPr>
            <w:tcW w:w="782" w:type="dxa"/>
            <w:vMerge w:val="continue"/>
            <w:tcBorders>
              <w:right w:val="single" w:color="auto" w:sz="4" w:space="0"/>
            </w:tcBorders>
            <w:vAlign w:val="center"/>
          </w:tcPr>
          <w:p>
            <w:pPr>
              <w:rPr>
                <w:rFonts w:ascii="Calibri" w:hAnsi="Calibri" w:eastAsia="宋体" w:cs="Times New Roman"/>
                <w:color w:val="auto"/>
                <w:szCs w:val="21"/>
                <w:highlight w:val="none"/>
              </w:rPr>
            </w:pPr>
          </w:p>
        </w:tc>
        <w:tc>
          <w:tcPr>
            <w:tcW w:w="1698" w:type="dxa"/>
            <w:gridSpan w:val="2"/>
            <w:vMerge w:val="continue"/>
            <w:tcBorders>
              <w:right w:val="single" w:color="auto" w:sz="4" w:space="0"/>
            </w:tcBorders>
            <w:vAlign w:val="center"/>
          </w:tcPr>
          <w:p>
            <w:pPr>
              <w:rPr>
                <w:rFonts w:ascii="Calibri" w:hAnsi="Calibri" w:eastAsia="宋体" w:cs="Times New Roman"/>
                <w:color w:val="auto"/>
                <w:szCs w:val="21"/>
                <w:highlight w:val="none"/>
              </w:rPr>
            </w:pPr>
          </w:p>
        </w:tc>
        <w:tc>
          <w:tcPr>
            <w:tcW w:w="1489" w:type="dxa"/>
            <w:tcBorders>
              <w:top w:val="single" w:color="auto" w:sz="4" w:space="0"/>
              <w:left w:val="single" w:color="auto" w:sz="4" w:space="0"/>
              <w:right w:val="single" w:color="auto" w:sz="4" w:space="0"/>
            </w:tcBorders>
            <w:vAlign w:val="center"/>
          </w:tcPr>
          <w:p>
            <w:pPr>
              <w:rPr>
                <w:rFonts w:ascii="Calibri" w:hAnsi="Calibri" w:eastAsia="宋体" w:cs="Times New Roman"/>
                <w:color w:val="auto"/>
                <w:szCs w:val="21"/>
                <w:highlight w:val="none"/>
              </w:rPr>
            </w:pPr>
            <w:r>
              <w:rPr>
                <w:rFonts w:ascii="Calibri" w:hAnsi="Calibri" w:eastAsia="宋体" w:cs="Times New Roman"/>
                <w:color w:val="auto"/>
                <w:szCs w:val="21"/>
                <w:highlight w:val="none"/>
              </w:rPr>
              <w:t>设计图纸</w:t>
            </w:r>
          </w:p>
          <w:p>
            <w:pPr>
              <w:rPr>
                <w:rFonts w:ascii="Calibri" w:hAnsi="Calibri" w:eastAsia="宋体" w:cs="Times New Roman"/>
                <w:color w:val="auto"/>
                <w:szCs w:val="21"/>
                <w:highlight w:val="none"/>
              </w:rPr>
            </w:pPr>
            <w:r>
              <w:rPr>
                <w:rFonts w:hint="eastAsia" w:ascii="Calibri" w:hAnsi="Calibri" w:eastAsia="宋体" w:cs="Times New Roman"/>
                <w:color w:val="auto"/>
                <w:szCs w:val="21"/>
                <w:highlight w:val="none"/>
              </w:rPr>
              <w:t>（20分）</w:t>
            </w:r>
          </w:p>
        </w:tc>
        <w:tc>
          <w:tcPr>
            <w:tcW w:w="5812" w:type="dxa"/>
            <w:tcBorders>
              <w:top w:val="single" w:color="auto" w:sz="4" w:space="0"/>
              <w:left w:val="single" w:color="auto" w:sz="4" w:space="0"/>
              <w:right w:val="single" w:color="auto" w:sz="4" w:space="0"/>
            </w:tcBorders>
            <w:vAlign w:val="center"/>
          </w:tcPr>
          <w:p>
            <w:pPr>
              <w:numPr>
                <w:ilvl w:val="0"/>
                <w:numId w:val="2"/>
              </w:numPr>
              <w:rPr>
                <w:rFonts w:ascii="Calibri" w:hAnsi="Calibri" w:eastAsia="宋体" w:cs="Times New Roman"/>
                <w:color w:val="auto"/>
                <w:highlight w:val="none"/>
              </w:rPr>
            </w:pPr>
            <w:r>
              <w:rPr>
                <w:rFonts w:ascii="Calibri" w:hAnsi="Calibri" w:eastAsia="宋体" w:cs="Times New Roman"/>
                <w:color w:val="auto"/>
                <w:highlight w:val="none"/>
              </w:rPr>
              <w:t>设计图纸</w:t>
            </w:r>
          </w:p>
          <w:p>
            <w:pPr>
              <w:rPr>
                <w:rFonts w:ascii="Calibri" w:hAnsi="Calibri" w:eastAsia="宋体" w:cs="Times New Roman"/>
                <w:color w:val="auto"/>
                <w:highlight w:val="none"/>
              </w:rPr>
            </w:pPr>
            <w:r>
              <w:rPr>
                <w:rFonts w:ascii="Calibri" w:hAnsi="Calibri" w:eastAsia="宋体" w:cs="Times New Roman"/>
                <w:color w:val="auto"/>
                <w:highlight w:val="none"/>
              </w:rPr>
              <w:t>图纸内容完整，设计资料合理，逻辑清晰，符合招标文件要求。</w:t>
            </w:r>
            <w:r>
              <w:rPr>
                <w:rFonts w:hint="eastAsia" w:ascii="Calibri" w:hAnsi="Calibri" w:eastAsia="宋体" w:cs="Times New Roman"/>
                <w:color w:val="auto"/>
                <w:highlight w:val="none"/>
                <w:lang w:val="zh-CN"/>
              </w:rPr>
              <w:t>优</w:t>
            </w:r>
            <w:r>
              <w:rPr>
                <w:rFonts w:hint="eastAsia" w:ascii="Calibri" w:hAnsi="Calibri" w:eastAsia="宋体" w:cs="Times New Roman"/>
                <w:color w:val="auto"/>
                <w:highlight w:val="none"/>
              </w:rPr>
              <w:t>：20</w:t>
            </w:r>
            <w:r>
              <w:rPr>
                <w:rFonts w:hint="eastAsia" w:ascii="Calibri" w:hAnsi="Calibri" w:eastAsia="宋体" w:cs="Times New Roman"/>
                <w:color w:val="auto"/>
                <w:highlight w:val="none"/>
                <w:lang w:val="zh-CN"/>
              </w:rPr>
              <w:t>分</w:t>
            </w:r>
            <w:r>
              <w:rPr>
                <w:rFonts w:hint="eastAsia" w:ascii="Calibri" w:hAnsi="Calibri" w:eastAsia="宋体" w:cs="Times New Roman"/>
                <w:color w:val="auto"/>
                <w:highlight w:val="none"/>
              </w:rPr>
              <w:t>，</w:t>
            </w:r>
            <w:r>
              <w:rPr>
                <w:rFonts w:hint="eastAsia" w:ascii="Calibri" w:hAnsi="Calibri" w:eastAsia="宋体" w:cs="Times New Roman"/>
                <w:color w:val="auto"/>
                <w:highlight w:val="none"/>
                <w:lang w:val="zh-CN"/>
              </w:rPr>
              <w:t>良</w:t>
            </w:r>
            <w:r>
              <w:rPr>
                <w:rFonts w:hint="eastAsia" w:ascii="Calibri" w:hAnsi="Calibri" w:eastAsia="宋体" w:cs="Times New Roman"/>
                <w:color w:val="auto"/>
                <w:highlight w:val="none"/>
              </w:rPr>
              <w:t>：19</w:t>
            </w:r>
            <w:r>
              <w:rPr>
                <w:rFonts w:hint="eastAsia" w:ascii="Calibri" w:hAnsi="Calibri" w:eastAsia="宋体" w:cs="Times New Roman"/>
                <w:color w:val="auto"/>
                <w:highlight w:val="none"/>
                <w:lang w:val="zh-CN"/>
              </w:rPr>
              <w:t>分</w:t>
            </w:r>
            <w:r>
              <w:rPr>
                <w:rFonts w:hint="eastAsia" w:ascii="Calibri" w:hAnsi="Calibri" w:eastAsia="宋体" w:cs="Times New Roman"/>
                <w:color w:val="auto"/>
                <w:highlight w:val="none"/>
              </w:rPr>
              <w:t>，</w:t>
            </w:r>
            <w:r>
              <w:rPr>
                <w:rFonts w:hint="eastAsia" w:ascii="Calibri" w:hAnsi="Calibri" w:eastAsia="宋体" w:cs="Times New Roman"/>
                <w:color w:val="auto"/>
                <w:highlight w:val="none"/>
                <w:lang w:val="zh-CN"/>
              </w:rPr>
              <w:t>一般</w:t>
            </w:r>
            <w:r>
              <w:rPr>
                <w:rFonts w:hint="eastAsia" w:ascii="Calibri" w:hAnsi="Calibri" w:eastAsia="宋体" w:cs="Times New Roman"/>
                <w:color w:val="auto"/>
                <w:highlight w:val="none"/>
              </w:rPr>
              <w:t>：18</w:t>
            </w:r>
            <w:r>
              <w:rPr>
                <w:rFonts w:hint="eastAsia" w:ascii="Calibri" w:hAnsi="Calibri" w:eastAsia="宋体" w:cs="Times New Roman"/>
                <w:color w:val="auto"/>
                <w:highlight w:val="none"/>
                <w:lang w:val="zh-CN"/>
              </w:rPr>
              <w:t>分</w:t>
            </w:r>
            <w:r>
              <w:rPr>
                <w:rFonts w:hint="eastAsia" w:ascii="Calibri" w:hAnsi="Calibri" w:eastAsia="宋体" w:cs="Times New Roman"/>
                <w:color w:val="auto"/>
                <w:highlight w:val="none"/>
              </w:rPr>
              <w:t>，未提供得0分。</w:t>
            </w:r>
          </w:p>
        </w:tc>
      </w:tr>
      <w:tr>
        <w:trPr>
          <w:trHeight w:val="857" w:hRule="atLeast"/>
        </w:trPr>
        <w:tc>
          <w:tcPr>
            <w:tcW w:w="782" w:type="dxa"/>
            <w:vMerge w:val="restart"/>
            <w:tcBorders>
              <w:top w:val="single" w:color="auto" w:sz="4" w:space="0"/>
              <w:right w:val="single" w:color="auto" w:sz="4" w:space="0"/>
            </w:tcBorders>
            <w:vAlign w:val="center"/>
          </w:tcPr>
          <w:p>
            <w:pPr>
              <w:rPr>
                <w:rFonts w:ascii="Calibri" w:hAnsi="Calibri" w:eastAsia="宋体" w:cs="Times New Roman"/>
                <w:color w:val="auto"/>
                <w:szCs w:val="21"/>
                <w:highlight w:val="none"/>
              </w:rPr>
            </w:pPr>
            <w:r>
              <w:rPr>
                <w:rFonts w:ascii="Calibri" w:hAnsi="Calibri" w:eastAsia="宋体" w:cs="Times New Roman"/>
                <w:color w:val="auto"/>
                <w:szCs w:val="21"/>
                <w:highlight w:val="none"/>
              </w:rPr>
              <w:t>2.2.4（</w:t>
            </w:r>
            <w:r>
              <w:rPr>
                <w:rFonts w:hint="eastAsia" w:ascii="Calibri" w:hAnsi="Calibri" w:eastAsia="宋体" w:cs="Times New Roman"/>
                <w:color w:val="auto"/>
                <w:szCs w:val="21"/>
                <w:highlight w:val="none"/>
              </w:rPr>
              <w:t>2</w:t>
            </w:r>
            <w:r>
              <w:rPr>
                <w:rFonts w:ascii="Calibri" w:hAnsi="Calibri" w:eastAsia="宋体" w:cs="Times New Roman"/>
                <w:color w:val="auto"/>
                <w:szCs w:val="21"/>
                <w:highlight w:val="none"/>
              </w:rPr>
              <w:t>）</w:t>
            </w:r>
          </w:p>
        </w:tc>
        <w:tc>
          <w:tcPr>
            <w:tcW w:w="1032" w:type="dxa"/>
            <w:vMerge w:val="restart"/>
            <w:tcBorders>
              <w:top w:val="single" w:color="auto" w:sz="4" w:space="0"/>
              <w:right w:val="single" w:color="auto" w:sz="4" w:space="0"/>
            </w:tcBorders>
            <w:vAlign w:val="center"/>
          </w:tcPr>
          <w:p>
            <w:pPr>
              <w:rPr>
                <w:rFonts w:ascii="Calibri" w:hAnsi="Calibri" w:eastAsia="宋体" w:cs="Times New Roman"/>
                <w:color w:val="auto"/>
                <w:szCs w:val="21"/>
                <w:highlight w:val="none"/>
              </w:rPr>
            </w:pPr>
            <w:r>
              <w:rPr>
                <w:rFonts w:ascii="Calibri" w:hAnsi="Calibri" w:eastAsia="宋体" w:cs="Times New Roman"/>
                <w:color w:val="auto"/>
                <w:szCs w:val="21"/>
                <w:highlight w:val="none"/>
              </w:rPr>
              <w:t>工程总承包实施方案（含资信部分）评分标准（100分）</w:t>
            </w:r>
          </w:p>
        </w:tc>
        <w:tc>
          <w:tcPr>
            <w:tcW w:w="666" w:type="dxa"/>
            <w:vMerge w:val="restart"/>
            <w:tcBorders>
              <w:top w:val="single" w:color="auto" w:sz="4" w:space="0"/>
              <w:left w:val="single" w:color="auto" w:sz="4" w:space="0"/>
              <w:right w:val="single" w:color="auto" w:sz="4" w:space="0"/>
            </w:tcBorders>
            <w:vAlign w:val="center"/>
          </w:tcPr>
          <w:p>
            <w:pPr>
              <w:rPr>
                <w:rFonts w:ascii="Calibri" w:hAnsi="Calibri" w:eastAsia="宋体" w:cs="Times New Roman"/>
                <w:color w:val="auto"/>
                <w:szCs w:val="21"/>
                <w:highlight w:val="none"/>
              </w:rPr>
            </w:pPr>
            <w:r>
              <w:rPr>
                <w:rFonts w:ascii="Calibri" w:hAnsi="Calibri" w:eastAsia="宋体" w:cs="Times New Roman"/>
                <w:color w:val="auto"/>
                <w:szCs w:val="21"/>
                <w:highlight w:val="none"/>
              </w:rPr>
              <w:t>资信</w:t>
            </w:r>
          </w:p>
          <w:p>
            <w:pPr>
              <w:rPr>
                <w:rFonts w:ascii="Calibri" w:hAnsi="Calibri" w:eastAsia="宋体" w:cs="Times New Roman"/>
                <w:color w:val="auto"/>
                <w:szCs w:val="21"/>
                <w:highlight w:val="none"/>
              </w:rPr>
            </w:pPr>
            <w:r>
              <w:rPr>
                <w:rFonts w:ascii="Calibri" w:hAnsi="Calibri" w:eastAsia="宋体" w:cs="Times New Roman"/>
                <w:color w:val="auto"/>
                <w:szCs w:val="21"/>
                <w:highlight w:val="none"/>
              </w:rPr>
              <w:t>部分</w:t>
            </w:r>
          </w:p>
          <w:p>
            <w:pPr>
              <w:rPr>
                <w:rFonts w:ascii="Calibri" w:hAnsi="Calibri" w:eastAsia="宋体" w:cs="Times New Roman"/>
                <w:color w:val="auto"/>
                <w:szCs w:val="21"/>
                <w:highlight w:val="none"/>
              </w:rPr>
            </w:pPr>
            <w:r>
              <w:rPr>
                <w:rFonts w:ascii="Calibri" w:hAnsi="Calibri" w:eastAsia="宋体" w:cs="Times New Roman"/>
                <w:color w:val="auto"/>
                <w:szCs w:val="21"/>
                <w:highlight w:val="none"/>
              </w:rPr>
              <w:t>（3</w:t>
            </w:r>
            <w:r>
              <w:rPr>
                <w:rFonts w:hint="eastAsia" w:ascii="Calibri" w:hAnsi="Calibri" w:eastAsia="宋体" w:cs="Times New Roman"/>
                <w:color w:val="auto"/>
                <w:szCs w:val="21"/>
                <w:highlight w:val="none"/>
              </w:rPr>
              <w:t>6</w:t>
            </w:r>
            <w:r>
              <w:rPr>
                <w:rFonts w:ascii="Calibri" w:hAnsi="Calibri" w:eastAsia="宋体" w:cs="Times New Roman"/>
                <w:color w:val="auto"/>
                <w:szCs w:val="21"/>
                <w:highlight w:val="none"/>
              </w:rPr>
              <w:t>分）</w:t>
            </w:r>
          </w:p>
        </w:tc>
        <w:tc>
          <w:tcPr>
            <w:tcW w:w="1489" w:type="dxa"/>
            <w:tcBorders>
              <w:top w:val="single" w:color="auto" w:sz="4" w:space="0"/>
              <w:left w:val="single" w:color="auto" w:sz="4" w:space="0"/>
              <w:right w:val="single" w:color="auto" w:sz="4" w:space="0"/>
            </w:tcBorders>
            <w:vAlign w:val="center"/>
          </w:tcPr>
          <w:p>
            <w:pPr>
              <w:rPr>
                <w:rFonts w:ascii="Calibri" w:hAnsi="Calibri" w:eastAsia="宋体" w:cs="Times New Roman"/>
                <w:color w:val="auto"/>
                <w:szCs w:val="21"/>
                <w:highlight w:val="none"/>
              </w:rPr>
            </w:pPr>
            <w:r>
              <w:rPr>
                <w:rFonts w:ascii="Calibri" w:hAnsi="Calibri" w:eastAsia="宋体" w:cs="Times New Roman"/>
                <w:color w:val="auto"/>
                <w:szCs w:val="21"/>
                <w:highlight w:val="none"/>
              </w:rPr>
              <w:t>类似工程业绩</w:t>
            </w:r>
          </w:p>
          <w:p>
            <w:pPr>
              <w:rPr>
                <w:rFonts w:ascii="Calibri" w:hAnsi="Calibri" w:eastAsia="宋体" w:cs="Times New Roman"/>
                <w:color w:val="auto"/>
                <w:szCs w:val="21"/>
                <w:highlight w:val="none"/>
              </w:rPr>
            </w:pPr>
            <w:r>
              <w:rPr>
                <w:rFonts w:ascii="Calibri" w:hAnsi="Calibri" w:eastAsia="宋体" w:cs="Times New Roman"/>
                <w:color w:val="auto"/>
                <w:szCs w:val="21"/>
                <w:highlight w:val="none"/>
              </w:rPr>
              <w:t>（</w:t>
            </w:r>
            <w:r>
              <w:rPr>
                <w:rFonts w:hint="eastAsia" w:ascii="Calibri" w:hAnsi="Calibri" w:eastAsia="宋体" w:cs="Times New Roman"/>
                <w:color w:val="auto"/>
                <w:szCs w:val="21"/>
                <w:highlight w:val="none"/>
              </w:rPr>
              <w:t>6</w:t>
            </w:r>
            <w:r>
              <w:rPr>
                <w:rFonts w:ascii="Calibri" w:hAnsi="Calibri" w:eastAsia="宋体" w:cs="Times New Roman"/>
                <w:color w:val="auto"/>
                <w:szCs w:val="21"/>
                <w:highlight w:val="none"/>
              </w:rPr>
              <w:t>分）</w:t>
            </w:r>
          </w:p>
        </w:tc>
        <w:tc>
          <w:tcPr>
            <w:tcW w:w="5812" w:type="dxa"/>
            <w:tcBorders>
              <w:top w:val="single" w:color="auto" w:sz="4" w:space="0"/>
              <w:left w:val="single" w:color="auto" w:sz="4" w:space="0"/>
              <w:right w:val="single" w:color="auto" w:sz="4" w:space="0"/>
            </w:tcBorders>
            <w:vAlign w:val="center"/>
          </w:tcPr>
          <w:p>
            <w:pPr>
              <w:rPr>
                <w:rFonts w:ascii="Calibri" w:hAnsi="Calibri" w:eastAsia="宋体" w:cs="Times New Roman"/>
                <w:color w:val="auto"/>
                <w:szCs w:val="21"/>
                <w:highlight w:val="none"/>
              </w:rPr>
            </w:pPr>
            <w:r>
              <w:rPr>
                <w:rFonts w:hint="eastAsia" w:ascii="Calibri" w:hAnsi="Calibri" w:eastAsia="宋体" w:cs="Times New Roman"/>
                <w:b/>
                <w:bCs/>
                <w:color w:val="auto"/>
                <w:szCs w:val="21"/>
                <w:highlight w:val="none"/>
              </w:rPr>
              <w:t>1、</w:t>
            </w:r>
            <w:r>
              <w:rPr>
                <w:rFonts w:ascii="Calibri" w:hAnsi="Calibri" w:eastAsia="宋体" w:cs="Times New Roman"/>
                <w:b/>
                <w:bCs/>
                <w:color w:val="auto"/>
                <w:szCs w:val="21"/>
                <w:highlight w:val="none"/>
              </w:rPr>
              <w:t>投标人（若为联合体投标，指承担施工任务的单位）：</w:t>
            </w:r>
          </w:p>
          <w:p>
            <w:pPr>
              <w:rPr>
                <w:rFonts w:ascii="Calibri" w:hAnsi="Calibri" w:eastAsia="宋体" w:cs="Times New Roman"/>
                <w:color w:val="auto"/>
                <w:highlight w:val="none"/>
              </w:rPr>
            </w:pPr>
            <w:r>
              <w:rPr>
                <w:rFonts w:ascii="Calibri" w:hAnsi="Calibri" w:eastAsia="宋体" w:cs="Times New Roman"/>
                <w:color w:val="auto"/>
                <w:highlight w:val="none"/>
              </w:rPr>
              <w:t>投标人自2021年1月1日至今承接过项目总投资</w:t>
            </w:r>
            <w:r>
              <w:rPr>
                <w:rFonts w:hint="eastAsia" w:ascii="Calibri" w:hAnsi="Calibri" w:eastAsia="宋体" w:cs="Times New Roman"/>
                <w:color w:val="auto"/>
                <w:highlight w:val="none"/>
                <w:u w:val="single"/>
              </w:rPr>
              <w:t>1</w:t>
            </w:r>
            <w:r>
              <w:rPr>
                <w:rFonts w:hint="eastAsia" w:ascii="Calibri" w:hAnsi="Calibri" w:eastAsia="宋体" w:cs="Times New Roman"/>
                <w:color w:val="auto"/>
                <w:highlight w:val="none"/>
                <w:u w:val="single"/>
                <w:lang w:val="en-US" w:eastAsia="zh-CN"/>
              </w:rPr>
              <w:t>5</w:t>
            </w:r>
            <w:r>
              <w:rPr>
                <w:rFonts w:hint="eastAsia" w:ascii="Calibri" w:hAnsi="Calibri" w:eastAsia="宋体" w:cs="Times New Roman"/>
                <w:color w:val="auto"/>
                <w:highlight w:val="none"/>
                <w:u w:val="single"/>
              </w:rPr>
              <w:t>000</w:t>
            </w:r>
            <w:r>
              <w:rPr>
                <w:rFonts w:ascii="Calibri" w:hAnsi="Calibri" w:eastAsia="宋体" w:cs="Times New Roman"/>
                <w:color w:val="auto"/>
                <w:highlight w:val="none"/>
              </w:rPr>
              <w:t>万元（含</w:t>
            </w:r>
            <w:r>
              <w:rPr>
                <w:rFonts w:hint="eastAsia" w:ascii="Calibri" w:hAnsi="Calibri" w:eastAsia="宋体" w:cs="Times New Roman"/>
                <w:color w:val="auto"/>
                <w:highlight w:val="none"/>
                <w:u w:val="single"/>
              </w:rPr>
              <w:t>1</w:t>
            </w:r>
            <w:r>
              <w:rPr>
                <w:rFonts w:hint="eastAsia" w:ascii="Calibri" w:hAnsi="Calibri" w:eastAsia="宋体" w:cs="Times New Roman"/>
                <w:color w:val="auto"/>
                <w:highlight w:val="none"/>
                <w:u w:val="single"/>
                <w:lang w:val="en-US" w:eastAsia="zh-CN"/>
              </w:rPr>
              <w:t>5</w:t>
            </w:r>
            <w:r>
              <w:rPr>
                <w:rFonts w:hint="eastAsia" w:ascii="Calibri" w:hAnsi="Calibri" w:eastAsia="宋体" w:cs="Times New Roman"/>
                <w:color w:val="auto"/>
                <w:highlight w:val="none"/>
                <w:u w:val="single"/>
              </w:rPr>
              <w:t>000</w:t>
            </w:r>
            <w:r>
              <w:rPr>
                <w:rFonts w:ascii="Calibri" w:hAnsi="Calibri" w:eastAsia="宋体" w:cs="Times New Roman"/>
                <w:color w:val="auto"/>
                <w:highlight w:val="none"/>
              </w:rPr>
              <w:t>万元）以上的市政公用工程类项目</w:t>
            </w:r>
            <w:r>
              <w:rPr>
                <w:rFonts w:hint="eastAsia" w:ascii="Calibri" w:hAnsi="Calibri" w:eastAsia="宋体" w:cs="Times New Roman"/>
                <w:color w:val="auto"/>
                <w:highlight w:val="none"/>
              </w:rPr>
              <w:t>（包含但不限于城市道路工程或城市桥梁工程或城市隧道工程）</w:t>
            </w:r>
            <w:r>
              <w:rPr>
                <w:rFonts w:ascii="Calibri" w:hAnsi="Calibri" w:eastAsia="宋体" w:cs="Times New Roman"/>
                <w:color w:val="auto"/>
                <w:highlight w:val="none"/>
              </w:rPr>
              <w:t>施工业绩</w:t>
            </w:r>
            <w:r>
              <w:rPr>
                <w:rFonts w:hint="eastAsia" w:ascii="Calibri" w:hAnsi="Calibri" w:eastAsia="宋体" w:cs="Times New Roman"/>
                <w:color w:val="auto"/>
                <w:highlight w:val="none"/>
                <w:u w:val="single"/>
              </w:rPr>
              <w:t>（含施工总承包业绩或设计施工总承包或EPC项目或工程总承包业绩中施工部分）</w:t>
            </w:r>
            <w:r>
              <w:rPr>
                <w:rFonts w:ascii="Calibri" w:hAnsi="Calibri" w:eastAsia="宋体" w:cs="Times New Roman"/>
                <w:color w:val="auto"/>
                <w:highlight w:val="none"/>
              </w:rPr>
              <w:t>，每项得1分，本小项最多得</w:t>
            </w:r>
            <w:r>
              <w:rPr>
                <w:rFonts w:hint="eastAsia" w:ascii="Calibri" w:hAnsi="Calibri" w:eastAsia="宋体" w:cs="Times New Roman"/>
                <w:color w:val="auto"/>
                <w:highlight w:val="none"/>
              </w:rPr>
              <w:t>3</w:t>
            </w:r>
            <w:r>
              <w:rPr>
                <w:rFonts w:ascii="Calibri" w:hAnsi="Calibri" w:eastAsia="宋体" w:cs="Times New Roman"/>
                <w:color w:val="auto"/>
                <w:highlight w:val="none"/>
              </w:rPr>
              <w:t>分。</w:t>
            </w:r>
          </w:p>
          <w:p>
            <w:pPr>
              <w:rPr>
                <w:rFonts w:ascii="Calibri" w:hAnsi="Calibri" w:eastAsia="宋体" w:cs="Times New Roman"/>
                <w:color w:val="auto"/>
                <w:szCs w:val="21"/>
                <w:highlight w:val="none"/>
              </w:rPr>
            </w:pPr>
            <w:r>
              <w:rPr>
                <w:rFonts w:hint="eastAsia" w:ascii="Calibri" w:hAnsi="Calibri" w:eastAsia="宋体" w:cs="Times New Roman"/>
                <w:b/>
                <w:color w:val="auto"/>
                <w:highlight w:val="none"/>
              </w:rPr>
              <w:t>2、</w:t>
            </w:r>
            <w:r>
              <w:rPr>
                <w:rFonts w:ascii="Calibri" w:hAnsi="Calibri" w:eastAsia="宋体" w:cs="Times New Roman"/>
                <w:b/>
                <w:bCs/>
                <w:color w:val="auto"/>
                <w:szCs w:val="21"/>
                <w:highlight w:val="none"/>
              </w:rPr>
              <w:t>投标人（若为联合体投标，指承担设计任务的单位）：</w:t>
            </w:r>
          </w:p>
          <w:p>
            <w:pPr>
              <w:rPr>
                <w:rFonts w:ascii="Calibri" w:hAnsi="Calibri" w:eastAsia="宋体" w:cs="Times New Roman"/>
                <w:color w:val="auto"/>
                <w:szCs w:val="21"/>
                <w:highlight w:val="none"/>
              </w:rPr>
            </w:pPr>
            <w:r>
              <w:rPr>
                <w:rFonts w:ascii="Calibri" w:hAnsi="Calibri" w:eastAsia="宋体" w:cs="Times New Roman"/>
                <w:color w:val="auto"/>
                <w:highlight w:val="none"/>
              </w:rPr>
              <w:t>投标人自2021年1月1日至今承接过项目总投资</w:t>
            </w:r>
            <w:r>
              <w:rPr>
                <w:rFonts w:hint="eastAsia" w:ascii="Calibri" w:hAnsi="Calibri" w:eastAsia="宋体" w:cs="Times New Roman"/>
                <w:color w:val="auto"/>
                <w:highlight w:val="none"/>
                <w:u w:val="single"/>
              </w:rPr>
              <w:t>1</w:t>
            </w:r>
            <w:r>
              <w:rPr>
                <w:rFonts w:hint="eastAsia" w:ascii="Calibri" w:hAnsi="Calibri" w:eastAsia="宋体" w:cs="Times New Roman"/>
                <w:color w:val="auto"/>
                <w:highlight w:val="none"/>
                <w:u w:val="single"/>
                <w:lang w:val="en-US" w:eastAsia="zh-CN"/>
              </w:rPr>
              <w:t>5</w:t>
            </w:r>
            <w:r>
              <w:rPr>
                <w:rFonts w:hint="eastAsia" w:ascii="Calibri" w:hAnsi="Calibri" w:eastAsia="宋体" w:cs="Times New Roman"/>
                <w:color w:val="auto"/>
                <w:highlight w:val="none"/>
                <w:u w:val="single"/>
              </w:rPr>
              <w:t>000</w:t>
            </w:r>
            <w:r>
              <w:rPr>
                <w:rFonts w:ascii="Calibri" w:hAnsi="Calibri" w:eastAsia="宋体" w:cs="Times New Roman"/>
                <w:color w:val="auto"/>
                <w:highlight w:val="none"/>
              </w:rPr>
              <w:t>万元（含</w:t>
            </w:r>
            <w:r>
              <w:rPr>
                <w:rFonts w:hint="eastAsia" w:ascii="Calibri" w:hAnsi="Calibri" w:eastAsia="宋体" w:cs="Times New Roman"/>
                <w:color w:val="auto"/>
                <w:highlight w:val="none"/>
                <w:u w:val="single"/>
              </w:rPr>
              <w:t>1</w:t>
            </w:r>
            <w:r>
              <w:rPr>
                <w:rFonts w:hint="eastAsia" w:ascii="Calibri" w:hAnsi="Calibri" w:eastAsia="宋体" w:cs="Times New Roman"/>
                <w:color w:val="auto"/>
                <w:highlight w:val="none"/>
                <w:u w:val="single"/>
                <w:lang w:val="en-US" w:eastAsia="zh-CN"/>
              </w:rPr>
              <w:t>5</w:t>
            </w:r>
            <w:r>
              <w:rPr>
                <w:rFonts w:hint="eastAsia" w:ascii="Calibri" w:hAnsi="Calibri" w:eastAsia="宋体" w:cs="Times New Roman"/>
                <w:color w:val="auto"/>
                <w:highlight w:val="none"/>
                <w:u w:val="single"/>
              </w:rPr>
              <w:t>000</w:t>
            </w:r>
            <w:r>
              <w:rPr>
                <w:rFonts w:ascii="Calibri" w:hAnsi="Calibri" w:eastAsia="宋体" w:cs="Times New Roman"/>
                <w:color w:val="auto"/>
                <w:highlight w:val="none"/>
              </w:rPr>
              <w:t>万元）以上的市政公用工程类项目</w:t>
            </w:r>
            <w:r>
              <w:rPr>
                <w:rFonts w:hint="eastAsia" w:ascii="Calibri" w:hAnsi="Calibri" w:eastAsia="宋体" w:cs="Times New Roman"/>
                <w:color w:val="auto"/>
                <w:highlight w:val="none"/>
              </w:rPr>
              <w:t>（包含但不限于城市道路工程或城市桥梁工程或城市隧道工程）</w:t>
            </w:r>
            <w:r>
              <w:rPr>
                <w:rFonts w:ascii="Calibri" w:hAnsi="Calibri" w:eastAsia="宋体" w:cs="Times New Roman"/>
                <w:color w:val="auto"/>
                <w:highlight w:val="none"/>
              </w:rPr>
              <w:t>设计业绩</w:t>
            </w:r>
            <w:r>
              <w:rPr>
                <w:rFonts w:hint="eastAsia" w:ascii="Calibri" w:hAnsi="Calibri" w:eastAsia="宋体" w:cs="Times New Roman"/>
                <w:color w:val="auto"/>
                <w:highlight w:val="none"/>
                <w:u w:val="single"/>
              </w:rPr>
              <w:t>（含工程设计业绩或设计施工总承包或EPC项目或工程总承包业绩中的设计部分）</w:t>
            </w:r>
            <w:r>
              <w:rPr>
                <w:rFonts w:ascii="Calibri" w:hAnsi="Calibri" w:eastAsia="宋体" w:cs="Times New Roman"/>
                <w:color w:val="auto"/>
                <w:highlight w:val="none"/>
              </w:rPr>
              <w:t>，每项得</w:t>
            </w:r>
            <w:r>
              <w:rPr>
                <w:rFonts w:hint="eastAsia" w:ascii="Calibri" w:hAnsi="Calibri" w:eastAsia="宋体" w:cs="Times New Roman"/>
                <w:color w:val="auto"/>
                <w:highlight w:val="none"/>
              </w:rPr>
              <w:t>1</w:t>
            </w:r>
            <w:r>
              <w:rPr>
                <w:rFonts w:ascii="Calibri" w:hAnsi="Calibri" w:eastAsia="宋体" w:cs="Times New Roman"/>
                <w:color w:val="auto"/>
                <w:highlight w:val="none"/>
              </w:rPr>
              <w:t>分，本小项最多得</w:t>
            </w:r>
            <w:r>
              <w:rPr>
                <w:rFonts w:hint="eastAsia" w:ascii="Calibri" w:hAnsi="Calibri" w:eastAsia="宋体" w:cs="Times New Roman"/>
                <w:color w:val="auto"/>
                <w:highlight w:val="none"/>
              </w:rPr>
              <w:t>3</w:t>
            </w:r>
            <w:r>
              <w:rPr>
                <w:rFonts w:ascii="Calibri" w:hAnsi="Calibri" w:eastAsia="宋体" w:cs="Times New Roman"/>
                <w:color w:val="auto"/>
                <w:highlight w:val="none"/>
              </w:rPr>
              <w:t>分。</w:t>
            </w:r>
          </w:p>
        </w:tc>
      </w:tr>
      <w:tr>
        <w:trPr>
          <w:trHeight w:val="3843" w:hRule="atLeast"/>
        </w:trPr>
        <w:tc>
          <w:tcPr>
            <w:tcW w:w="782" w:type="dxa"/>
            <w:vMerge w:val="continue"/>
            <w:tcBorders>
              <w:right w:val="single" w:color="auto" w:sz="4" w:space="0"/>
            </w:tcBorders>
            <w:vAlign w:val="center"/>
          </w:tcPr>
          <w:p>
            <w:pPr>
              <w:jc w:val="center"/>
              <w:rPr>
                <w:rFonts w:ascii="Calibri" w:hAnsi="Calibri" w:eastAsia="宋体" w:cs="Times New Roman"/>
                <w:color w:val="auto"/>
                <w:szCs w:val="21"/>
                <w:highlight w:val="none"/>
              </w:rPr>
            </w:pPr>
          </w:p>
        </w:tc>
        <w:tc>
          <w:tcPr>
            <w:tcW w:w="1032" w:type="dxa"/>
            <w:vMerge w:val="continue"/>
            <w:tcBorders>
              <w:right w:val="single" w:color="auto" w:sz="4" w:space="0"/>
            </w:tcBorders>
          </w:tcPr>
          <w:p>
            <w:pPr>
              <w:jc w:val="center"/>
              <w:rPr>
                <w:rFonts w:ascii="Calibri" w:hAnsi="Calibri" w:eastAsia="宋体" w:cs="Times New Roman"/>
                <w:color w:val="auto"/>
                <w:sz w:val="20"/>
                <w:szCs w:val="20"/>
                <w:highlight w:val="none"/>
              </w:rPr>
            </w:pPr>
          </w:p>
        </w:tc>
        <w:tc>
          <w:tcPr>
            <w:tcW w:w="666" w:type="dxa"/>
            <w:vMerge w:val="continue"/>
            <w:tcBorders>
              <w:left w:val="single" w:color="auto" w:sz="4" w:space="0"/>
              <w:right w:val="single" w:color="auto" w:sz="4" w:space="0"/>
            </w:tcBorders>
            <w:vAlign w:val="center"/>
          </w:tcPr>
          <w:p>
            <w:pPr>
              <w:jc w:val="center"/>
              <w:rPr>
                <w:rFonts w:ascii="Calibri" w:hAnsi="Calibri" w:eastAsia="宋体" w:cs="Times New Roman"/>
                <w:color w:val="auto"/>
                <w:sz w:val="20"/>
                <w:szCs w:val="20"/>
                <w:highlight w:val="none"/>
              </w:rPr>
            </w:pPr>
          </w:p>
        </w:tc>
        <w:tc>
          <w:tcPr>
            <w:tcW w:w="1489" w:type="dxa"/>
            <w:tcBorders>
              <w:top w:val="single" w:color="auto" w:sz="4" w:space="0"/>
              <w:left w:val="single" w:color="auto" w:sz="4" w:space="0"/>
              <w:right w:val="single" w:color="auto" w:sz="4" w:space="0"/>
            </w:tcBorders>
            <w:vAlign w:val="center"/>
          </w:tcPr>
          <w:p>
            <w:pPr>
              <w:rPr>
                <w:rFonts w:ascii="Calibri" w:hAnsi="Calibri" w:eastAsia="宋体" w:cs="Times New Roman"/>
                <w:color w:val="auto"/>
                <w:szCs w:val="21"/>
                <w:highlight w:val="none"/>
              </w:rPr>
            </w:pPr>
            <w:r>
              <w:rPr>
                <w:rFonts w:ascii="Calibri" w:hAnsi="Calibri" w:eastAsia="宋体" w:cs="Times New Roman"/>
                <w:color w:val="auto"/>
                <w:szCs w:val="21"/>
                <w:highlight w:val="none"/>
              </w:rPr>
              <w:t>企业获奖</w:t>
            </w:r>
          </w:p>
          <w:p>
            <w:pPr>
              <w:rPr>
                <w:rFonts w:ascii="Calibri" w:hAnsi="Calibri" w:eastAsia="宋体" w:cs="Times New Roman"/>
                <w:color w:val="auto"/>
                <w:szCs w:val="21"/>
                <w:highlight w:val="none"/>
              </w:rPr>
            </w:pPr>
            <w:r>
              <w:rPr>
                <w:rFonts w:ascii="Calibri" w:hAnsi="Calibri" w:eastAsia="宋体" w:cs="Times New Roman"/>
                <w:color w:val="auto"/>
                <w:szCs w:val="21"/>
                <w:highlight w:val="none"/>
              </w:rPr>
              <w:t>（15分）</w:t>
            </w:r>
          </w:p>
        </w:tc>
        <w:tc>
          <w:tcPr>
            <w:tcW w:w="5812" w:type="dxa"/>
            <w:tcBorders>
              <w:top w:val="single" w:color="auto" w:sz="4" w:space="0"/>
              <w:left w:val="single" w:color="auto" w:sz="4" w:space="0"/>
              <w:right w:val="single" w:color="auto" w:sz="4" w:space="0"/>
            </w:tcBorders>
            <w:vAlign w:val="center"/>
          </w:tcPr>
          <w:p>
            <w:pPr>
              <w:widowControl/>
              <w:spacing w:beforeLines="0" w:afterLines="0"/>
              <w:jc w:val="left"/>
              <w:rPr>
                <w:rFonts w:hint="default" w:ascii="Times New Roman" w:hAnsi="Times New Roman" w:eastAsia="宋体"/>
                <w:b/>
                <w:color w:val="auto"/>
                <w:sz w:val="21"/>
                <w:szCs w:val="21"/>
                <w:highlight w:val="none"/>
              </w:rPr>
            </w:pPr>
            <w:r>
              <w:rPr>
                <w:rFonts w:hint="default" w:ascii="Times New Roman" w:hAnsi="Times New Roman" w:eastAsia="宋体"/>
                <w:b/>
                <w:color w:val="auto"/>
                <w:sz w:val="21"/>
                <w:szCs w:val="21"/>
                <w:highlight w:val="none"/>
              </w:rPr>
              <w:t>1</w:t>
            </w:r>
            <w:r>
              <w:rPr>
                <w:rFonts w:hint="eastAsia" w:ascii="宋体" w:hAnsi="Times New Roman" w:eastAsia="宋体"/>
                <w:b/>
                <w:color w:val="auto"/>
                <w:sz w:val="21"/>
                <w:szCs w:val="21"/>
                <w:highlight w:val="none"/>
              </w:rPr>
              <w:t>、投标人（若为联合体投标，指承担施工任务的单位）：</w:t>
            </w:r>
          </w:p>
          <w:p>
            <w:pPr>
              <w:spacing w:beforeLines="0" w:afterLines="0"/>
              <w:jc w:val="left"/>
              <w:rPr>
                <w:rFonts w:hint="default" w:ascii="Times New Roman" w:hAnsi="Times New Roman" w:eastAsia="宋体"/>
                <w:color w:val="auto"/>
                <w:sz w:val="21"/>
                <w:szCs w:val="21"/>
                <w:highlight w:val="none"/>
              </w:rPr>
            </w:pPr>
            <w:r>
              <w:rPr>
                <w:rFonts w:hint="eastAsia" w:ascii="宋体" w:hAnsi="Times New Roman" w:eastAsia="宋体"/>
                <w:color w:val="auto"/>
                <w:sz w:val="21"/>
                <w:szCs w:val="21"/>
                <w:highlight w:val="none"/>
              </w:rPr>
              <w:t>投标人自2021年1月1日至投标截止时间止，完成的</w:t>
            </w:r>
            <w:r>
              <w:rPr>
                <w:rFonts w:hint="eastAsia" w:ascii="宋体" w:hAnsi="Times New Roman" w:eastAsia="宋体"/>
                <w:color w:val="auto"/>
                <w:sz w:val="21"/>
                <w:szCs w:val="24"/>
                <w:highlight w:val="none"/>
              </w:rPr>
              <w:t>市政公用工程类</w:t>
            </w:r>
            <w:r>
              <w:rPr>
                <w:rFonts w:hint="eastAsia" w:ascii="宋体" w:hAnsi="Times New Roman" w:eastAsia="宋体"/>
                <w:color w:val="auto"/>
                <w:sz w:val="21"/>
                <w:szCs w:val="21"/>
                <w:highlight w:val="none"/>
              </w:rPr>
              <w:t>项目获得过：</w:t>
            </w:r>
          </w:p>
          <w:p>
            <w:pPr>
              <w:spacing w:beforeLines="0" w:afterLines="0"/>
              <w:jc w:val="left"/>
              <w:rPr>
                <w:rFonts w:hint="default" w:ascii="Times New Roman" w:hAnsi="Times New Roman" w:eastAsia="宋体"/>
                <w:color w:val="auto"/>
                <w:sz w:val="21"/>
                <w:szCs w:val="21"/>
                <w:highlight w:val="none"/>
              </w:rPr>
            </w:pPr>
            <w:r>
              <w:rPr>
                <w:rFonts w:hint="eastAsia" w:ascii="宋体" w:hAnsi="Times New Roman" w:eastAsia="宋体"/>
                <w:color w:val="auto"/>
                <w:sz w:val="21"/>
                <w:szCs w:val="21"/>
                <w:highlight w:val="none"/>
              </w:rPr>
              <w:t>（1）国家级工程质量奖项 ，每项得1分；</w:t>
            </w:r>
          </w:p>
          <w:p>
            <w:pPr>
              <w:spacing w:beforeLines="0" w:afterLines="0"/>
              <w:jc w:val="left"/>
              <w:rPr>
                <w:rFonts w:hint="default" w:ascii="Times New Roman" w:hAnsi="Times New Roman" w:eastAsia="宋体"/>
                <w:color w:val="auto"/>
                <w:sz w:val="21"/>
                <w:szCs w:val="21"/>
                <w:highlight w:val="none"/>
              </w:rPr>
            </w:pPr>
            <w:r>
              <w:rPr>
                <w:rFonts w:hint="eastAsia" w:ascii="宋体" w:hAnsi="Times New Roman" w:eastAsia="宋体"/>
                <w:color w:val="auto"/>
                <w:sz w:val="21"/>
                <w:szCs w:val="21"/>
                <w:highlight w:val="none"/>
              </w:rPr>
              <w:t>（2）获得过省级工程质量奖项，每项得0.5分；</w:t>
            </w:r>
          </w:p>
          <w:p>
            <w:pPr>
              <w:spacing w:beforeLines="0" w:afterLines="0"/>
              <w:jc w:val="left"/>
              <w:rPr>
                <w:rFonts w:hint="default" w:ascii="Times New Roman" w:hAnsi="Times New Roman" w:eastAsia="宋体"/>
                <w:color w:val="auto"/>
                <w:sz w:val="21"/>
                <w:szCs w:val="21"/>
                <w:highlight w:val="none"/>
              </w:rPr>
            </w:pPr>
            <w:r>
              <w:rPr>
                <w:rFonts w:hint="eastAsia" w:ascii="宋体" w:hAnsi="Times New Roman" w:eastAsia="宋体"/>
                <w:color w:val="auto"/>
                <w:sz w:val="21"/>
                <w:szCs w:val="21"/>
                <w:highlight w:val="none"/>
              </w:rPr>
              <w:t>（3）获得过市级工程质量奖项证书，每项得0.2分。</w:t>
            </w:r>
          </w:p>
          <w:p>
            <w:pPr>
              <w:spacing w:beforeLines="0" w:afterLines="0"/>
              <w:jc w:val="left"/>
              <w:rPr>
                <w:rFonts w:hint="default" w:ascii="Times New Roman" w:hAnsi="Times New Roman" w:eastAsia="宋体"/>
                <w:color w:val="auto"/>
                <w:sz w:val="21"/>
                <w:szCs w:val="21"/>
                <w:highlight w:val="none"/>
              </w:rPr>
            </w:pPr>
            <w:r>
              <w:rPr>
                <w:rFonts w:hint="eastAsia" w:ascii="宋体" w:hAnsi="Times New Roman" w:eastAsia="宋体"/>
                <w:color w:val="auto"/>
                <w:sz w:val="21"/>
                <w:szCs w:val="21"/>
                <w:highlight w:val="none"/>
              </w:rPr>
              <w:t>本小项最多计10项，最高得10分。</w:t>
            </w:r>
          </w:p>
          <w:p>
            <w:pPr>
              <w:spacing w:beforeLines="0" w:afterLines="0"/>
              <w:jc w:val="left"/>
              <w:rPr>
                <w:rFonts w:hint="default" w:ascii="Times New Roman" w:hAnsi="Times New Roman" w:eastAsia="宋体"/>
                <w:color w:val="auto"/>
                <w:sz w:val="21"/>
                <w:szCs w:val="21"/>
                <w:highlight w:val="none"/>
              </w:rPr>
            </w:pPr>
          </w:p>
          <w:p>
            <w:pPr>
              <w:spacing w:beforeLines="0" w:afterLines="0"/>
              <w:jc w:val="left"/>
              <w:rPr>
                <w:rFonts w:hint="default" w:ascii="Times New Roman" w:hAnsi="Times New Roman" w:eastAsia="宋体"/>
                <w:b/>
                <w:color w:val="auto"/>
                <w:sz w:val="21"/>
                <w:szCs w:val="21"/>
                <w:highlight w:val="none"/>
              </w:rPr>
            </w:pPr>
            <w:r>
              <w:rPr>
                <w:rFonts w:hint="default" w:ascii="Times New Roman" w:hAnsi="Times New Roman" w:eastAsia="宋体"/>
                <w:b/>
                <w:color w:val="auto"/>
                <w:sz w:val="21"/>
                <w:szCs w:val="21"/>
                <w:highlight w:val="none"/>
              </w:rPr>
              <w:t>2</w:t>
            </w:r>
            <w:r>
              <w:rPr>
                <w:rFonts w:hint="eastAsia" w:ascii="宋体" w:hAnsi="Times New Roman" w:eastAsia="宋体"/>
                <w:b/>
                <w:color w:val="auto"/>
                <w:sz w:val="21"/>
                <w:szCs w:val="21"/>
                <w:highlight w:val="none"/>
              </w:rPr>
              <w:t>、投标人（若为联合体投标，指承担设计任务的单位）：</w:t>
            </w:r>
          </w:p>
          <w:p>
            <w:pPr>
              <w:spacing w:beforeLines="0" w:afterLines="0"/>
              <w:jc w:val="left"/>
              <w:rPr>
                <w:rFonts w:hint="default" w:ascii="Times New Roman" w:hAnsi="Times New Roman" w:eastAsia="宋体"/>
                <w:color w:val="auto"/>
                <w:sz w:val="21"/>
                <w:szCs w:val="21"/>
                <w:highlight w:val="none"/>
              </w:rPr>
            </w:pPr>
            <w:r>
              <w:rPr>
                <w:rFonts w:hint="eastAsia" w:ascii="宋体" w:hAnsi="Times New Roman" w:eastAsia="宋体"/>
                <w:color w:val="auto"/>
                <w:sz w:val="21"/>
                <w:szCs w:val="21"/>
                <w:highlight w:val="none"/>
              </w:rPr>
              <w:t>投标人自2021年1月1日至投标截止时间止，完成的</w:t>
            </w:r>
            <w:r>
              <w:rPr>
                <w:rFonts w:hint="eastAsia" w:ascii="宋体" w:hAnsi="Times New Roman" w:eastAsia="宋体"/>
                <w:color w:val="auto"/>
                <w:kern w:val="0"/>
                <w:sz w:val="21"/>
                <w:szCs w:val="24"/>
                <w:highlight w:val="none"/>
              </w:rPr>
              <w:t>市政公用工程类</w:t>
            </w:r>
            <w:r>
              <w:rPr>
                <w:rFonts w:hint="eastAsia" w:ascii="宋体" w:hAnsi="Times New Roman" w:eastAsia="宋体"/>
                <w:color w:val="auto"/>
                <w:sz w:val="21"/>
                <w:szCs w:val="21"/>
                <w:highlight w:val="none"/>
              </w:rPr>
              <w:t>项目获得过：</w:t>
            </w:r>
          </w:p>
          <w:p>
            <w:pPr>
              <w:spacing w:beforeLines="0" w:afterLines="0"/>
              <w:jc w:val="left"/>
              <w:rPr>
                <w:rFonts w:hint="default" w:ascii="Times New Roman" w:hAnsi="Times New Roman" w:eastAsia="宋体"/>
                <w:color w:val="auto"/>
                <w:sz w:val="21"/>
                <w:szCs w:val="21"/>
                <w:highlight w:val="none"/>
              </w:rPr>
            </w:pPr>
            <w:r>
              <w:rPr>
                <w:rFonts w:hint="eastAsia" w:ascii="宋体" w:hAnsi="Times New Roman" w:eastAsia="宋体"/>
                <w:color w:val="auto"/>
                <w:sz w:val="21"/>
                <w:szCs w:val="21"/>
                <w:highlight w:val="none"/>
              </w:rPr>
              <w:t>（1）国家级工程类（含行业级）设计奖项，每项得1分；</w:t>
            </w:r>
          </w:p>
          <w:p>
            <w:pPr>
              <w:spacing w:beforeLines="0" w:afterLines="0"/>
              <w:jc w:val="left"/>
              <w:rPr>
                <w:rFonts w:hint="default" w:ascii="Times New Roman" w:hAnsi="Times New Roman" w:eastAsia="宋体"/>
                <w:color w:val="auto"/>
                <w:sz w:val="21"/>
                <w:szCs w:val="21"/>
                <w:highlight w:val="none"/>
              </w:rPr>
            </w:pPr>
            <w:r>
              <w:rPr>
                <w:rFonts w:hint="eastAsia" w:ascii="宋体" w:hAnsi="Times New Roman" w:eastAsia="宋体"/>
                <w:color w:val="auto"/>
                <w:sz w:val="21"/>
                <w:szCs w:val="21"/>
                <w:highlight w:val="none"/>
              </w:rPr>
              <w:t>（2）省级工程类设计奖项，每项得0.5分；</w:t>
            </w:r>
          </w:p>
          <w:p>
            <w:pPr>
              <w:spacing w:beforeLines="0" w:afterLines="0"/>
              <w:jc w:val="left"/>
              <w:rPr>
                <w:rFonts w:hint="default" w:ascii="Times New Roman" w:hAnsi="Times New Roman" w:eastAsia="宋体"/>
                <w:color w:val="auto"/>
                <w:sz w:val="21"/>
                <w:szCs w:val="21"/>
                <w:highlight w:val="none"/>
              </w:rPr>
            </w:pPr>
            <w:r>
              <w:rPr>
                <w:rFonts w:hint="eastAsia" w:ascii="宋体" w:hAnsi="Times New Roman" w:eastAsia="宋体"/>
                <w:color w:val="auto"/>
                <w:sz w:val="21"/>
                <w:szCs w:val="21"/>
                <w:highlight w:val="none"/>
              </w:rPr>
              <w:t>（3）市级工程类设计奖项，每项得0.2分。</w:t>
            </w:r>
          </w:p>
          <w:p>
            <w:pPr>
              <w:jc w:val="left"/>
              <w:rPr>
                <w:rFonts w:ascii="Calibri" w:hAnsi="Calibri" w:eastAsia="宋体" w:cs="Times New Roman"/>
                <w:color w:val="auto"/>
                <w:szCs w:val="21"/>
                <w:highlight w:val="none"/>
              </w:rPr>
            </w:pPr>
            <w:r>
              <w:rPr>
                <w:rFonts w:hint="eastAsia" w:ascii="宋体" w:hAnsi="Times New Roman" w:eastAsia="宋体"/>
                <w:color w:val="auto"/>
                <w:sz w:val="21"/>
                <w:szCs w:val="21"/>
                <w:highlight w:val="none"/>
              </w:rPr>
              <w:t>本小项最多计10项，最高得5分。</w:t>
            </w:r>
          </w:p>
        </w:tc>
      </w:tr>
      <w:tr>
        <w:tc>
          <w:tcPr>
            <w:tcW w:w="782" w:type="dxa"/>
            <w:vMerge w:val="continue"/>
            <w:tcBorders>
              <w:right w:val="single" w:color="auto" w:sz="4" w:space="0"/>
            </w:tcBorders>
            <w:vAlign w:val="center"/>
          </w:tcPr>
          <w:p>
            <w:pPr>
              <w:jc w:val="center"/>
              <w:rPr>
                <w:rFonts w:ascii="Calibri" w:hAnsi="Calibri" w:eastAsia="宋体" w:cs="Times New Roman"/>
                <w:color w:val="auto"/>
                <w:szCs w:val="21"/>
                <w:highlight w:val="none"/>
              </w:rPr>
            </w:pPr>
          </w:p>
        </w:tc>
        <w:tc>
          <w:tcPr>
            <w:tcW w:w="1032" w:type="dxa"/>
            <w:vMerge w:val="continue"/>
            <w:tcBorders>
              <w:right w:val="single" w:color="auto" w:sz="4" w:space="0"/>
            </w:tcBorders>
          </w:tcPr>
          <w:p>
            <w:pPr>
              <w:jc w:val="center"/>
              <w:rPr>
                <w:rFonts w:ascii="Calibri" w:hAnsi="Calibri" w:eastAsia="宋体" w:cs="Times New Roman"/>
                <w:color w:val="auto"/>
                <w:sz w:val="20"/>
                <w:szCs w:val="20"/>
                <w:highlight w:val="none"/>
              </w:rPr>
            </w:pPr>
          </w:p>
        </w:tc>
        <w:tc>
          <w:tcPr>
            <w:tcW w:w="666" w:type="dxa"/>
            <w:vMerge w:val="continue"/>
            <w:tcBorders>
              <w:left w:val="single" w:color="auto" w:sz="4" w:space="0"/>
              <w:right w:val="single" w:color="auto" w:sz="4" w:space="0"/>
            </w:tcBorders>
            <w:vAlign w:val="center"/>
          </w:tcPr>
          <w:p>
            <w:pPr>
              <w:jc w:val="center"/>
              <w:rPr>
                <w:rFonts w:ascii="Calibri" w:hAnsi="Calibri" w:eastAsia="宋体" w:cs="Times New Roman"/>
                <w:color w:val="auto"/>
                <w:sz w:val="20"/>
                <w:szCs w:val="20"/>
                <w:highlight w:val="none"/>
              </w:rPr>
            </w:pPr>
          </w:p>
        </w:tc>
        <w:tc>
          <w:tcPr>
            <w:tcW w:w="1489" w:type="dxa"/>
            <w:tcBorders>
              <w:top w:val="single" w:color="auto" w:sz="4" w:space="0"/>
              <w:left w:val="single" w:color="auto" w:sz="4" w:space="0"/>
              <w:right w:val="single" w:color="auto" w:sz="4" w:space="0"/>
            </w:tcBorders>
            <w:vAlign w:val="center"/>
          </w:tcPr>
          <w:p>
            <w:pPr>
              <w:snapToGrid w:val="0"/>
              <w:ind w:left="-53" w:leftChars="-25" w:right="-53" w:rightChars="-25"/>
              <w:jc w:val="left"/>
              <w:rPr>
                <w:rFonts w:ascii="Calibri" w:hAnsi="Calibri" w:eastAsia="宋体" w:cs="Times New Roman"/>
                <w:color w:val="auto"/>
                <w:szCs w:val="21"/>
                <w:highlight w:val="none"/>
              </w:rPr>
            </w:pPr>
            <w:r>
              <w:rPr>
                <w:rFonts w:ascii="Calibri" w:hAnsi="Calibri" w:eastAsia="宋体" w:cs="Times New Roman"/>
                <w:color w:val="auto"/>
                <w:szCs w:val="21"/>
                <w:highlight w:val="none"/>
              </w:rPr>
              <w:t>工程研发能力</w:t>
            </w:r>
          </w:p>
          <w:p>
            <w:pPr>
              <w:widowControl w:val="0"/>
              <w:spacing w:after="120" w:line="312" w:lineRule="auto"/>
              <w:ind w:firstLine="0"/>
              <w:jc w:val="both"/>
              <w:rPr>
                <w:rFonts w:ascii="Calibri" w:hAnsi="Calibri" w:eastAsia="宋体" w:cs="Times New Roman"/>
                <w:color w:val="auto"/>
                <w:kern w:val="1"/>
                <w:sz w:val="21"/>
                <w:szCs w:val="22"/>
                <w:highlight w:val="none"/>
                <w:lang w:val="en-US" w:eastAsia="zh-CN" w:bidi="ar-SA"/>
              </w:rPr>
            </w:pPr>
            <w:r>
              <w:rPr>
                <w:rFonts w:hint="eastAsia" w:ascii="Calibri" w:hAnsi="Calibri" w:eastAsia="宋体" w:cs="Times New Roman"/>
                <w:color w:val="auto"/>
                <w:kern w:val="1"/>
                <w:sz w:val="21"/>
                <w:szCs w:val="22"/>
                <w:highlight w:val="none"/>
                <w:lang w:val="en-US" w:eastAsia="zh-CN" w:bidi="ar-SA"/>
              </w:rPr>
              <w:t>（4分）</w:t>
            </w:r>
          </w:p>
        </w:tc>
        <w:tc>
          <w:tcPr>
            <w:tcW w:w="5812" w:type="dxa"/>
            <w:tcBorders>
              <w:top w:val="single" w:color="auto" w:sz="4" w:space="0"/>
              <w:left w:val="single" w:color="auto" w:sz="4" w:space="0"/>
              <w:right w:val="single" w:color="auto" w:sz="4" w:space="0"/>
            </w:tcBorders>
            <w:vAlign w:val="center"/>
          </w:tcPr>
          <w:p>
            <w:pPr>
              <w:widowControl/>
              <w:jc w:val="left"/>
              <w:rPr>
                <w:rFonts w:hint="eastAsia" w:ascii="Calibri" w:hAnsi="Calibri" w:eastAsia="宋体" w:cs="Times New Roman"/>
                <w:bCs/>
                <w:color w:val="auto"/>
                <w:szCs w:val="21"/>
                <w:highlight w:val="none"/>
              </w:rPr>
            </w:pPr>
            <w:r>
              <w:rPr>
                <w:rFonts w:hint="eastAsia" w:ascii="Calibri" w:hAnsi="Calibri" w:eastAsia="宋体" w:cs="Times New Roman"/>
                <w:bCs/>
                <w:color w:val="auto"/>
                <w:szCs w:val="21"/>
                <w:highlight w:val="none"/>
              </w:rPr>
              <w:t>投标人（若为联合体投标，指承担施工任务的单位）自2021年1月1日至投标截止时间止，完成的市政公用工程类项目获得过科学技术类奖项：：</w:t>
            </w:r>
          </w:p>
          <w:p>
            <w:pPr>
              <w:widowControl/>
              <w:jc w:val="left"/>
              <w:rPr>
                <w:rFonts w:hint="eastAsia" w:ascii="Calibri" w:hAnsi="Calibri" w:eastAsia="宋体" w:cs="Times New Roman"/>
                <w:bCs/>
                <w:color w:val="auto"/>
                <w:szCs w:val="21"/>
                <w:highlight w:val="none"/>
              </w:rPr>
            </w:pPr>
            <w:r>
              <w:rPr>
                <w:rFonts w:hint="eastAsia" w:ascii="Calibri" w:hAnsi="Calibri" w:eastAsia="宋体" w:cs="Times New Roman"/>
                <w:bCs/>
                <w:color w:val="auto"/>
                <w:szCs w:val="21"/>
                <w:highlight w:val="none"/>
              </w:rPr>
              <w:t>（1）国家级科学技术类奖项的，每项得1分；</w:t>
            </w:r>
          </w:p>
          <w:p>
            <w:pPr>
              <w:widowControl/>
              <w:jc w:val="left"/>
              <w:rPr>
                <w:rFonts w:hint="eastAsia" w:ascii="Calibri" w:hAnsi="Calibri" w:eastAsia="宋体" w:cs="Times New Roman"/>
                <w:bCs/>
                <w:color w:val="auto"/>
                <w:szCs w:val="21"/>
                <w:highlight w:val="none"/>
              </w:rPr>
            </w:pPr>
            <w:r>
              <w:rPr>
                <w:rFonts w:hint="eastAsia" w:ascii="Calibri" w:hAnsi="Calibri" w:eastAsia="宋体" w:cs="Times New Roman"/>
                <w:bCs/>
                <w:color w:val="auto"/>
                <w:szCs w:val="21"/>
                <w:highlight w:val="none"/>
              </w:rPr>
              <w:t>（2）省级科学技术类奖项的，每项得0.5分；</w:t>
            </w:r>
          </w:p>
          <w:p>
            <w:pPr>
              <w:widowControl/>
              <w:jc w:val="left"/>
              <w:rPr>
                <w:rFonts w:hint="eastAsia" w:ascii="Calibri" w:hAnsi="Calibri" w:eastAsia="宋体" w:cs="Times New Roman"/>
                <w:bCs/>
                <w:color w:val="auto"/>
                <w:szCs w:val="21"/>
                <w:highlight w:val="none"/>
              </w:rPr>
            </w:pPr>
            <w:r>
              <w:rPr>
                <w:rFonts w:hint="eastAsia" w:ascii="Calibri" w:hAnsi="Calibri" w:eastAsia="宋体" w:cs="Times New Roman"/>
                <w:bCs/>
                <w:color w:val="auto"/>
                <w:szCs w:val="21"/>
                <w:highlight w:val="none"/>
              </w:rPr>
              <w:t>（3）市级科学技术类奖项的，每项得0.2分。</w:t>
            </w:r>
          </w:p>
          <w:p>
            <w:pPr>
              <w:widowControl/>
              <w:jc w:val="left"/>
              <w:rPr>
                <w:rFonts w:ascii="Calibri" w:hAnsi="Calibri" w:eastAsia="宋体" w:cs="Times New Roman"/>
                <w:bCs/>
                <w:color w:val="auto"/>
                <w:szCs w:val="21"/>
                <w:highlight w:val="none"/>
              </w:rPr>
            </w:pPr>
            <w:r>
              <w:rPr>
                <w:rFonts w:hint="eastAsia" w:ascii="Calibri" w:hAnsi="Calibri" w:eastAsia="宋体" w:cs="Times New Roman"/>
                <w:bCs/>
                <w:color w:val="auto"/>
                <w:szCs w:val="21"/>
                <w:highlight w:val="none"/>
              </w:rPr>
              <w:t>本小项最多计4项，最高得4分。</w:t>
            </w:r>
          </w:p>
        </w:tc>
      </w:tr>
      <w:tr>
        <w:tc>
          <w:tcPr>
            <w:tcW w:w="782" w:type="dxa"/>
            <w:vMerge w:val="continue"/>
            <w:tcBorders>
              <w:right w:val="single" w:color="auto" w:sz="4" w:space="0"/>
            </w:tcBorders>
            <w:vAlign w:val="center"/>
          </w:tcPr>
          <w:p>
            <w:pPr>
              <w:jc w:val="center"/>
              <w:rPr>
                <w:rFonts w:ascii="Calibri" w:hAnsi="Calibri" w:eastAsia="宋体" w:cs="Times New Roman"/>
                <w:color w:val="auto"/>
                <w:szCs w:val="21"/>
                <w:highlight w:val="none"/>
              </w:rPr>
            </w:pPr>
          </w:p>
        </w:tc>
        <w:tc>
          <w:tcPr>
            <w:tcW w:w="1032" w:type="dxa"/>
            <w:vMerge w:val="continue"/>
            <w:tcBorders>
              <w:right w:val="single" w:color="auto" w:sz="4" w:space="0"/>
            </w:tcBorders>
          </w:tcPr>
          <w:p>
            <w:pPr>
              <w:jc w:val="center"/>
              <w:rPr>
                <w:rFonts w:ascii="Calibri" w:hAnsi="Calibri" w:eastAsia="宋体" w:cs="Times New Roman"/>
                <w:color w:val="auto"/>
                <w:sz w:val="20"/>
                <w:szCs w:val="20"/>
                <w:highlight w:val="none"/>
              </w:rPr>
            </w:pPr>
          </w:p>
        </w:tc>
        <w:tc>
          <w:tcPr>
            <w:tcW w:w="666" w:type="dxa"/>
            <w:vMerge w:val="continue"/>
            <w:tcBorders>
              <w:left w:val="single" w:color="auto" w:sz="4" w:space="0"/>
              <w:right w:val="single" w:color="auto" w:sz="4" w:space="0"/>
            </w:tcBorders>
            <w:vAlign w:val="center"/>
          </w:tcPr>
          <w:p>
            <w:pPr>
              <w:jc w:val="center"/>
              <w:rPr>
                <w:rFonts w:ascii="Calibri" w:hAnsi="Calibri" w:eastAsia="宋体" w:cs="Times New Roman"/>
                <w:color w:val="auto"/>
                <w:sz w:val="20"/>
                <w:szCs w:val="20"/>
                <w:highlight w:val="none"/>
              </w:rPr>
            </w:pPr>
          </w:p>
        </w:tc>
        <w:tc>
          <w:tcPr>
            <w:tcW w:w="1489" w:type="dxa"/>
            <w:tcBorders>
              <w:top w:val="single" w:color="auto" w:sz="4" w:space="0"/>
              <w:left w:val="single" w:color="auto" w:sz="4" w:space="0"/>
              <w:right w:val="single" w:color="auto" w:sz="4" w:space="0"/>
            </w:tcBorders>
            <w:vAlign w:val="center"/>
          </w:tcPr>
          <w:p>
            <w:pPr>
              <w:snapToGrid w:val="0"/>
              <w:ind w:left="-53" w:leftChars="-25" w:right="-53" w:rightChars="-25"/>
              <w:jc w:val="left"/>
              <w:rPr>
                <w:rFonts w:ascii="Calibri" w:hAnsi="Calibri" w:eastAsia="宋体" w:cs="Times New Roman"/>
                <w:color w:val="auto"/>
                <w:szCs w:val="21"/>
                <w:highlight w:val="none"/>
              </w:rPr>
            </w:pPr>
            <w:r>
              <w:rPr>
                <w:rFonts w:ascii="Calibri" w:hAnsi="Calibri" w:eastAsia="宋体" w:cs="Times New Roman"/>
                <w:color w:val="auto"/>
                <w:szCs w:val="21"/>
                <w:highlight w:val="none"/>
              </w:rPr>
              <w:t>第三方评价</w:t>
            </w:r>
          </w:p>
          <w:p>
            <w:pPr>
              <w:rPr>
                <w:rFonts w:ascii="Calibri" w:hAnsi="Calibri" w:eastAsia="宋体" w:cs="Times New Roman"/>
                <w:color w:val="auto"/>
                <w:szCs w:val="21"/>
                <w:highlight w:val="none"/>
              </w:rPr>
            </w:pPr>
            <w:r>
              <w:rPr>
                <w:rFonts w:ascii="Calibri" w:hAnsi="Calibri" w:eastAsia="宋体" w:cs="Times New Roman"/>
                <w:color w:val="auto"/>
                <w:szCs w:val="21"/>
                <w:highlight w:val="none"/>
              </w:rPr>
              <w:t>（</w:t>
            </w:r>
            <w:r>
              <w:rPr>
                <w:rFonts w:hint="eastAsia" w:ascii="Calibri" w:hAnsi="Calibri" w:eastAsia="宋体" w:cs="Times New Roman"/>
                <w:color w:val="auto"/>
                <w:szCs w:val="21"/>
                <w:highlight w:val="none"/>
              </w:rPr>
              <w:t>7</w:t>
            </w:r>
            <w:r>
              <w:rPr>
                <w:rFonts w:ascii="Calibri" w:hAnsi="Calibri" w:eastAsia="宋体" w:cs="Times New Roman"/>
                <w:color w:val="auto"/>
                <w:szCs w:val="21"/>
                <w:highlight w:val="none"/>
              </w:rPr>
              <w:t>分）</w:t>
            </w:r>
          </w:p>
        </w:tc>
        <w:tc>
          <w:tcPr>
            <w:tcW w:w="5812" w:type="dxa"/>
            <w:tcBorders>
              <w:top w:val="single" w:color="auto" w:sz="4" w:space="0"/>
              <w:left w:val="single" w:color="auto" w:sz="4" w:space="0"/>
              <w:right w:val="single" w:color="auto" w:sz="4" w:space="0"/>
            </w:tcBorders>
            <w:vAlign w:val="center"/>
          </w:tcPr>
          <w:p>
            <w:pPr>
              <w:widowControl/>
              <w:spacing w:beforeLines="0" w:afterLines="0"/>
              <w:jc w:val="left"/>
              <w:rPr>
                <w:rFonts w:hint="default" w:ascii="Times New Roman" w:hAnsi="Times New Roman" w:eastAsia="宋体"/>
                <w:color w:val="auto"/>
                <w:sz w:val="21"/>
                <w:szCs w:val="21"/>
                <w:highlight w:val="none"/>
              </w:rPr>
            </w:pPr>
            <w:r>
              <w:rPr>
                <w:rFonts w:hint="default" w:ascii="Times New Roman" w:hAnsi="Times New Roman" w:eastAsia="宋体"/>
                <w:b/>
                <w:color w:val="auto"/>
                <w:sz w:val="21"/>
                <w:szCs w:val="21"/>
                <w:highlight w:val="none"/>
              </w:rPr>
              <w:t>1</w:t>
            </w:r>
            <w:r>
              <w:rPr>
                <w:rFonts w:hint="eastAsia" w:ascii="宋体" w:hAnsi="Times New Roman" w:eastAsia="宋体"/>
                <w:b/>
                <w:color w:val="auto"/>
                <w:sz w:val="21"/>
                <w:szCs w:val="21"/>
                <w:highlight w:val="none"/>
              </w:rPr>
              <w:t>、投标人（若为联合体投标，指承担施工任务的单位）：</w:t>
            </w:r>
            <w:r>
              <w:rPr>
                <w:rFonts w:hint="eastAsia" w:ascii="宋体" w:hAnsi="Times New Roman" w:eastAsia="宋体"/>
                <w:color w:val="auto"/>
                <w:sz w:val="21"/>
                <w:szCs w:val="21"/>
                <w:highlight w:val="none"/>
              </w:rPr>
              <w:t>自2021年1月1日至投标截止时间止，获得过国家级协会颁发的有效期内的AAA级信用等级证书每项得1.5分，获得省级协会颁发的有效期内的AAA级信用等级证书每项得0.5分，获得市级协会颁发的有效期内的AAA级信用等级证书每项得0.25分，没有提供的不得分。本小项最多得3分。</w:t>
            </w:r>
          </w:p>
          <w:p>
            <w:pPr>
              <w:spacing w:beforeLines="0" w:afterLines="0"/>
              <w:jc w:val="left"/>
              <w:rPr>
                <w:rFonts w:hint="default" w:ascii="Times New Roman" w:hAnsi="Times New Roman" w:eastAsia="宋体" w:cstheme="minorBidi"/>
                <w:color w:val="auto"/>
                <w:kern w:val="2"/>
                <w:sz w:val="21"/>
                <w:szCs w:val="21"/>
                <w:highlight w:val="none"/>
                <w:lang w:val="en-US" w:eastAsia="zh-CN" w:bidi="ar-SA"/>
              </w:rPr>
            </w:pPr>
            <w:r>
              <w:rPr>
                <w:rFonts w:hint="default" w:ascii="Times New Roman" w:hAnsi="Times New Roman" w:eastAsia="宋体"/>
                <w:b/>
                <w:color w:val="auto"/>
                <w:sz w:val="21"/>
                <w:szCs w:val="21"/>
                <w:highlight w:val="none"/>
              </w:rPr>
              <w:t>2</w:t>
            </w:r>
            <w:r>
              <w:rPr>
                <w:rFonts w:hint="eastAsia" w:ascii="宋体" w:hAnsi="Times New Roman" w:eastAsia="宋体"/>
                <w:b/>
                <w:color w:val="auto"/>
                <w:sz w:val="21"/>
                <w:szCs w:val="21"/>
                <w:highlight w:val="none"/>
              </w:rPr>
              <w:t>、投标人（若为联合体投标，指承担设计任务的单位）：）</w:t>
            </w:r>
            <w:r>
              <w:rPr>
                <w:rFonts w:hint="eastAsia" w:ascii="宋体" w:hAnsi="Times New Roman" w:eastAsia="宋体"/>
                <w:color w:val="auto"/>
                <w:sz w:val="21"/>
                <w:szCs w:val="21"/>
                <w:highlight w:val="none"/>
              </w:rPr>
              <w:t>自2021年1月1日至投标截止时间止，获得过有效期内的信用等级评价证书或诚信评价等级证书；获评3A或以上等级的，得4分；获评2A得2分；获评A的，得1分。其他不得分，本小项最高得4分。</w:t>
            </w:r>
          </w:p>
        </w:tc>
      </w:tr>
      <w:tr>
        <w:tc>
          <w:tcPr>
            <w:tcW w:w="782" w:type="dxa"/>
            <w:vMerge w:val="continue"/>
            <w:tcBorders>
              <w:right w:val="single" w:color="auto" w:sz="4" w:space="0"/>
            </w:tcBorders>
            <w:vAlign w:val="center"/>
          </w:tcPr>
          <w:p>
            <w:pPr>
              <w:jc w:val="center"/>
              <w:rPr>
                <w:rFonts w:ascii="Calibri" w:hAnsi="Calibri" w:eastAsia="宋体" w:cs="Times New Roman"/>
                <w:color w:val="auto"/>
                <w:szCs w:val="21"/>
                <w:highlight w:val="none"/>
              </w:rPr>
            </w:pPr>
          </w:p>
        </w:tc>
        <w:tc>
          <w:tcPr>
            <w:tcW w:w="1032" w:type="dxa"/>
            <w:vMerge w:val="continue"/>
            <w:tcBorders>
              <w:right w:val="single" w:color="auto" w:sz="4" w:space="0"/>
            </w:tcBorders>
          </w:tcPr>
          <w:p>
            <w:pPr>
              <w:jc w:val="center"/>
              <w:rPr>
                <w:rFonts w:ascii="Calibri" w:hAnsi="Calibri" w:eastAsia="宋体" w:cs="Times New Roman"/>
                <w:color w:val="auto"/>
                <w:sz w:val="20"/>
                <w:szCs w:val="20"/>
                <w:highlight w:val="none"/>
              </w:rPr>
            </w:pPr>
          </w:p>
        </w:tc>
        <w:tc>
          <w:tcPr>
            <w:tcW w:w="666" w:type="dxa"/>
            <w:vMerge w:val="continue"/>
            <w:tcBorders>
              <w:left w:val="single" w:color="auto" w:sz="4" w:space="0"/>
              <w:right w:val="single" w:color="auto" w:sz="4" w:space="0"/>
            </w:tcBorders>
            <w:vAlign w:val="center"/>
          </w:tcPr>
          <w:p>
            <w:pPr>
              <w:jc w:val="center"/>
              <w:rPr>
                <w:rFonts w:ascii="Calibri" w:hAnsi="Calibri" w:eastAsia="宋体" w:cs="Times New Roman"/>
                <w:color w:val="auto"/>
                <w:sz w:val="20"/>
                <w:szCs w:val="20"/>
                <w:highlight w:val="none"/>
              </w:rPr>
            </w:pPr>
          </w:p>
        </w:tc>
        <w:tc>
          <w:tcPr>
            <w:tcW w:w="1489" w:type="dxa"/>
            <w:tcBorders>
              <w:top w:val="single" w:color="auto" w:sz="4" w:space="0"/>
              <w:left w:val="single" w:color="auto" w:sz="4" w:space="0"/>
              <w:right w:val="single" w:color="auto" w:sz="4" w:space="0"/>
            </w:tcBorders>
            <w:vAlign w:val="center"/>
          </w:tcPr>
          <w:p>
            <w:pPr>
              <w:rPr>
                <w:rFonts w:ascii="Calibri" w:hAnsi="Calibri" w:eastAsia="宋体" w:cs="Times New Roman"/>
                <w:color w:val="auto"/>
                <w:szCs w:val="21"/>
                <w:highlight w:val="none"/>
              </w:rPr>
            </w:pPr>
            <w:r>
              <w:rPr>
                <w:rFonts w:ascii="Calibri" w:hAnsi="Calibri" w:eastAsia="宋体" w:cs="Times New Roman"/>
                <w:color w:val="auto"/>
                <w:szCs w:val="21"/>
                <w:highlight w:val="none"/>
              </w:rPr>
              <w:t>财务指标</w:t>
            </w:r>
          </w:p>
          <w:p>
            <w:pPr>
              <w:rPr>
                <w:rFonts w:ascii="Calibri" w:hAnsi="Calibri" w:eastAsia="宋体" w:cs="Times New Roman"/>
                <w:color w:val="auto"/>
                <w:szCs w:val="21"/>
                <w:highlight w:val="none"/>
              </w:rPr>
            </w:pPr>
            <w:r>
              <w:rPr>
                <w:rFonts w:ascii="Calibri" w:hAnsi="Calibri" w:eastAsia="宋体" w:cs="Times New Roman"/>
                <w:color w:val="auto"/>
                <w:szCs w:val="21"/>
                <w:highlight w:val="none"/>
              </w:rPr>
              <w:t>（</w:t>
            </w:r>
            <w:r>
              <w:rPr>
                <w:rFonts w:hint="eastAsia" w:ascii="Calibri" w:hAnsi="Calibri" w:eastAsia="宋体" w:cs="Times New Roman"/>
                <w:color w:val="auto"/>
                <w:szCs w:val="21"/>
                <w:highlight w:val="none"/>
              </w:rPr>
              <w:t>4</w:t>
            </w:r>
            <w:r>
              <w:rPr>
                <w:rFonts w:ascii="Calibri" w:hAnsi="Calibri" w:eastAsia="宋体" w:cs="Times New Roman"/>
                <w:color w:val="auto"/>
                <w:szCs w:val="21"/>
                <w:highlight w:val="none"/>
              </w:rPr>
              <w:t>分）</w:t>
            </w:r>
          </w:p>
        </w:tc>
        <w:tc>
          <w:tcPr>
            <w:tcW w:w="5812" w:type="dxa"/>
            <w:tcBorders>
              <w:top w:val="single" w:color="auto" w:sz="4" w:space="0"/>
              <w:left w:val="single" w:color="auto" w:sz="4" w:space="0"/>
              <w:right w:val="single" w:color="auto" w:sz="4" w:space="0"/>
            </w:tcBorders>
            <w:vAlign w:val="center"/>
          </w:tcPr>
          <w:p>
            <w:pPr>
              <w:widowControl/>
              <w:jc w:val="left"/>
              <w:rPr>
                <w:rFonts w:ascii="Calibri" w:hAnsi="Calibri" w:eastAsia="宋体" w:cs="Times New Roman"/>
                <w:b/>
                <w:color w:val="auto"/>
                <w:szCs w:val="21"/>
                <w:highlight w:val="none"/>
              </w:rPr>
            </w:pPr>
            <w:r>
              <w:rPr>
                <w:rFonts w:hint="eastAsia" w:ascii="Calibri" w:hAnsi="Calibri" w:eastAsia="宋体" w:cs="Times New Roman"/>
                <w:b/>
                <w:color w:val="auto"/>
                <w:szCs w:val="21"/>
                <w:highlight w:val="none"/>
              </w:rPr>
              <w:t>2、</w:t>
            </w:r>
            <w:r>
              <w:rPr>
                <w:rFonts w:ascii="Calibri" w:hAnsi="Calibri" w:eastAsia="宋体" w:cs="Times New Roman"/>
                <w:b/>
                <w:color w:val="auto"/>
                <w:szCs w:val="21"/>
                <w:highlight w:val="none"/>
              </w:rPr>
              <w:t>投标人（若为联合体投标，指承担施工任务的单位）：</w:t>
            </w:r>
          </w:p>
          <w:p>
            <w:pPr>
              <w:widowControl/>
              <w:jc w:val="left"/>
              <w:rPr>
                <w:rFonts w:ascii="Calibri" w:hAnsi="Calibri" w:eastAsia="宋体" w:cs="Times New Roman"/>
                <w:bCs/>
                <w:color w:val="auto"/>
                <w:szCs w:val="21"/>
                <w:highlight w:val="none"/>
              </w:rPr>
            </w:pPr>
            <w:r>
              <w:rPr>
                <w:rFonts w:ascii="Calibri" w:hAnsi="Calibri" w:eastAsia="宋体" w:cs="Times New Roman"/>
                <w:bCs/>
                <w:color w:val="auto"/>
                <w:szCs w:val="21"/>
                <w:highlight w:val="none"/>
              </w:rPr>
              <w:t>投标人获得过国家税务总局“A级纳税人”称号的（须包含2023年度）：</w:t>
            </w:r>
          </w:p>
          <w:p>
            <w:pPr>
              <w:widowControl/>
              <w:jc w:val="left"/>
              <w:rPr>
                <w:rFonts w:ascii="Calibri" w:hAnsi="Calibri" w:eastAsia="宋体" w:cs="Times New Roman"/>
                <w:bCs/>
                <w:color w:val="auto"/>
                <w:szCs w:val="21"/>
                <w:highlight w:val="none"/>
              </w:rPr>
            </w:pPr>
            <w:r>
              <w:rPr>
                <w:rFonts w:ascii="Calibri" w:hAnsi="Calibri" w:eastAsia="宋体" w:cs="Times New Roman"/>
                <w:bCs/>
                <w:color w:val="auto"/>
                <w:szCs w:val="21"/>
                <w:highlight w:val="none"/>
              </w:rPr>
              <w:t>1.连续5年及5年以上被评为“纳税信用A级”称号的，得</w:t>
            </w:r>
            <w:r>
              <w:rPr>
                <w:rFonts w:hint="eastAsia" w:ascii="Calibri" w:hAnsi="Calibri" w:eastAsia="宋体" w:cs="Times New Roman"/>
                <w:bCs/>
                <w:color w:val="auto"/>
                <w:szCs w:val="21"/>
                <w:highlight w:val="none"/>
              </w:rPr>
              <w:t>2</w:t>
            </w:r>
            <w:r>
              <w:rPr>
                <w:rFonts w:ascii="Calibri" w:hAnsi="Calibri" w:eastAsia="宋体" w:cs="Times New Roman"/>
                <w:bCs/>
                <w:color w:val="auto"/>
                <w:szCs w:val="21"/>
                <w:highlight w:val="none"/>
              </w:rPr>
              <w:t>分；</w:t>
            </w:r>
          </w:p>
          <w:p>
            <w:pPr>
              <w:widowControl/>
              <w:jc w:val="left"/>
              <w:rPr>
                <w:rFonts w:ascii="Calibri" w:hAnsi="Calibri" w:eastAsia="宋体" w:cs="Times New Roman"/>
                <w:bCs/>
                <w:color w:val="auto"/>
                <w:szCs w:val="21"/>
                <w:highlight w:val="none"/>
              </w:rPr>
            </w:pPr>
            <w:r>
              <w:rPr>
                <w:rFonts w:ascii="Calibri" w:hAnsi="Calibri" w:eastAsia="宋体" w:cs="Times New Roman"/>
                <w:bCs/>
                <w:color w:val="auto"/>
                <w:szCs w:val="21"/>
                <w:highlight w:val="none"/>
              </w:rPr>
              <w:t>2.连续3-4年被评为“纳税信用A级”称号的，得1分；</w:t>
            </w:r>
          </w:p>
          <w:p>
            <w:pPr>
              <w:widowControl/>
              <w:jc w:val="left"/>
              <w:rPr>
                <w:rFonts w:ascii="Calibri" w:hAnsi="Calibri" w:eastAsia="宋体" w:cs="Times New Roman"/>
                <w:bCs/>
                <w:color w:val="auto"/>
                <w:szCs w:val="21"/>
                <w:highlight w:val="none"/>
              </w:rPr>
            </w:pPr>
            <w:r>
              <w:rPr>
                <w:rFonts w:ascii="Calibri" w:hAnsi="Calibri" w:eastAsia="宋体" w:cs="Times New Roman"/>
                <w:bCs/>
                <w:color w:val="auto"/>
                <w:szCs w:val="21"/>
                <w:highlight w:val="none"/>
              </w:rPr>
              <w:t>3.连续2年及2年以下被评为“纳税信用A级”称号的，得0.5分。</w:t>
            </w:r>
          </w:p>
          <w:p>
            <w:pPr>
              <w:jc w:val="left"/>
              <w:rPr>
                <w:rFonts w:ascii="Calibri" w:hAnsi="Calibri" w:eastAsia="宋体" w:cs="Times New Roman"/>
                <w:bCs/>
                <w:color w:val="auto"/>
                <w:szCs w:val="21"/>
                <w:highlight w:val="none"/>
              </w:rPr>
            </w:pPr>
            <w:r>
              <w:rPr>
                <w:rFonts w:ascii="Calibri" w:hAnsi="Calibri" w:eastAsia="宋体" w:cs="Times New Roman"/>
                <w:bCs/>
                <w:color w:val="auto"/>
                <w:szCs w:val="21"/>
                <w:highlight w:val="none"/>
              </w:rPr>
              <w:t>不满足上述情况的，不得分。</w:t>
            </w:r>
          </w:p>
          <w:p>
            <w:pPr>
              <w:jc w:val="left"/>
              <w:rPr>
                <w:rFonts w:ascii="Calibri" w:hAnsi="Calibri" w:eastAsia="宋体" w:cs="Times New Roman"/>
                <w:b/>
                <w:bCs/>
                <w:color w:val="auto"/>
                <w:szCs w:val="21"/>
                <w:highlight w:val="none"/>
              </w:rPr>
            </w:pPr>
            <w:r>
              <w:rPr>
                <w:rFonts w:hint="eastAsia" w:ascii="Calibri" w:hAnsi="Calibri" w:eastAsia="宋体" w:cs="Times New Roman"/>
                <w:b/>
                <w:bCs/>
                <w:color w:val="auto"/>
                <w:szCs w:val="21"/>
                <w:highlight w:val="none"/>
              </w:rPr>
              <w:t>2、</w:t>
            </w:r>
            <w:r>
              <w:rPr>
                <w:rFonts w:ascii="Calibri" w:hAnsi="Calibri" w:eastAsia="宋体" w:cs="Times New Roman"/>
                <w:b/>
                <w:bCs/>
                <w:color w:val="auto"/>
                <w:szCs w:val="21"/>
                <w:highlight w:val="none"/>
              </w:rPr>
              <w:t>投标人（若为联合体投标，指承担设计任务的单位）：</w:t>
            </w:r>
          </w:p>
          <w:p>
            <w:pPr>
              <w:jc w:val="left"/>
              <w:rPr>
                <w:rFonts w:ascii="Calibri" w:hAnsi="Calibri" w:eastAsia="宋体" w:cs="Times New Roman"/>
                <w:color w:val="auto"/>
                <w:szCs w:val="21"/>
                <w:highlight w:val="none"/>
              </w:rPr>
            </w:pPr>
            <w:r>
              <w:rPr>
                <w:rFonts w:ascii="Calibri" w:hAnsi="Calibri" w:eastAsia="宋体" w:cs="Times New Roman"/>
                <w:color w:val="auto"/>
                <w:szCs w:val="21"/>
                <w:highlight w:val="none"/>
              </w:rPr>
              <w:t>投标人获得过国家税务总局“A级纳税人”称号的（须包含2023年度）：</w:t>
            </w:r>
          </w:p>
          <w:p>
            <w:pPr>
              <w:jc w:val="left"/>
              <w:rPr>
                <w:rFonts w:ascii="Calibri" w:hAnsi="Calibri" w:eastAsia="宋体" w:cs="Times New Roman"/>
                <w:color w:val="auto"/>
                <w:szCs w:val="21"/>
                <w:highlight w:val="none"/>
              </w:rPr>
            </w:pPr>
            <w:r>
              <w:rPr>
                <w:rFonts w:ascii="Calibri" w:hAnsi="Calibri" w:eastAsia="宋体" w:cs="Times New Roman"/>
                <w:color w:val="auto"/>
                <w:szCs w:val="21"/>
                <w:highlight w:val="none"/>
              </w:rPr>
              <w:t>1.连续5年及以上被评为“纳税信用A级”称号的，得</w:t>
            </w:r>
            <w:r>
              <w:rPr>
                <w:rFonts w:hint="eastAsia" w:ascii="Calibri" w:hAnsi="Calibri" w:eastAsia="宋体" w:cs="Times New Roman"/>
                <w:color w:val="auto"/>
                <w:szCs w:val="21"/>
                <w:highlight w:val="none"/>
              </w:rPr>
              <w:t>2</w:t>
            </w:r>
            <w:r>
              <w:rPr>
                <w:rFonts w:ascii="Calibri" w:hAnsi="Calibri" w:eastAsia="宋体" w:cs="Times New Roman"/>
                <w:color w:val="auto"/>
                <w:szCs w:val="21"/>
                <w:highlight w:val="none"/>
              </w:rPr>
              <w:t>分；</w:t>
            </w:r>
          </w:p>
          <w:p>
            <w:pPr>
              <w:jc w:val="left"/>
              <w:rPr>
                <w:rFonts w:ascii="Calibri" w:hAnsi="Calibri" w:eastAsia="宋体" w:cs="Times New Roman"/>
                <w:color w:val="auto"/>
                <w:szCs w:val="21"/>
                <w:highlight w:val="none"/>
              </w:rPr>
            </w:pPr>
            <w:r>
              <w:rPr>
                <w:rFonts w:ascii="Calibri" w:hAnsi="Calibri" w:eastAsia="宋体" w:cs="Times New Roman"/>
                <w:color w:val="auto"/>
                <w:szCs w:val="21"/>
                <w:highlight w:val="none"/>
              </w:rPr>
              <w:t>2.连续3-4年被评为“纳税信用A级”称号的，得1分；</w:t>
            </w:r>
          </w:p>
          <w:p>
            <w:pPr>
              <w:jc w:val="left"/>
              <w:rPr>
                <w:rFonts w:ascii="Calibri" w:hAnsi="Calibri" w:eastAsia="宋体" w:cs="Times New Roman"/>
                <w:color w:val="auto"/>
                <w:szCs w:val="21"/>
                <w:highlight w:val="none"/>
              </w:rPr>
            </w:pPr>
            <w:r>
              <w:rPr>
                <w:rFonts w:ascii="Calibri" w:hAnsi="Calibri" w:eastAsia="宋体" w:cs="Times New Roman"/>
                <w:color w:val="auto"/>
                <w:szCs w:val="21"/>
                <w:highlight w:val="none"/>
              </w:rPr>
              <w:t>3.连续2年及2年以下被评为“纳税信用A级”称号的，得0.5分。</w:t>
            </w:r>
          </w:p>
          <w:p>
            <w:pPr>
              <w:jc w:val="left"/>
              <w:rPr>
                <w:rFonts w:ascii="Calibri" w:hAnsi="Calibri" w:eastAsia="宋体" w:cs="Times New Roman"/>
                <w:color w:val="auto"/>
                <w:szCs w:val="21"/>
                <w:highlight w:val="none"/>
              </w:rPr>
            </w:pPr>
            <w:r>
              <w:rPr>
                <w:rFonts w:ascii="Calibri" w:hAnsi="Calibri" w:eastAsia="宋体" w:cs="Times New Roman"/>
                <w:color w:val="auto"/>
                <w:szCs w:val="21"/>
                <w:highlight w:val="none"/>
              </w:rPr>
              <w:t>不满足上述情况的，不得分。</w:t>
            </w:r>
          </w:p>
        </w:tc>
      </w:tr>
      <w:tr>
        <w:trPr>
          <w:trHeight w:val="64" w:hRule="atLeast"/>
        </w:trPr>
        <w:tc>
          <w:tcPr>
            <w:tcW w:w="782" w:type="dxa"/>
            <w:vMerge w:val="continue"/>
            <w:tcBorders>
              <w:right w:val="single" w:color="auto" w:sz="4" w:space="0"/>
            </w:tcBorders>
            <w:vAlign w:val="center"/>
          </w:tcPr>
          <w:p>
            <w:pPr>
              <w:jc w:val="center"/>
              <w:rPr>
                <w:rFonts w:ascii="Calibri" w:hAnsi="Calibri" w:eastAsia="宋体" w:cs="Times New Roman"/>
                <w:color w:val="auto"/>
                <w:szCs w:val="21"/>
                <w:highlight w:val="none"/>
              </w:rPr>
            </w:pPr>
          </w:p>
        </w:tc>
        <w:tc>
          <w:tcPr>
            <w:tcW w:w="1032" w:type="dxa"/>
            <w:vMerge w:val="continue"/>
            <w:tcBorders>
              <w:right w:val="single" w:color="auto" w:sz="4" w:space="0"/>
            </w:tcBorders>
          </w:tcPr>
          <w:p>
            <w:pPr>
              <w:jc w:val="center"/>
              <w:rPr>
                <w:rFonts w:ascii="Calibri" w:hAnsi="Calibri" w:eastAsia="宋体" w:cs="Times New Roman"/>
                <w:color w:val="auto"/>
                <w:sz w:val="20"/>
                <w:szCs w:val="20"/>
                <w:highlight w:val="none"/>
              </w:rPr>
            </w:pPr>
          </w:p>
        </w:tc>
        <w:tc>
          <w:tcPr>
            <w:tcW w:w="666" w:type="dxa"/>
            <w:vMerge w:val="continue"/>
            <w:tcBorders>
              <w:left w:val="single" w:color="auto" w:sz="4" w:space="0"/>
              <w:right w:val="single" w:color="auto" w:sz="4" w:space="0"/>
            </w:tcBorders>
            <w:vAlign w:val="center"/>
          </w:tcPr>
          <w:p>
            <w:pPr>
              <w:rPr>
                <w:rFonts w:ascii="Calibri" w:hAnsi="Calibri" w:eastAsia="宋体" w:cs="Times New Roman"/>
                <w:color w:val="auto"/>
                <w:szCs w:val="21"/>
                <w:highlight w:val="none"/>
              </w:rPr>
            </w:pPr>
          </w:p>
        </w:tc>
        <w:tc>
          <w:tcPr>
            <w:tcW w:w="1489" w:type="dxa"/>
            <w:vMerge w:val="restart"/>
            <w:tcBorders>
              <w:top w:val="single" w:color="auto" w:sz="4" w:space="0"/>
              <w:left w:val="single" w:color="auto" w:sz="4" w:space="0"/>
              <w:right w:val="single" w:color="auto" w:sz="4" w:space="0"/>
            </w:tcBorders>
            <w:vAlign w:val="center"/>
          </w:tcPr>
          <w:p>
            <w:pPr>
              <w:rPr>
                <w:rFonts w:ascii="Calibri" w:hAnsi="Calibri" w:eastAsia="宋体" w:cs="Times New Roman"/>
                <w:color w:val="auto"/>
                <w:szCs w:val="21"/>
                <w:highlight w:val="none"/>
              </w:rPr>
            </w:pPr>
            <w:r>
              <w:rPr>
                <w:rFonts w:ascii="Calibri" w:hAnsi="Calibri" w:eastAsia="宋体" w:cs="Times New Roman"/>
                <w:color w:val="auto"/>
                <w:szCs w:val="21"/>
                <w:highlight w:val="none"/>
              </w:rPr>
              <w:t>施工组织方案（</w:t>
            </w:r>
            <w:r>
              <w:rPr>
                <w:rFonts w:hint="eastAsia" w:ascii="Calibri" w:hAnsi="Calibri" w:eastAsia="宋体" w:cs="Times New Roman"/>
                <w:color w:val="auto"/>
                <w:szCs w:val="21"/>
                <w:highlight w:val="none"/>
              </w:rPr>
              <w:t>33分</w:t>
            </w:r>
            <w:r>
              <w:rPr>
                <w:rFonts w:ascii="Calibri" w:hAnsi="Calibri" w:eastAsia="宋体" w:cs="Times New Roman"/>
                <w:color w:val="auto"/>
                <w:szCs w:val="21"/>
                <w:highlight w:val="none"/>
              </w:rPr>
              <w:t>）</w:t>
            </w:r>
          </w:p>
        </w:tc>
        <w:tc>
          <w:tcPr>
            <w:tcW w:w="581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rPr>
              <w:t>1、项目管理班组答辩</w:t>
            </w:r>
            <w:r>
              <w:rPr>
                <w:rFonts w:hint="eastAsia" w:ascii="宋体" w:hAnsi="宋体" w:eastAsia="宋体" w:cs="宋体"/>
                <w:color w:val="auto"/>
                <w:szCs w:val="21"/>
                <w:highlight w:val="none"/>
              </w:rPr>
              <w:t>（18分）</w:t>
            </w:r>
          </w:p>
          <w:p>
            <w:pPr>
              <w:jc w:val="left"/>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rPr>
              <w:t>项目代表（包括法人或授权代表）或项目负责人就本工程内容从以下方面进行陈述：</w:t>
            </w:r>
          </w:p>
          <w:p>
            <w:pPr>
              <w:jc w:val="left"/>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rPr>
              <w:t>（1）对参与投标项目的了解情况；</w:t>
            </w:r>
          </w:p>
          <w:p>
            <w:pPr>
              <w:jc w:val="left"/>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rPr>
              <w:t>（2）项目施工的重点、难点分析及应对措施；</w:t>
            </w:r>
          </w:p>
          <w:p>
            <w:pPr>
              <w:jc w:val="left"/>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rPr>
              <w:t>（3）对工程质量、工程总工期的全面掌控，保证工程保质量保工期完工。</w:t>
            </w:r>
          </w:p>
          <w:p>
            <w:pPr>
              <w:jc w:val="left"/>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rPr>
              <w:t>解答：评委针对其陈述内容及投标文件所提的相关问题。</w:t>
            </w:r>
          </w:p>
          <w:p>
            <w:pPr>
              <w:jc w:val="left"/>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rPr>
              <w:t>横向比较各投标人的答辩情况：</w:t>
            </w:r>
          </w:p>
          <w:p>
            <w:pPr>
              <w:jc w:val="left"/>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rPr>
              <w:t>优：掌握项目情况认识清晰、对施工的重点、难点认识深刻、有应对措施，对工程质量和工期的保证合理可行；回答评委提问思路清晰、内容准确。优得15（不含）分-18（含）分。</w:t>
            </w:r>
          </w:p>
          <w:p>
            <w:pPr>
              <w:jc w:val="left"/>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rPr>
              <w:t>良：掌握项目情况认识比较清晰、对施工的重点、难点认识比较深刻、有应对措施，对工程质量和工期的保证比较合理可行；回答评委提问思路比较清晰、内容比较准确。良得12（不含）分-15（含）分。</w:t>
            </w:r>
          </w:p>
          <w:p>
            <w:pPr>
              <w:jc w:val="left"/>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rPr>
              <w:t>中：掌握项目情况认识基本清晰、对施工的重点、难点认识基本深刻、有应对措施，对工程质量和工期的保证基本合理可行；回答评委提问思路基本清晰、内容基本准确。中得9（不含）分-12（含）分。</w:t>
            </w:r>
          </w:p>
          <w:p>
            <w:pPr>
              <w:jc w:val="left"/>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rPr>
              <w:t>投标人未提供或未参与项目管理班组答辩的不得分。</w:t>
            </w:r>
          </w:p>
        </w:tc>
      </w:tr>
      <w:tr>
        <w:trPr>
          <w:trHeight w:val="64" w:hRule="atLeast"/>
        </w:trPr>
        <w:tc>
          <w:tcPr>
            <w:tcW w:w="782" w:type="dxa"/>
            <w:vMerge w:val="continue"/>
            <w:tcBorders>
              <w:right w:val="single" w:color="auto" w:sz="4" w:space="0"/>
            </w:tcBorders>
            <w:vAlign w:val="center"/>
          </w:tcPr>
          <w:p>
            <w:pPr>
              <w:jc w:val="center"/>
              <w:rPr>
                <w:rFonts w:ascii="Calibri" w:hAnsi="Calibri" w:eastAsia="宋体" w:cs="Times New Roman"/>
                <w:color w:val="auto"/>
                <w:szCs w:val="21"/>
                <w:highlight w:val="none"/>
              </w:rPr>
            </w:pPr>
          </w:p>
        </w:tc>
        <w:tc>
          <w:tcPr>
            <w:tcW w:w="1032" w:type="dxa"/>
            <w:vMerge w:val="continue"/>
            <w:tcBorders>
              <w:right w:val="single" w:color="auto" w:sz="4" w:space="0"/>
            </w:tcBorders>
          </w:tcPr>
          <w:p>
            <w:pPr>
              <w:jc w:val="center"/>
              <w:rPr>
                <w:rFonts w:ascii="Calibri" w:hAnsi="Calibri" w:eastAsia="宋体" w:cs="Times New Roman"/>
                <w:color w:val="auto"/>
                <w:sz w:val="20"/>
                <w:szCs w:val="20"/>
                <w:highlight w:val="none"/>
              </w:rPr>
            </w:pPr>
          </w:p>
        </w:tc>
        <w:tc>
          <w:tcPr>
            <w:tcW w:w="666" w:type="dxa"/>
            <w:vMerge w:val="restart"/>
            <w:tcBorders>
              <w:left w:val="single" w:color="auto" w:sz="4" w:space="0"/>
              <w:right w:val="single" w:color="auto" w:sz="4" w:space="0"/>
            </w:tcBorders>
            <w:vAlign w:val="center"/>
          </w:tcPr>
          <w:p>
            <w:pPr>
              <w:rPr>
                <w:rFonts w:ascii="Calibri" w:hAnsi="Calibri" w:eastAsia="宋体" w:cs="Times New Roman"/>
                <w:color w:val="auto"/>
                <w:szCs w:val="21"/>
                <w:highlight w:val="none"/>
              </w:rPr>
            </w:pPr>
            <w:r>
              <w:rPr>
                <w:rFonts w:ascii="Calibri" w:hAnsi="Calibri" w:eastAsia="宋体" w:cs="Times New Roman"/>
                <w:bCs/>
                <w:color w:val="auto"/>
                <w:szCs w:val="21"/>
                <w:highlight w:val="none"/>
              </w:rPr>
              <w:t>施工组织设计（满分为6</w:t>
            </w:r>
            <w:r>
              <w:rPr>
                <w:rFonts w:hint="eastAsia" w:ascii="Calibri" w:hAnsi="Calibri" w:eastAsia="宋体" w:cs="Times New Roman"/>
                <w:bCs/>
                <w:color w:val="auto"/>
                <w:szCs w:val="21"/>
                <w:highlight w:val="none"/>
              </w:rPr>
              <w:t>4</w:t>
            </w:r>
            <w:r>
              <w:rPr>
                <w:rFonts w:ascii="Calibri" w:hAnsi="Calibri" w:eastAsia="宋体" w:cs="Times New Roman"/>
                <w:bCs/>
                <w:color w:val="auto"/>
                <w:szCs w:val="21"/>
                <w:highlight w:val="none"/>
              </w:rPr>
              <w:t>分）</w:t>
            </w:r>
          </w:p>
        </w:tc>
        <w:tc>
          <w:tcPr>
            <w:tcW w:w="1489" w:type="dxa"/>
            <w:vMerge w:val="continue"/>
            <w:tcBorders>
              <w:left w:val="single" w:color="auto" w:sz="4" w:space="0"/>
              <w:right w:val="single" w:color="auto" w:sz="4" w:space="0"/>
            </w:tcBorders>
            <w:vAlign w:val="center"/>
          </w:tcPr>
          <w:p>
            <w:pPr>
              <w:rPr>
                <w:rFonts w:ascii="Calibri" w:hAnsi="Calibri" w:eastAsia="宋体" w:cs="Times New Roman"/>
                <w:color w:val="auto"/>
                <w:szCs w:val="21"/>
                <w:highlight w:val="none"/>
              </w:rPr>
            </w:pPr>
          </w:p>
        </w:tc>
        <w:tc>
          <w:tcPr>
            <w:tcW w:w="5812"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Times New Roman"/>
                <w:color w:val="auto"/>
                <w:szCs w:val="21"/>
                <w:highlight w:val="none"/>
              </w:rPr>
            </w:pPr>
            <w:r>
              <w:rPr>
                <w:rFonts w:hint="eastAsia" w:ascii="Calibri" w:hAnsi="Calibri" w:eastAsia="宋体" w:cs="Times New Roman"/>
                <w:color w:val="auto"/>
                <w:szCs w:val="21"/>
                <w:highlight w:val="none"/>
              </w:rPr>
              <w:t>2、施工组织及施工方案</w:t>
            </w:r>
            <w:r>
              <w:rPr>
                <w:rFonts w:hint="eastAsia" w:ascii="宋体" w:hAnsi="宋体" w:eastAsia="宋体" w:cs="宋体"/>
                <w:color w:val="auto"/>
                <w:szCs w:val="21"/>
                <w:highlight w:val="none"/>
              </w:rPr>
              <w:t>（2.5分）</w:t>
            </w:r>
          </w:p>
          <w:p>
            <w:pPr>
              <w:rPr>
                <w:rFonts w:ascii="Calibri" w:hAnsi="Calibri" w:eastAsia="宋体" w:cs="Times New Roman"/>
                <w:color w:val="auto"/>
                <w:szCs w:val="21"/>
                <w:highlight w:val="none"/>
              </w:rPr>
            </w:pPr>
            <w:r>
              <w:rPr>
                <w:rFonts w:hint="eastAsia" w:ascii="Calibri" w:hAnsi="Calibri" w:eastAsia="宋体" w:cs="Times New Roman"/>
                <w:color w:val="auto"/>
                <w:szCs w:val="21"/>
                <w:highlight w:val="none"/>
              </w:rPr>
              <w:t>（1）施工组织及施工方案，有得1分，</w:t>
            </w:r>
            <w:r>
              <w:rPr>
                <w:rFonts w:hint="eastAsia" w:ascii="宋体" w:hAnsi="宋体" w:eastAsia="宋体" w:cs="宋体"/>
                <w:color w:val="auto"/>
                <w:szCs w:val="21"/>
                <w:highlight w:val="none"/>
              </w:rPr>
              <w:t>无得 0 分</w:t>
            </w:r>
            <w:r>
              <w:rPr>
                <w:rFonts w:hint="eastAsia" w:ascii="Calibri" w:hAnsi="Calibri" w:eastAsia="宋体" w:cs="Times New Roman"/>
                <w:color w:val="auto"/>
                <w:szCs w:val="21"/>
                <w:highlight w:val="none"/>
              </w:rPr>
              <w:t>；</w:t>
            </w:r>
          </w:p>
          <w:p>
            <w:pPr>
              <w:rPr>
                <w:rFonts w:ascii="Calibri" w:hAnsi="Calibri" w:eastAsia="宋体" w:cs="Times New Roman"/>
                <w:color w:val="auto"/>
                <w:szCs w:val="21"/>
                <w:highlight w:val="none"/>
              </w:rPr>
            </w:pPr>
            <w:r>
              <w:rPr>
                <w:rFonts w:hint="eastAsia" w:ascii="Calibri" w:hAnsi="Calibri" w:eastAsia="宋体" w:cs="Times New Roman"/>
                <w:color w:val="auto"/>
                <w:szCs w:val="21"/>
                <w:highlight w:val="none"/>
              </w:rPr>
              <w:t>（2）方案及措施齐全，包括有道路工程、交通工程、给排水工程、电力工程、照明工程、绿化工程、建筑垃圾资源化利用等施工方案，</w:t>
            </w:r>
            <w:r>
              <w:rPr>
                <w:rFonts w:hint="eastAsia" w:ascii="宋体" w:hAnsi="宋体" w:eastAsia="宋体" w:cs="宋体"/>
                <w:color w:val="auto"/>
                <w:szCs w:val="21"/>
                <w:highlight w:val="none"/>
              </w:rPr>
              <w:t>得 1.5分，一般得 1分，不提供的不得分。</w:t>
            </w:r>
          </w:p>
        </w:tc>
      </w:tr>
      <w:tr>
        <w:trPr>
          <w:trHeight w:val="62" w:hRule="atLeast"/>
        </w:trPr>
        <w:tc>
          <w:tcPr>
            <w:tcW w:w="782" w:type="dxa"/>
            <w:vMerge w:val="continue"/>
            <w:tcBorders>
              <w:right w:val="single" w:color="auto" w:sz="4" w:space="0"/>
            </w:tcBorders>
            <w:vAlign w:val="center"/>
          </w:tcPr>
          <w:p>
            <w:pPr>
              <w:jc w:val="center"/>
              <w:rPr>
                <w:rFonts w:ascii="Calibri" w:hAnsi="Calibri" w:eastAsia="宋体" w:cs="Times New Roman"/>
                <w:color w:val="auto"/>
                <w:szCs w:val="21"/>
                <w:highlight w:val="none"/>
              </w:rPr>
            </w:pPr>
          </w:p>
        </w:tc>
        <w:tc>
          <w:tcPr>
            <w:tcW w:w="1032" w:type="dxa"/>
            <w:vMerge w:val="continue"/>
            <w:tcBorders>
              <w:right w:val="single" w:color="auto" w:sz="4" w:space="0"/>
            </w:tcBorders>
          </w:tcPr>
          <w:p>
            <w:pPr>
              <w:jc w:val="center"/>
              <w:rPr>
                <w:rFonts w:ascii="Calibri" w:hAnsi="Calibri" w:eastAsia="宋体" w:cs="Times New Roman"/>
                <w:color w:val="auto"/>
                <w:sz w:val="20"/>
                <w:szCs w:val="20"/>
                <w:highlight w:val="none"/>
              </w:rPr>
            </w:pPr>
          </w:p>
        </w:tc>
        <w:tc>
          <w:tcPr>
            <w:tcW w:w="666" w:type="dxa"/>
            <w:vMerge w:val="continue"/>
            <w:tcBorders>
              <w:left w:val="single" w:color="auto" w:sz="4" w:space="0"/>
              <w:right w:val="single" w:color="auto" w:sz="4" w:space="0"/>
            </w:tcBorders>
            <w:vAlign w:val="center"/>
          </w:tcPr>
          <w:p>
            <w:pPr>
              <w:rPr>
                <w:rFonts w:ascii="Calibri" w:hAnsi="Calibri" w:eastAsia="宋体" w:cs="Times New Roman"/>
                <w:color w:val="auto"/>
                <w:szCs w:val="21"/>
                <w:highlight w:val="none"/>
              </w:rPr>
            </w:pPr>
          </w:p>
        </w:tc>
        <w:tc>
          <w:tcPr>
            <w:tcW w:w="1489" w:type="dxa"/>
            <w:vMerge w:val="continue"/>
            <w:tcBorders>
              <w:left w:val="single" w:color="auto" w:sz="4" w:space="0"/>
              <w:right w:val="single" w:color="auto" w:sz="4" w:space="0"/>
            </w:tcBorders>
            <w:vAlign w:val="center"/>
          </w:tcPr>
          <w:p>
            <w:pPr>
              <w:rPr>
                <w:rFonts w:ascii="Calibri" w:hAnsi="Calibri" w:eastAsia="宋体" w:cs="Times New Roman"/>
                <w:color w:val="auto"/>
                <w:szCs w:val="21"/>
                <w:highlight w:val="none"/>
              </w:rPr>
            </w:pPr>
          </w:p>
        </w:tc>
        <w:tc>
          <w:tcPr>
            <w:tcW w:w="581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Cs w:val="21"/>
                <w:highlight w:val="none"/>
              </w:rPr>
            </w:pPr>
            <w:r>
              <w:rPr>
                <w:rFonts w:hint="eastAsia" w:ascii="Calibri" w:hAnsi="Calibri" w:eastAsia="宋体" w:cs="Times New Roman"/>
                <w:color w:val="auto"/>
                <w:szCs w:val="21"/>
                <w:highlight w:val="none"/>
              </w:rPr>
              <w:t>3、</w:t>
            </w:r>
            <w:r>
              <w:rPr>
                <w:rFonts w:hint="eastAsia" w:ascii="宋体" w:hAnsi="宋体" w:eastAsia="宋体" w:cs="宋体"/>
                <w:color w:val="auto"/>
                <w:szCs w:val="21"/>
                <w:highlight w:val="none"/>
              </w:rPr>
              <w:t>安全控制措施（2.5分）</w:t>
            </w:r>
          </w:p>
          <w:p>
            <w:pPr>
              <w:rPr>
                <w:rFonts w:ascii="宋体" w:hAnsi="宋体" w:eastAsia="宋体" w:cs="宋体"/>
                <w:color w:val="auto"/>
                <w:szCs w:val="21"/>
                <w:highlight w:val="none"/>
              </w:rPr>
            </w:pPr>
            <w:r>
              <w:rPr>
                <w:rFonts w:hint="eastAsia" w:ascii="宋体" w:hAnsi="宋体" w:eastAsia="宋体" w:cs="宋体"/>
                <w:color w:val="auto"/>
                <w:szCs w:val="21"/>
                <w:highlight w:val="none"/>
              </w:rPr>
              <w:t>（1）安全控制措施，有得1分，无得 0 分；</w:t>
            </w:r>
          </w:p>
          <w:p>
            <w:pPr>
              <w:rPr>
                <w:rFonts w:ascii="Calibri" w:hAnsi="Calibri" w:eastAsia="宋体" w:cs="Times New Roman"/>
                <w:color w:val="auto"/>
                <w:szCs w:val="21"/>
                <w:highlight w:val="none"/>
              </w:rPr>
            </w:pPr>
            <w:r>
              <w:rPr>
                <w:rFonts w:hint="eastAsia" w:ascii="宋体" w:hAnsi="宋体" w:eastAsia="宋体" w:cs="宋体"/>
                <w:color w:val="auto"/>
                <w:szCs w:val="21"/>
                <w:highlight w:val="none"/>
              </w:rPr>
              <w:t>（2）上述方案确保不发生等级安全事故，安全文明施工措施完整、具体、可行、合理，在典型位置的安全措施先进可靠，对降低施工作业周边的影响有合理可行的，得 1.5分，一般得 1分，不提供的不得分。</w:t>
            </w:r>
          </w:p>
        </w:tc>
      </w:tr>
      <w:tr>
        <w:trPr>
          <w:trHeight w:val="62" w:hRule="atLeast"/>
        </w:trPr>
        <w:tc>
          <w:tcPr>
            <w:tcW w:w="782" w:type="dxa"/>
            <w:vMerge w:val="continue"/>
            <w:tcBorders>
              <w:right w:val="single" w:color="auto" w:sz="4" w:space="0"/>
            </w:tcBorders>
            <w:vAlign w:val="center"/>
          </w:tcPr>
          <w:p>
            <w:pPr>
              <w:jc w:val="center"/>
              <w:rPr>
                <w:rFonts w:ascii="Calibri" w:hAnsi="Calibri" w:eastAsia="宋体" w:cs="Times New Roman"/>
                <w:color w:val="auto"/>
                <w:szCs w:val="21"/>
                <w:highlight w:val="none"/>
              </w:rPr>
            </w:pPr>
          </w:p>
        </w:tc>
        <w:tc>
          <w:tcPr>
            <w:tcW w:w="1032" w:type="dxa"/>
            <w:vMerge w:val="continue"/>
            <w:tcBorders>
              <w:right w:val="single" w:color="auto" w:sz="4" w:space="0"/>
            </w:tcBorders>
          </w:tcPr>
          <w:p>
            <w:pPr>
              <w:jc w:val="center"/>
              <w:rPr>
                <w:rFonts w:ascii="Calibri" w:hAnsi="Calibri" w:eastAsia="宋体" w:cs="Times New Roman"/>
                <w:color w:val="auto"/>
                <w:sz w:val="20"/>
                <w:szCs w:val="20"/>
                <w:highlight w:val="none"/>
              </w:rPr>
            </w:pPr>
          </w:p>
        </w:tc>
        <w:tc>
          <w:tcPr>
            <w:tcW w:w="666" w:type="dxa"/>
            <w:vMerge w:val="continue"/>
            <w:tcBorders>
              <w:left w:val="single" w:color="auto" w:sz="4" w:space="0"/>
              <w:right w:val="single" w:color="auto" w:sz="4" w:space="0"/>
            </w:tcBorders>
            <w:vAlign w:val="center"/>
          </w:tcPr>
          <w:p>
            <w:pPr>
              <w:rPr>
                <w:rFonts w:ascii="Calibri" w:hAnsi="Calibri" w:eastAsia="宋体" w:cs="Times New Roman"/>
                <w:color w:val="auto"/>
                <w:szCs w:val="21"/>
                <w:highlight w:val="none"/>
              </w:rPr>
            </w:pPr>
          </w:p>
        </w:tc>
        <w:tc>
          <w:tcPr>
            <w:tcW w:w="1489" w:type="dxa"/>
            <w:vMerge w:val="continue"/>
            <w:tcBorders>
              <w:left w:val="single" w:color="auto" w:sz="4" w:space="0"/>
              <w:right w:val="single" w:color="auto" w:sz="4" w:space="0"/>
            </w:tcBorders>
            <w:vAlign w:val="center"/>
          </w:tcPr>
          <w:p>
            <w:pPr>
              <w:rPr>
                <w:rFonts w:ascii="Calibri" w:hAnsi="Calibri" w:eastAsia="宋体" w:cs="Times New Roman"/>
                <w:color w:val="auto"/>
                <w:szCs w:val="21"/>
                <w:highlight w:val="none"/>
              </w:rPr>
            </w:pPr>
          </w:p>
        </w:tc>
        <w:tc>
          <w:tcPr>
            <w:tcW w:w="581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Cs w:val="21"/>
                <w:highlight w:val="none"/>
              </w:rPr>
            </w:pPr>
            <w:r>
              <w:rPr>
                <w:rFonts w:hint="eastAsia" w:ascii="Calibri" w:hAnsi="Calibri" w:eastAsia="宋体" w:cs="Times New Roman"/>
                <w:color w:val="auto"/>
                <w:szCs w:val="21"/>
                <w:highlight w:val="none"/>
              </w:rPr>
              <w:t>4.</w:t>
            </w:r>
            <w:r>
              <w:rPr>
                <w:rFonts w:hint="eastAsia" w:ascii="宋体" w:hAnsi="宋体" w:eastAsia="宋体" w:cs="宋体"/>
                <w:color w:val="auto"/>
                <w:szCs w:val="21"/>
                <w:highlight w:val="none"/>
              </w:rPr>
              <w:t>质量控制措施（2.5分）</w:t>
            </w:r>
          </w:p>
          <w:p>
            <w:pPr>
              <w:rPr>
                <w:rFonts w:ascii="宋体" w:hAnsi="宋体" w:eastAsia="宋体" w:cs="宋体"/>
                <w:color w:val="auto"/>
                <w:szCs w:val="21"/>
                <w:highlight w:val="none"/>
              </w:rPr>
            </w:pPr>
            <w:r>
              <w:rPr>
                <w:rFonts w:hint="eastAsia" w:ascii="宋体" w:hAnsi="宋体" w:eastAsia="宋体" w:cs="宋体"/>
                <w:color w:val="auto"/>
                <w:szCs w:val="21"/>
                <w:highlight w:val="none"/>
              </w:rPr>
              <w:t>（1）质量控制措施，有得1分，无得 0 分；</w:t>
            </w:r>
          </w:p>
          <w:p>
            <w:pPr>
              <w:rPr>
                <w:rFonts w:ascii="Calibri" w:hAnsi="Calibri" w:eastAsia="宋体" w:cs="Times New Roman"/>
                <w:color w:val="auto"/>
                <w:szCs w:val="21"/>
                <w:highlight w:val="none"/>
              </w:rPr>
            </w:pPr>
            <w:r>
              <w:rPr>
                <w:rFonts w:hint="eastAsia" w:ascii="宋体" w:hAnsi="宋体" w:eastAsia="宋体" w:cs="宋体"/>
                <w:color w:val="auto"/>
                <w:szCs w:val="21"/>
                <w:highlight w:val="none"/>
              </w:rPr>
              <w:t>（2）根据本工程的质量目标，针对项目的特点，从质量保证体系、材料的检测、质量通病的防治等方面提出详细的质量保证措施，得 1.5分，一般得 1分，不提供的不得分。</w:t>
            </w:r>
          </w:p>
        </w:tc>
      </w:tr>
      <w:tr>
        <w:trPr>
          <w:trHeight w:val="62" w:hRule="atLeast"/>
        </w:trPr>
        <w:tc>
          <w:tcPr>
            <w:tcW w:w="782" w:type="dxa"/>
            <w:vMerge w:val="continue"/>
            <w:tcBorders>
              <w:right w:val="single" w:color="auto" w:sz="4" w:space="0"/>
            </w:tcBorders>
            <w:vAlign w:val="center"/>
          </w:tcPr>
          <w:p>
            <w:pPr>
              <w:jc w:val="center"/>
              <w:rPr>
                <w:rFonts w:ascii="Calibri" w:hAnsi="Calibri" w:eastAsia="宋体" w:cs="Times New Roman"/>
                <w:color w:val="auto"/>
                <w:szCs w:val="21"/>
                <w:highlight w:val="none"/>
              </w:rPr>
            </w:pPr>
          </w:p>
        </w:tc>
        <w:tc>
          <w:tcPr>
            <w:tcW w:w="1032" w:type="dxa"/>
            <w:vMerge w:val="continue"/>
            <w:tcBorders>
              <w:right w:val="single" w:color="auto" w:sz="4" w:space="0"/>
            </w:tcBorders>
          </w:tcPr>
          <w:p>
            <w:pPr>
              <w:jc w:val="center"/>
              <w:rPr>
                <w:rFonts w:ascii="Calibri" w:hAnsi="Calibri" w:eastAsia="宋体" w:cs="Times New Roman"/>
                <w:color w:val="auto"/>
                <w:sz w:val="20"/>
                <w:szCs w:val="20"/>
                <w:highlight w:val="none"/>
              </w:rPr>
            </w:pPr>
          </w:p>
        </w:tc>
        <w:tc>
          <w:tcPr>
            <w:tcW w:w="666" w:type="dxa"/>
            <w:vMerge w:val="continue"/>
            <w:tcBorders>
              <w:left w:val="single" w:color="auto" w:sz="4" w:space="0"/>
              <w:right w:val="single" w:color="auto" w:sz="4" w:space="0"/>
            </w:tcBorders>
            <w:vAlign w:val="center"/>
          </w:tcPr>
          <w:p>
            <w:pPr>
              <w:rPr>
                <w:rFonts w:ascii="Calibri" w:hAnsi="Calibri" w:eastAsia="宋体" w:cs="Times New Roman"/>
                <w:color w:val="auto"/>
                <w:szCs w:val="21"/>
                <w:highlight w:val="none"/>
              </w:rPr>
            </w:pPr>
          </w:p>
        </w:tc>
        <w:tc>
          <w:tcPr>
            <w:tcW w:w="1489" w:type="dxa"/>
            <w:vMerge w:val="continue"/>
            <w:tcBorders>
              <w:left w:val="single" w:color="auto" w:sz="4" w:space="0"/>
              <w:right w:val="single" w:color="auto" w:sz="4" w:space="0"/>
            </w:tcBorders>
            <w:vAlign w:val="center"/>
          </w:tcPr>
          <w:p>
            <w:pPr>
              <w:rPr>
                <w:rFonts w:ascii="Calibri" w:hAnsi="Calibri" w:eastAsia="宋体" w:cs="Times New Roman"/>
                <w:color w:val="auto"/>
                <w:szCs w:val="21"/>
                <w:highlight w:val="none"/>
              </w:rPr>
            </w:pPr>
          </w:p>
        </w:tc>
        <w:tc>
          <w:tcPr>
            <w:tcW w:w="5812"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Times New Roman"/>
                <w:color w:val="auto"/>
                <w:szCs w:val="21"/>
                <w:highlight w:val="none"/>
              </w:rPr>
            </w:pPr>
            <w:r>
              <w:rPr>
                <w:rFonts w:hint="eastAsia" w:ascii="Calibri" w:hAnsi="Calibri" w:eastAsia="宋体" w:cs="Times New Roman"/>
                <w:color w:val="auto"/>
                <w:szCs w:val="21"/>
                <w:highlight w:val="none"/>
              </w:rPr>
              <w:t>5.</w:t>
            </w:r>
            <w:r>
              <w:rPr>
                <w:rFonts w:ascii="Calibri" w:hAnsi="Calibri" w:eastAsia="宋体" w:cs="Times New Roman"/>
                <w:color w:val="auto"/>
                <w:szCs w:val="21"/>
                <w:highlight w:val="none"/>
              </w:rPr>
              <w:t>进度控制措施</w:t>
            </w:r>
            <w:r>
              <w:rPr>
                <w:rFonts w:hint="eastAsia" w:ascii="宋体" w:hAnsi="宋体" w:eastAsia="宋体" w:cs="宋体"/>
                <w:color w:val="auto"/>
                <w:szCs w:val="21"/>
                <w:highlight w:val="none"/>
              </w:rPr>
              <w:t>（2.5分）</w:t>
            </w:r>
          </w:p>
          <w:p>
            <w:pPr>
              <w:rPr>
                <w:rFonts w:ascii="宋体" w:hAnsi="宋体" w:eastAsia="宋体" w:cs="宋体"/>
                <w:color w:val="auto"/>
                <w:szCs w:val="21"/>
                <w:highlight w:val="none"/>
              </w:rPr>
            </w:pPr>
            <w:r>
              <w:rPr>
                <w:rFonts w:hint="eastAsia" w:ascii="宋体" w:hAnsi="宋体" w:eastAsia="宋体" w:cs="宋体"/>
                <w:color w:val="auto"/>
                <w:szCs w:val="21"/>
                <w:highlight w:val="none"/>
              </w:rPr>
              <w:t>（1）进度控制措施，有得1分，无得 0 分；</w:t>
            </w:r>
          </w:p>
          <w:p>
            <w:pPr>
              <w:rPr>
                <w:rFonts w:ascii="Calibri" w:hAnsi="Calibri" w:eastAsia="宋体" w:cs="Times New Roman"/>
                <w:color w:val="auto"/>
                <w:szCs w:val="21"/>
                <w:highlight w:val="none"/>
              </w:rPr>
            </w:pPr>
            <w:r>
              <w:rPr>
                <w:rFonts w:hint="eastAsia" w:ascii="宋体" w:hAnsi="宋体" w:eastAsia="宋体" w:cs="宋体"/>
                <w:color w:val="auto"/>
                <w:szCs w:val="21"/>
                <w:highlight w:val="none"/>
              </w:rPr>
              <w:t>（2）分析准确、措施得当。针对项目特点编制施工总进度计划及工期保证措施，确保实现工程进度目标，得 1.5分，一般得 1分，不提供的不得分。</w:t>
            </w:r>
          </w:p>
        </w:tc>
      </w:tr>
      <w:tr>
        <w:trPr>
          <w:trHeight w:val="62" w:hRule="atLeast"/>
        </w:trPr>
        <w:tc>
          <w:tcPr>
            <w:tcW w:w="782" w:type="dxa"/>
            <w:vMerge w:val="continue"/>
            <w:tcBorders>
              <w:right w:val="single" w:color="auto" w:sz="4" w:space="0"/>
            </w:tcBorders>
            <w:vAlign w:val="center"/>
          </w:tcPr>
          <w:p>
            <w:pPr>
              <w:jc w:val="center"/>
              <w:rPr>
                <w:rFonts w:ascii="Calibri" w:hAnsi="Calibri" w:eastAsia="宋体" w:cs="Times New Roman"/>
                <w:color w:val="auto"/>
                <w:szCs w:val="21"/>
                <w:highlight w:val="none"/>
              </w:rPr>
            </w:pPr>
          </w:p>
        </w:tc>
        <w:tc>
          <w:tcPr>
            <w:tcW w:w="1032" w:type="dxa"/>
            <w:vMerge w:val="continue"/>
            <w:tcBorders>
              <w:right w:val="single" w:color="auto" w:sz="4" w:space="0"/>
            </w:tcBorders>
          </w:tcPr>
          <w:p>
            <w:pPr>
              <w:jc w:val="center"/>
              <w:rPr>
                <w:rFonts w:ascii="Calibri" w:hAnsi="Calibri" w:eastAsia="宋体" w:cs="Times New Roman"/>
                <w:color w:val="auto"/>
                <w:sz w:val="20"/>
                <w:szCs w:val="20"/>
                <w:highlight w:val="none"/>
              </w:rPr>
            </w:pPr>
          </w:p>
        </w:tc>
        <w:tc>
          <w:tcPr>
            <w:tcW w:w="666" w:type="dxa"/>
            <w:vMerge w:val="continue"/>
            <w:tcBorders>
              <w:left w:val="single" w:color="auto" w:sz="4" w:space="0"/>
              <w:right w:val="single" w:color="auto" w:sz="4" w:space="0"/>
            </w:tcBorders>
            <w:vAlign w:val="center"/>
          </w:tcPr>
          <w:p>
            <w:pPr>
              <w:rPr>
                <w:rFonts w:ascii="Calibri" w:hAnsi="Calibri" w:eastAsia="宋体" w:cs="Times New Roman"/>
                <w:color w:val="auto"/>
                <w:szCs w:val="21"/>
                <w:highlight w:val="none"/>
              </w:rPr>
            </w:pPr>
          </w:p>
        </w:tc>
        <w:tc>
          <w:tcPr>
            <w:tcW w:w="1489" w:type="dxa"/>
            <w:vMerge w:val="continue"/>
            <w:tcBorders>
              <w:left w:val="single" w:color="auto" w:sz="4" w:space="0"/>
              <w:right w:val="single" w:color="auto" w:sz="4" w:space="0"/>
            </w:tcBorders>
            <w:vAlign w:val="center"/>
          </w:tcPr>
          <w:p>
            <w:pPr>
              <w:rPr>
                <w:rFonts w:ascii="Calibri" w:hAnsi="Calibri" w:eastAsia="宋体" w:cs="Times New Roman"/>
                <w:color w:val="auto"/>
                <w:szCs w:val="21"/>
                <w:highlight w:val="none"/>
              </w:rPr>
            </w:pPr>
          </w:p>
        </w:tc>
        <w:tc>
          <w:tcPr>
            <w:tcW w:w="581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Cs w:val="21"/>
                <w:highlight w:val="none"/>
              </w:rPr>
            </w:pPr>
            <w:r>
              <w:rPr>
                <w:rFonts w:hint="eastAsia" w:ascii="Calibri" w:hAnsi="Calibri" w:eastAsia="宋体" w:cs="Times New Roman"/>
                <w:color w:val="auto"/>
                <w:szCs w:val="21"/>
                <w:highlight w:val="none"/>
              </w:rPr>
              <w:t>6.</w:t>
            </w:r>
            <w:r>
              <w:rPr>
                <w:rFonts w:hint="eastAsia" w:ascii="宋体" w:hAnsi="宋体" w:eastAsia="宋体" w:cs="宋体"/>
                <w:color w:val="auto"/>
                <w:szCs w:val="21"/>
                <w:highlight w:val="none"/>
              </w:rPr>
              <w:t>绿色施工措施（2.5分）</w:t>
            </w:r>
          </w:p>
          <w:p>
            <w:pPr>
              <w:rPr>
                <w:rFonts w:ascii="Calibri" w:hAnsi="Calibri" w:eastAsia="宋体" w:cs="Times New Roman"/>
                <w:color w:val="auto"/>
                <w:szCs w:val="21"/>
                <w:highlight w:val="none"/>
              </w:rPr>
            </w:pPr>
            <w:r>
              <w:rPr>
                <w:rFonts w:hint="eastAsia" w:ascii="Calibri" w:hAnsi="Calibri" w:eastAsia="宋体" w:cs="Times New Roman"/>
                <w:color w:val="auto"/>
                <w:szCs w:val="21"/>
                <w:highlight w:val="none"/>
              </w:rPr>
              <w:t>结合本项目的特点，有完善的绿色施工保证措施，且有承诺使用合格、满足国家标准的绿色材料的，得2.5分，不提供不得分。</w:t>
            </w:r>
            <w:r>
              <w:rPr>
                <w:rFonts w:ascii="Calibri" w:hAnsi="Calibri" w:eastAsia="宋体" w:cs="Times New Roman"/>
                <w:color w:val="auto"/>
                <w:szCs w:val="21"/>
                <w:highlight w:val="none"/>
              </w:rPr>
              <w:t xml:space="preserve"> </w:t>
            </w:r>
          </w:p>
        </w:tc>
      </w:tr>
      <w:tr>
        <w:trPr>
          <w:trHeight w:val="62" w:hRule="atLeast"/>
        </w:trPr>
        <w:tc>
          <w:tcPr>
            <w:tcW w:w="782" w:type="dxa"/>
            <w:vMerge w:val="continue"/>
            <w:tcBorders>
              <w:right w:val="single" w:color="auto" w:sz="4" w:space="0"/>
            </w:tcBorders>
            <w:vAlign w:val="center"/>
          </w:tcPr>
          <w:p>
            <w:pPr>
              <w:jc w:val="center"/>
              <w:rPr>
                <w:rFonts w:ascii="Calibri" w:hAnsi="Calibri" w:eastAsia="宋体" w:cs="Times New Roman"/>
                <w:color w:val="auto"/>
                <w:szCs w:val="21"/>
                <w:highlight w:val="none"/>
              </w:rPr>
            </w:pPr>
          </w:p>
        </w:tc>
        <w:tc>
          <w:tcPr>
            <w:tcW w:w="1032" w:type="dxa"/>
            <w:vMerge w:val="continue"/>
            <w:tcBorders>
              <w:right w:val="single" w:color="auto" w:sz="4" w:space="0"/>
            </w:tcBorders>
          </w:tcPr>
          <w:p>
            <w:pPr>
              <w:jc w:val="center"/>
              <w:rPr>
                <w:rFonts w:ascii="Calibri" w:hAnsi="Calibri" w:eastAsia="宋体" w:cs="Times New Roman"/>
                <w:color w:val="auto"/>
                <w:sz w:val="20"/>
                <w:szCs w:val="20"/>
                <w:highlight w:val="none"/>
              </w:rPr>
            </w:pPr>
          </w:p>
        </w:tc>
        <w:tc>
          <w:tcPr>
            <w:tcW w:w="666" w:type="dxa"/>
            <w:vMerge w:val="continue"/>
            <w:tcBorders>
              <w:left w:val="single" w:color="auto" w:sz="4" w:space="0"/>
              <w:right w:val="single" w:color="auto" w:sz="4" w:space="0"/>
            </w:tcBorders>
            <w:vAlign w:val="center"/>
          </w:tcPr>
          <w:p>
            <w:pPr>
              <w:rPr>
                <w:rFonts w:ascii="Calibri" w:hAnsi="Calibri" w:eastAsia="宋体" w:cs="Times New Roman"/>
                <w:color w:val="auto"/>
                <w:szCs w:val="21"/>
                <w:highlight w:val="none"/>
              </w:rPr>
            </w:pPr>
          </w:p>
        </w:tc>
        <w:tc>
          <w:tcPr>
            <w:tcW w:w="1489" w:type="dxa"/>
            <w:vMerge w:val="continue"/>
            <w:tcBorders>
              <w:left w:val="single" w:color="auto" w:sz="4" w:space="0"/>
              <w:bottom w:val="single" w:color="auto" w:sz="4" w:space="0"/>
              <w:right w:val="single" w:color="auto" w:sz="4" w:space="0"/>
            </w:tcBorders>
            <w:vAlign w:val="center"/>
          </w:tcPr>
          <w:p>
            <w:pPr>
              <w:rPr>
                <w:rFonts w:ascii="Calibri" w:hAnsi="Calibri" w:eastAsia="宋体" w:cs="Times New Roman"/>
                <w:color w:val="auto"/>
                <w:szCs w:val="21"/>
                <w:highlight w:val="none"/>
              </w:rPr>
            </w:pPr>
          </w:p>
        </w:tc>
        <w:tc>
          <w:tcPr>
            <w:tcW w:w="581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Cs w:val="21"/>
                <w:highlight w:val="none"/>
              </w:rPr>
            </w:pPr>
            <w:r>
              <w:rPr>
                <w:rFonts w:hint="eastAsia" w:ascii="Calibri" w:hAnsi="Calibri" w:eastAsia="宋体" w:cs="Times New Roman"/>
                <w:color w:val="auto"/>
                <w:szCs w:val="21"/>
                <w:highlight w:val="none"/>
              </w:rPr>
              <w:t>7.</w:t>
            </w:r>
            <w:r>
              <w:rPr>
                <w:rFonts w:hint="eastAsia" w:ascii="宋体" w:hAnsi="宋体" w:eastAsia="宋体" w:cs="宋体"/>
                <w:color w:val="auto"/>
                <w:szCs w:val="21"/>
                <w:highlight w:val="none"/>
              </w:rPr>
              <w:t>资源投入及保证措施（2.5分）</w:t>
            </w:r>
          </w:p>
          <w:p>
            <w:pPr>
              <w:rPr>
                <w:rFonts w:ascii="Calibri" w:hAnsi="Calibri" w:eastAsia="宋体" w:cs="Times New Roman"/>
                <w:color w:val="auto"/>
                <w:szCs w:val="21"/>
                <w:highlight w:val="none"/>
              </w:rPr>
            </w:pPr>
            <w:r>
              <w:rPr>
                <w:rFonts w:ascii="Calibri" w:hAnsi="Calibri" w:eastAsia="宋体" w:cs="Times New Roman"/>
                <w:color w:val="auto"/>
                <w:szCs w:val="21"/>
                <w:highlight w:val="none"/>
              </w:rPr>
              <w:t>（</w:t>
            </w:r>
            <w:r>
              <w:rPr>
                <w:rFonts w:hint="eastAsia" w:ascii="Calibri" w:hAnsi="Calibri" w:eastAsia="宋体" w:cs="Times New Roman"/>
                <w:color w:val="auto"/>
                <w:szCs w:val="21"/>
                <w:highlight w:val="none"/>
              </w:rPr>
              <w:t>1</w:t>
            </w:r>
            <w:r>
              <w:rPr>
                <w:rFonts w:ascii="Calibri" w:hAnsi="Calibri" w:eastAsia="宋体" w:cs="Times New Roman"/>
                <w:color w:val="auto"/>
                <w:szCs w:val="21"/>
                <w:highlight w:val="none"/>
              </w:rPr>
              <w:t>）</w:t>
            </w:r>
            <w:r>
              <w:rPr>
                <w:rFonts w:hint="eastAsia" w:ascii="Calibri" w:hAnsi="Calibri" w:eastAsia="宋体" w:cs="Times New Roman"/>
                <w:color w:val="auto"/>
                <w:szCs w:val="21"/>
                <w:highlight w:val="none"/>
              </w:rPr>
              <w:t>资源投入及保证措施，有得1分，无得0分；</w:t>
            </w:r>
          </w:p>
          <w:p>
            <w:pPr>
              <w:rPr>
                <w:rFonts w:ascii="Calibri" w:hAnsi="Calibri" w:eastAsia="宋体" w:cs="Times New Roman"/>
                <w:color w:val="auto"/>
                <w:szCs w:val="21"/>
                <w:highlight w:val="none"/>
              </w:rPr>
            </w:pPr>
            <w:r>
              <w:rPr>
                <w:rFonts w:hint="eastAsia" w:ascii="Calibri" w:hAnsi="Calibri" w:eastAsia="宋体" w:cs="Times New Roman"/>
                <w:color w:val="auto"/>
                <w:szCs w:val="21"/>
                <w:highlight w:val="none"/>
              </w:rPr>
              <w:t>（2）根据本工程的特点编制劳动力、机械设备投入计划，配置数量齐全、合理，确保满足施工要求，投入保证措施具体、可行</w:t>
            </w:r>
            <w:r>
              <w:rPr>
                <w:rFonts w:hint="eastAsia" w:ascii="宋体" w:hAnsi="宋体" w:eastAsia="宋体" w:cs="宋体"/>
                <w:color w:val="auto"/>
                <w:szCs w:val="21"/>
                <w:highlight w:val="none"/>
              </w:rPr>
              <w:t>，得 1.5分，一般得 1分，不提供的不得分。</w:t>
            </w:r>
          </w:p>
        </w:tc>
      </w:tr>
      <w:tr>
        <w:tc>
          <w:tcPr>
            <w:tcW w:w="782" w:type="dxa"/>
            <w:tcBorders>
              <w:right w:val="single" w:color="auto" w:sz="4" w:space="0"/>
            </w:tcBorders>
            <w:vAlign w:val="center"/>
          </w:tcPr>
          <w:p>
            <w:pPr>
              <w:jc w:val="center"/>
              <w:rPr>
                <w:rFonts w:ascii="Calibri" w:hAnsi="Calibri" w:eastAsia="宋体" w:cs="Times New Roman"/>
                <w:color w:val="auto"/>
                <w:szCs w:val="21"/>
                <w:highlight w:val="none"/>
              </w:rPr>
            </w:pPr>
          </w:p>
        </w:tc>
        <w:tc>
          <w:tcPr>
            <w:tcW w:w="1032" w:type="dxa"/>
            <w:tcBorders>
              <w:right w:val="single" w:color="auto" w:sz="4" w:space="0"/>
            </w:tcBorders>
          </w:tcPr>
          <w:p>
            <w:pPr>
              <w:jc w:val="center"/>
              <w:rPr>
                <w:rFonts w:ascii="Calibri" w:hAnsi="Calibri" w:eastAsia="宋体" w:cs="Times New Roman"/>
                <w:color w:val="auto"/>
                <w:sz w:val="20"/>
                <w:szCs w:val="20"/>
                <w:highlight w:val="none"/>
              </w:rPr>
            </w:pPr>
          </w:p>
        </w:tc>
        <w:tc>
          <w:tcPr>
            <w:tcW w:w="666" w:type="dxa"/>
            <w:tcBorders>
              <w:left w:val="single" w:color="auto" w:sz="4" w:space="0"/>
              <w:right w:val="single" w:color="auto" w:sz="4" w:space="0"/>
            </w:tcBorders>
            <w:vAlign w:val="center"/>
          </w:tcPr>
          <w:p>
            <w:pPr>
              <w:jc w:val="center"/>
              <w:rPr>
                <w:rFonts w:ascii="Calibri" w:hAnsi="Calibri" w:eastAsia="宋体" w:cs="Times New Roman"/>
                <w:color w:val="auto"/>
                <w:sz w:val="20"/>
                <w:szCs w:val="20"/>
                <w:highlight w:val="none"/>
              </w:rPr>
            </w:pPr>
          </w:p>
        </w:tc>
        <w:tc>
          <w:tcPr>
            <w:tcW w:w="1489"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Times New Roman"/>
                <w:color w:val="auto"/>
                <w:szCs w:val="21"/>
                <w:highlight w:val="none"/>
              </w:rPr>
            </w:pPr>
            <w:r>
              <w:rPr>
                <w:rFonts w:ascii="Calibri" w:hAnsi="Calibri" w:eastAsia="宋体" w:cs="Times New Roman"/>
                <w:color w:val="auto"/>
                <w:kern w:val="1"/>
                <w:szCs w:val="21"/>
                <w:highlight w:val="none"/>
              </w:rPr>
              <w:t>设计和施工的融合</w:t>
            </w:r>
            <w:r>
              <w:rPr>
                <w:rFonts w:ascii="Calibri" w:hAnsi="Calibri" w:eastAsia="宋体" w:cs="Times New Roman"/>
                <w:color w:val="auto"/>
                <w:szCs w:val="21"/>
                <w:highlight w:val="none"/>
              </w:rPr>
              <w:t>（</w:t>
            </w:r>
            <w:r>
              <w:rPr>
                <w:rFonts w:hint="eastAsia" w:ascii="Calibri" w:hAnsi="Calibri" w:eastAsia="宋体" w:cs="Times New Roman"/>
                <w:color w:val="auto"/>
                <w:szCs w:val="21"/>
                <w:highlight w:val="none"/>
              </w:rPr>
              <w:t>31</w:t>
            </w:r>
            <w:r>
              <w:rPr>
                <w:rFonts w:ascii="Calibri" w:hAnsi="Calibri" w:eastAsia="宋体" w:cs="Times New Roman"/>
                <w:color w:val="auto"/>
                <w:szCs w:val="21"/>
                <w:highlight w:val="none"/>
              </w:rPr>
              <w:t>分）</w:t>
            </w:r>
          </w:p>
        </w:tc>
        <w:tc>
          <w:tcPr>
            <w:tcW w:w="5812"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Times New Roman"/>
                <w:b/>
                <w:color w:val="auto"/>
                <w:szCs w:val="21"/>
                <w:highlight w:val="none"/>
              </w:rPr>
            </w:pPr>
            <w:r>
              <w:rPr>
                <w:rFonts w:ascii="Calibri" w:hAnsi="Calibri" w:eastAsia="宋体" w:cs="Times New Roman"/>
                <w:b/>
                <w:color w:val="auto"/>
                <w:szCs w:val="21"/>
                <w:highlight w:val="none"/>
              </w:rPr>
              <w:t>一、投标人（若为联合体投标，指承担施工任务的单位）拟投入的施工管理团队中：</w:t>
            </w:r>
          </w:p>
          <w:p>
            <w:pPr>
              <w:rPr>
                <w:rFonts w:ascii="Calibri" w:hAnsi="Calibri" w:eastAsia="宋体" w:cs="Times New Roman"/>
                <w:color w:val="auto"/>
                <w:szCs w:val="21"/>
                <w:highlight w:val="none"/>
              </w:rPr>
            </w:pPr>
            <w:r>
              <w:rPr>
                <w:rFonts w:ascii="Calibri" w:hAnsi="Calibri" w:eastAsia="宋体" w:cs="Times New Roman"/>
                <w:color w:val="auto"/>
                <w:szCs w:val="21"/>
                <w:highlight w:val="none"/>
              </w:rPr>
              <w:t>1、技术负责人：具有市政工程相关专业高级或以上技术职称的，得</w:t>
            </w:r>
            <w:r>
              <w:rPr>
                <w:rFonts w:hint="eastAsia" w:ascii="Calibri" w:hAnsi="Calibri" w:eastAsia="宋体" w:cs="Times New Roman"/>
                <w:color w:val="auto"/>
                <w:szCs w:val="21"/>
                <w:highlight w:val="none"/>
              </w:rPr>
              <w:t>2</w:t>
            </w:r>
            <w:r>
              <w:rPr>
                <w:rFonts w:ascii="Calibri" w:hAnsi="Calibri" w:eastAsia="宋体" w:cs="Times New Roman"/>
                <w:color w:val="auto"/>
                <w:szCs w:val="21"/>
                <w:highlight w:val="none"/>
              </w:rPr>
              <w:t>分；</w:t>
            </w:r>
          </w:p>
          <w:p>
            <w:pPr>
              <w:rPr>
                <w:rFonts w:ascii="Calibri" w:hAnsi="Calibri" w:eastAsia="宋体" w:cs="Times New Roman"/>
                <w:color w:val="auto"/>
                <w:szCs w:val="21"/>
                <w:highlight w:val="none"/>
              </w:rPr>
            </w:pPr>
            <w:r>
              <w:rPr>
                <w:rFonts w:ascii="Calibri" w:hAnsi="Calibri" w:eastAsia="宋体" w:cs="Times New Roman"/>
                <w:color w:val="auto"/>
                <w:szCs w:val="21"/>
                <w:highlight w:val="none"/>
              </w:rPr>
              <w:t>2、质量负责人：具有市政工程相关专业高级或以上技术职称的，得</w:t>
            </w:r>
            <w:r>
              <w:rPr>
                <w:rFonts w:hint="eastAsia" w:ascii="Calibri" w:hAnsi="Calibri" w:eastAsia="宋体" w:cs="Times New Roman"/>
                <w:color w:val="auto"/>
                <w:szCs w:val="21"/>
                <w:highlight w:val="none"/>
              </w:rPr>
              <w:t>2</w:t>
            </w:r>
            <w:r>
              <w:rPr>
                <w:rFonts w:ascii="Calibri" w:hAnsi="Calibri" w:eastAsia="宋体" w:cs="Times New Roman"/>
                <w:color w:val="auto"/>
                <w:szCs w:val="21"/>
                <w:highlight w:val="none"/>
              </w:rPr>
              <w:t>分；</w:t>
            </w:r>
          </w:p>
          <w:p>
            <w:pPr>
              <w:rPr>
                <w:rFonts w:ascii="Calibri" w:hAnsi="Calibri" w:eastAsia="宋体" w:cs="Times New Roman"/>
                <w:color w:val="auto"/>
                <w:highlight w:val="none"/>
              </w:rPr>
            </w:pPr>
            <w:r>
              <w:rPr>
                <w:rFonts w:ascii="Calibri" w:hAnsi="Calibri" w:eastAsia="宋体" w:cs="Times New Roman"/>
                <w:color w:val="auto"/>
                <w:szCs w:val="21"/>
                <w:highlight w:val="none"/>
              </w:rPr>
              <w:t>3、安全负责人（与专职安全员不为同一人）：具有市政工程相关专业或安全类相关专业高级或以上技术职称的，得</w:t>
            </w:r>
            <w:r>
              <w:rPr>
                <w:rFonts w:hint="eastAsia" w:ascii="Calibri" w:hAnsi="Calibri" w:eastAsia="宋体" w:cs="Times New Roman"/>
                <w:color w:val="auto"/>
                <w:szCs w:val="21"/>
                <w:highlight w:val="none"/>
              </w:rPr>
              <w:t>2</w:t>
            </w:r>
            <w:r>
              <w:rPr>
                <w:rFonts w:ascii="Calibri" w:hAnsi="Calibri" w:eastAsia="宋体" w:cs="Times New Roman"/>
                <w:color w:val="auto"/>
                <w:szCs w:val="21"/>
                <w:highlight w:val="none"/>
              </w:rPr>
              <w:t>分；</w:t>
            </w:r>
          </w:p>
          <w:p>
            <w:pPr>
              <w:rPr>
                <w:rFonts w:ascii="Calibri" w:hAnsi="Calibri" w:eastAsia="宋体" w:cs="Times New Roman"/>
                <w:color w:val="auto"/>
                <w:szCs w:val="21"/>
                <w:highlight w:val="none"/>
              </w:rPr>
            </w:pPr>
            <w:r>
              <w:rPr>
                <w:rFonts w:ascii="Calibri" w:hAnsi="Calibri" w:eastAsia="宋体" w:cs="Times New Roman"/>
                <w:color w:val="auto"/>
                <w:szCs w:val="21"/>
                <w:highlight w:val="none"/>
              </w:rPr>
              <w:t>4、造价负责人：</w:t>
            </w:r>
          </w:p>
          <w:p>
            <w:pPr>
              <w:rPr>
                <w:rFonts w:ascii="Calibri" w:hAnsi="Calibri" w:eastAsia="宋体" w:cs="Times New Roman"/>
                <w:color w:val="auto"/>
                <w:szCs w:val="21"/>
                <w:highlight w:val="none"/>
              </w:rPr>
            </w:pPr>
            <w:r>
              <w:rPr>
                <w:rFonts w:ascii="Calibri" w:hAnsi="Calibri" w:eastAsia="宋体" w:cs="Times New Roman"/>
                <w:color w:val="auto"/>
                <w:szCs w:val="21"/>
                <w:highlight w:val="none"/>
              </w:rPr>
              <w:t>（1）具有市政工程相关专业或经济相关专业或造价相关专业高级或以上技术职称的，得</w:t>
            </w:r>
            <w:r>
              <w:rPr>
                <w:rFonts w:hint="eastAsia" w:ascii="Calibri" w:hAnsi="Calibri" w:eastAsia="宋体" w:cs="Times New Roman"/>
                <w:color w:val="auto"/>
                <w:szCs w:val="21"/>
                <w:highlight w:val="none"/>
              </w:rPr>
              <w:t>2</w:t>
            </w:r>
            <w:r>
              <w:rPr>
                <w:rFonts w:ascii="Calibri" w:hAnsi="Calibri" w:eastAsia="宋体" w:cs="Times New Roman"/>
                <w:color w:val="auto"/>
                <w:szCs w:val="21"/>
                <w:highlight w:val="none"/>
              </w:rPr>
              <w:t>分；</w:t>
            </w:r>
          </w:p>
          <w:p>
            <w:pPr>
              <w:rPr>
                <w:rFonts w:ascii="Calibri" w:hAnsi="Calibri" w:eastAsia="宋体" w:cs="Times New Roman"/>
                <w:color w:val="auto"/>
                <w:szCs w:val="21"/>
                <w:highlight w:val="none"/>
              </w:rPr>
            </w:pPr>
            <w:r>
              <w:rPr>
                <w:rFonts w:ascii="Calibri" w:hAnsi="Calibri" w:eastAsia="宋体" w:cs="Times New Roman"/>
                <w:color w:val="auto"/>
                <w:szCs w:val="21"/>
                <w:highlight w:val="none"/>
              </w:rPr>
              <w:t>（2）具备国家注册造价工程师资格或注册一级造价工程师资格，得</w:t>
            </w:r>
            <w:r>
              <w:rPr>
                <w:rFonts w:hint="eastAsia" w:ascii="Calibri" w:hAnsi="Calibri" w:eastAsia="宋体" w:cs="Times New Roman"/>
                <w:color w:val="auto"/>
                <w:szCs w:val="21"/>
                <w:highlight w:val="none"/>
              </w:rPr>
              <w:t>2</w:t>
            </w:r>
            <w:r>
              <w:rPr>
                <w:rFonts w:ascii="Calibri" w:hAnsi="Calibri" w:eastAsia="宋体" w:cs="Times New Roman"/>
                <w:color w:val="auto"/>
                <w:szCs w:val="21"/>
                <w:highlight w:val="none"/>
              </w:rPr>
              <w:t>分；具有注册二级造价工程师资格，得</w:t>
            </w:r>
            <w:r>
              <w:rPr>
                <w:rFonts w:hint="eastAsia" w:ascii="Calibri" w:hAnsi="Calibri" w:eastAsia="宋体" w:cs="Times New Roman"/>
                <w:color w:val="auto"/>
                <w:szCs w:val="21"/>
                <w:highlight w:val="none"/>
              </w:rPr>
              <w:t>1</w:t>
            </w:r>
            <w:r>
              <w:rPr>
                <w:rFonts w:ascii="Calibri" w:hAnsi="Calibri" w:eastAsia="宋体" w:cs="Times New Roman"/>
                <w:color w:val="auto"/>
                <w:szCs w:val="21"/>
                <w:highlight w:val="none"/>
              </w:rPr>
              <w:t>分；</w:t>
            </w:r>
          </w:p>
          <w:p>
            <w:pPr>
              <w:rPr>
                <w:rFonts w:ascii="Calibri" w:hAnsi="Calibri" w:eastAsia="宋体" w:cs="Times New Roman"/>
                <w:b/>
                <w:color w:val="auto"/>
                <w:szCs w:val="21"/>
                <w:highlight w:val="none"/>
              </w:rPr>
            </w:pPr>
            <w:r>
              <w:rPr>
                <w:rFonts w:ascii="Calibri" w:hAnsi="Calibri" w:eastAsia="宋体" w:cs="Times New Roman"/>
                <w:b/>
                <w:color w:val="auto"/>
                <w:szCs w:val="21"/>
                <w:highlight w:val="none"/>
              </w:rPr>
              <w:t>本小项最高得</w:t>
            </w:r>
            <w:r>
              <w:rPr>
                <w:rFonts w:hint="eastAsia" w:ascii="Calibri" w:hAnsi="Calibri" w:eastAsia="宋体" w:cs="Times New Roman"/>
                <w:b/>
                <w:color w:val="auto"/>
                <w:szCs w:val="21"/>
                <w:highlight w:val="none"/>
              </w:rPr>
              <w:t>10</w:t>
            </w:r>
            <w:r>
              <w:rPr>
                <w:rFonts w:ascii="Calibri" w:hAnsi="Calibri" w:eastAsia="宋体" w:cs="Times New Roman"/>
                <w:b/>
                <w:color w:val="auto"/>
                <w:szCs w:val="21"/>
                <w:highlight w:val="none"/>
              </w:rPr>
              <w:t>分</w:t>
            </w:r>
            <w:r>
              <w:rPr>
                <w:rFonts w:hint="eastAsia" w:ascii="Calibri" w:hAnsi="Calibri" w:eastAsia="宋体" w:cs="Times New Roman"/>
                <w:b/>
                <w:color w:val="auto"/>
                <w:szCs w:val="21"/>
                <w:highlight w:val="none"/>
              </w:rPr>
              <w:t>。</w:t>
            </w:r>
            <w:r>
              <w:rPr>
                <w:rFonts w:ascii="Calibri" w:hAnsi="Calibri" w:eastAsia="宋体" w:cs="Times New Roman"/>
                <w:b/>
                <w:color w:val="auto"/>
                <w:szCs w:val="21"/>
                <w:highlight w:val="none"/>
              </w:rPr>
              <w:t xml:space="preserve"> </w:t>
            </w:r>
          </w:p>
          <w:p>
            <w:pPr>
              <w:rPr>
                <w:rFonts w:ascii="Calibri" w:hAnsi="Calibri" w:eastAsia="宋体" w:cs="Times New Roman"/>
                <w:b/>
                <w:color w:val="auto"/>
                <w:szCs w:val="21"/>
                <w:highlight w:val="none"/>
              </w:rPr>
            </w:pPr>
            <w:r>
              <w:rPr>
                <w:rFonts w:ascii="Calibri" w:hAnsi="Calibri" w:eastAsia="宋体" w:cs="Times New Roman"/>
                <w:b/>
                <w:color w:val="auto"/>
                <w:szCs w:val="21"/>
                <w:highlight w:val="none"/>
              </w:rPr>
              <w:t>二、投标人（若为联合体投标，指承担设计任务的单位）拟投入的设计管理团队中：</w:t>
            </w:r>
          </w:p>
          <w:p>
            <w:pPr>
              <w:jc w:val="left"/>
              <w:rPr>
                <w:rFonts w:ascii="Calibri" w:hAnsi="Calibri" w:eastAsia="宋体" w:cs="Times New Roman"/>
                <w:color w:val="auto"/>
                <w:szCs w:val="21"/>
                <w:highlight w:val="none"/>
              </w:rPr>
            </w:pPr>
            <w:r>
              <w:rPr>
                <w:rFonts w:ascii="Calibri" w:hAnsi="Calibri" w:eastAsia="宋体" w:cs="Times New Roman"/>
                <w:color w:val="auto"/>
                <w:szCs w:val="21"/>
                <w:highlight w:val="none"/>
              </w:rPr>
              <w:t>1.设计负责人设计经历及业务能力：</w:t>
            </w:r>
          </w:p>
          <w:p>
            <w:pPr>
              <w:jc w:val="left"/>
              <w:rPr>
                <w:rFonts w:ascii="Calibri" w:hAnsi="Calibri" w:eastAsia="宋体" w:cs="Times New Roman"/>
                <w:color w:val="auto"/>
                <w:szCs w:val="21"/>
                <w:highlight w:val="none"/>
              </w:rPr>
            </w:pPr>
            <w:r>
              <w:rPr>
                <w:rFonts w:ascii="Calibri" w:hAnsi="Calibri" w:eastAsia="宋体" w:cs="Times New Roman"/>
                <w:color w:val="auto"/>
                <w:szCs w:val="21"/>
                <w:highlight w:val="none"/>
              </w:rPr>
              <w:t>（1）具备市政路桥类高级工程师的得</w:t>
            </w:r>
            <w:r>
              <w:rPr>
                <w:rFonts w:hint="eastAsia" w:ascii="Calibri" w:hAnsi="Calibri" w:eastAsia="宋体" w:cs="Times New Roman"/>
                <w:color w:val="auto"/>
                <w:szCs w:val="21"/>
                <w:highlight w:val="none"/>
              </w:rPr>
              <w:t>2</w:t>
            </w:r>
            <w:r>
              <w:rPr>
                <w:rFonts w:ascii="Calibri" w:hAnsi="Calibri" w:eastAsia="宋体" w:cs="Times New Roman"/>
                <w:color w:val="auto"/>
                <w:szCs w:val="21"/>
                <w:highlight w:val="none"/>
              </w:rPr>
              <w:t>分。</w:t>
            </w:r>
          </w:p>
          <w:p>
            <w:pPr>
              <w:jc w:val="left"/>
              <w:rPr>
                <w:rFonts w:ascii="Calibri" w:hAnsi="Calibri" w:eastAsia="宋体" w:cs="Times New Roman"/>
                <w:color w:val="auto"/>
                <w:szCs w:val="21"/>
                <w:highlight w:val="none"/>
              </w:rPr>
            </w:pPr>
            <w:r>
              <w:rPr>
                <w:rFonts w:ascii="Calibri" w:hAnsi="Calibri" w:eastAsia="宋体" w:cs="Times New Roman"/>
                <w:color w:val="auto"/>
                <w:szCs w:val="21"/>
                <w:highlight w:val="none"/>
              </w:rPr>
              <w:t>（2）具备注册土木工程师（道路工程）得</w:t>
            </w:r>
            <w:r>
              <w:rPr>
                <w:rFonts w:hint="eastAsia" w:ascii="Calibri" w:hAnsi="Calibri" w:eastAsia="宋体" w:cs="Times New Roman"/>
                <w:color w:val="auto"/>
                <w:szCs w:val="21"/>
                <w:highlight w:val="none"/>
              </w:rPr>
              <w:t>2</w:t>
            </w:r>
            <w:r>
              <w:rPr>
                <w:rFonts w:ascii="Calibri" w:hAnsi="Calibri" w:eastAsia="宋体" w:cs="Times New Roman"/>
                <w:color w:val="auto"/>
                <w:szCs w:val="21"/>
                <w:highlight w:val="none"/>
              </w:rPr>
              <w:t>分；</w:t>
            </w:r>
          </w:p>
          <w:p>
            <w:pPr>
              <w:jc w:val="left"/>
              <w:rPr>
                <w:rFonts w:ascii="Calibri" w:hAnsi="Calibri" w:eastAsia="宋体" w:cs="Times New Roman"/>
                <w:color w:val="auto"/>
                <w:szCs w:val="21"/>
                <w:highlight w:val="none"/>
              </w:rPr>
            </w:pPr>
            <w:r>
              <w:rPr>
                <w:rFonts w:ascii="Calibri" w:hAnsi="Calibri" w:eastAsia="宋体" w:cs="Times New Roman"/>
                <w:color w:val="auto"/>
                <w:szCs w:val="21"/>
                <w:highlight w:val="none"/>
              </w:rPr>
              <w:t>（3）自2021年1月1日至今</w:t>
            </w:r>
            <w:r>
              <w:rPr>
                <w:rFonts w:hint="eastAsia" w:ascii="Calibri" w:hAnsi="Calibri" w:eastAsia="宋体" w:cs="Times New Roman"/>
                <w:color w:val="auto"/>
                <w:szCs w:val="21"/>
                <w:highlight w:val="none"/>
                <w:lang w:val="en-US" w:eastAsia="zh-CN"/>
              </w:rPr>
              <w:t>参与的市政公用工程项目获得设计奖项</w:t>
            </w:r>
            <w:r>
              <w:rPr>
                <w:rFonts w:ascii="Calibri" w:hAnsi="Calibri" w:eastAsia="宋体" w:cs="Times New Roman"/>
                <w:color w:val="auto"/>
                <w:szCs w:val="21"/>
                <w:highlight w:val="none"/>
              </w:rPr>
              <w:t>：</w:t>
            </w:r>
          </w:p>
          <w:p>
            <w:pPr>
              <w:jc w:val="left"/>
              <w:rPr>
                <w:rFonts w:ascii="Calibri" w:hAnsi="Calibri" w:eastAsia="宋体" w:cs="Times New Roman"/>
                <w:color w:val="auto"/>
                <w:szCs w:val="21"/>
                <w:highlight w:val="none"/>
              </w:rPr>
            </w:pPr>
            <w:r>
              <w:rPr>
                <w:rFonts w:ascii="Calibri" w:hAnsi="Calibri" w:eastAsia="宋体" w:cs="Times New Roman"/>
                <w:color w:val="auto"/>
                <w:szCs w:val="21"/>
                <w:highlight w:val="none"/>
              </w:rPr>
              <w:t>获得国家级（含行业级）奖项的，每项得</w:t>
            </w:r>
            <w:r>
              <w:rPr>
                <w:rFonts w:hint="eastAsia" w:ascii="Calibri" w:hAnsi="Calibri" w:eastAsia="宋体" w:cs="Times New Roman"/>
                <w:color w:val="auto"/>
                <w:szCs w:val="21"/>
                <w:highlight w:val="none"/>
              </w:rPr>
              <w:t>2</w:t>
            </w:r>
            <w:r>
              <w:rPr>
                <w:rFonts w:ascii="Calibri" w:hAnsi="Calibri" w:eastAsia="宋体" w:cs="Times New Roman"/>
                <w:color w:val="auto"/>
                <w:szCs w:val="21"/>
                <w:highlight w:val="none"/>
              </w:rPr>
              <w:t>分；获得省级（或以上）奖项的，每项得</w:t>
            </w:r>
            <w:r>
              <w:rPr>
                <w:rFonts w:hint="eastAsia" w:ascii="Calibri" w:hAnsi="Calibri" w:eastAsia="宋体" w:cs="Times New Roman"/>
                <w:color w:val="auto"/>
                <w:szCs w:val="21"/>
                <w:highlight w:val="none"/>
              </w:rPr>
              <w:t>1</w:t>
            </w:r>
            <w:r>
              <w:rPr>
                <w:rFonts w:ascii="Calibri" w:hAnsi="Calibri" w:eastAsia="宋体" w:cs="Times New Roman"/>
                <w:color w:val="auto"/>
                <w:szCs w:val="21"/>
                <w:highlight w:val="none"/>
              </w:rPr>
              <w:t>分；市级奖（含副省级）的，每项得0.</w:t>
            </w:r>
            <w:r>
              <w:rPr>
                <w:rFonts w:hint="eastAsia" w:ascii="Calibri" w:hAnsi="Calibri" w:eastAsia="宋体" w:cs="Times New Roman"/>
                <w:color w:val="auto"/>
                <w:szCs w:val="21"/>
                <w:highlight w:val="none"/>
              </w:rPr>
              <w:t>5</w:t>
            </w:r>
            <w:r>
              <w:rPr>
                <w:rFonts w:ascii="Calibri" w:hAnsi="Calibri" w:eastAsia="宋体" w:cs="Times New Roman"/>
                <w:color w:val="auto"/>
                <w:szCs w:val="21"/>
                <w:highlight w:val="none"/>
              </w:rPr>
              <w:t>分。本小项最高得</w:t>
            </w:r>
            <w:r>
              <w:rPr>
                <w:rFonts w:hint="eastAsia" w:ascii="Calibri" w:hAnsi="Calibri" w:eastAsia="宋体" w:cs="Times New Roman"/>
                <w:color w:val="auto"/>
                <w:szCs w:val="21"/>
                <w:highlight w:val="none"/>
              </w:rPr>
              <w:t>6</w:t>
            </w:r>
            <w:r>
              <w:rPr>
                <w:rFonts w:ascii="Calibri" w:hAnsi="Calibri" w:eastAsia="宋体" w:cs="Times New Roman"/>
                <w:color w:val="auto"/>
                <w:szCs w:val="21"/>
                <w:highlight w:val="none"/>
              </w:rPr>
              <w:t>分。</w:t>
            </w:r>
          </w:p>
          <w:p>
            <w:pPr>
              <w:jc w:val="left"/>
              <w:rPr>
                <w:rFonts w:ascii="Calibri" w:hAnsi="Calibri" w:eastAsia="宋体" w:cs="Times New Roman"/>
                <w:b/>
                <w:color w:val="auto"/>
                <w:szCs w:val="21"/>
                <w:highlight w:val="none"/>
              </w:rPr>
            </w:pPr>
            <w:r>
              <w:rPr>
                <w:rFonts w:ascii="Calibri" w:hAnsi="Calibri" w:eastAsia="宋体" w:cs="Times New Roman"/>
                <w:b/>
                <w:color w:val="auto"/>
                <w:szCs w:val="21"/>
                <w:highlight w:val="none"/>
              </w:rPr>
              <w:t>以上合计最高得</w:t>
            </w:r>
            <w:r>
              <w:rPr>
                <w:rFonts w:hint="eastAsia" w:ascii="Calibri" w:hAnsi="Calibri" w:eastAsia="宋体" w:cs="Times New Roman"/>
                <w:b/>
                <w:color w:val="auto"/>
                <w:szCs w:val="21"/>
                <w:highlight w:val="none"/>
              </w:rPr>
              <w:t>10</w:t>
            </w:r>
            <w:r>
              <w:rPr>
                <w:rFonts w:ascii="Calibri" w:hAnsi="Calibri" w:eastAsia="宋体" w:cs="Times New Roman"/>
                <w:b/>
                <w:color w:val="auto"/>
                <w:szCs w:val="21"/>
                <w:highlight w:val="none"/>
              </w:rPr>
              <w:t>分。</w:t>
            </w:r>
          </w:p>
          <w:p>
            <w:pPr>
              <w:jc w:val="left"/>
              <w:rPr>
                <w:rFonts w:ascii="Calibri" w:hAnsi="Calibri" w:eastAsia="宋体" w:cs="Times New Roman"/>
                <w:color w:val="auto"/>
                <w:szCs w:val="21"/>
                <w:highlight w:val="none"/>
              </w:rPr>
            </w:pPr>
            <w:r>
              <w:rPr>
                <w:rFonts w:ascii="Calibri" w:hAnsi="Calibri" w:eastAsia="宋体" w:cs="Times New Roman"/>
                <w:color w:val="auto"/>
                <w:szCs w:val="21"/>
                <w:highlight w:val="none"/>
              </w:rPr>
              <w:t>2、各专业负责人设计经历及业务能力（道路、给排水、结构、电气、造价各1名）：</w:t>
            </w:r>
          </w:p>
          <w:p>
            <w:pPr>
              <w:jc w:val="left"/>
              <w:rPr>
                <w:rFonts w:ascii="Calibri" w:hAnsi="Calibri" w:eastAsia="宋体" w:cs="Times New Roman"/>
                <w:color w:val="auto"/>
                <w:szCs w:val="21"/>
                <w:highlight w:val="none"/>
              </w:rPr>
            </w:pPr>
            <w:r>
              <w:rPr>
                <w:rFonts w:ascii="Calibri" w:hAnsi="Calibri" w:eastAsia="宋体" w:cs="Times New Roman"/>
                <w:color w:val="auto"/>
                <w:szCs w:val="21"/>
                <w:highlight w:val="none"/>
              </w:rPr>
              <w:t>（1）各专业负责人具有对应专业高级工程师或以上职称，每人得</w:t>
            </w:r>
            <w:r>
              <w:rPr>
                <w:rFonts w:hint="eastAsia" w:ascii="Calibri" w:hAnsi="Calibri" w:eastAsia="宋体" w:cs="Times New Roman"/>
                <w:color w:val="auto"/>
                <w:szCs w:val="21"/>
                <w:highlight w:val="none"/>
              </w:rPr>
              <w:t>0.6</w:t>
            </w:r>
            <w:r>
              <w:rPr>
                <w:rFonts w:ascii="Calibri" w:hAnsi="Calibri" w:eastAsia="宋体" w:cs="Times New Roman"/>
                <w:color w:val="auto"/>
                <w:szCs w:val="21"/>
                <w:highlight w:val="none"/>
              </w:rPr>
              <w:t>分；具有中级工程师职称的，每人得0.</w:t>
            </w:r>
            <w:r>
              <w:rPr>
                <w:rFonts w:hint="eastAsia" w:ascii="Calibri" w:hAnsi="Calibri" w:eastAsia="宋体" w:cs="Times New Roman"/>
                <w:color w:val="auto"/>
                <w:szCs w:val="21"/>
                <w:highlight w:val="none"/>
              </w:rPr>
              <w:t>3</w:t>
            </w:r>
            <w:r>
              <w:rPr>
                <w:rFonts w:ascii="Calibri" w:hAnsi="Calibri" w:eastAsia="宋体" w:cs="Times New Roman"/>
                <w:color w:val="auto"/>
                <w:szCs w:val="21"/>
                <w:highlight w:val="none"/>
              </w:rPr>
              <w:t>分；最多得</w:t>
            </w:r>
            <w:r>
              <w:rPr>
                <w:rFonts w:hint="eastAsia" w:ascii="Calibri" w:hAnsi="Calibri" w:eastAsia="宋体" w:cs="Times New Roman"/>
                <w:color w:val="auto"/>
                <w:szCs w:val="21"/>
                <w:highlight w:val="none"/>
              </w:rPr>
              <w:t>3</w:t>
            </w:r>
            <w:r>
              <w:rPr>
                <w:rFonts w:ascii="Calibri" w:hAnsi="Calibri" w:eastAsia="宋体" w:cs="Times New Roman"/>
                <w:color w:val="auto"/>
                <w:szCs w:val="21"/>
                <w:highlight w:val="none"/>
              </w:rPr>
              <w:t>分；</w:t>
            </w:r>
          </w:p>
          <w:p>
            <w:pPr>
              <w:jc w:val="left"/>
              <w:rPr>
                <w:rFonts w:ascii="Calibri" w:hAnsi="Calibri" w:eastAsia="宋体" w:cs="Times New Roman"/>
                <w:color w:val="auto"/>
                <w:szCs w:val="21"/>
                <w:highlight w:val="none"/>
              </w:rPr>
            </w:pPr>
            <w:r>
              <w:rPr>
                <w:rFonts w:ascii="Calibri" w:hAnsi="Calibri" w:eastAsia="宋体" w:cs="Times New Roman"/>
                <w:color w:val="auto"/>
                <w:szCs w:val="21"/>
                <w:highlight w:val="none"/>
              </w:rPr>
              <w:t>（2）各专业负责人具有注册土木工程师（道路工程）或注册公用设备工程师（给水排水）或一级注册结构工程师或注册电气工程师（供配电）或注册造价工程师的注册执业资格的，每人得</w:t>
            </w:r>
            <w:r>
              <w:rPr>
                <w:rFonts w:hint="eastAsia" w:ascii="Calibri" w:hAnsi="Calibri" w:eastAsia="宋体" w:cs="Times New Roman"/>
                <w:color w:val="auto"/>
                <w:szCs w:val="21"/>
                <w:highlight w:val="none"/>
              </w:rPr>
              <w:t>0.6</w:t>
            </w:r>
            <w:r>
              <w:rPr>
                <w:rFonts w:ascii="Calibri" w:hAnsi="Calibri" w:eastAsia="宋体" w:cs="Times New Roman"/>
                <w:color w:val="auto"/>
                <w:szCs w:val="21"/>
                <w:highlight w:val="none"/>
              </w:rPr>
              <w:t>分，最多得</w:t>
            </w:r>
            <w:r>
              <w:rPr>
                <w:rFonts w:hint="eastAsia" w:ascii="Calibri" w:hAnsi="Calibri" w:eastAsia="宋体" w:cs="Times New Roman"/>
                <w:color w:val="auto"/>
                <w:szCs w:val="21"/>
                <w:highlight w:val="none"/>
              </w:rPr>
              <w:t>3</w:t>
            </w:r>
            <w:r>
              <w:rPr>
                <w:rFonts w:ascii="Calibri" w:hAnsi="Calibri" w:eastAsia="宋体" w:cs="Times New Roman"/>
                <w:color w:val="auto"/>
                <w:szCs w:val="21"/>
                <w:highlight w:val="none"/>
              </w:rPr>
              <w:t>分；</w:t>
            </w:r>
          </w:p>
          <w:p>
            <w:pPr>
              <w:jc w:val="left"/>
              <w:rPr>
                <w:rFonts w:ascii="Calibri" w:hAnsi="Calibri" w:eastAsia="宋体" w:cs="Times New Roman"/>
                <w:color w:val="auto"/>
                <w:szCs w:val="21"/>
                <w:highlight w:val="none"/>
              </w:rPr>
            </w:pPr>
            <w:r>
              <w:rPr>
                <w:rFonts w:ascii="Calibri" w:hAnsi="Calibri" w:eastAsia="宋体" w:cs="Times New Roman"/>
                <w:color w:val="auto"/>
                <w:szCs w:val="21"/>
                <w:highlight w:val="none"/>
              </w:rPr>
              <w:t>（3）各专业负责人自2021年1月1日至投标截止时间止，每1名参与的市政公用工程项目获得国家级（含行业级）奖项的，每项得</w:t>
            </w:r>
            <w:r>
              <w:rPr>
                <w:rFonts w:hint="eastAsia" w:ascii="Calibri" w:hAnsi="Calibri" w:eastAsia="宋体" w:cs="Times New Roman"/>
                <w:color w:val="auto"/>
                <w:szCs w:val="21"/>
                <w:highlight w:val="none"/>
              </w:rPr>
              <w:t>2</w:t>
            </w:r>
            <w:r>
              <w:rPr>
                <w:rFonts w:ascii="Calibri" w:hAnsi="Calibri" w:eastAsia="宋体" w:cs="Times New Roman"/>
                <w:color w:val="auto"/>
                <w:szCs w:val="21"/>
                <w:highlight w:val="none"/>
              </w:rPr>
              <w:t>分；获省级或以上奖项的，每项得</w:t>
            </w:r>
            <w:r>
              <w:rPr>
                <w:rFonts w:hint="eastAsia" w:ascii="Calibri" w:hAnsi="Calibri" w:eastAsia="宋体" w:cs="Times New Roman"/>
                <w:color w:val="auto"/>
                <w:szCs w:val="21"/>
                <w:highlight w:val="none"/>
              </w:rPr>
              <w:t>1</w:t>
            </w:r>
            <w:r>
              <w:rPr>
                <w:rFonts w:ascii="Calibri" w:hAnsi="Calibri" w:eastAsia="宋体" w:cs="Times New Roman"/>
                <w:color w:val="auto"/>
                <w:szCs w:val="21"/>
                <w:highlight w:val="none"/>
              </w:rPr>
              <w:t>分；获市（含副省级）奖项，每项得0. 5分。本小项最高得</w:t>
            </w:r>
            <w:r>
              <w:rPr>
                <w:rFonts w:hint="eastAsia" w:ascii="Calibri" w:hAnsi="Calibri" w:eastAsia="宋体" w:cs="Times New Roman"/>
                <w:color w:val="auto"/>
                <w:szCs w:val="21"/>
                <w:highlight w:val="none"/>
              </w:rPr>
              <w:t>5</w:t>
            </w:r>
            <w:r>
              <w:rPr>
                <w:rFonts w:ascii="Calibri" w:hAnsi="Calibri" w:eastAsia="宋体" w:cs="Times New Roman"/>
                <w:color w:val="auto"/>
                <w:szCs w:val="21"/>
                <w:highlight w:val="none"/>
              </w:rPr>
              <w:t>分。</w:t>
            </w:r>
          </w:p>
          <w:p>
            <w:pPr>
              <w:widowControl w:val="0"/>
              <w:jc w:val="both"/>
              <w:rPr>
                <w:rFonts w:ascii="Times New Roman" w:hAnsi="Times New Roman" w:eastAsia="宋体" w:cs="Times New Roman"/>
                <w:b/>
                <w:color w:val="auto"/>
                <w:kern w:val="2"/>
                <w:sz w:val="21"/>
                <w:szCs w:val="21"/>
                <w:highlight w:val="none"/>
                <w:lang w:val="en-US" w:eastAsia="zh-CN" w:bidi="ar-SA"/>
              </w:rPr>
            </w:pPr>
            <w:r>
              <w:rPr>
                <w:rFonts w:ascii="Times New Roman" w:hAnsi="Times New Roman" w:eastAsia="宋体" w:cs="Times New Roman"/>
                <w:b/>
                <w:color w:val="auto"/>
                <w:kern w:val="2"/>
                <w:sz w:val="21"/>
                <w:szCs w:val="21"/>
                <w:highlight w:val="none"/>
                <w:lang w:val="en-US" w:eastAsia="zh-CN" w:bidi="ar-SA"/>
              </w:rPr>
              <w:t>以上合计最多得</w:t>
            </w:r>
            <w:r>
              <w:rPr>
                <w:rFonts w:hint="eastAsia" w:ascii="Times New Roman" w:hAnsi="Times New Roman" w:eastAsia="宋体" w:cs="Times New Roman"/>
                <w:b/>
                <w:color w:val="auto"/>
                <w:kern w:val="2"/>
                <w:sz w:val="21"/>
                <w:szCs w:val="21"/>
                <w:highlight w:val="none"/>
                <w:lang w:val="en-US" w:eastAsia="zh-CN" w:bidi="ar-SA"/>
              </w:rPr>
              <w:t>11</w:t>
            </w:r>
            <w:r>
              <w:rPr>
                <w:rFonts w:ascii="Times New Roman" w:hAnsi="Times New Roman" w:eastAsia="宋体" w:cs="Times New Roman"/>
                <w:b/>
                <w:color w:val="auto"/>
                <w:kern w:val="2"/>
                <w:sz w:val="21"/>
                <w:szCs w:val="21"/>
                <w:highlight w:val="none"/>
                <w:lang w:val="en-US" w:eastAsia="zh-CN" w:bidi="ar-SA"/>
              </w:rPr>
              <w:t>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c>
          <w:tcPr>
            <w:tcW w:w="782"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Times New Roman"/>
                <w:color w:val="auto"/>
                <w:szCs w:val="21"/>
                <w:highlight w:val="none"/>
              </w:rPr>
            </w:pPr>
            <w:r>
              <w:rPr>
                <w:rFonts w:ascii="Calibri" w:hAnsi="Calibri" w:eastAsia="宋体" w:cs="Times New Roman"/>
                <w:color w:val="auto"/>
                <w:szCs w:val="21"/>
                <w:highlight w:val="none"/>
              </w:rPr>
              <w:t>2.2.4（</w:t>
            </w:r>
            <w:r>
              <w:rPr>
                <w:rFonts w:hint="eastAsia" w:ascii="Calibri" w:hAnsi="Calibri" w:eastAsia="宋体" w:cs="Times New Roman"/>
                <w:color w:val="auto"/>
                <w:szCs w:val="21"/>
                <w:highlight w:val="none"/>
              </w:rPr>
              <w:t>3</w:t>
            </w:r>
            <w:r>
              <w:rPr>
                <w:rFonts w:ascii="Calibri" w:hAnsi="Calibri" w:eastAsia="宋体" w:cs="Times New Roman"/>
                <w:color w:val="auto"/>
                <w:szCs w:val="21"/>
                <w:highlight w:val="none"/>
              </w:rPr>
              <w:t>）</w:t>
            </w:r>
          </w:p>
        </w:tc>
        <w:tc>
          <w:tcPr>
            <w:tcW w:w="1698" w:type="dxa"/>
            <w:gridSpan w:val="2"/>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Times New Roman"/>
                <w:color w:val="auto"/>
                <w:szCs w:val="21"/>
                <w:highlight w:val="none"/>
              </w:rPr>
            </w:pPr>
            <w:r>
              <w:rPr>
                <w:rFonts w:ascii="Calibri" w:hAnsi="Calibri" w:eastAsia="宋体" w:cs="Times New Roman"/>
                <w:color w:val="auto"/>
                <w:szCs w:val="21"/>
                <w:highlight w:val="none"/>
              </w:rPr>
              <w:t>投标报价评分标准（100分）</w:t>
            </w:r>
          </w:p>
        </w:tc>
        <w:tc>
          <w:tcPr>
            <w:tcW w:w="1489"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Times New Roman"/>
                <w:color w:val="auto"/>
                <w:szCs w:val="21"/>
                <w:highlight w:val="none"/>
              </w:rPr>
            </w:pPr>
            <w:r>
              <w:rPr>
                <w:rFonts w:ascii="Calibri" w:hAnsi="Calibri" w:eastAsia="宋体" w:cs="Times New Roman"/>
                <w:color w:val="auto"/>
                <w:szCs w:val="21"/>
                <w:highlight w:val="none"/>
              </w:rPr>
              <w:t>投标报价（100分）</w:t>
            </w:r>
          </w:p>
        </w:tc>
        <w:tc>
          <w:tcPr>
            <w:tcW w:w="5812"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Times New Roman"/>
                <w:color w:val="auto"/>
                <w:szCs w:val="21"/>
                <w:highlight w:val="none"/>
              </w:rPr>
            </w:pPr>
            <w:r>
              <w:rPr>
                <w:rFonts w:ascii="Calibri" w:hAnsi="Calibri" w:eastAsia="宋体" w:cs="Times New Roman"/>
                <w:color w:val="auto"/>
                <w:szCs w:val="21"/>
                <w:highlight w:val="none"/>
              </w:rPr>
              <w:t>当通过形式审查、资格审查和工程总承包实施方案响应性审查并经算术校核投标总报价等于评标</w:t>
            </w:r>
            <w:r>
              <w:rPr>
                <w:rFonts w:hint="eastAsia" w:ascii="Calibri" w:hAnsi="Calibri" w:eastAsia="宋体" w:cs="Times New Roman"/>
                <w:color w:val="auto"/>
                <w:szCs w:val="21"/>
                <w:highlight w:val="none"/>
              </w:rPr>
              <w:t xml:space="preserve"> </w:t>
            </w:r>
            <w:r>
              <w:rPr>
                <w:rFonts w:ascii="Calibri" w:hAnsi="Calibri" w:eastAsia="宋体" w:cs="Times New Roman"/>
                <w:color w:val="auto"/>
                <w:szCs w:val="21"/>
                <w:highlight w:val="none"/>
              </w:rPr>
              <w:t>基准价时得100分，投标总报价每高于评标基准价1%，扣0.2分，每低于评标基准价1%，扣0.1分，扣至0分为止，精确到小数点后两位。</w:t>
            </w:r>
          </w:p>
        </w:tc>
      </w:tr>
    </w:tbl>
    <w:p>
      <w:pPr>
        <w:spacing w:line="360" w:lineRule="auto"/>
        <w:rPr>
          <w:rFonts w:ascii="宋体" w:hAnsi="宋体" w:eastAsia="宋体" w:cs="宋体"/>
          <w:bCs/>
          <w:color w:val="auto"/>
          <w:szCs w:val="21"/>
          <w:highlight w:val="none"/>
          <w:lang w:val="zh-CN" w:bidi="ar"/>
        </w:rPr>
      </w:pPr>
      <w:r>
        <w:rPr>
          <w:rFonts w:hint="eastAsia" w:ascii="宋体" w:hAnsi="宋体" w:eastAsia="宋体" w:cs="宋体"/>
          <w:bCs/>
          <w:color w:val="auto"/>
          <w:szCs w:val="21"/>
          <w:highlight w:val="none"/>
          <w:lang w:val="zh-CN" w:bidi="ar"/>
        </w:rPr>
        <w:t>备注：</w:t>
      </w:r>
    </w:p>
    <w:p>
      <w:pPr>
        <w:rPr>
          <w:rFonts w:ascii="Calibri" w:hAnsi="Calibri" w:eastAsia="宋体" w:cs="Times New Roman"/>
          <w:b/>
          <w:color w:val="auto"/>
          <w:highlight w:val="none"/>
        </w:rPr>
      </w:pPr>
      <w:r>
        <w:rPr>
          <w:rFonts w:ascii="Calibri" w:hAnsi="Calibri" w:eastAsia="宋体" w:cs="Times New Roman"/>
          <w:b/>
          <w:color w:val="auto"/>
          <w:highlight w:val="none"/>
        </w:rPr>
        <w:t>1、类似工程业绩：</w:t>
      </w:r>
    </w:p>
    <w:p>
      <w:pPr>
        <w:snapToGrid w:val="0"/>
        <w:ind w:firstLine="420" w:firstLineChars="200"/>
        <w:jc w:val="left"/>
        <w:rPr>
          <w:rFonts w:ascii="Calibri" w:hAnsi="Calibri" w:eastAsia="宋体" w:cs="Times New Roman"/>
          <w:color w:val="auto"/>
          <w:highlight w:val="none"/>
        </w:rPr>
      </w:pPr>
      <w:r>
        <w:rPr>
          <w:rFonts w:ascii="Calibri" w:hAnsi="Calibri" w:eastAsia="宋体" w:cs="Times New Roman"/>
          <w:color w:val="auto"/>
          <w:szCs w:val="21"/>
          <w:highlight w:val="none"/>
          <w:shd w:val="clear" w:color="auto" w:fill="FFFFFF"/>
        </w:rPr>
        <w:t>（1）</w:t>
      </w:r>
      <w:r>
        <w:rPr>
          <w:rFonts w:ascii="Calibri" w:hAnsi="Calibri" w:eastAsia="宋体" w:cs="Times New Roman"/>
          <w:color w:val="auto"/>
          <w:highlight w:val="none"/>
        </w:rPr>
        <w:t>施工业绩：须同时提供合同关键页扫描件及中标通知书扫描件，时间以合同签订时间为准，金额以合同或中标通知书为准。</w:t>
      </w:r>
    </w:p>
    <w:p>
      <w:pPr>
        <w:snapToGrid w:val="0"/>
        <w:ind w:firstLine="420" w:firstLineChars="200"/>
        <w:jc w:val="left"/>
        <w:rPr>
          <w:rFonts w:ascii="Calibri" w:hAnsi="Calibri" w:eastAsia="宋体" w:cs="Times New Roman"/>
          <w:color w:val="auto"/>
          <w:highlight w:val="none"/>
        </w:rPr>
      </w:pPr>
      <w:r>
        <w:rPr>
          <w:rFonts w:ascii="Calibri" w:hAnsi="Calibri" w:eastAsia="宋体" w:cs="Times New Roman"/>
          <w:color w:val="auto"/>
          <w:highlight w:val="none"/>
        </w:rPr>
        <w:t>（2）</w:t>
      </w:r>
      <w:r>
        <w:rPr>
          <w:rFonts w:hint="eastAsia" w:ascii="Calibri" w:hAnsi="Calibri" w:eastAsia="宋体" w:cs="Times New Roman"/>
          <w:color w:val="auto"/>
          <w:highlight w:val="none"/>
        </w:rPr>
        <w:t>设计单位业绩：须同时提供中标通知书（或项目审批部门出具的免招标的相关证明）、合同关键页、初步设计审查证明材料或初步设计会议</w:t>
      </w:r>
      <w:bookmarkStart w:id="342" w:name="OLE_LINK11"/>
      <w:bookmarkEnd w:id="342"/>
      <w:r>
        <w:rPr>
          <w:rFonts w:hint="eastAsia" w:ascii="Calibri" w:hAnsi="Calibri" w:eastAsia="宋体" w:cs="Times New Roman"/>
          <w:color w:val="auto"/>
          <w:highlight w:val="none"/>
        </w:rPr>
        <w:t>评审纪要（或批复）或项目主体施工图审查证明材料，业绩时间以合同签订时间为准。不符合上述条件或未提供上述资料的不得分。</w:t>
      </w:r>
    </w:p>
    <w:p>
      <w:pPr>
        <w:snapToGrid w:val="0"/>
        <w:jc w:val="left"/>
        <w:rPr>
          <w:rFonts w:ascii="Calibri" w:hAnsi="Calibri" w:eastAsia="宋体" w:cs="Times New Roman"/>
          <w:b/>
          <w:color w:val="auto"/>
          <w:szCs w:val="21"/>
          <w:highlight w:val="none"/>
          <w:shd w:val="clear" w:color="auto" w:fill="FFFFFF"/>
        </w:rPr>
      </w:pPr>
      <w:r>
        <w:rPr>
          <w:rFonts w:hint="eastAsia" w:ascii="Calibri" w:hAnsi="Calibri" w:eastAsia="宋体" w:cs="Times New Roman"/>
          <w:b/>
          <w:color w:val="auto"/>
          <w:szCs w:val="21"/>
          <w:highlight w:val="none"/>
          <w:shd w:val="clear" w:color="auto" w:fill="FFFFFF"/>
        </w:rPr>
        <w:t>2</w:t>
      </w:r>
      <w:r>
        <w:rPr>
          <w:rFonts w:ascii="Calibri" w:hAnsi="Calibri" w:eastAsia="宋体" w:cs="Times New Roman"/>
          <w:b/>
          <w:color w:val="auto"/>
          <w:szCs w:val="21"/>
          <w:highlight w:val="none"/>
          <w:shd w:val="clear" w:color="auto" w:fill="FFFFFF"/>
        </w:rPr>
        <w:t>、企业获奖：</w:t>
      </w:r>
    </w:p>
    <w:p>
      <w:pPr>
        <w:snapToGrid w:val="0"/>
        <w:ind w:firstLine="420" w:firstLineChars="200"/>
        <w:jc w:val="left"/>
        <w:rPr>
          <w:rFonts w:ascii="Calibri" w:hAnsi="Calibri" w:eastAsia="宋体" w:cs="Times New Roman"/>
          <w:b/>
          <w:color w:val="auto"/>
          <w:highlight w:val="none"/>
        </w:rPr>
      </w:pPr>
      <w:r>
        <w:rPr>
          <w:rFonts w:ascii="Calibri" w:hAnsi="Calibri" w:eastAsia="宋体" w:cs="Times New Roman"/>
          <w:b/>
          <w:color w:val="auto"/>
          <w:szCs w:val="21"/>
          <w:highlight w:val="none"/>
          <w:shd w:val="clear" w:color="auto" w:fill="FFFFFF"/>
        </w:rPr>
        <w:t>施工获奖要求：</w:t>
      </w:r>
    </w:p>
    <w:p>
      <w:pPr>
        <w:snapToGrid w:val="0"/>
        <w:ind w:firstLine="420" w:firstLineChars="200"/>
        <w:jc w:val="left"/>
        <w:rPr>
          <w:rFonts w:ascii="Calibri" w:hAnsi="Calibri" w:eastAsia="宋体" w:cs="Times New Roman"/>
          <w:bCs/>
          <w:color w:val="auto"/>
          <w:szCs w:val="21"/>
          <w:highlight w:val="none"/>
          <w:shd w:val="clear" w:color="auto" w:fill="FFFFFF"/>
        </w:rPr>
      </w:pPr>
      <w:r>
        <w:rPr>
          <w:rFonts w:ascii="Calibri" w:hAnsi="Calibri" w:eastAsia="宋体" w:cs="Times New Roman"/>
          <w:bCs/>
          <w:color w:val="auto"/>
          <w:szCs w:val="21"/>
          <w:highlight w:val="none"/>
          <w:shd w:val="clear" w:color="auto" w:fill="FFFFFF"/>
        </w:rPr>
        <w:t>（1）国家级质量奖项指</w:t>
      </w:r>
      <w:r>
        <w:rPr>
          <w:rFonts w:hint="eastAsia" w:ascii="Calibri" w:hAnsi="Calibri" w:eastAsia="宋体" w:cs="Times New Roman"/>
          <w:bCs/>
          <w:color w:val="auto"/>
          <w:szCs w:val="21"/>
          <w:highlight w:val="none"/>
          <w:shd w:val="clear" w:color="auto" w:fill="FFFFFF"/>
        </w:rPr>
        <w:t>中国建设工程</w:t>
      </w:r>
      <w:r>
        <w:rPr>
          <w:rFonts w:ascii="Calibri" w:hAnsi="Calibri" w:eastAsia="宋体" w:cs="Times New Roman"/>
          <w:bCs/>
          <w:color w:val="auto"/>
          <w:szCs w:val="21"/>
          <w:highlight w:val="none"/>
          <w:shd w:val="clear" w:color="auto" w:fill="FFFFFF"/>
        </w:rPr>
        <w:t>鲁班奖、国家优质工程金质奖、国家优质工程奖、</w:t>
      </w:r>
      <w:r>
        <w:rPr>
          <w:rFonts w:hint="eastAsia" w:ascii="Calibri" w:hAnsi="Calibri" w:eastAsia="宋体" w:cs="Times New Roman"/>
          <w:bCs/>
          <w:color w:val="auto"/>
          <w:szCs w:val="21"/>
          <w:highlight w:val="none"/>
          <w:shd w:val="clear" w:color="auto" w:fill="FFFFFF"/>
        </w:rPr>
        <w:t>中国</w:t>
      </w:r>
      <w:r>
        <w:rPr>
          <w:rFonts w:ascii="Calibri" w:hAnsi="Calibri" w:eastAsia="宋体" w:cs="Times New Roman"/>
          <w:bCs/>
          <w:color w:val="auto"/>
          <w:szCs w:val="21"/>
          <w:highlight w:val="none"/>
          <w:shd w:val="clear" w:color="auto" w:fill="FFFFFF"/>
        </w:rPr>
        <w:t>土木工程詹天佑奖等。省、市级奖项是指由省、市级建设行政主管部门或行业协会等颁发的工程质量类奖项等。</w:t>
      </w:r>
    </w:p>
    <w:p>
      <w:pPr>
        <w:snapToGrid w:val="0"/>
        <w:ind w:firstLine="420" w:firstLineChars="200"/>
        <w:jc w:val="left"/>
        <w:rPr>
          <w:rFonts w:ascii="Calibri" w:hAnsi="Calibri" w:eastAsia="宋体" w:cs="Times New Roman"/>
          <w:b/>
          <w:color w:val="auto"/>
          <w:szCs w:val="21"/>
          <w:highlight w:val="none"/>
          <w:shd w:val="clear" w:color="auto" w:fill="FFFFFF"/>
        </w:rPr>
      </w:pPr>
      <w:r>
        <w:rPr>
          <w:rFonts w:ascii="Calibri" w:hAnsi="Calibri" w:eastAsia="宋体" w:cs="Times New Roman"/>
          <w:bCs/>
          <w:color w:val="auto"/>
          <w:szCs w:val="21"/>
          <w:highlight w:val="none"/>
          <w:shd w:val="clear" w:color="auto" w:fill="FFFFFF"/>
        </w:rPr>
        <w:t>（2）同一项目获得多个级别奖项的，按所满足的最高等级计分一次。投标人须提供相关获奖证书或获奖文件扫描件。获奖时间以证书中载明的发证时间或获奖文件颁发时间为准。如颁奖单位为协会的，还须提供该协会在“中国社会组织政务服务平台”有登记的网页查询截图（网址：https://chinanpo.mca.gov.cn/），证明其有登记备案，否则不得分。</w:t>
      </w:r>
    </w:p>
    <w:p>
      <w:pPr>
        <w:snapToGrid w:val="0"/>
        <w:ind w:firstLine="420" w:firstLineChars="200"/>
        <w:jc w:val="left"/>
        <w:rPr>
          <w:rFonts w:ascii="Calibri" w:hAnsi="Calibri" w:eastAsia="宋体" w:cs="Times New Roman"/>
          <w:b/>
          <w:color w:val="auto"/>
          <w:highlight w:val="none"/>
        </w:rPr>
      </w:pPr>
      <w:r>
        <w:rPr>
          <w:rFonts w:ascii="Calibri" w:hAnsi="Calibri" w:eastAsia="宋体" w:cs="Times New Roman"/>
          <w:b/>
          <w:color w:val="auto"/>
          <w:szCs w:val="21"/>
          <w:highlight w:val="none"/>
          <w:shd w:val="clear" w:color="auto" w:fill="FFFFFF"/>
        </w:rPr>
        <w:t>设计获奖要求：</w:t>
      </w:r>
    </w:p>
    <w:p>
      <w:pPr>
        <w:snapToGrid w:val="0"/>
        <w:ind w:firstLine="420" w:firstLineChars="200"/>
        <w:jc w:val="left"/>
        <w:rPr>
          <w:rFonts w:ascii="Calibri" w:hAnsi="Calibri" w:eastAsia="宋体" w:cs="Times New Roman"/>
          <w:color w:val="auto"/>
          <w:szCs w:val="21"/>
          <w:highlight w:val="none"/>
          <w:shd w:val="clear" w:color="auto" w:fill="FFFFFF"/>
        </w:rPr>
      </w:pPr>
      <w:r>
        <w:rPr>
          <w:rFonts w:ascii="Calibri" w:hAnsi="Calibri" w:eastAsia="宋体" w:cs="Times New Roman"/>
          <w:color w:val="auto"/>
          <w:szCs w:val="21"/>
          <w:highlight w:val="none"/>
          <w:shd w:val="clear" w:color="auto" w:fill="FFFFFF"/>
        </w:rPr>
        <w:t>（1）设计奖项是指：国家级工程类设计奖项是指由住建部颁发的全国优秀工程勘察设计奖、中国勘察设计协会颁发的全国优秀工程勘察设计行业奖。工程类设计奖项还包括但不限于省级、市级（含副省级）工程勘察设计行业协会颁发的省级、市级（含副省级）优秀勘察设计奖综合类奖项。</w:t>
      </w:r>
    </w:p>
    <w:p>
      <w:pPr>
        <w:snapToGrid w:val="0"/>
        <w:ind w:firstLine="420" w:firstLineChars="200"/>
        <w:jc w:val="left"/>
        <w:rPr>
          <w:rFonts w:ascii="Calibri" w:hAnsi="Calibri" w:eastAsia="宋体" w:cs="Times New Roman"/>
          <w:color w:val="auto"/>
          <w:szCs w:val="21"/>
          <w:highlight w:val="none"/>
          <w:shd w:val="clear" w:color="auto" w:fill="FFFFFF"/>
        </w:rPr>
      </w:pPr>
      <w:r>
        <w:rPr>
          <w:rFonts w:ascii="Calibri" w:hAnsi="Calibri" w:eastAsia="宋体" w:cs="Times New Roman"/>
          <w:color w:val="auto"/>
          <w:szCs w:val="21"/>
          <w:highlight w:val="none"/>
          <w:shd w:val="clear" w:color="auto" w:fill="FFFFFF"/>
        </w:rPr>
        <w:t>国家级分值、行业级分值＞省级分值&gt;市级和副省级分值。</w:t>
      </w:r>
    </w:p>
    <w:p>
      <w:pPr>
        <w:snapToGrid w:val="0"/>
        <w:ind w:firstLine="420" w:firstLineChars="200"/>
        <w:jc w:val="left"/>
        <w:rPr>
          <w:rFonts w:ascii="Calibri" w:hAnsi="Calibri" w:eastAsia="宋体" w:cs="Times New Roman"/>
          <w:color w:val="auto"/>
          <w:szCs w:val="21"/>
          <w:highlight w:val="none"/>
          <w:shd w:val="clear" w:color="auto" w:fill="FFFFFF"/>
        </w:rPr>
      </w:pPr>
      <w:r>
        <w:rPr>
          <w:rFonts w:ascii="Calibri" w:hAnsi="Calibri" w:eastAsia="宋体" w:cs="Times New Roman"/>
          <w:color w:val="auto"/>
          <w:szCs w:val="21"/>
          <w:highlight w:val="none"/>
          <w:shd w:val="clear" w:color="auto" w:fill="FFFFFF"/>
        </w:rPr>
        <w:t>（2）对同一工程业绩项目按最高奖项级别只计算一次分数，不得重复计算。时间以获奖证书上的颁发日期为准。</w:t>
      </w:r>
    </w:p>
    <w:p>
      <w:pPr>
        <w:snapToGrid w:val="0"/>
        <w:ind w:firstLine="420" w:firstLineChars="200"/>
        <w:jc w:val="left"/>
        <w:rPr>
          <w:rFonts w:ascii="Calibri" w:hAnsi="Calibri" w:eastAsia="宋体" w:cs="Times New Roman"/>
          <w:color w:val="auto"/>
          <w:szCs w:val="21"/>
          <w:highlight w:val="none"/>
          <w:shd w:val="clear" w:color="auto" w:fill="FFFFFF"/>
        </w:rPr>
      </w:pPr>
      <w:r>
        <w:rPr>
          <w:rFonts w:ascii="Calibri" w:hAnsi="Calibri" w:eastAsia="宋体" w:cs="Times New Roman"/>
          <w:color w:val="auto"/>
          <w:szCs w:val="21"/>
          <w:highlight w:val="none"/>
          <w:shd w:val="clear" w:color="auto" w:fill="FFFFFF"/>
        </w:rPr>
        <w:t>（3）获奖业绩需提供获奖证书扫描件。</w:t>
      </w:r>
    </w:p>
    <w:p>
      <w:pPr>
        <w:snapToGrid w:val="0"/>
        <w:ind w:firstLine="420" w:firstLineChars="200"/>
        <w:jc w:val="left"/>
        <w:rPr>
          <w:rFonts w:ascii="Calibri" w:hAnsi="Calibri" w:eastAsia="宋体" w:cs="Times New Roman"/>
          <w:color w:val="auto"/>
          <w:szCs w:val="21"/>
          <w:highlight w:val="none"/>
          <w:shd w:val="clear" w:color="auto" w:fill="FFFFFF"/>
        </w:rPr>
      </w:pPr>
      <w:r>
        <w:rPr>
          <w:rFonts w:ascii="Calibri" w:hAnsi="Calibri" w:eastAsia="宋体" w:cs="Times New Roman"/>
          <w:color w:val="auto"/>
          <w:szCs w:val="21"/>
          <w:highlight w:val="none"/>
          <w:shd w:val="clear" w:color="auto" w:fill="FFFFFF"/>
        </w:rPr>
        <w:t>（4）不符合上述条件或未提供上述资料的不得分。</w:t>
      </w:r>
    </w:p>
    <w:p>
      <w:pPr>
        <w:jc w:val="left"/>
        <w:rPr>
          <w:rFonts w:ascii="Calibri" w:hAnsi="Calibri" w:eastAsia="宋体" w:cs="Times New Roman"/>
          <w:b/>
          <w:color w:val="auto"/>
          <w:highlight w:val="none"/>
        </w:rPr>
      </w:pPr>
      <w:r>
        <w:rPr>
          <w:rFonts w:hint="eastAsia" w:ascii="Calibri" w:hAnsi="Calibri" w:eastAsia="宋体" w:cs="Times New Roman"/>
          <w:b/>
          <w:color w:val="auto"/>
          <w:highlight w:val="none"/>
        </w:rPr>
        <w:t>3</w:t>
      </w:r>
      <w:r>
        <w:rPr>
          <w:rFonts w:ascii="Calibri" w:hAnsi="Calibri" w:eastAsia="宋体" w:cs="Times New Roman"/>
          <w:b/>
          <w:color w:val="auto"/>
          <w:highlight w:val="none"/>
        </w:rPr>
        <w:t>、</w:t>
      </w:r>
      <w:r>
        <w:rPr>
          <w:rFonts w:hint="eastAsia" w:ascii="Calibri" w:hAnsi="Calibri" w:eastAsia="宋体" w:cs="Times New Roman"/>
          <w:b/>
          <w:color w:val="auto"/>
          <w:highlight w:val="none"/>
        </w:rPr>
        <w:t>工程研发能力</w:t>
      </w:r>
      <w:r>
        <w:rPr>
          <w:rFonts w:ascii="Calibri" w:hAnsi="Calibri" w:eastAsia="宋体" w:cs="Times New Roman"/>
          <w:b/>
          <w:color w:val="auto"/>
          <w:highlight w:val="none"/>
        </w:rPr>
        <w:t>：</w:t>
      </w:r>
    </w:p>
    <w:p>
      <w:pPr>
        <w:snapToGrid w:val="0"/>
        <w:spacing w:beforeLines="0" w:afterLines="0"/>
        <w:ind w:firstLine="420" w:firstLineChars="200"/>
        <w:jc w:val="left"/>
        <w:rPr>
          <w:rFonts w:hint="default" w:ascii="Times New Roman" w:hAnsi="Times New Roman"/>
          <w:b/>
          <w:color w:val="auto"/>
          <w:sz w:val="21"/>
          <w:szCs w:val="24"/>
          <w:highlight w:val="none"/>
        </w:rPr>
      </w:pPr>
      <w:r>
        <w:rPr>
          <w:rFonts w:hint="eastAsia" w:ascii="宋体" w:hAnsi="Times New Roman"/>
          <w:b/>
          <w:color w:val="auto"/>
          <w:sz w:val="21"/>
          <w:szCs w:val="24"/>
          <w:highlight w:val="none"/>
        </w:rPr>
        <w:t>科学技术类奖项，须提供的证明材料：</w:t>
      </w:r>
    </w:p>
    <w:p>
      <w:pPr>
        <w:snapToGrid w:val="0"/>
        <w:spacing w:beforeLines="0" w:afterLines="0"/>
        <w:ind w:firstLine="420" w:firstLineChars="200"/>
        <w:jc w:val="left"/>
        <w:rPr>
          <w:rFonts w:hint="default" w:ascii="Times New Roman" w:hAnsi="Times New Roman"/>
          <w:color w:val="auto"/>
          <w:sz w:val="21"/>
          <w:szCs w:val="21"/>
          <w:highlight w:val="none"/>
          <w:shd w:val="clear" w:color="auto" w:fill="FFFFFF"/>
        </w:rPr>
      </w:pPr>
      <w:r>
        <w:rPr>
          <w:rFonts w:hint="eastAsia" w:ascii="宋体" w:hAnsi="Times New Roman"/>
          <w:color w:val="auto"/>
          <w:sz w:val="21"/>
          <w:szCs w:val="21"/>
          <w:highlight w:val="none"/>
          <w:shd w:val="clear" w:color="auto" w:fill="FFFFFF"/>
        </w:rPr>
        <w:t>（1）科学技术类奖项包含但不限于自然科学奖、技术发明奖、科学技术进步奖等获奖，须提供证书扫描件；</w:t>
      </w:r>
    </w:p>
    <w:p>
      <w:pPr>
        <w:snapToGrid w:val="0"/>
        <w:spacing w:beforeLines="0" w:afterLines="0"/>
        <w:ind w:firstLine="420" w:firstLineChars="200"/>
        <w:jc w:val="left"/>
        <w:rPr>
          <w:rFonts w:hint="default" w:ascii="Times New Roman" w:hAnsi="Times New Roman"/>
          <w:color w:val="auto"/>
          <w:sz w:val="21"/>
          <w:szCs w:val="21"/>
          <w:highlight w:val="none"/>
          <w:shd w:val="clear" w:color="auto" w:fill="FFFFFF"/>
        </w:rPr>
      </w:pPr>
      <w:r>
        <w:rPr>
          <w:rFonts w:hint="eastAsia" w:ascii="宋体" w:hAnsi="Times New Roman"/>
          <w:color w:val="auto"/>
          <w:sz w:val="21"/>
          <w:szCs w:val="21"/>
          <w:highlight w:val="none"/>
          <w:shd w:val="clear" w:color="auto" w:fill="FFFFFF"/>
        </w:rPr>
        <w:t>（2）当地行政主管部门或科技行政部门认可的组织出具的科学技术成果鉴定证书或第三方技术评价证明材料或其他能证明应用于投标人【市政公用工程】项目的证明材料扫描件；</w:t>
      </w:r>
    </w:p>
    <w:p>
      <w:pPr>
        <w:snapToGrid w:val="0"/>
        <w:spacing w:beforeLines="0" w:afterLines="0"/>
        <w:ind w:firstLine="420" w:firstLineChars="200"/>
        <w:jc w:val="left"/>
        <w:rPr>
          <w:rFonts w:hint="default" w:ascii="Times New Roman" w:hAnsi="Times New Roman"/>
          <w:color w:val="auto"/>
          <w:sz w:val="21"/>
          <w:szCs w:val="21"/>
          <w:highlight w:val="none"/>
          <w:shd w:val="clear" w:color="auto" w:fill="FFFFFF"/>
        </w:rPr>
      </w:pPr>
      <w:r>
        <w:rPr>
          <w:rFonts w:hint="eastAsia" w:ascii="宋体" w:hAnsi="Times New Roman"/>
          <w:color w:val="auto"/>
          <w:sz w:val="21"/>
          <w:szCs w:val="21"/>
          <w:highlight w:val="none"/>
          <w:shd w:val="clear" w:color="auto" w:fill="FFFFFF"/>
        </w:rPr>
        <w:t>（3）若颁发单位是行业协会或学会，须同时提供设奖资格证明及该颁发单位在“中国社会组织公共服务平台”网站（https://chinanpo.mca.gov.cn）登记的查询结果截图，否则该证书不予认定。仅计算【市政公用工程】项目获得的科学技术类奖项，所提供的证明材料无法体现该科学技术奖励的研究背景项目为【市政公用工程】的不予以计算。同一技术获奖的只按最高奖项计算一次，不重复计算。</w:t>
      </w:r>
    </w:p>
    <w:p>
      <w:pPr>
        <w:snapToGrid w:val="0"/>
        <w:spacing w:beforeLines="0" w:afterLines="0"/>
        <w:ind w:firstLine="420" w:firstLineChars="200"/>
        <w:jc w:val="left"/>
        <w:rPr>
          <w:rFonts w:hint="default" w:ascii="Times New Roman" w:hAnsi="Times New Roman"/>
          <w:color w:val="auto"/>
          <w:sz w:val="21"/>
          <w:szCs w:val="21"/>
          <w:highlight w:val="none"/>
          <w:shd w:val="clear" w:color="auto" w:fill="FFFFFF"/>
        </w:rPr>
      </w:pPr>
      <w:r>
        <w:rPr>
          <w:rFonts w:hint="eastAsia" w:ascii="宋体" w:hAnsi="Times New Roman"/>
          <w:color w:val="auto"/>
          <w:sz w:val="21"/>
          <w:szCs w:val="21"/>
          <w:highlight w:val="none"/>
          <w:shd w:val="clear" w:color="auto" w:fill="FFFFFF"/>
        </w:rPr>
        <w:t>特别说明：科学技术奖励发证机构须为政府部门、或国家科学技术奖励工作办公室网站（https://www.nosta.gov.cn/pc/zh/shkjjl/jlmu/page_1.shtml，网址若有更新，以最新发布的为准）公布的社会科技奖励目录中的承办机构、或经科技行政部门批准或登记设奖的社会组织、或按照《国家科学技术奖励条例》及《社会力量设立科学技术奖管理办法》等相关规定设立科学技术奖励的社会组织。不符合上述条件或未提供上述资料的奖项不计分。</w:t>
      </w:r>
    </w:p>
    <w:p>
      <w:pPr>
        <w:snapToGrid w:val="0"/>
        <w:spacing w:beforeLines="0" w:afterLines="0"/>
        <w:jc w:val="left"/>
        <w:rPr>
          <w:rFonts w:hint="default" w:ascii="Times New Roman" w:hAnsi="Times New Roman" w:eastAsia="宋体"/>
          <w:b/>
          <w:color w:val="auto"/>
          <w:sz w:val="21"/>
          <w:szCs w:val="24"/>
          <w:highlight w:val="none"/>
        </w:rPr>
      </w:pPr>
      <w:r>
        <w:rPr>
          <w:rFonts w:hint="default" w:ascii="Times New Roman" w:hAnsi="Times New Roman" w:eastAsia="宋体"/>
          <w:b/>
          <w:color w:val="auto"/>
          <w:sz w:val="21"/>
          <w:szCs w:val="24"/>
          <w:highlight w:val="none"/>
        </w:rPr>
        <w:t>4</w:t>
      </w:r>
      <w:r>
        <w:rPr>
          <w:rFonts w:hint="eastAsia" w:ascii="宋体" w:hAnsi="Times New Roman" w:eastAsia="宋体"/>
          <w:b/>
          <w:color w:val="auto"/>
          <w:sz w:val="21"/>
          <w:szCs w:val="24"/>
          <w:highlight w:val="none"/>
        </w:rPr>
        <w:t>、第三方评价：</w:t>
      </w:r>
    </w:p>
    <w:p>
      <w:pPr>
        <w:spacing w:beforeLines="0" w:afterLines="0"/>
        <w:ind w:firstLine="420" w:firstLineChars="200"/>
        <w:jc w:val="left"/>
        <w:rPr>
          <w:rFonts w:hint="default" w:ascii="Times New Roman" w:hAnsi="Times New Roman" w:eastAsia="宋体"/>
          <w:b/>
          <w:color w:val="auto"/>
          <w:sz w:val="21"/>
          <w:szCs w:val="24"/>
          <w:highlight w:val="none"/>
        </w:rPr>
      </w:pPr>
      <w:r>
        <w:rPr>
          <w:rFonts w:hint="default" w:ascii="Times New Roman" w:hAnsi="Times New Roman" w:eastAsia="宋体"/>
          <w:b/>
          <w:color w:val="auto"/>
          <w:sz w:val="21"/>
          <w:szCs w:val="21"/>
          <w:highlight w:val="none"/>
        </w:rPr>
        <w:t>AAA</w:t>
      </w:r>
      <w:r>
        <w:rPr>
          <w:rFonts w:hint="eastAsia" w:ascii="宋体" w:hAnsi="Times New Roman" w:eastAsia="宋体"/>
          <w:b/>
          <w:color w:val="auto"/>
          <w:sz w:val="21"/>
          <w:szCs w:val="21"/>
          <w:highlight w:val="none"/>
        </w:rPr>
        <w:t>级信用等级证书：</w:t>
      </w:r>
    </w:p>
    <w:p>
      <w:pPr>
        <w:spacing w:beforeLines="0" w:afterLines="0"/>
        <w:ind w:firstLine="420" w:firstLineChars="200"/>
        <w:jc w:val="left"/>
        <w:rPr>
          <w:rFonts w:hint="default" w:ascii="Times New Roman" w:hAnsi="Times New Roman" w:eastAsia="宋体"/>
          <w:color w:val="auto"/>
          <w:sz w:val="21"/>
          <w:szCs w:val="24"/>
          <w:highlight w:val="none"/>
        </w:rPr>
      </w:pPr>
      <w:r>
        <w:rPr>
          <w:rFonts w:hint="eastAsia" w:ascii="宋体" w:hAnsi="Times New Roman" w:eastAsia="宋体"/>
          <w:color w:val="auto"/>
          <w:sz w:val="21"/>
          <w:szCs w:val="24"/>
          <w:highlight w:val="none"/>
        </w:rPr>
        <w:t>（1）须提供相关证书应在有效期内，否则不计分。应提供证书原件扫描件。</w:t>
      </w:r>
    </w:p>
    <w:p>
      <w:pPr>
        <w:spacing w:beforeLines="0" w:afterLines="0"/>
        <w:ind w:firstLine="420" w:firstLineChars="200"/>
        <w:jc w:val="left"/>
        <w:rPr>
          <w:rFonts w:hint="default" w:ascii="Times New Roman" w:hAnsi="Times New Roman" w:eastAsia="宋体"/>
          <w:color w:val="auto"/>
          <w:sz w:val="21"/>
          <w:szCs w:val="24"/>
          <w:highlight w:val="none"/>
        </w:rPr>
      </w:pPr>
      <w:r>
        <w:rPr>
          <w:rFonts w:hint="eastAsia" w:ascii="宋体" w:hAnsi="Times New Roman" w:eastAsia="宋体"/>
          <w:color w:val="auto"/>
          <w:sz w:val="21"/>
          <w:szCs w:val="24"/>
          <w:highlight w:val="none"/>
        </w:rPr>
        <w:t>（2）同一协会颁发的信用等级证书只计算一次，不重复计算。</w:t>
      </w:r>
    </w:p>
    <w:p>
      <w:pPr>
        <w:spacing w:beforeLines="0" w:afterLines="0"/>
        <w:ind w:firstLine="420" w:firstLineChars="200"/>
        <w:jc w:val="left"/>
        <w:rPr>
          <w:rFonts w:hint="default" w:ascii="Times New Roman" w:hAnsi="Times New Roman" w:eastAsia="宋体"/>
          <w:color w:val="auto"/>
          <w:sz w:val="21"/>
          <w:szCs w:val="24"/>
          <w:highlight w:val="none"/>
        </w:rPr>
      </w:pPr>
      <w:r>
        <w:rPr>
          <w:rFonts w:hint="eastAsia" w:ascii="宋体" w:hAnsi="Times New Roman" w:eastAsia="宋体"/>
          <w:color w:val="auto"/>
          <w:sz w:val="21"/>
          <w:szCs w:val="24"/>
          <w:highlight w:val="none"/>
        </w:rPr>
        <w:t>（3）须提供证书颁发协会在中国社会组织政务服务平台(网址:https://chinanpo.mca.gov.cn/)“全国社会组织信用信息公示平台”栏查询结果截图，查询结果“状态”栏必须为“正常”。</w:t>
      </w:r>
    </w:p>
    <w:p>
      <w:pPr>
        <w:spacing w:beforeLines="0" w:afterLines="0"/>
        <w:ind w:firstLine="420" w:firstLineChars="200"/>
        <w:jc w:val="left"/>
        <w:rPr>
          <w:rFonts w:hint="default" w:ascii="Times New Roman" w:hAnsi="Times New Roman" w:eastAsia="宋体"/>
          <w:b/>
          <w:color w:val="auto"/>
          <w:sz w:val="21"/>
          <w:szCs w:val="24"/>
          <w:highlight w:val="none"/>
        </w:rPr>
      </w:pPr>
      <w:r>
        <w:rPr>
          <w:rFonts w:hint="eastAsia" w:ascii="宋体" w:hAnsi="Times New Roman" w:eastAsia="宋体"/>
          <w:b/>
          <w:color w:val="auto"/>
          <w:sz w:val="21"/>
          <w:szCs w:val="24"/>
          <w:highlight w:val="none"/>
        </w:rPr>
        <w:t>信用等级评价证书或诚信评价等级证书要求：</w:t>
      </w:r>
    </w:p>
    <w:p>
      <w:pPr>
        <w:spacing w:beforeLines="0" w:afterLines="0"/>
        <w:ind w:firstLine="420" w:firstLineChars="200"/>
        <w:jc w:val="left"/>
        <w:rPr>
          <w:rFonts w:hint="default" w:ascii="Times New Roman" w:hAnsi="Times New Roman" w:eastAsia="宋体"/>
          <w:color w:val="auto"/>
          <w:sz w:val="21"/>
          <w:szCs w:val="24"/>
          <w:highlight w:val="none"/>
        </w:rPr>
      </w:pPr>
      <w:r>
        <w:rPr>
          <w:rFonts w:hint="eastAsia" w:ascii="宋体" w:hAnsi="Times New Roman" w:eastAsia="宋体"/>
          <w:color w:val="auto"/>
          <w:sz w:val="21"/>
          <w:szCs w:val="24"/>
          <w:highlight w:val="none"/>
        </w:rPr>
        <w:t>（1）评价等级证书以相关的省级或以上市政行业协会、建筑业协会颁发的证书且在有效期内的为准。</w:t>
      </w:r>
    </w:p>
    <w:p>
      <w:pPr>
        <w:spacing w:beforeLines="0" w:afterLines="0"/>
        <w:ind w:firstLine="420" w:firstLineChars="200"/>
        <w:jc w:val="left"/>
        <w:rPr>
          <w:rFonts w:hint="default" w:ascii="Times New Roman" w:hAnsi="Times New Roman" w:eastAsia="宋体"/>
          <w:color w:val="auto"/>
          <w:sz w:val="21"/>
          <w:szCs w:val="24"/>
          <w:highlight w:val="none"/>
        </w:rPr>
      </w:pPr>
      <w:r>
        <w:rPr>
          <w:rFonts w:hint="eastAsia" w:ascii="宋体" w:hAnsi="Times New Roman" w:eastAsia="宋体"/>
          <w:color w:val="auto"/>
          <w:sz w:val="21"/>
          <w:szCs w:val="24"/>
          <w:highlight w:val="none"/>
        </w:rPr>
        <w:t>（2）本项所需的证书，还须提供证书颁发协会在中国社会组织政务服务平台(网址:https://chinanpo.mca.gov.cn/)“全国社会组织信用信息公示平台”栏查询结果截图，查询结果“状态”栏必须为“正常”。企业获评等级级别判定以评价证书颁发协会相关评价办法为准，需提供评价证书颁发协会官方网站发布评价办法的网页链接或评价办法官方红头文件扫描件。否则不予计分。</w:t>
      </w:r>
    </w:p>
    <w:p>
      <w:pPr>
        <w:jc w:val="left"/>
        <w:rPr>
          <w:rFonts w:ascii="Calibri" w:hAnsi="Calibri" w:eastAsia="宋体" w:cs="Times New Roman"/>
          <w:b/>
          <w:color w:val="auto"/>
          <w:highlight w:val="none"/>
        </w:rPr>
      </w:pPr>
      <w:r>
        <w:rPr>
          <w:rFonts w:hint="eastAsia" w:ascii="Calibri" w:hAnsi="Calibri" w:eastAsia="宋体" w:cs="Times New Roman"/>
          <w:b/>
          <w:color w:val="auto"/>
          <w:highlight w:val="none"/>
        </w:rPr>
        <w:t>5</w:t>
      </w:r>
      <w:r>
        <w:rPr>
          <w:rFonts w:ascii="Calibri" w:hAnsi="Calibri" w:eastAsia="宋体" w:cs="Times New Roman"/>
          <w:b/>
          <w:color w:val="auto"/>
          <w:highlight w:val="none"/>
        </w:rPr>
        <w:t>、财务指标：</w:t>
      </w:r>
    </w:p>
    <w:p>
      <w:pPr>
        <w:ind w:firstLine="424" w:firstLineChars="202"/>
        <w:rPr>
          <w:rFonts w:ascii="Calibri" w:hAnsi="Calibri" w:eastAsia="宋体" w:cs="Times New Roman"/>
          <w:color w:val="auto"/>
          <w:highlight w:val="none"/>
        </w:rPr>
      </w:pPr>
      <w:r>
        <w:rPr>
          <w:rFonts w:ascii="Calibri" w:hAnsi="Calibri" w:eastAsia="宋体" w:cs="Times New Roman"/>
          <w:color w:val="auto"/>
          <w:highlight w:val="none"/>
        </w:rPr>
        <w:t>“A级纳税人”称号以国家税务总局官网（http://www.chinatax.gov.cn/index.html）查询结果为准，时间以评价年度为准。须提供纳税信用等级证书原件扫描件及</w:t>
      </w:r>
      <w:r>
        <w:rPr>
          <w:rFonts w:hint="eastAsia" w:ascii="Calibri" w:hAnsi="Calibri" w:eastAsia="宋体" w:cs="Times New Roman"/>
          <w:color w:val="auto"/>
          <w:highlight w:val="none"/>
        </w:rPr>
        <w:t>国家税务总局官网或省级税务局（电子税务局）网站纳税信用信息查询结果网页截图</w:t>
      </w:r>
      <w:r>
        <w:rPr>
          <w:rFonts w:ascii="Calibri" w:hAnsi="Calibri" w:eastAsia="宋体" w:cs="Times New Roman"/>
          <w:color w:val="auto"/>
          <w:highlight w:val="none"/>
        </w:rPr>
        <w:t>，纳税人登记只计算投标人自身（不计算投标人的分公司和子公司）。投标人须提供最新的网页打印页或证书原件扫描件均需加盖投标单位公章（不符合条件或无提交上述打印页或证书原件扫描件的不计分）；</w:t>
      </w:r>
    </w:p>
    <w:p>
      <w:pPr>
        <w:jc w:val="left"/>
        <w:rPr>
          <w:rFonts w:ascii="Calibri" w:hAnsi="Calibri" w:eastAsia="宋体" w:cs="Times New Roman"/>
          <w:b/>
          <w:color w:val="auto"/>
          <w:highlight w:val="none"/>
        </w:rPr>
      </w:pPr>
      <w:r>
        <w:rPr>
          <w:rFonts w:hint="eastAsia" w:ascii="Calibri" w:hAnsi="Calibri" w:eastAsia="宋体" w:cs="Times New Roman"/>
          <w:b/>
          <w:color w:val="auto"/>
          <w:highlight w:val="none"/>
        </w:rPr>
        <w:t>6</w:t>
      </w:r>
      <w:r>
        <w:rPr>
          <w:rFonts w:ascii="Calibri" w:hAnsi="Calibri" w:eastAsia="宋体" w:cs="Times New Roman"/>
          <w:b/>
          <w:color w:val="auto"/>
          <w:highlight w:val="none"/>
        </w:rPr>
        <w:t>、项目管理机构人员配备：</w:t>
      </w:r>
    </w:p>
    <w:p>
      <w:pPr>
        <w:ind w:firstLine="420" w:firstLineChars="200"/>
        <w:jc w:val="left"/>
        <w:rPr>
          <w:rFonts w:ascii="Calibri" w:hAnsi="Calibri" w:eastAsia="宋体" w:cs="Times New Roman"/>
          <w:b/>
          <w:color w:val="auto"/>
          <w:highlight w:val="none"/>
        </w:rPr>
      </w:pPr>
      <w:r>
        <w:rPr>
          <w:rFonts w:ascii="Calibri" w:hAnsi="Calibri" w:eastAsia="宋体" w:cs="Times New Roman"/>
          <w:color w:val="auto"/>
          <w:kern w:val="0"/>
          <w:highlight w:val="none"/>
        </w:rPr>
        <w:t>（1）施工管理团队：</w:t>
      </w:r>
    </w:p>
    <w:p>
      <w:pPr>
        <w:ind w:firstLine="420" w:firstLineChars="200"/>
        <w:rPr>
          <w:rFonts w:ascii="Calibri" w:hAnsi="Calibri" w:eastAsia="宋体" w:cs="Times New Roman"/>
          <w:color w:val="auto"/>
          <w:highlight w:val="none"/>
        </w:rPr>
      </w:pPr>
      <w:r>
        <w:rPr>
          <w:rFonts w:ascii="Calibri" w:hAnsi="Calibri" w:eastAsia="宋体" w:cs="Times New Roman"/>
          <w:color w:val="auto"/>
          <w:highlight w:val="none"/>
        </w:rPr>
        <w:t>相关人员需根据评审要求提供注册证、职称证、社保证明等证明材料</w:t>
      </w:r>
      <w:r>
        <w:rPr>
          <w:rFonts w:hint="eastAsia" w:ascii="Calibri" w:hAnsi="Calibri" w:eastAsia="宋体" w:cs="Times New Roman"/>
          <w:color w:val="auto"/>
          <w:highlight w:val="none"/>
        </w:rPr>
        <w:t>，同时提供投标截止时间最近1个月（2024年</w:t>
      </w:r>
      <w:r>
        <w:rPr>
          <w:rFonts w:hint="eastAsia" w:ascii="Calibri" w:hAnsi="Calibri" w:eastAsia="宋体" w:cs="Times New Roman"/>
          <w:color w:val="auto"/>
          <w:highlight w:val="none"/>
          <w:lang w:val="en-US" w:eastAsia="zh-CN"/>
        </w:rPr>
        <w:t>10</w:t>
      </w:r>
      <w:r>
        <w:rPr>
          <w:rFonts w:hint="eastAsia" w:ascii="Calibri" w:hAnsi="Calibri" w:eastAsia="宋体" w:cs="Times New Roman"/>
          <w:color w:val="auto"/>
          <w:highlight w:val="none"/>
        </w:rPr>
        <w:t>月份）在本单位（含分支机构）交纳的社保证明文件，加盖单位公章，不提供不得分；市政工程相关专业职称指市政工程、道路工程、路桥工程、道路与桥梁工程、桥梁工程、给排水工程、结构工程、机电工程等专业职称。</w:t>
      </w:r>
    </w:p>
    <w:p>
      <w:pPr>
        <w:ind w:firstLine="420" w:firstLineChars="200"/>
        <w:rPr>
          <w:rFonts w:ascii="Calibri" w:hAnsi="Calibri" w:eastAsia="宋体" w:cs="Times New Roman"/>
          <w:color w:val="auto"/>
          <w:highlight w:val="none"/>
        </w:rPr>
      </w:pPr>
      <w:r>
        <w:rPr>
          <w:rFonts w:ascii="Calibri" w:hAnsi="Calibri" w:eastAsia="宋体" w:cs="Times New Roman"/>
          <w:color w:val="auto"/>
          <w:highlight w:val="none"/>
        </w:rPr>
        <w:t>（2）设计管理团队：</w:t>
      </w:r>
    </w:p>
    <w:p>
      <w:pPr>
        <w:ind w:firstLine="420" w:firstLineChars="200"/>
        <w:rPr>
          <w:rFonts w:ascii="Calibri" w:hAnsi="Calibri" w:eastAsia="宋体" w:cs="Times New Roman"/>
          <w:color w:val="auto"/>
          <w:szCs w:val="21"/>
          <w:highlight w:val="none"/>
        </w:rPr>
      </w:pPr>
      <w:r>
        <w:rPr>
          <w:rFonts w:ascii="Calibri" w:hAnsi="Calibri" w:eastAsia="宋体" w:cs="Times New Roman"/>
          <w:color w:val="auto"/>
          <w:highlight w:val="none"/>
        </w:rPr>
        <w:t>项目设计人员配备情况：相关人员需根据评审要求提供注册证、职称证、社保近</w:t>
      </w:r>
      <w:r>
        <w:rPr>
          <w:rFonts w:hint="eastAsia" w:ascii="Calibri" w:hAnsi="Calibri" w:eastAsia="宋体" w:cs="Times New Roman"/>
          <w:color w:val="auto"/>
          <w:highlight w:val="none"/>
          <w:lang w:val="en-US" w:eastAsia="zh-CN"/>
        </w:rPr>
        <w:t>1</w:t>
      </w:r>
      <w:r>
        <w:rPr>
          <w:rFonts w:ascii="Calibri" w:hAnsi="Calibri" w:eastAsia="宋体" w:cs="Times New Roman"/>
          <w:color w:val="auto"/>
          <w:highlight w:val="none"/>
        </w:rPr>
        <w:t>个月证明（2024年</w:t>
      </w:r>
      <w:r>
        <w:rPr>
          <w:rFonts w:hint="eastAsia" w:ascii="Calibri" w:hAnsi="Calibri" w:eastAsia="宋体" w:cs="Times New Roman"/>
          <w:color w:val="auto"/>
          <w:highlight w:val="none"/>
          <w:lang w:val="en-US" w:eastAsia="zh-CN"/>
        </w:rPr>
        <w:t>10</w:t>
      </w:r>
      <w:r>
        <w:rPr>
          <w:rFonts w:ascii="Calibri" w:hAnsi="Calibri" w:eastAsia="宋体" w:cs="Times New Roman"/>
          <w:color w:val="auto"/>
          <w:highlight w:val="none"/>
        </w:rPr>
        <w:t>月）等证明材料。</w:t>
      </w:r>
    </w:p>
    <w:p>
      <w:pPr>
        <w:ind w:firstLine="420" w:firstLineChars="200"/>
        <w:rPr>
          <w:rFonts w:ascii="Calibri" w:hAnsi="Calibri" w:eastAsia="宋体" w:cs="Times New Roman"/>
          <w:color w:val="auto"/>
          <w:highlight w:val="none"/>
        </w:rPr>
      </w:pPr>
      <w:r>
        <w:rPr>
          <w:rFonts w:ascii="Calibri" w:hAnsi="Calibri" w:eastAsia="宋体" w:cs="Times New Roman"/>
          <w:color w:val="auto"/>
          <w:highlight w:val="none"/>
        </w:rPr>
        <w:t>注：所有评委分数汇总后的算术平均值为投标人的最终得分。分数出现小数点，保留小数点后二位小数，第三位小数四舍五入。</w:t>
      </w:r>
    </w:p>
    <w:p>
      <w:pPr>
        <w:jc w:val="left"/>
        <w:rPr>
          <w:rFonts w:ascii="Calibri" w:hAnsi="Calibri" w:eastAsia="宋体" w:cs="Times New Roman"/>
          <w:b/>
          <w:color w:val="auto"/>
          <w:highlight w:val="none"/>
        </w:rPr>
      </w:pPr>
      <w:r>
        <w:rPr>
          <w:rFonts w:hint="eastAsia" w:ascii="Calibri" w:hAnsi="Calibri" w:eastAsia="宋体" w:cs="Times New Roman"/>
          <w:b/>
          <w:color w:val="auto"/>
          <w:highlight w:val="none"/>
        </w:rPr>
        <w:t>7</w:t>
      </w:r>
      <w:r>
        <w:rPr>
          <w:rFonts w:hint="eastAsia" w:ascii="Calibri" w:hAnsi="Calibri" w:eastAsia="宋体" w:cs="Times New Roman"/>
          <w:b/>
          <w:color w:val="auto"/>
          <w:highlight w:val="none"/>
          <w:lang w:val="zh-CN"/>
        </w:rPr>
        <w:t>、</w:t>
      </w:r>
      <w:r>
        <w:rPr>
          <w:rFonts w:hint="eastAsia" w:ascii="Calibri" w:hAnsi="Calibri" w:eastAsia="宋体" w:cs="Times New Roman"/>
          <w:b/>
          <w:color w:val="auto"/>
          <w:highlight w:val="none"/>
        </w:rPr>
        <w:t>项目管理班组答辩：</w:t>
      </w:r>
    </w:p>
    <w:p>
      <w:pPr>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①、</w:t>
      </w:r>
      <w:r>
        <w:rPr>
          <w:rFonts w:hint="eastAsia" w:ascii="宋体" w:hAnsi="宋体" w:eastAsia="宋体" w:cs="宋体"/>
          <w:b/>
          <w:bCs/>
          <w:color w:val="auto"/>
          <w:szCs w:val="21"/>
          <w:highlight w:val="none"/>
        </w:rPr>
        <w:t>答辩人员组成：</w:t>
      </w:r>
    </w:p>
    <w:p>
      <w:pPr>
        <w:jc w:val="left"/>
        <w:rPr>
          <w:rFonts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参加现场答辩的人员：项目代表（包括法人或授权代表）或项目负责人，最多不超过2人。</w:t>
      </w:r>
    </w:p>
    <w:p>
      <w:pPr>
        <w:jc w:val="left"/>
        <w:rPr>
          <w:rFonts w:ascii="宋体" w:hAnsi="宋体" w:eastAsia="宋体" w:cs="宋体"/>
          <w:color w:val="auto"/>
          <w:szCs w:val="21"/>
          <w:highlight w:val="none"/>
        </w:rPr>
      </w:pPr>
      <w:r>
        <w:rPr>
          <w:rFonts w:hint="eastAsia" w:ascii="宋体" w:hAnsi="宋体" w:eastAsia="宋体" w:cs="宋体"/>
          <w:color w:val="auto"/>
          <w:szCs w:val="21"/>
          <w:highlight w:val="none"/>
        </w:rPr>
        <w:t>②、</w:t>
      </w:r>
      <w:r>
        <w:rPr>
          <w:rFonts w:hint="eastAsia" w:ascii="宋体" w:hAnsi="宋体" w:eastAsia="宋体" w:cs="宋体"/>
          <w:b/>
          <w:bCs/>
          <w:color w:val="auto"/>
          <w:kern w:val="0"/>
          <w:szCs w:val="21"/>
          <w:highlight w:val="none"/>
        </w:rPr>
        <w:t>答辩顺序的确定</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在投标文件开标前，由投标人代表依次在1~N(“N”值为递交投标文件及解密成功的单位数量)号球中随机抽取一个球号，按球号从小到大的优先顺序代表相应投标人的现场答辩顺序。【若投标人未派代表出席开标会，则由招标代理单位代为抽取号球】</w:t>
      </w:r>
    </w:p>
    <w:p>
      <w:pPr>
        <w:jc w:val="left"/>
        <w:rPr>
          <w:rFonts w:ascii="宋体" w:hAnsi="宋体" w:eastAsia="宋体" w:cs="宋体"/>
          <w:color w:val="auto"/>
          <w:szCs w:val="21"/>
          <w:highlight w:val="none"/>
        </w:rPr>
      </w:pPr>
      <w:r>
        <w:rPr>
          <w:rFonts w:hint="eastAsia" w:ascii="宋体" w:hAnsi="宋体" w:eastAsia="宋体" w:cs="宋体"/>
          <w:color w:val="auto"/>
          <w:szCs w:val="21"/>
          <w:highlight w:val="none"/>
        </w:rPr>
        <w:t>③、</w:t>
      </w:r>
      <w:r>
        <w:rPr>
          <w:rFonts w:hint="eastAsia" w:ascii="宋体" w:hAnsi="宋体" w:eastAsia="宋体" w:cs="宋体"/>
          <w:b/>
          <w:bCs/>
          <w:color w:val="auto"/>
          <w:szCs w:val="21"/>
          <w:highlight w:val="none"/>
        </w:rPr>
        <w:t>答辩人员的到场要求：</w:t>
      </w:r>
      <w:r>
        <w:rPr>
          <w:rFonts w:hint="eastAsia" w:ascii="宋体" w:hAnsi="宋体" w:eastAsia="宋体" w:cs="宋体"/>
          <w:color w:val="auto"/>
          <w:szCs w:val="21"/>
          <w:highlight w:val="none"/>
        </w:rPr>
        <w:t>根据答辩开始前确定的答辩顺序。投标人在参加答辩时，应向招标人（招标代理）出示一份加盖公章的法定代表人证明书及授权委托书，授权书应列明所有参加答辩人员的信息（包括姓名、身份证、拟任本项目的职务）。由参与答辩的人员出示身份证原件，核对确认身份后签到。</w:t>
      </w:r>
      <w:r>
        <w:rPr>
          <w:rFonts w:hint="eastAsia" w:ascii="宋体" w:hAnsi="宋体" w:eastAsia="宋体" w:cs="宋体"/>
          <w:b/>
          <w:color w:val="auto"/>
          <w:szCs w:val="21"/>
          <w:highlight w:val="none"/>
          <w:u w:val="single"/>
        </w:rPr>
        <w:t>未能提供法定代表人证明书及授权委托书的单位不予参加答辩环节。</w:t>
      </w:r>
    </w:p>
    <w:p>
      <w:pPr>
        <w:jc w:val="left"/>
        <w:rPr>
          <w:rFonts w:ascii="宋体" w:hAnsi="宋体" w:eastAsia="宋体" w:cs="宋体"/>
          <w:color w:val="auto"/>
          <w:szCs w:val="21"/>
          <w:highlight w:val="none"/>
        </w:rPr>
      </w:pPr>
      <w:r>
        <w:rPr>
          <w:rFonts w:hint="eastAsia" w:ascii="宋体" w:hAnsi="宋体" w:eastAsia="宋体" w:cs="宋体"/>
          <w:color w:val="auto"/>
          <w:szCs w:val="21"/>
          <w:highlight w:val="none"/>
        </w:rPr>
        <w:t>④、</w:t>
      </w:r>
      <w:r>
        <w:rPr>
          <w:rFonts w:hint="eastAsia" w:ascii="宋体" w:hAnsi="宋体" w:eastAsia="宋体" w:cs="宋体"/>
          <w:b/>
          <w:bCs/>
          <w:color w:val="auto"/>
          <w:szCs w:val="21"/>
          <w:highlight w:val="none"/>
        </w:rPr>
        <w:t>答辩开始时间</w:t>
      </w:r>
      <w:r>
        <w:rPr>
          <w:rFonts w:hint="eastAsia" w:ascii="宋体" w:hAnsi="宋体" w:eastAsia="宋体" w:cs="宋体"/>
          <w:color w:val="auto"/>
          <w:szCs w:val="21"/>
          <w:highlight w:val="none"/>
        </w:rPr>
        <w:t>：评标委员会在完成资格审查及技术标有效性审查后可开始答辩，具体答辩开始时间以评标委员会通知为准（</w:t>
      </w:r>
      <w:r>
        <w:rPr>
          <w:rFonts w:hint="eastAsia" w:ascii="宋体" w:hAnsi="宋体" w:eastAsia="宋体" w:cs="宋体"/>
          <w:b/>
          <w:bCs/>
          <w:color w:val="auto"/>
          <w:szCs w:val="21"/>
          <w:highlight w:val="none"/>
        </w:rPr>
        <w:t>具体通知时间以答辩开始前1小时通知为准</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u w:val="single"/>
        </w:rPr>
        <w:t>未通过资格审查及技术标有效性审查的投标单位无需再参与答辩。</w:t>
      </w:r>
    </w:p>
    <w:p>
      <w:pPr>
        <w:jc w:val="left"/>
        <w:rPr>
          <w:rFonts w:ascii="宋体" w:hAnsi="宋体" w:eastAsia="宋体" w:cs="宋体"/>
          <w:color w:val="auto"/>
          <w:szCs w:val="21"/>
          <w:highlight w:val="none"/>
        </w:rPr>
      </w:pPr>
      <w:r>
        <w:rPr>
          <w:rFonts w:hint="eastAsia" w:ascii="宋体" w:hAnsi="宋体" w:eastAsia="宋体" w:cs="宋体"/>
          <w:color w:val="auto"/>
          <w:szCs w:val="21"/>
          <w:highlight w:val="none"/>
        </w:rPr>
        <w:t>⑤、</w:t>
      </w:r>
      <w:r>
        <w:rPr>
          <w:rFonts w:hint="eastAsia" w:ascii="宋体" w:hAnsi="宋体" w:eastAsia="宋体" w:cs="宋体"/>
          <w:b/>
          <w:bCs/>
          <w:color w:val="auto"/>
          <w:szCs w:val="21"/>
          <w:highlight w:val="none"/>
        </w:rPr>
        <w:t>答辩形式与要求</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u w:val="single"/>
        </w:rPr>
        <w:t>答辩人员按要求进入答辩区域；答辩人员先陈述，评委针对陈述内容提问，由答辩人员进行解答。</w:t>
      </w:r>
    </w:p>
    <w:p>
      <w:pPr>
        <w:rPr>
          <w:rFonts w:ascii="宋体" w:hAnsi="宋体" w:eastAsia="宋体" w:cs="宋体"/>
          <w:color w:val="auto"/>
          <w:highlight w:val="none"/>
        </w:rPr>
      </w:pPr>
      <w:r>
        <w:rPr>
          <w:rFonts w:hint="eastAsia" w:ascii="宋体" w:hAnsi="宋体" w:eastAsia="宋体" w:cs="宋体"/>
          <w:color w:val="auto"/>
          <w:szCs w:val="21"/>
          <w:highlight w:val="none"/>
        </w:rPr>
        <w:t>⑥、</w:t>
      </w:r>
      <w:r>
        <w:rPr>
          <w:rFonts w:hint="eastAsia" w:ascii="宋体" w:hAnsi="宋体" w:eastAsia="宋体" w:cs="宋体"/>
          <w:b/>
          <w:bCs/>
          <w:color w:val="auto"/>
          <w:szCs w:val="21"/>
          <w:highlight w:val="none"/>
        </w:rPr>
        <w:t>答辩时长控制</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u w:val="single"/>
        </w:rPr>
        <w:t>控制在10分钟内。</w:t>
      </w:r>
    </w:p>
    <w:p>
      <w:pPr>
        <w:rPr>
          <w:rFonts w:ascii="宋体" w:hAnsi="宋体" w:eastAsia="宋体" w:cs="宋体"/>
          <w:bCs/>
          <w:color w:val="auto"/>
          <w:szCs w:val="21"/>
          <w:highlight w:val="none"/>
          <w:lang w:val="zh-CN" w:bidi="ar"/>
        </w:rPr>
      </w:pPr>
      <w:r>
        <w:rPr>
          <w:rFonts w:hint="eastAsia" w:ascii="宋体" w:hAnsi="宋体" w:eastAsia="宋体" w:cs="宋体"/>
          <w:bCs/>
          <w:color w:val="auto"/>
          <w:szCs w:val="21"/>
          <w:highlight w:val="none"/>
          <w:lang w:bidi="ar"/>
        </w:rPr>
        <w:t>8</w:t>
      </w:r>
      <w:r>
        <w:rPr>
          <w:rFonts w:hint="eastAsia" w:ascii="宋体" w:hAnsi="宋体" w:eastAsia="宋体" w:cs="宋体"/>
          <w:bCs/>
          <w:color w:val="auto"/>
          <w:szCs w:val="21"/>
          <w:highlight w:val="none"/>
          <w:lang w:val="zh-CN" w:bidi="ar"/>
        </w:rPr>
        <w:t>、投标人如果同时满足多个评分档次的，按所满足的最高档得分。</w:t>
      </w:r>
    </w:p>
    <w:p>
      <w:pPr>
        <w:rPr>
          <w:rFonts w:ascii="宋体" w:hAnsi="宋体" w:eastAsia="宋体" w:cs="宋体"/>
          <w:bCs/>
          <w:color w:val="auto"/>
          <w:szCs w:val="21"/>
          <w:highlight w:val="none"/>
          <w:lang w:val="zh-CN" w:bidi="ar"/>
        </w:rPr>
      </w:pPr>
      <w:r>
        <w:rPr>
          <w:rFonts w:hint="eastAsia" w:ascii="宋体" w:hAnsi="宋体" w:eastAsia="宋体" w:cs="宋体"/>
          <w:bCs/>
          <w:color w:val="auto"/>
          <w:szCs w:val="21"/>
          <w:highlight w:val="none"/>
          <w:lang w:bidi="ar"/>
        </w:rPr>
        <w:t>9、</w:t>
      </w:r>
      <w:r>
        <w:rPr>
          <w:rFonts w:hint="eastAsia" w:ascii="宋体" w:hAnsi="宋体" w:eastAsia="宋体" w:cs="宋体"/>
          <w:bCs/>
          <w:color w:val="auto"/>
          <w:szCs w:val="21"/>
          <w:highlight w:val="none"/>
          <w:lang w:val="zh-CN" w:bidi="ar"/>
        </w:rPr>
        <w:t>投标人得分为所有评委评分去掉一个最高分和一个最低分后的算术平均值（若分数出现小数点时，保留小数点后二位，第三位小数四舍五入）。</w:t>
      </w:r>
    </w:p>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br w:type="page"/>
      </w:r>
    </w:p>
    <w:p>
      <w:pPr>
        <w:pStyle w:val="3"/>
        <w:widowControl/>
        <w:spacing w:before="100" w:after="100" w:line="36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 评标方法</w:t>
      </w:r>
      <w:bookmarkEnd w:id="340"/>
      <w:bookmarkEnd w:id="341"/>
    </w:p>
    <w:p>
      <w:pPr>
        <w:spacing w:line="360" w:lineRule="auto"/>
        <w:ind w:firstLine="420"/>
        <w:rPr>
          <w:rFonts w:ascii="宋体" w:hAnsi="宋体" w:eastAsia="宋体" w:cs="宋体"/>
          <w:color w:val="auto"/>
          <w:kern w:val="1"/>
          <w:szCs w:val="21"/>
          <w:highlight w:val="none"/>
        </w:rPr>
      </w:pPr>
      <w:bookmarkStart w:id="343" w:name="_Toc3493"/>
      <w:bookmarkEnd w:id="343"/>
      <w:bookmarkStart w:id="344" w:name="_Toc26760"/>
      <w:bookmarkEnd w:id="344"/>
      <w:bookmarkStart w:id="345" w:name="_Toc5620348"/>
      <w:bookmarkStart w:id="346" w:name="_Toc26257"/>
      <w:r>
        <w:rPr>
          <w:rFonts w:hint="eastAsia" w:ascii="宋体" w:hAnsi="宋体" w:eastAsia="宋体" w:cs="宋体"/>
          <w:color w:val="auto"/>
          <w:kern w:val="0"/>
          <w:szCs w:val="22"/>
          <w:highlight w:val="none"/>
          <w:lang w:bidi="ar"/>
        </w:rPr>
        <w:t>本次评标采用综合评估法。评标委员会对满足招标文件实质性要求的投标文件，按照本章第2.2款规定的评分标准进行打分，并按得分由高到低顺序推荐中标候选人，但投标报价低于其成本的除外。总分相同的，以工程总承包实施方案得分高的排前；总分与工程总承包实施方案得分均相同的投标文件，以投标报价较低的排前；如仍存在相同情况，则对具有相同情况的投标人，按中标候选人数量规定，由评标委员会采用记名投票方式，确定中标候选人的排序。</w:t>
      </w:r>
    </w:p>
    <w:p>
      <w:pPr>
        <w:pStyle w:val="3"/>
        <w:widowControl/>
        <w:spacing w:before="100" w:after="100" w:line="360" w:lineRule="auto"/>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 评审标准</w:t>
      </w:r>
      <w:bookmarkEnd w:id="345"/>
      <w:bookmarkEnd w:id="346"/>
    </w:p>
    <w:p>
      <w:pPr>
        <w:pStyle w:val="4"/>
        <w:widowControl/>
        <w:spacing w:before="100" w:after="100" w:line="360" w:lineRule="auto"/>
        <w:rPr>
          <w:rFonts w:hint="default" w:ascii="宋体" w:eastAsia="宋体" w:cs="宋体"/>
          <w:b/>
          <w:bCs/>
          <w:color w:val="auto"/>
          <w:sz w:val="21"/>
          <w:szCs w:val="21"/>
          <w:highlight w:val="none"/>
          <w:lang w:val="zh-CN"/>
        </w:rPr>
      </w:pPr>
      <w:bookmarkStart w:id="347" w:name="_Toc14978"/>
      <w:bookmarkEnd w:id="347"/>
      <w:bookmarkStart w:id="348" w:name="_Toc22589"/>
      <w:bookmarkEnd w:id="348"/>
      <w:bookmarkStart w:id="349" w:name="_Toc5620349"/>
      <w:bookmarkStart w:id="350" w:name="_Toc24233"/>
      <w:r>
        <w:rPr>
          <w:rFonts w:ascii="宋体" w:eastAsia="宋体" w:cs="宋体"/>
          <w:b/>
          <w:bCs/>
          <w:color w:val="auto"/>
          <w:sz w:val="21"/>
          <w:szCs w:val="21"/>
          <w:highlight w:val="none"/>
          <w:lang w:val="zh-CN"/>
        </w:rPr>
        <w:t>2.1 初步评审标准</w:t>
      </w:r>
      <w:bookmarkEnd w:id="349"/>
      <w:bookmarkEnd w:id="350"/>
    </w:p>
    <w:p>
      <w:pPr>
        <w:spacing w:line="360" w:lineRule="auto"/>
        <w:ind w:firstLine="420"/>
        <w:rPr>
          <w:rFonts w:ascii="宋体" w:hAnsi="宋体" w:eastAsia="宋体" w:cs="宋体"/>
          <w:color w:val="auto"/>
          <w:highlight w:val="none"/>
        </w:rPr>
      </w:pPr>
      <w:bookmarkStart w:id="351" w:name="_Toc21917"/>
      <w:bookmarkStart w:id="352" w:name="_Toc5620350"/>
      <w:r>
        <w:rPr>
          <w:rFonts w:hint="eastAsia" w:ascii="宋体" w:hAnsi="宋体" w:eastAsia="宋体" w:cs="宋体"/>
          <w:color w:val="auto"/>
          <w:kern w:val="0"/>
          <w:szCs w:val="22"/>
          <w:highlight w:val="none"/>
          <w:lang w:bidi="ar"/>
        </w:rPr>
        <w:t>2.1.1 形式评审标准：见评标办法前附表。</w:t>
      </w:r>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lang w:bidi="ar"/>
        </w:rPr>
        <w:t>2.1.2 资格评审标准：见评标办法前附表。</w:t>
      </w:r>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lang w:bidi="ar"/>
        </w:rPr>
        <w:t>2.1.3 响应性评审标准：见评标办法前附表。</w:t>
      </w:r>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lang w:bidi="ar"/>
        </w:rPr>
        <w:t>2.1.4 设计方案文件有效性评审标准：见评标办法前附表。</w:t>
      </w:r>
    </w:p>
    <w:p>
      <w:pPr>
        <w:pStyle w:val="4"/>
        <w:widowControl/>
        <w:spacing w:before="100" w:after="100" w:line="360" w:lineRule="auto"/>
        <w:rPr>
          <w:rFonts w:hint="default" w:ascii="宋体" w:eastAsia="宋体" w:cs="宋体"/>
          <w:b/>
          <w:bCs/>
          <w:color w:val="auto"/>
          <w:sz w:val="21"/>
          <w:szCs w:val="21"/>
          <w:highlight w:val="none"/>
          <w:lang w:val="zh-CN"/>
        </w:rPr>
      </w:pPr>
      <w:r>
        <w:rPr>
          <w:rFonts w:ascii="宋体" w:eastAsia="宋体" w:cs="宋体"/>
          <w:b/>
          <w:bCs/>
          <w:color w:val="auto"/>
          <w:sz w:val="21"/>
          <w:szCs w:val="21"/>
          <w:highlight w:val="none"/>
          <w:lang w:val="zh-CN"/>
        </w:rPr>
        <w:t>2.2 分值构成与评分标准</w:t>
      </w:r>
      <w:bookmarkEnd w:id="351"/>
      <w:bookmarkEnd w:id="352"/>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lang w:bidi="ar"/>
        </w:rPr>
        <w:t>2.2.1 分值构成</w:t>
      </w:r>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lang w:bidi="ar"/>
        </w:rPr>
        <w:t>（1）设计方案：见评标办法前附表。</w:t>
      </w:r>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lang w:bidi="ar"/>
        </w:rPr>
        <w:t>（2）工程总承包实施方案：见评标办法前附表。</w:t>
      </w:r>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lang w:bidi="ar"/>
        </w:rPr>
        <w:t>（3）投标报价：见评标办法前附表。</w:t>
      </w:r>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lang w:bidi="ar"/>
        </w:rPr>
        <w:t>2.2.2 评标基准价计算</w:t>
      </w:r>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lang w:bidi="ar"/>
        </w:rPr>
        <w:t>评标基准价计算方法：见评标办法前附表。</w:t>
      </w:r>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lang w:bidi="ar"/>
        </w:rPr>
        <w:t>2.2.3投标报价的偏差率计算</w:t>
      </w:r>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lang w:bidi="ar"/>
        </w:rPr>
        <w:t>投标报价的偏差率计算公式：见评标办法前附表。</w:t>
      </w:r>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lang w:bidi="ar"/>
        </w:rPr>
        <w:t>2.2.4 评分标准</w:t>
      </w:r>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lang w:bidi="ar"/>
        </w:rPr>
        <w:t>（1）设计方案评分标准：见评标办法前附表。</w:t>
      </w:r>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lang w:bidi="ar"/>
        </w:rPr>
        <w:t>（2）工程总承包实施方案评分标准：见评标办法前附表。</w:t>
      </w:r>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lang w:bidi="ar"/>
        </w:rPr>
        <w:t>（3）投标报价评分标准：见评标办法前附表。</w:t>
      </w:r>
    </w:p>
    <w:p>
      <w:pPr>
        <w:pStyle w:val="3"/>
        <w:widowControl/>
        <w:spacing w:before="100" w:after="100" w:line="360" w:lineRule="auto"/>
        <w:rPr>
          <w:rFonts w:ascii="宋体" w:hAnsi="宋体" w:eastAsia="宋体" w:cs="宋体"/>
          <w:color w:val="auto"/>
          <w:sz w:val="21"/>
          <w:szCs w:val="21"/>
          <w:highlight w:val="none"/>
          <w:lang w:val="zh-CN"/>
        </w:rPr>
      </w:pPr>
      <w:bookmarkStart w:id="353" w:name="_Toc25997"/>
      <w:bookmarkEnd w:id="353"/>
      <w:bookmarkStart w:id="354" w:name="_Toc11733"/>
      <w:bookmarkEnd w:id="354"/>
      <w:bookmarkStart w:id="355" w:name="_Toc5818"/>
      <w:bookmarkStart w:id="356" w:name="_Toc5620351"/>
      <w:r>
        <w:rPr>
          <w:rFonts w:hint="eastAsia" w:ascii="宋体" w:hAnsi="宋体" w:eastAsia="宋体" w:cs="宋体"/>
          <w:color w:val="auto"/>
          <w:sz w:val="21"/>
          <w:szCs w:val="21"/>
          <w:highlight w:val="none"/>
          <w:lang w:val="zh-CN"/>
        </w:rPr>
        <w:t>3. 评标程序</w:t>
      </w:r>
      <w:bookmarkEnd w:id="355"/>
      <w:bookmarkEnd w:id="356"/>
    </w:p>
    <w:p>
      <w:pPr>
        <w:spacing w:line="360" w:lineRule="auto"/>
        <w:ind w:firstLine="420"/>
        <w:rPr>
          <w:rFonts w:ascii="宋体" w:hAnsi="宋体" w:eastAsia="宋体" w:cs="宋体"/>
          <w:color w:val="auto"/>
          <w:highlight w:val="none"/>
          <w:u w:val="single"/>
        </w:rPr>
      </w:pPr>
      <w:bookmarkStart w:id="357" w:name="_Toc28536"/>
      <w:bookmarkStart w:id="358" w:name="_Toc5620356"/>
      <w:r>
        <w:rPr>
          <w:rFonts w:hint="eastAsia" w:ascii="宋体" w:hAnsi="宋体" w:eastAsia="宋体" w:cs="宋体"/>
          <w:color w:val="auto"/>
          <w:kern w:val="0"/>
          <w:szCs w:val="22"/>
          <w:highlight w:val="none"/>
          <w:u w:val="single"/>
          <w:lang w:bidi="ar"/>
        </w:rPr>
        <w:t>本项目采取电子评标。</w:t>
      </w:r>
      <w:bookmarkStart w:id="359" w:name="_Hlk158146183"/>
      <w:r>
        <w:rPr>
          <w:rFonts w:hint="eastAsia" w:ascii="宋体" w:hAnsi="宋体" w:eastAsia="宋体" w:cs="宋体"/>
          <w:color w:val="auto"/>
          <w:kern w:val="0"/>
          <w:szCs w:val="22"/>
          <w:highlight w:val="none"/>
          <w:u w:val="single"/>
          <w:lang w:bidi="ar"/>
        </w:rPr>
        <w:t>评标委员会</w:t>
      </w:r>
      <w:bookmarkEnd w:id="359"/>
      <w:r>
        <w:rPr>
          <w:rFonts w:hint="eastAsia" w:ascii="宋体" w:hAnsi="宋体" w:eastAsia="宋体" w:cs="宋体"/>
          <w:color w:val="auto"/>
          <w:kern w:val="0"/>
          <w:szCs w:val="22"/>
          <w:highlight w:val="none"/>
          <w:u w:val="single"/>
          <w:lang w:bidi="ar"/>
        </w:rPr>
        <w:t>评委负责形式评审、资格评审、工程总承包实施方案响应性、设计方案文件有效性评审（暗标）、设计方案评审（暗标）、工程总承包实施方案和投标报价评审。</w:t>
      </w:r>
    </w:p>
    <w:bookmarkEnd w:id="357"/>
    <w:bookmarkEnd w:id="358"/>
    <w:p>
      <w:pPr>
        <w:pStyle w:val="4"/>
        <w:widowControl/>
        <w:spacing w:before="100" w:after="100" w:line="360" w:lineRule="auto"/>
        <w:rPr>
          <w:rFonts w:hint="default" w:ascii="宋体" w:eastAsia="宋体" w:cs="宋体"/>
          <w:b/>
          <w:bCs/>
          <w:color w:val="auto"/>
          <w:sz w:val="21"/>
          <w:szCs w:val="21"/>
          <w:highlight w:val="none"/>
          <w:lang w:val="zh-CN"/>
        </w:rPr>
      </w:pPr>
      <w:bookmarkStart w:id="360" w:name="_Toc29241"/>
      <w:bookmarkStart w:id="361" w:name="_Toc25126"/>
      <w:bookmarkStart w:id="362" w:name="_Toc31270"/>
      <w:bookmarkStart w:id="363" w:name="_Toc28552"/>
      <w:bookmarkStart w:id="364" w:name="_Toc33695049"/>
      <w:bookmarkStart w:id="365" w:name="_Toc26987"/>
      <w:bookmarkStart w:id="366" w:name="_Toc33695048"/>
      <w:bookmarkStart w:id="367" w:name="_Toc4286"/>
      <w:bookmarkStart w:id="368" w:name="_Toc439240660"/>
      <w:bookmarkStart w:id="369" w:name="_Toc439246059"/>
      <w:r>
        <w:rPr>
          <w:rFonts w:ascii="宋体" w:eastAsia="宋体" w:cs="宋体"/>
          <w:b/>
          <w:bCs/>
          <w:color w:val="auto"/>
          <w:sz w:val="21"/>
          <w:szCs w:val="21"/>
          <w:highlight w:val="none"/>
          <w:lang w:val="zh-CN"/>
        </w:rPr>
        <w:t>3.1</w:t>
      </w:r>
      <w:r>
        <w:rPr>
          <w:rFonts w:ascii="宋体" w:eastAsia="宋体" w:cs="宋体"/>
          <w:b/>
          <w:bCs/>
          <w:color w:val="auto"/>
          <w:sz w:val="21"/>
          <w:szCs w:val="21"/>
          <w:highlight w:val="none"/>
        </w:rPr>
        <w:t>设计方案</w:t>
      </w:r>
      <w:r>
        <w:rPr>
          <w:rFonts w:ascii="宋体" w:eastAsia="宋体" w:cs="宋体"/>
          <w:b/>
          <w:bCs/>
          <w:color w:val="auto"/>
          <w:sz w:val="21"/>
          <w:szCs w:val="21"/>
          <w:highlight w:val="none"/>
          <w:lang w:val="zh-CN"/>
        </w:rPr>
        <w:t>评审</w:t>
      </w:r>
      <w:bookmarkEnd w:id="360"/>
      <w:bookmarkEnd w:id="361"/>
      <w:bookmarkEnd w:id="362"/>
      <w:bookmarkEnd w:id="363"/>
      <w:bookmarkEnd w:id="364"/>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lang w:bidi="ar"/>
        </w:rPr>
        <w:t>3.1.1评委按设计方案文件有效性审查标准（详见前附表）对所有成功解密的设计标投标文件进行评审，只有通过有效性审查的设计标投标文件方可进入下一阶段的评审。如果有否决投标提议，则评委共同表决，按照少数服从多数的原则决定是否否决其投标。</w:t>
      </w:r>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lang w:bidi="ar"/>
        </w:rPr>
        <w:t>3.1.2评委按设计方案评分标准（详见前附表）对各设计标投标文件进行评分。</w:t>
      </w:r>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lang w:bidi="ar"/>
        </w:rPr>
        <w:t>3.1.3</w:t>
      </w:r>
      <w:bookmarkStart w:id="370" w:name="_Hlk112762945"/>
      <w:r>
        <w:rPr>
          <w:rFonts w:hint="eastAsia" w:ascii="宋体" w:hAnsi="宋体" w:eastAsia="宋体" w:cs="宋体"/>
          <w:color w:val="auto"/>
          <w:kern w:val="0"/>
          <w:szCs w:val="21"/>
          <w:highlight w:val="none"/>
          <w:lang w:bidi="ar"/>
        </w:rPr>
        <w:t>各投标人</w:t>
      </w:r>
      <w:r>
        <w:rPr>
          <w:rFonts w:hint="eastAsia" w:ascii="宋体" w:hAnsi="宋体" w:eastAsia="宋体" w:cs="宋体"/>
          <w:color w:val="auto"/>
          <w:kern w:val="0"/>
          <w:szCs w:val="22"/>
          <w:highlight w:val="none"/>
          <w:lang w:bidi="ar"/>
        </w:rPr>
        <w:t>设计方案得分</w:t>
      </w:r>
      <w:r>
        <w:rPr>
          <w:rFonts w:hint="eastAsia" w:ascii="宋体" w:hAnsi="宋体" w:eastAsia="宋体" w:cs="宋体"/>
          <w:color w:val="auto"/>
          <w:kern w:val="0"/>
          <w:szCs w:val="21"/>
          <w:highlight w:val="none"/>
          <w:lang w:bidi="ar"/>
        </w:rPr>
        <w:t>为各评委评分</w:t>
      </w:r>
      <w:r>
        <w:rPr>
          <w:rFonts w:hint="eastAsia" w:ascii="宋体" w:hAnsi="宋体" w:eastAsia="宋体" w:cs="宋体"/>
          <w:color w:val="auto"/>
          <w:kern w:val="0"/>
          <w:szCs w:val="30"/>
          <w:highlight w:val="none"/>
          <w:lang w:bidi="ar"/>
        </w:rPr>
        <w:t>去掉一个最高分和一个最低分后的算术平均值，即为该投标人的评审得分（若分数出现小数点时，保留到小数点后两位，第三位小数四舍五入）</w:t>
      </w:r>
      <w:bookmarkEnd w:id="370"/>
      <w:r>
        <w:rPr>
          <w:rFonts w:hint="eastAsia" w:ascii="宋体" w:hAnsi="宋体" w:eastAsia="宋体" w:cs="宋体"/>
          <w:color w:val="auto"/>
          <w:kern w:val="0"/>
          <w:szCs w:val="22"/>
          <w:highlight w:val="none"/>
          <w:lang w:bidi="ar"/>
        </w:rPr>
        <w:t>。</w:t>
      </w:r>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lang w:bidi="ar"/>
        </w:rPr>
        <w:t>3.1.4评委揭晓投标人身份。</w:t>
      </w:r>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lang w:bidi="ar"/>
        </w:rPr>
        <w:t>3.1.5评标委员会按只有通过有效性审查的投标人的投标文件方可进入下一阶段评审的评审原则，在揭晓投标人身份后，根据有效性审查结果，否决未通过有效性评审的投标人的投标，取消其得分，且不再进入得分汇总阶段。</w:t>
      </w:r>
    </w:p>
    <w:p>
      <w:pPr>
        <w:pStyle w:val="4"/>
        <w:widowControl/>
        <w:spacing w:before="100" w:after="100" w:line="360" w:lineRule="auto"/>
        <w:rPr>
          <w:rFonts w:hint="default" w:ascii="宋体" w:eastAsia="宋体" w:cs="宋体"/>
          <w:b/>
          <w:bCs/>
          <w:color w:val="auto"/>
          <w:sz w:val="21"/>
          <w:szCs w:val="21"/>
          <w:highlight w:val="none"/>
          <w:lang w:val="zh-CN"/>
        </w:rPr>
      </w:pPr>
      <w:r>
        <w:rPr>
          <w:rFonts w:ascii="宋体" w:eastAsia="宋体" w:cs="宋体"/>
          <w:b/>
          <w:bCs/>
          <w:color w:val="auto"/>
          <w:sz w:val="21"/>
          <w:szCs w:val="21"/>
          <w:highlight w:val="none"/>
          <w:lang w:val="zh-CN"/>
        </w:rPr>
        <w:t>3.2形式审查及资格审查</w:t>
      </w:r>
      <w:bookmarkEnd w:id="365"/>
      <w:bookmarkEnd w:id="366"/>
      <w:bookmarkEnd w:id="367"/>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lang w:bidi="ar"/>
        </w:rPr>
        <w:t>3.2.1 形式审查中全部符合形式评审标准（详见前附表）中规定情形的，为形式审查合格。否则为形式审查不合格，经评标委员会</w:t>
      </w:r>
      <w:r>
        <w:rPr>
          <w:rFonts w:hint="eastAsia" w:ascii="宋体" w:hAnsi="宋体" w:eastAsia="宋体" w:cs="宋体"/>
          <w:color w:val="auto"/>
          <w:kern w:val="0"/>
          <w:szCs w:val="21"/>
          <w:highlight w:val="none"/>
          <w:lang w:bidi="ar"/>
        </w:rPr>
        <w:t>评委</w:t>
      </w:r>
      <w:r>
        <w:rPr>
          <w:rFonts w:hint="eastAsia" w:ascii="宋体" w:hAnsi="宋体" w:eastAsia="宋体" w:cs="宋体"/>
          <w:color w:val="auto"/>
          <w:kern w:val="0"/>
          <w:szCs w:val="22"/>
          <w:highlight w:val="none"/>
          <w:lang w:bidi="ar"/>
        </w:rPr>
        <w:t>共同认定后，其投标文件将被拒绝。如评标委员会评委的评审意见不一致时，以评标委员会过半数成员的意见作为评标委员会对该情形的认定结论。</w:t>
      </w:r>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lang w:bidi="ar"/>
        </w:rPr>
        <w:t>3.2.2汇总形式审查情况，只有通过形式审查的投标人方可进入下一阶段的评审。形式审查合格的投标人少于3名的，则本项目招标失败。</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3.2.3评标委员会评委对所有通过形式审查的投标人进行资格审查。资格审查文件中全部符合资格评审标准（详见前附表）中规定情形的，为资格审查合格。否则为资格审查不合格，经评标委员会评委共同认定后，其投标将被拒绝。如评标委员会评委的评审意见不一致时，以评标委员会过半数成员的意见作为评标委员会对该情形的认定结论。只有通过资格审查的投标人方可进入下一阶段的评审。</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3.2.4汇总资格审查情况，编写资格审查报告。资格审查合格的投标人少于3名的，则本项目招标失败。</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3.2.5资格审查时，投标企业名称已经工商变更的，但企业及个人的资质证书未完成企业名称变更，仍然承认其有效；投标企业未及时办理变更手续的，招标人或招标代理机构应通报发证部门。资质证书、安全生产许可证之间登记的信息不一致，应当允许投标人澄清，不得直接否决其投标。</w:t>
      </w:r>
    </w:p>
    <w:p>
      <w:pPr>
        <w:spacing w:line="360" w:lineRule="auto"/>
        <w:ind w:firstLine="420" w:firstLineChars="200"/>
        <w:rPr>
          <w:rFonts w:ascii="宋体" w:hAnsi="宋体" w:eastAsia="宋体" w:cs="宋体"/>
          <w:b/>
          <w:color w:val="auto"/>
          <w:szCs w:val="21"/>
          <w:highlight w:val="none"/>
        </w:rPr>
      </w:pPr>
      <w:r>
        <w:rPr>
          <w:rFonts w:hint="eastAsia" w:ascii="宋体" w:hAnsi="宋体" w:eastAsia="宋体" w:cs="宋体"/>
          <w:b/>
          <w:color w:val="auto"/>
          <w:kern w:val="0"/>
          <w:szCs w:val="21"/>
          <w:highlight w:val="none"/>
          <w:lang w:bidi="ar"/>
        </w:rPr>
        <w:t>特别声明：资审合格后，投标人的资格发生变化而不满足投标人合格条件，在发出中标通知书前，资格问题仍未解决的，招标人将取消其中标资格。</w:t>
      </w:r>
      <w:bookmarkEnd w:id="368"/>
      <w:bookmarkEnd w:id="369"/>
    </w:p>
    <w:p>
      <w:pPr>
        <w:pStyle w:val="12"/>
        <w:rPr>
          <w:rFonts w:hint="default"/>
          <w:color w:val="auto"/>
          <w:highlight w:val="none"/>
        </w:rPr>
      </w:pPr>
    </w:p>
    <w:p>
      <w:pPr>
        <w:pStyle w:val="4"/>
        <w:widowControl/>
        <w:spacing w:before="100" w:after="100" w:line="360" w:lineRule="auto"/>
        <w:rPr>
          <w:rFonts w:hint="default" w:ascii="宋体" w:eastAsia="宋体" w:cs="宋体"/>
          <w:b/>
          <w:bCs/>
          <w:color w:val="auto"/>
          <w:sz w:val="21"/>
          <w:szCs w:val="21"/>
          <w:highlight w:val="none"/>
          <w:lang w:val="zh-CN"/>
        </w:rPr>
      </w:pPr>
      <w:bookmarkStart w:id="371" w:name="_Toc33695050"/>
      <w:bookmarkStart w:id="372" w:name="_Toc18252"/>
      <w:bookmarkStart w:id="373" w:name="_Toc439246060"/>
      <w:bookmarkStart w:id="374" w:name="_Toc439240661"/>
      <w:bookmarkStart w:id="375" w:name="_Toc414"/>
      <w:r>
        <w:rPr>
          <w:rFonts w:ascii="宋体" w:eastAsia="宋体" w:cs="宋体"/>
          <w:b/>
          <w:bCs/>
          <w:color w:val="auto"/>
          <w:sz w:val="21"/>
          <w:szCs w:val="21"/>
          <w:highlight w:val="none"/>
          <w:lang w:val="zh-CN"/>
        </w:rPr>
        <w:t>3.3工程总承包实施方案评审</w:t>
      </w:r>
      <w:bookmarkEnd w:id="371"/>
      <w:bookmarkEnd w:id="372"/>
      <w:bookmarkEnd w:id="373"/>
      <w:bookmarkEnd w:id="374"/>
      <w:bookmarkEnd w:id="375"/>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3.3.1工程总承包实施方案的响应性审查：通过资格审查的投标文件中没有任一种列于工程总承包实施方案响应性评审标准（详见前附表）中情形的，为有效标书。否则为无效标书，经</w:t>
      </w:r>
      <w:r>
        <w:rPr>
          <w:rFonts w:hint="eastAsia" w:ascii="宋体" w:hAnsi="宋体" w:eastAsia="宋体" w:cs="宋体"/>
          <w:color w:val="auto"/>
          <w:kern w:val="0"/>
          <w:szCs w:val="21"/>
          <w:highlight w:val="none"/>
          <w:lang w:bidi="ar"/>
        </w:rPr>
        <w:t>评标委员会评委共同认定后，其投标文件将被拒绝。如评标委员会评委的评审意见不一致时，以评标委员会评委过半数成员的意见作为评标委员会对该情形的认定结论。</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3.3.2工程总承包实施方案详细审查：评标委员会评委按照工程总承包实施方案评分标准（详见前附表），对通过响应性审查的投标文件进行详细审查，评分。</w:t>
      </w:r>
    </w:p>
    <w:p>
      <w:pPr>
        <w:spacing w:line="360"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3.3.3各投标人工程总承包实施方案得分为各评委评分</w:t>
      </w:r>
      <w:r>
        <w:rPr>
          <w:rFonts w:hint="eastAsia" w:ascii="宋体" w:hAnsi="宋体" w:eastAsia="宋体" w:cs="宋体"/>
          <w:color w:val="auto"/>
          <w:kern w:val="0"/>
          <w:szCs w:val="30"/>
          <w:highlight w:val="none"/>
          <w:lang w:bidi="ar"/>
        </w:rPr>
        <w:t>去掉一个最高分和一个最低分后的算术平均值，即为该投标人的评审得分（若分数出现小数点时，保留到小数点后两位，第三位小数四舍五入）</w:t>
      </w:r>
      <w:r>
        <w:rPr>
          <w:rFonts w:hint="eastAsia" w:ascii="宋体" w:hAnsi="宋体" w:eastAsia="宋体" w:cs="宋体"/>
          <w:color w:val="auto"/>
          <w:kern w:val="0"/>
          <w:szCs w:val="21"/>
          <w:highlight w:val="none"/>
          <w:lang w:bidi="ar"/>
        </w:rPr>
        <w:t>。</w:t>
      </w:r>
    </w:p>
    <w:p>
      <w:pPr>
        <w:pStyle w:val="4"/>
        <w:widowControl/>
        <w:spacing w:before="100" w:after="100" w:line="360" w:lineRule="auto"/>
        <w:rPr>
          <w:rFonts w:hint="default" w:ascii="宋体" w:eastAsia="宋体" w:cs="宋体"/>
          <w:b/>
          <w:bCs/>
          <w:color w:val="auto"/>
          <w:sz w:val="21"/>
          <w:szCs w:val="21"/>
          <w:highlight w:val="none"/>
          <w:lang w:val="zh-CN"/>
        </w:rPr>
      </w:pPr>
      <w:bookmarkStart w:id="376" w:name="_Toc26189"/>
      <w:bookmarkStart w:id="377" w:name="_Toc33695051"/>
      <w:bookmarkStart w:id="378" w:name="_Toc14774"/>
      <w:bookmarkStart w:id="379" w:name="_Toc439240662"/>
      <w:bookmarkStart w:id="380" w:name="_Toc439246061"/>
      <w:r>
        <w:rPr>
          <w:rFonts w:ascii="宋体" w:eastAsia="宋体" w:cs="宋体"/>
          <w:b/>
          <w:bCs/>
          <w:color w:val="auto"/>
          <w:sz w:val="21"/>
          <w:szCs w:val="21"/>
          <w:highlight w:val="none"/>
          <w:lang w:val="zh-CN"/>
        </w:rPr>
        <w:t>3.4投标报价得分</w:t>
      </w:r>
      <w:bookmarkEnd w:id="376"/>
      <w:bookmarkEnd w:id="377"/>
      <w:bookmarkEnd w:id="378"/>
      <w:bookmarkEnd w:id="379"/>
      <w:bookmarkEnd w:id="380"/>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3.4.1评标委员会评委汇总响应性评审结果，未通过响应性评审的投标人的投标报价，不再进行投标报价评审，也不参与评标基准价的计算。</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3.4.2投标报价的算术校核</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评标委员会评委对通过形式评审、资格评审、工程总承包实施方案响应性评审的投标文件的投标报价进行算术校核，具体标准如下：</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（1）如果下浮率与最高投标限价乘积不等于投标报价时，以下浮率为准修正投标报价（下浮率有明显的数量级错误的除外，此时应修正下浮率），若修正后的投标报价超过最高投标限价的，作否决投标处理；</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（2）如果分项报价累加不等总价的，以分项报价累加为准，修正总价；</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（3）投标文件存在其他计算性错误的，按就低不就高计算并修正；</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（4）按上述修正错误的原则及方法调整或修正投标文件的投标报价，调整后的投标报价对投标人起约束作用。如果投标人不接受修正后的报价，则取消其投标资格或中标资格。</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3.4.3投标报价评分</w:t>
      </w:r>
      <w:bookmarkStart w:id="381" w:name="_Toc2675447"/>
      <w:bookmarkStart w:id="382" w:name="_Toc27208"/>
      <w:bookmarkStart w:id="383" w:name="_Toc12088"/>
      <w:bookmarkStart w:id="384" w:name="_Toc33695052"/>
      <w:r>
        <w:rPr>
          <w:rFonts w:hint="eastAsia" w:ascii="宋体" w:hAnsi="宋体" w:eastAsia="宋体" w:cs="宋体"/>
          <w:color w:val="auto"/>
          <w:kern w:val="0"/>
          <w:szCs w:val="21"/>
          <w:highlight w:val="none"/>
          <w:lang w:bidi="ar"/>
        </w:rPr>
        <w:t>详见评标办法前附表</w:t>
      </w:r>
    </w:p>
    <w:p>
      <w:pPr>
        <w:pStyle w:val="4"/>
        <w:widowControl/>
        <w:spacing w:before="100" w:after="100" w:line="360" w:lineRule="auto"/>
        <w:rPr>
          <w:rFonts w:hint="default" w:ascii="宋体" w:eastAsia="宋体" w:cs="宋体"/>
          <w:b/>
          <w:bCs/>
          <w:color w:val="auto"/>
          <w:sz w:val="21"/>
          <w:szCs w:val="21"/>
          <w:highlight w:val="none"/>
          <w:lang w:val="zh-CN"/>
        </w:rPr>
      </w:pPr>
      <w:r>
        <w:rPr>
          <w:rFonts w:ascii="宋体" w:eastAsia="宋体" w:cs="宋体"/>
          <w:b/>
          <w:bCs/>
          <w:color w:val="auto"/>
          <w:sz w:val="21"/>
          <w:szCs w:val="21"/>
          <w:highlight w:val="none"/>
          <w:lang w:val="zh-CN"/>
        </w:rPr>
        <w:t>3.</w:t>
      </w:r>
      <w:bookmarkEnd w:id="381"/>
      <w:bookmarkStart w:id="385" w:name="_Toc2675448"/>
      <w:r>
        <w:rPr>
          <w:rFonts w:ascii="宋体" w:eastAsia="宋体" w:cs="宋体"/>
          <w:b/>
          <w:bCs/>
          <w:color w:val="auto"/>
          <w:sz w:val="21"/>
          <w:szCs w:val="21"/>
          <w:highlight w:val="none"/>
          <w:lang w:val="zh-CN"/>
        </w:rPr>
        <w:t>5评审汇总</w:t>
      </w:r>
      <w:bookmarkEnd w:id="382"/>
      <w:bookmarkEnd w:id="383"/>
      <w:bookmarkEnd w:id="384"/>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3.5.1投标人总得分满分为100分，各部分分值分配详见评标办法前附表。</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3.5.2评标委员会汇总各有效投标文件的总分，并按照总分从高到低排列先后次序，只有通过形式审查、资格审查、工程总承包实施方案响应性审查的投标文件方可计算总分。总分相同的，以工程总承包实施方案得分高的排前；总分与工程总承包实施方案得分均相同的投标文件，以投标报价较低的排前；如仍存在相同情况，则对具有相同情况的投标人，按中标候选人数量规定，由评标委员会采用记名投票方式，确定中标候选人的排序。评标委员会应按排序先后，向招标人推荐前3名投标人依次为第一中标候选人至第三中标候选人，并编写评标报告。</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3.5.3有效投标单位不足三家，应当依法重新组织招标。</w:t>
      </w:r>
    </w:p>
    <w:p>
      <w:pPr>
        <w:pStyle w:val="4"/>
        <w:widowControl/>
        <w:spacing w:before="100" w:after="100" w:line="360" w:lineRule="auto"/>
        <w:rPr>
          <w:rFonts w:hint="default" w:ascii="宋体" w:eastAsia="宋体" w:cs="宋体"/>
          <w:b/>
          <w:bCs/>
          <w:color w:val="auto"/>
          <w:sz w:val="21"/>
          <w:szCs w:val="21"/>
          <w:highlight w:val="none"/>
          <w:lang w:val="zh-CN"/>
        </w:rPr>
      </w:pPr>
      <w:bookmarkStart w:id="386" w:name="_Toc23182"/>
      <w:bookmarkStart w:id="387" w:name="_Toc33695053"/>
      <w:bookmarkStart w:id="388" w:name="_Toc31614"/>
      <w:r>
        <w:rPr>
          <w:rFonts w:ascii="宋体" w:eastAsia="宋体" w:cs="宋体"/>
          <w:b/>
          <w:bCs/>
          <w:color w:val="auto"/>
          <w:sz w:val="21"/>
          <w:szCs w:val="21"/>
          <w:highlight w:val="none"/>
          <w:lang w:val="zh-CN"/>
        </w:rPr>
        <w:t>3.6投标文件的澄清和补正</w:t>
      </w:r>
      <w:bookmarkEnd w:id="385"/>
      <w:bookmarkEnd w:id="386"/>
      <w:bookmarkEnd w:id="387"/>
      <w:bookmarkEnd w:id="388"/>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3.6.1为有助于投标文件的审查、评价和比较，评标期间，经评标委员会中两人以上（含两人）的成员以书面形式提出动议，评标委员会应当书面发出澄清通知，要求投标人对投标文件含义不明确的内容作出澄清。</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3.6.2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相应评审的依据。</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3.6.3 评标委员会成员均应当阅读投标人的澄清，但应独立参考澄清对投标文件进行评审。</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3.6.4如果投标文件实质上不响应招标文件的各项要求，评标委员会相应评审将按照响应性审查标准予以拒绝，不接受投标人通过修改或撤销其不符合要求的差异或保留，使之成为具有响应性的投标。</w:t>
      </w:r>
    </w:p>
    <w:p>
      <w:pPr>
        <w:spacing w:line="360"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u w:val="single"/>
          <w:lang w:bidi="ar"/>
        </w:rPr>
        <w:t>3.5.5 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pPr>
        <w:pStyle w:val="4"/>
        <w:widowControl/>
        <w:spacing w:before="100" w:after="100" w:line="360" w:lineRule="auto"/>
        <w:rPr>
          <w:rFonts w:hint="default" w:ascii="宋体" w:eastAsia="宋体" w:cs="宋体"/>
          <w:b/>
          <w:bCs/>
          <w:color w:val="auto"/>
          <w:sz w:val="21"/>
          <w:szCs w:val="21"/>
          <w:highlight w:val="none"/>
          <w:lang w:val="zh-CN"/>
        </w:rPr>
      </w:pPr>
      <w:bookmarkStart w:id="389" w:name="_Toc30602"/>
      <w:bookmarkStart w:id="390" w:name="_Toc33695054"/>
      <w:bookmarkStart w:id="391" w:name="_Toc15798"/>
      <w:bookmarkStart w:id="392" w:name="_Toc2675449"/>
      <w:r>
        <w:rPr>
          <w:rFonts w:ascii="宋体" w:eastAsia="宋体" w:cs="宋体"/>
          <w:b/>
          <w:bCs/>
          <w:color w:val="auto"/>
          <w:sz w:val="21"/>
          <w:szCs w:val="21"/>
          <w:highlight w:val="none"/>
          <w:lang w:val="zh-CN"/>
        </w:rPr>
        <w:t>3.7评标结果</w:t>
      </w:r>
      <w:bookmarkEnd w:id="389"/>
      <w:bookmarkEnd w:id="390"/>
      <w:bookmarkEnd w:id="391"/>
      <w:bookmarkEnd w:id="392"/>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3.7.1 除第二章“投标人须知”前附表授权直接确定中标人外，评标委员会按照得分由高到低的顺序推荐中标候选人。</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3.7.2 评标委员会完成评标后，应当向招标人提交书面评标报告。</w:t>
      </w:r>
    </w:p>
    <w:p>
      <w:pPr>
        <w:pStyle w:val="8"/>
        <w:widowControl/>
        <w:spacing w:line="360" w:lineRule="auto"/>
        <w:ind w:firstLine="420"/>
        <w:rPr>
          <w:rFonts w:ascii="宋体" w:hAnsi="宋体" w:cs="宋体"/>
          <w:color w:val="auto"/>
          <w:kern w:val="1"/>
          <w:szCs w:val="21"/>
          <w:highlight w:val="none"/>
        </w:rPr>
      </w:pPr>
      <w:r>
        <w:rPr>
          <w:rFonts w:hint="eastAsia" w:ascii="宋体" w:hAnsi="宋体" w:cs="宋体"/>
          <w:color w:val="auto"/>
          <w:szCs w:val="21"/>
          <w:highlight w:val="none"/>
        </w:rPr>
        <w:t>3.7.3投标人如在本项目中存在串通投标、弄虚作假、行贿情形且在评标过程中未被发现的，其投标不改变本项目评标结果排序。招标人按照《中华人民共和国招标投标法实施条例》第五十五条的规定确定中标人或重新招标。</w:t>
      </w:r>
    </w:p>
    <w:p>
      <w:pPr>
        <w:spacing w:line="360" w:lineRule="auto"/>
        <w:rPr>
          <w:rFonts w:ascii="宋体" w:hAnsi="宋体" w:eastAsia="宋体" w:cs="宋体"/>
          <w:color w:val="auto"/>
          <w:kern w:val="1"/>
          <w:szCs w:val="21"/>
          <w:highlight w:val="none"/>
        </w:rPr>
      </w:pPr>
    </w:p>
    <w:p>
      <w:pPr>
        <w:spacing w:line="360" w:lineRule="auto"/>
        <w:rPr>
          <w:rFonts w:ascii="宋体" w:hAnsi="宋体" w:eastAsia="宋体" w:cs="宋体"/>
          <w:color w:val="auto"/>
          <w:kern w:val="1"/>
          <w:szCs w:val="21"/>
          <w:highlight w:val="none"/>
          <w:lang w:bidi="ar"/>
        </w:rPr>
        <w:sectPr>
          <w:pgSz w:w="11915" w:h="16840"/>
          <w:pgMar w:top="1361" w:right="1304" w:bottom="1304" w:left="1304" w:header="851" w:footer="720" w:gutter="0"/>
          <w:cols w:space="425" w:num="1"/>
          <w:docGrid w:type="lines" w:linePitch="312" w:charSpace="0"/>
        </w:sectPr>
      </w:pPr>
    </w:p>
    <w:p>
      <w:pPr>
        <w:pStyle w:val="12"/>
        <w:rPr>
          <w:rFonts w:hint="default"/>
          <w:color w:val="auto"/>
          <w:highlight w:val="none"/>
        </w:rPr>
      </w:pPr>
    </w:p>
    <w:p>
      <w:pPr>
        <w:spacing w:line="400" w:lineRule="exact"/>
        <w:rPr>
          <w:rFonts w:ascii="宋体" w:hAnsi="宋体" w:eastAsia="宋体" w:cs="宋体"/>
          <w:b/>
          <w:color w:val="auto"/>
          <w:sz w:val="24"/>
          <w:highlight w:val="none"/>
        </w:rPr>
      </w:pPr>
      <w:r>
        <w:rPr>
          <w:rFonts w:hint="eastAsia" w:ascii="宋体" w:hAnsi="宋体" w:eastAsia="宋体" w:cs="宋体"/>
          <w:b/>
          <w:color w:val="auto"/>
          <w:kern w:val="0"/>
          <w:sz w:val="24"/>
          <w:highlight w:val="none"/>
          <w:lang w:bidi="ar"/>
        </w:rPr>
        <w:t>附表1</w:t>
      </w:r>
    </w:p>
    <w:p>
      <w:pPr>
        <w:spacing w:line="400" w:lineRule="exact"/>
        <w:jc w:val="center"/>
        <w:rPr>
          <w:rFonts w:ascii="宋体" w:hAnsi="宋体" w:eastAsia="宋体" w:cs="宋体"/>
          <w:b/>
          <w:color w:val="auto"/>
          <w:sz w:val="36"/>
          <w:szCs w:val="36"/>
          <w:highlight w:val="none"/>
        </w:rPr>
      </w:pPr>
      <w:r>
        <w:rPr>
          <w:rFonts w:hint="eastAsia" w:ascii="宋体" w:hAnsi="宋体" w:eastAsia="宋体" w:cs="宋体"/>
          <w:b/>
          <w:color w:val="auto"/>
          <w:kern w:val="0"/>
          <w:sz w:val="36"/>
          <w:szCs w:val="36"/>
          <w:highlight w:val="none"/>
          <w:lang w:bidi="ar"/>
        </w:rPr>
        <w:t>资格审查评审表</w:t>
      </w:r>
    </w:p>
    <w:tbl>
      <w:tblPr>
        <w:tblStyle w:val="26"/>
        <w:tblW w:w="144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529"/>
        <w:gridCol w:w="7828"/>
        <w:gridCol w:w="4948"/>
        <w:gridCol w:w="1125"/>
      </w:tblGrid>
      <w:tr>
        <w:trPr>
          <w:trHeight w:val="291"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auto"/>
                <w:sz w:val="18"/>
                <w:szCs w:val="18"/>
                <w:highlight w:val="none"/>
              </w:rPr>
            </w:pPr>
            <w:r>
              <w:rPr>
                <w:rFonts w:hint="eastAsia" w:ascii="宋体" w:hAnsi="宋体" w:eastAsia="宋体" w:cs="宋体"/>
                <w:b/>
                <w:color w:val="auto"/>
                <w:kern w:val="0"/>
                <w:sz w:val="18"/>
                <w:szCs w:val="18"/>
                <w:highlight w:val="none"/>
                <w:lang w:bidi="ar"/>
              </w:rPr>
              <w:t>序号</w:t>
            </w:r>
          </w:p>
        </w:tc>
        <w:tc>
          <w:tcPr>
            <w:tcW w:w="7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auto"/>
                <w:sz w:val="18"/>
                <w:szCs w:val="18"/>
                <w:highlight w:val="none"/>
              </w:rPr>
            </w:pPr>
            <w:r>
              <w:rPr>
                <w:rFonts w:hint="eastAsia" w:ascii="宋体" w:hAnsi="宋体" w:eastAsia="宋体" w:cs="宋体"/>
                <w:b/>
                <w:color w:val="auto"/>
                <w:kern w:val="0"/>
                <w:sz w:val="18"/>
                <w:szCs w:val="18"/>
                <w:highlight w:val="none"/>
                <w:lang w:bidi="ar"/>
              </w:rPr>
              <w:t>审查项目</w:t>
            </w:r>
          </w:p>
        </w:tc>
        <w:tc>
          <w:tcPr>
            <w:tcW w:w="49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auto"/>
                <w:sz w:val="18"/>
                <w:szCs w:val="18"/>
                <w:highlight w:val="none"/>
              </w:rPr>
            </w:pPr>
            <w:r>
              <w:rPr>
                <w:rFonts w:hint="eastAsia" w:ascii="宋体" w:hAnsi="宋体" w:eastAsia="宋体" w:cs="宋体"/>
                <w:b/>
                <w:color w:val="auto"/>
                <w:kern w:val="0"/>
                <w:sz w:val="18"/>
                <w:szCs w:val="18"/>
                <w:highlight w:val="none"/>
                <w:lang w:bidi="ar"/>
              </w:rPr>
              <w:t>须审查的资料</w:t>
            </w:r>
          </w:p>
        </w:tc>
        <w:tc>
          <w:tcPr>
            <w:tcW w:w="1125"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宋体" w:hAnsi="宋体" w:eastAsia="宋体" w:cs="宋体"/>
                <w:b/>
                <w:color w:val="auto"/>
                <w:sz w:val="18"/>
                <w:szCs w:val="18"/>
                <w:highlight w:val="none"/>
              </w:rPr>
            </w:pPr>
            <w:r>
              <w:rPr>
                <w:rFonts w:hint="eastAsia" w:ascii="宋体" w:hAnsi="宋体" w:eastAsia="宋体" w:cs="宋体"/>
                <w:b/>
                <w:color w:val="auto"/>
                <w:kern w:val="0"/>
                <w:sz w:val="18"/>
                <w:szCs w:val="18"/>
                <w:highlight w:val="none"/>
                <w:lang w:bidi="ar"/>
              </w:rPr>
              <w:t>审查结果</w:t>
            </w:r>
          </w:p>
        </w:tc>
      </w:tr>
      <w:tr>
        <w:trPr>
          <w:trHeight w:val="291"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auto"/>
                <w:sz w:val="18"/>
                <w:szCs w:val="18"/>
                <w:highlight w:val="none"/>
              </w:rPr>
            </w:pPr>
            <w:r>
              <w:rPr>
                <w:rFonts w:hint="eastAsia" w:ascii="宋体" w:hAnsi="宋体" w:eastAsia="宋体" w:cs="宋体"/>
                <w:bCs/>
                <w:color w:val="auto"/>
                <w:kern w:val="0"/>
                <w:sz w:val="18"/>
                <w:szCs w:val="18"/>
                <w:highlight w:val="none"/>
                <w:lang w:bidi="ar"/>
              </w:rPr>
              <w:t>1</w:t>
            </w:r>
          </w:p>
        </w:tc>
        <w:tc>
          <w:tcPr>
            <w:tcW w:w="7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bCs/>
                <w:color w:val="auto"/>
                <w:sz w:val="18"/>
                <w:szCs w:val="18"/>
                <w:highlight w:val="none"/>
              </w:rPr>
            </w:pPr>
            <w:r>
              <w:rPr>
                <w:rFonts w:hint="eastAsia" w:ascii="宋体" w:hAnsi="宋体" w:eastAsia="宋体" w:cs="宋体"/>
                <w:color w:val="auto"/>
                <w:kern w:val="0"/>
                <w:sz w:val="18"/>
                <w:szCs w:val="18"/>
                <w:highlight w:val="none"/>
                <w:lang w:bidi="ar"/>
              </w:rPr>
              <w:t>投标人（若为联合体，指联合体各单位）企业资质符合招标公告要求。</w:t>
            </w:r>
          </w:p>
        </w:tc>
        <w:tc>
          <w:tcPr>
            <w:tcW w:w="49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bCs/>
                <w:color w:val="auto"/>
                <w:sz w:val="18"/>
                <w:szCs w:val="18"/>
                <w:highlight w:val="none"/>
              </w:rPr>
            </w:pPr>
            <w:r>
              <w:rPr>
                <w:rFonts w:hint="eastAsia" w:ascii="宋体" w:hAnsi="宋体" w:eastAsia="宋体" w:cs="宋体"/>
                <w:color w:val="auto"/>
                <w:kern w:val="0"/>
                <w:sz w:val="18"/>
                <w:szCs w:val="18"/>
                <w:highlight w:val="none"/>
                <w:lang w:bidi="ar"/>
              </w:rPr>
              <w:t>资质证书在广州公共资源交易中心企业信息库内上传件。香港企业提供相关材料扫描件</w:t>
            </w:r>
          </w:p>
        </w:tc>
        <w:tc>
          <w:tcPr>
            <w:tcW w:w="1125"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宋体" w:hAnsi="宋体" w:eastAsia="宋体" w:cs="宋体"/>
                <w:b/>
                <w:color w:val="auto"/>
                <w:sz w:val="18"/>
                <w:szCs w:val="18"/>
                <w:highlight w:val="none"/>
              </w:rPr>
            </w:pPr>
          </w:p>
        </w:tc>
      </w:tr>
      <w:tr>
        <w:trPr>
          <w:trHeight w:val="291"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auto"/>
                <w:sz w:val="18"/>
                <w:szCs w:val="18"/>
                <w:highlight w:val="none"/>
              </w:rPr>
            </w:pPr>
            <w:r>
              <w:rPr>
                <w:rFonts w:hint="eastAsia" w:ascii="宋体" w:hAnsi="宋体" w:eastAsia="宋体" w:cs="宋体"/>
                <w:bCs/>
                <w:color w:val="auto"/>
                <w:kern w:val="0"/>
                <w:sz w:val="18"/>
                <w:szCs w:val="18"/>
                <w:highlight w:val="none"/>
                <w:lang w:bidi="ar"/>
              </w:rPr>
              <w:t>2</w:t>
            </w:r>
          </w:p>
        </w:tc>
        <w:tc>
          <w:tcPr>
            <w:tcW w:w="7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提供的联合体工作协议符合公告要求（组成联合体投标的提供）</w:t>
            </w:r>
          </w:p>
        </w:tc>
        <w:tc>
          <w:tcPr>
            <w:tcW w:w="49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联合体工作协议</w:t>
            </w:r>
          </w:p>
        </w:tc>
        <w:tc>
          <w:tcPr>
            <w:tcW w:w="1125"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宋体" w:hAnsi="宋体" w:eastAsia="宋体" w:cs="宋体"/>
                <w:b/>
                <w:color w:val="auto"/>
                <w:sz w:val="18"/>
                <w:szCs w:val="18"/>
                <w:highlight w:val="none"/>
              </w:rPr>
            </w:pPr>
          </w:p>
        </w:tc>
      </w:tr>
      <w:tr>
        <w:trPr>
          <w:trHeight w:val="291"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auto"/>
                <w:sz w:val="18"/>
                <w:szCs w:val="18"/>
                <w:highlight w:val="none"/>
              </w:rPr>
            </w:pPr>
            <w:r>
              <w:rPr>
                <w:rFonts w:hint="eastAsia" w:ascii="宋体" w:hAnsi="宋体" w:eastAsia="宋体" w:cs="宋体"/>
                <w:bCs/>
                <w:color w:val="auto"/>
                <w:kern w:val="0"/>
                <w:sz w:val="18"/>
                <w:szCs w:val="18"/>
                <w:highlight w:val="none"/>
                <w:lang w:bidi="ar"/>
              </w:rPr>
              <w:t>3</w:t>
            </w:r>
          </w:p>
        </w:tc>
        <w:tc>
          <w:tcPr>
            <w:tcW w:w="7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拟派主要负责人资格要求符合招标公告要求</w:t>
            </w:r>
          </w:p>
        </w:tc>
        <w:tc>
          <w:tcPr>
            <w:tcW w:w="49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4"/>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项目负责人使用有效期内的符合招标公告要求的相关证书在广州公共资源交易中心企业信息库内上传件</w:t>
            </w:r>
          </w:p>
          <w:p>
            <w:pPr>
              <w:pStyle w:val="74"/>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施工负责人的在有效期内的注册建造师注册证书在广州公共资源交易中心企业信息库内上传件</w:t>
            </w:r>
          </w:p>
          <w:p>
            <w:pPr>
              <w:pStyle w:val="74"/>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施工负责人的在有效期内的安全生产考核合格证（B类）或建筑施工企业项目负责人安全生产考核合格证书在广州公共资源交易中心企业信息库</w:t>
            </w:r>
            <w:r>
              <w:rPr>
                <w:rFonts w:ascii="宋体" w:hAnsi="宋体" w:eastAsia="宋体" w:cs="宋体"/>
                <w:color w:val="auto"/>
                <w:kern w:val="0"/>
                <w:sz w:val="18"/>
                <w:szCs w:val="18"/>
                <w:highlight w:val="none"/>
                <w:lang w:bidi="ar"/>
              </w:rPr>
              <w:t>内上传件</w:t>
            </w:r>
          </w:p>
          <w:p>
            <w:pPr>
              <w:pStyle w:val="74"/>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专职安全员的在有效期内的安全生产考核合格证（C类）或建筑施工企业专职安全生产管理人员安全生产考核合格证书（C3类）在广州公共资源交易中心企业信息库内上传件</w:t>
            </w:r>
          </w:p>
          <w:p>
            <w:pPr>
              <w:pStyle w:val="74"/>
              <w:rPr>
                <w:rFonts w:ascii="宋体" w:hAnsi="宋体" w:eastAsia="宋体" w:cs="宋体"/>
                <w:color w:val="auto"/>
                <w:kern w:val="0"/>
                <w:sz w:val="18"/>
                <w:szCs w:val="18"/>
                <w:highlight w:val="none"/>
                <w:lang w:bidi="ar"/>
              </w:rPr>
            </w:pPr>
            <w:r>
              <w:rPr>
                <w:rFonts w:ascii="宋体" w:hAnsi="宋体" w:eastAsia="宋体" w:cs="宋体"/>
                <w:color w:val="auto"/>
                <w:kern w:val="0"/>
                <w:sz w:val="18"/>
                <w:szCs w:val="18"/>
                <w:highlight w:val="none"/>
                <w:lang w:bidi="ar"/>
              </w:rPr>
              <w:t>设计负责人提供职称证书扫描件</w:t>
            </w:r>
          </w:p>
          <w:p>
            <w:pPr>
              <w:pStyle w:val="74"/>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技术负责人提供职称证书扫描件</w:t>
            </w:r>
          </w:p>
          <w:p>
            <w:pPr>
              <w:pStyle w:val="74"/>
              <w:rPr>
                <w:rFonts w:ascii="宋体" w:hAnsi="宋体" w:eastAsia="宋体" w:cs="宋体"/>
                <w:color w:val="auto"/>
                <w:kern w:val="0"/>
                <w:sz w:val="18"/>
                <w:szCs w:val="18"/>
                <w:highlight w:val="none"/>
                <w:lang w:bidi="ar"/>
              </w:rPr>
            </w:pPr>
            <w:r>
              <w:rPr>
                <w:rFonts w:ascii="宋体" w:hAnsi="宋体" w:eastAsia="宋体" w:cs="宋体"/>
                <w:color w:val="auto"/>
                <w:kern w:val="0"/>
                <w:sz w:val="18"/>
                <w:szCs w:val="18"/>
                <w:highlight w:val="none"/>
                <w:lang w:bidi="ar"/>
              </w:rPr>
              <w:t>项目负责人（可兼任施工负责人）、专职安全员、技术负责人、设计负责人不得为同一人</w:t>
            </w:r>
          </w:p>
        </w:tc>
        <w:tc>
          <w:tcPr>
            <w:tcW w:w="1125"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宋体" w:hAnsi="宋体" w:eastAsia="宋体" w:cs="宋体"/>
                <w:b/>
                <w:color w:val="auto"/>
                <w:sz w:val="18"/>
                <w:szCs w:val="18"/>
                <w:highlight w:val="none"/>
              </w:rPr>
            </w:pPr>
          </w:p>
        </w:tc>
      </w:tr>
      <w:tr>
        <w:trPr>
          <w:trHeight w:val="291"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auto"/>
                <w:sz w:val="18"/>
                <w:szCs w:val="18"/>
                <w:highlight w:val="none"/>
              </w:rPr>
            </w:pPr>
            <w:r>
              <w:rPr>
                <w:rFonts w:hint="eastAsia" w:ascii="宋体" w:hAnsi="宋体" w:eastAsia="宋体" w:cs="宋体"/>
                <w:bCs/>
                <w:color w:val="auto"/>
                <w:kern w:val="0"/>
                <w:sz w:val="18"/>
                <w:szCs w:val="18"/>
                <w:highlight w:val="none"/>
                <w:lang w:bidi="ar"/>
              </w:rPr>
              <w:t>4</w:t>
            </w:r>
          </w:p>
        </w:tc>
        <w:tc>
          <w:tcPr>
            <w:tcW w:w="7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投标人参加投标的意思表达清楚，投标人代表被授权有效。</w:t>
            </w:r>
          </w:p>
        </w:tc>
        <w:tc>
          <w:tcPr>
            <w:tcW w:w="49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投标人声明、法定代表人证明书；委托投标的还应提供法人授权委托证明书。</w:t>
            </w:r>
          </w:p>
        </w:tc>
        <w:tc>
          <w:tcPr>
            <w:tcW w:w="1125"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宋体" w:hAnsi="宋体" w:eastAsia="宋体" w:cs="宋体"/>
                <w:b/>
                <w:color w:val="auto"/>
                <w:sz w:val="18"/>
                <w:szCs w:val="18"/>
                <w:highlight w:val="none"/>
              </w:rPr>
            </w:pPr>
          </w:p>
        </w:tc>
      </w:tr>
      <w:tr>
        <w:trPr>
          <w:trHeight w:val="291"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auto"/>
                <w:sz w:val="18"/>
                <w:szCs w:val="18"/>
                <w:highlight w:val="none"/>
              </w:rPr>
            </w:pPr>
            <w:r>
              <w:rPr>
                <w:rFonts w:hint="eastAsia" w:ascii="宋体" w:hAnsi="宋体" w:eastAsia="宋体" w:cs="宋体"/>
                <w:bCs/>
                <w:color w:val="auto"/>
                <w:kern w:val="0"/>
                <w:sz w:val="18"/>
                <w:szCs w:val="18"/>
                <w:highlight w:val="none"/>
                <w:lang w:bidi="ar"/>
              </w:rPr>
              <w:t>5</w:t>
            </w:r>
          </w:p>
        </w:tc>
        <w:tc>
          <w:tcPr>
            <w:tcW w:w="7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投标人具有独立法人资格，投标人（联合体投标的，联合体各方）持有工商行政管理部门核发的法人营业执照，按国家法律经营。香港企业提供在香港进行商业登记的证明文书。</w:t>
            </w:r>
          </w:p>
        </w:tc>
        <w:tc>
          <w:tcPr>
            <w:tcW w:w="49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营业执照在广州公共资源交易中心企业信息库台内上传件。联合体承担设计任务的一方为普通合伙企业形式的设计事务所的，需提供工商行政（市场监督）管理部门核发的合伙企业营业执照；联合体承担设计任务的一方为单独投标的香港企业的，需提供在香港进行商业登记的证明文书。香港企业的，需提供在香港进行商业登记的证明文书</w:t>
            </w:r>
          </w:p>
        </w:tc>
        <w:tc>
          <w:tcPr>
            <w:tcW w:w="1125"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宋体" w:hAnsi="宋体" w:eastAsia="宋体" w:cs="宋体"/>
                <w:b/>
                <w:color w:val="auto"/>
                <w:sz w:val="18"/>
                <w:szCs w:val="18"/>
                <w:highlight w:val="none"/>
              </w:rPr>
            </w:pPr>
          </w:p>
        </w:tc>
      </w:tr>
      <w:tr>
        <w:trPr>
          <w:trHeight w:val="23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6</w:t>
            </w:r>
          </w:p>
        </w:tc>
        <w:tc>
          <w:tcPr>
            <w:tcW w:w="78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投标人（或联合体施工方）持有建设行政主管部门颁发的安全生产许可证。</w:t>
            </w:r>
          </w:p>
        </w:tc>
        <w:tc>
          <w:tcPr>
            <w:tcW w:w="49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安全生产许可证在</w:t>
            </w:r>
            <w:r>
              <w:rPr>
                <w:rFonts w:hint="eastAsia" w:ascii="宋体" w:hAnsi="宋体" w:eastAsia="宋体"/>
                <w:color w:val="auto"/>
                <w:sz w:val="18"/>
                <w:szCs w:val="18"/>
                <w:highlight w:val="none"/>
                <w:shd w:val="clear" w:color="auto" w:fill="FFFFFF"/>
              </w:rPr>
              <w:t>广州公共资源交易中心企业信息库</w:t>
            </w:r>
            <w:r>
              <w:rPr>
                <w:rFonts w:hint="eastAsia" w:ascii="宋体" w:hAnsi="宋体" w:eastAsia="宋体" w:cs="宋体"/>
                <w:color w:val="auto"/>
                <w:kern w:val="0"/>
                <w:sz w:val="18"/>
                <w:szCs w:val="18"/>
                <w:highlight w:val="none"/>
                <w:lang w:bidi="ar"/>
              </w:rPr>
              <w:t>内上传件</w:t>
            </w:r>
          </w:p>
        </w:tc>
        <w:tc>
          <w:tcPr>
            <w:tcW w:w="1125" w:type="dxa"/>
            <w:tcBorders>
              <w:top w:val="single" w:color="000000" w:sz="4" w:space="0"/>
              <w:left w:val="single" w:color="000000" w:sz="4" w:space="0"/>
              <w:bottom w:val="single" w:color="000000" w:sz="4" w:space="0"/>
              <w:right w:val="single" w:color="000000" w:sz="4" w:space="0"/>
            </w:tcBorders>
            <w:shd w:val="clear" w:color="auto" w:fill="auto"/>
          </w:tcPr>
          <w:p>
            <w:pPr>
              <w:spacing w:line="400" w:lineRule="exact"/>
              <w:rPr>
                <w:rFonts w:ascii="宋体" w:hAnsi="宋体" w:eastAsia="宋体" w:cs="宋体"/>
                <w:color w:val="auto"/>
                <w:sz w:val="18"/>
                <w:szCs w:val="18"/>
                <w:highlight w:val="none"/>
              </w:rPr>
            </w:pPr>
          </w:p>
        </w:tc>
      </w:tr>
      <w:tr>
        <w:trPr>
          <w:trHeight w:val="23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7</w:t>
            </w:r>
          </w:p>
        </w:tc>
        <w:tc>
          <w:tcPr>
            <w:tcW w:w="78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投标人提供的投标人声明符合公告要求</w:t>
            </w:r>
          </w:p>
        </w:tc>
        <w:tc>
          <w:tcPr>
            <w:tcW w:w="49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投标人声明</w:t>
            </w:r>
          </w:p>
        </w:tc>
        <w:tc>
          <w:tcPr>
            <w:tcW w:w="1125" w:type="dxa"/>
            <w:tcBorders>
              <w:top w:val="single" w:color="000000" w:sz="4" w:space="0"/>
              <w:left w:val="single" w:color="000000" w:sz="4" w:space="0"/>
              <w:bottom w:val="single" w:color="000000" w:sz="4" w:space="0"/>
              <w:right w:val="single" w:color="000000" w:sz="4" w:space="0"/>
            </w:tcBorders>
            <w:shd w:val="clear" w:color="auto" w:fill="auto"/>
          </w:tcPr>
          <w:p>
            <w:pPr>
              <w:spacing w:line="400" w:lineRule="exact"/>
              <w:rPr>
                <w:rFonts w:ascii="宋体" w:hAnsi="宋体" w:eastAsia="宋体" w:cs="宋体"/>
                <w:color w:val="auto"/>
                <w:sz w:val="18"/>
                <w:szCs w:val="18"/>
                <w:highlight w:val="none"/>
              </w:rPr>
            </w:pPr>
          </w:p>
        </w:tc>
      </w:tr>
      <w:tr>
        <w:trPr>
          <w:trHeight w:val="23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8</w:t>
            </w:r>
          </w:p>
        </w:tc>
        <w:tc>
          <w:tcPr>
            <w:tcW w:w="78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投标人（含联合体各方）未出现以下情形：与其它投标人的单位负责人为同一人或者存在控股、管理关系的（按投标人提供的《投标人声明》第八条内容进行评审）。如不同投标申请人出现单位负责人为同一人或者存在控股、管理关系的情形，则相关投标均无效。</w:t>
            </w:r>
          </w:p>
        </w:tc>
        <w:tc>
          <w:tcPr>
            <w:tcW w:w="49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投标人声明</w:t>
            </w:r>
          </w:p>
        </w:tc>
        <w:tc>
          <w:tcPr>
            <w:tcW w:w="1125" w:type="dxa"/>
            <w:tcBorders>
              <w:top w:val="single" w:color="000000" w:sz="4" w:space="0"/>
              <w:left w:val="single" w:color="000000" w:sz="4" w:space="0"/>
              <w:bottom w:val="single" w:color="000000" w:sz="4" w:space="0"/>
              <w:right w:val="single" w:color="000000" w:sz="4" w:space="0"/>
            </w:tcBorders>
            <w:shd w:val="clear" w:color="auto" w:fill="auto"/>
          </w:tcPr>
          <w:p>
            <w:pPr>
              <w:spacing w:line="400" w:lineRule="exact"/>
              <w:rPr>
                <w:rFonts w:ascii="宋体" w:hAnsi="宋体" w:eastAsia="宋体" w:cs="宋体"/>
                <w:color w:val="auto"/>
                <w:sz w:val="18"/>
                <w:szCs w:val="18"/>
                <w:highlight w:val="none"/>
              </w:rPr>
            </w:pPr>
          </w:p>
        </w:tc>
      </w:tr>
      <w:tr>
        <w:trPr>
          <w:trHeight w:val="23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9</w:t>
            </w:r>
          </w:p>
        </w:tc>
        <w:tc>
          <w:tcPr>
            <w:tcW w:w="78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投标人（指联合体各方）未被列入拖欠农民工工资失信联合惩戒对象名单</w:t>
            </w:r>
          </w:p>
        </w:tc>
        <w:tc>
          <w:tcPr>
            <w:tcW w:w="49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投标人无需提供资料，按交易系统比对的结果进行评审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Pr>
          <w:p>
            <w:pPr>
              <w:spacing w:line="400" w:lineRule="exact"/>
              <w:rPr>
                <w:rFonts w:ascii="宋体" w:hAnsi="宋体" w:eastAsia="宋体" w:cs="宋体"/>
                <w:color w:val="auto"/>
                <w:sz w:val="18"/>
                <w:szCs w:val="18"/>
                <w:highlight w:val="none"/>
              </w:rPr>
            </w:pPr>
          </w:p>
        </w:tc>
      </w:tr>
      <w:tr>
        <w:trPr>
          <w:trHeight w:val="23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宋体" w:hAnsi="宋体" w:eastAsia="宋体" w:cs="宋体"/>
                <w:color w:val="auto"/>
                <w:kern w:val="0"/>
                <w:sz w:val="18"/>
                <w:szCs w:val="18"/>
                <w:highlight w:val="none"/>
                <w:lang w:bidi="ar"/>
              </w:rPr>
            </w:pPr>
            <w:r>
              <w:rPr>
                <w:rFonts w:ascii="宋体" w:hAnsi="宋体" w:eastAsia="宋体" w:cs="宋体"/>
                <w:color w:val="auto"/>
                <w:kern w:val="0"/>
                <w:sz w:val="18"/>
                <w:szCs w:val="18"/>
                <w:highlight w:val="none"/>
                <w:lang w:bidi="ar"/>
              </w:rPr>
              <w:t>10</w:t>
            </w:r>
          </w:p>
        </w:tc>
        <w:tc>
          <w:tcPr>
            <w:tcW w:w="78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投标人（含联合体各方）不是本项目的代建单位、项目管理单位、监理单位、造价咨询单位、招标代理单位（按投标人提供的《投标人声明》内容进行评审）。投标人（含联合体各方）须承诺应当具有相应的项目管理体系和项目管理能力、财务和风险承担能力（按投标人提供的《投标人声明》内容进行评审）</w:t>
            </w:r>
          </w:p>
        </w:tc>
        <w:tc>
          <w:tcPr>
            <w:tcW w:w="49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投标人声明</w:t>
            </w:r>
          </w:p>
        </w:tc>
        <w:tc>
          <w:tcPr>
            <w:tcW w:w="1125" w:type="dxa"/>
            <w:tcBorders>
              <w:top w:val="single" w:color="000000" w:sz="4" w:space="0"/>
              <w:left w:val="single" w:color="000000" w:sz="4" w:space="0"/>
              <w:bottom w:val="single" w:color="000000" w:sz="4" w:space="0"/>
              <w:right w:val="single" w:color="000000" w:sz="4" w:space="0"/>
            </w:tcBorders>
            <w:shd w:val="clear" w:color="auto" w:fill="auto"/>
          </w:tcPr>
          <w:p>
            <w:pPr>
              <w:spacing w:line="400" w:lineRule="exact"/>
              <w:rPr>
                <w:rFonts w:ascii="宋体" w:hAnsi="宋体" w:eastAsia="宋体" w:cs="宋体"/>
                <w:color w:val="auto"/>
                <w:sz w:val="18"/>
                <w:szCs w:val="18"/>
                <w:highlight w:val="none"/>
              </w:rPr>
            </w:pPr>
          </w:p>
        </w:tc>
      </w:tr>
      <w:tr>
        <w:trPr>
          <w:trHeight w:val="23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w:t>
            </w:r>
            <w:r>
              <w:rPr>
                <w:rFonts w:ascii="宋体" w:hAnsi="宋体" w:eastAsia="宋体" w:cs="宋体"/>
                <w:color w:val="auto"/>
                <w:kern w:val="0"/>
                <w:sz w:val="18"/>
                <w:szCs w:val="18"/>
                <w:highlight w:val="none"/>
                <w:lang w:bidi="ar"/>
              </w:rPr>
              <w:t>1</w:t>
            </w:r>
          </w:p>
        </w:tc>
        <w:tc>
          <w:tcPr>
            <w:tcW w:w="78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资格审查前，投标人（联合体投标的，指联合体各方）须在广州公共资源交易中心办理企业信息登记及拟担任本工程项目负责人、施工负责人（如有）、专职安全员、设计负责人、技术负责人须是本企业信息登记中的在册人员（联合体投标的，诚信备案和人员在册情况为联合体协议分工对应企业库内信息档案）（企业信息取自投标截止时间投标人在企业信息库内的信息，投标人无需提交相关资料，若招标人延长递交投标文件截止时间，企业信息的评审时点也相应延长）。</w:t>
            </w:r>
          </w:p>
        </w:tc>
        <w:tc>
          <w:tcPr>
            <w:tcW w:w="49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投标人（含联合体各方）在</w:t>
            </w:r>
            <w:r>
              <w:rPr>
                <w:rFonts w:hint="eastAsia" w:ascii="宋体" w:hAnsi="宋体" w:eastAsia="宋体"/>
                <w:color w:val="auto"/>
                <w:sz w:val="18"/>
                <w:szCs w:val="18"/>
                <w:highlight w:val="none"/>
                <w:shd w:val="clear" w:color="auto" w:fill="FFFFFF"/>
              </w:rPr>
              <w:t>广州公共资源交易中心企业信息库</w:t>
            </w:r>
            <w:r>
              <w:rPr>
                <w:rFonts w:hint="eastAsia" w:ascii="宋体" w:hAnsi="宋体" w:eastAsia="宋体" w:cs="宋体"/>
                <w:color w:val="auto"/>
                <w:kern w:val="0"/>
                <w:sz w:val="18"/>
                <w:szCs w:val="18"/>
                <w:highlight w:val="none"/>
                <w:lang w:bidi="ar"/>
              </w:rPr>
              <w:t>内的企业和人员信息</w:t>
            </w:r>
          </w:p>
        </w:tc>
        <w:tc>
          <w:tcPr>
            <w:tcW w:w="1125" w:type="dxa"/>
            <w:tcBorders>
              <w:top w:val="single" w:color="000000" w:sz="4" w:space="0"/>
              <w:left w:val="single" w:color="000000" w:sz="4" w:space="0"/>
              <w:bottom w:val="single" w:color="000000" w:sz="4" w:space="0"/>
              <w:right w:val="single" w:color="000000" w:sz="4" w:space="0"/>
            </w:tcBorders>
            <w:shd w:val="clear" w:color="auto" w:fill="auto"/>
          </w:tcPr>
          <w:p>
            <w:pPr>
              <w:spacing w:line="400" w:lineRule="exact"/>
              <w:rPr>
                <w:rFonts w:ascii="宋体" w:hAnsi="宋体" w:eastAsia="宋体" w:cs="宋体"/>
                <w:color w:val="auto"/>
                <w:sz w:val="18"/>
                <w:szCs w:val="18"/>
                <w:highlight w:val="none"/>
              </w:rPr>
            </w:pPr>
          </w:p>
        </w:tc>
      </w:tr>
      <w:tr>
        <w:trPr>
          <w:trHeight w:val="359"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w:t>
            </w:r>
            <w:r>
              <w:rPr>
                <w:rFonts w:ascii="宋体" w:hAnsi="宋体" w:eastAsia="宋体" w:cs="宋体"/>
                <w:color w:val="auto"/>
                <w:kern w:val="0"/>
                <w:sz w:val="18"/>
                <w:szCs w:val="18"/>
                <w:highlight w:val="none"/>
                <w:lang w:bidi="ar"/>
              </w:rPr>
              <w:t>2</w:t>
            </w:r>
          </w:p>
        </w:tc>
        <w:tc>
          <w:tcPr>
            <w:tcW w:w="78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20" w:after="60"/>
              <w:jc w:val="left"/>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投标人声明中签字的项目负责人、技术负责人与本项目拟派的项目负责人和技术负责人一致</w:t>
            </w:r>
          </w:p>
        </w:tc>
        <w:tc>
          <w:tcPr>
            <w:tcW w:w="49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20" w:after="60"/>
              <w:jc w:val="left"/>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网上投标时选择拟投标的项目负责人、资格审查文件中拟委派的技术负责人及投标人声明</w:t>
            </w:r>
          </w:p>
        </w:tc>
        <w:tc>
          <w:tcPr>
            <w:tcW w:w="1125" w:type="dxa"/>
            <w:tcBorders>
              <w:top w:val="single" w:color="000000" w:sz="4" w:space="0"/>
              <w:left w:val="single" w:color="000000" w:sz="4" w:space="0"/>
              <w:bottom w:val="single" w:color="000000" w:sz="4" w:space="0"/>
              <w:right w:val="single" w:color="000000" w:sz="4" w:space="0"/>
            </w:tcBorders>
            <w:shd w:val="clear" w:color="auto" w:fill="auto"/>
          </w:tcPr>
          <w:p>
            <w:pPr>
              <w:spacing w:line="400" w:lineRule="exact"/>
              <w:rPr>
                <w:rFonts w:ascii="宋体" w:hAnsi="宋体" w:eastAsia="宋体" w:cs="宋体"/>
                <w:color w:val="auto"/>
                <w:sz w:val="18"/>
                <w:szCs w:val="18"/>
                <w:highlight w:val="none"/>
              </w:rPr>
            </w:pPr>
          </w:p>
        </w:tc>
      </w:tr>
    </w:tbl>
    <w:p>
      <w:pPr>
        <w:spacing w:line="240" w:lineRule="exact"/>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注：1.每一项目符合有效的记“○”无效的记“×”，全部审查项目均为有效的，结论为“通过”，否则为“不通过”。</w:t>
      </w:r>
    </w:p>
    <w:p>
      <w:pPr>
        <w:spacing w:line="240" w:lineRule="exact"/>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2.如对本表中某种情形的评审意见不一致时，以评审组过半数成员的意见作为评审组对该情形的认定结论。</w:t>
      </w:r>
    </w:p>
    <w:p>
      <w:pPr>
        <w:spacing w:line="240" w:lineRule="exact"/>
        <w:rPr>
          <w:rFonts w:ascii="宋体" w:hAnsi="宋体" w:eastAsia="宋体" w:cs="宋体"/>
          <w:smallCaps/>
          <w:color w:val="auto"/>
          <w:sz w:val="18"/>
          <w:szCs w:val="18"/>
          <w:highlight w:val="none"/>
        </w:rPr>
      </w:pPr>
    </w:p>
    <w:p>
      <w:pPr>
        <w:spacing w:line="240" w:lineRule="atLeast"/>
        <w:ind w:firstLine="420"/>
        <w:rPr>
          <w:rFonts w:ascii="宋体" w:hAnsi="宋体" w:eastAsia="宋体" w:cs="宋体"/>
          <w:color w:val="auto"/>
          <w:sz w:val="18"/>
          <w:szCs w:val="18"/>
          <w:highlight w:val="none"/>
        </w:rPr>
      </w:pPr>
    </w:p>
    <w:p>
      <w:pPr>
        <w:pStyle w:val="12"/>
        <w:rPr>
          <w:rFonts w:hint="default"/>
          <w:color w:val="auto"/>
          <w:highlight w:val="none"/>
        </w:rPr>
      </w:pPr>
      <w:r>
        <w:rPr>
          <w:color w:val="auto"/>
          <w:highlight w:val="none"/>
          <w:lang w:bidi="ar"/>
        </w:rPr>
        <w:t>评委签名：                                                                        日期：</w:t>
      </w:r>
    </w:p>
    <w:p>
      <w:pPr>
        <w:rPr>
          <w:rFonts w:ascii="宋体" w:hAnsi="宋体" w:eastAsia="宋体" w:cs="宋体"/>
          <w:color w:val="auto"/>
          <w:highlight w:val="none"/>
          <w:lang w:bidi="ar"/>
        </w:rPr>
        <w:sectPr>
          <w:pgSz w:w="16840" w:h="11915" w:orient="landscape"/>
          <w:pgMar w:top="1361" w:right="1304" w:bottom="1304" w:left="1304" w:header="851" w:footer="720" w:gutter="0"/>
          <w:cols w:space="425" w:num="1"/>
          <w:docGrid w:type="lines" w:linePitch="312" w:charSpace="0"/>
        </w:sectPr>
      </w:pPr>
    </w:p>
    <w:p>
      <w:pPr>
        <w:pStyle w:val="2"/>
        <w:widowControl/>
        <w:spacing w:line="240" w:lineRule="auto"/>
        <w:jc w:val="center"/>
        <w:rPr>
          <w:rFonts w:ascii="宋体" w:hAnsi="宋体" w:cs="宋体"/>
          <w:color w:val="auto"/>
          <w:kern w:val="1"/>
          <w:highlight w:val="none"/>
        </w:rPr>
      </w:pPr>
      <w:bookmarkStart w:id="393" w:name="_Toc25769"/>
      <w:bookmarkEnd w:id="393"/>
      <w:bookmarkStart w:id="394" w:name="_Toc16039"/>
      <w:bookmarkStart w:id="395" w:name="_Toc31328"/>
      <w:bookmarkStart w:id="396" w:name="_Toc5620359"/>
      <w:r>
        <w:rPr>
          <w:rFonts w:hint="eastAsia" w:ascii="宋体" w:hAnsi="宋体" w:cs="宋体"/>
          <w:color w:val="auto"/>
          <w:kern w:val="1"/>
          <w:highlight w:val="none"/>
        </w:rPr>
        <w:t>第四章 合同条款及格式</w:t>
      </w:r>
      <w:bookmarkEnd w:id="394"/>
      <w:bookmarkEnd w:id="395"/>
      <w:bookmarkEnd w:id="396"/>
    </w:p>
    <w:p>
      <w:pPr>
        <w:spacing w:line="440" w:lineRule="exact"/>
        <w:jc w:val="center"/>
        <w:rPr>
          <w:rFonts w:ascii="宋体" w:hAnsi="宋体" w:eastAsia="宋体" w:cs="宋体"/>
          <w:b/>
          <w:color w:val="auto"/>
          <w:kern w:val="1"/>
          <w:sz w:val="24"/>
          <w:szCs w:val="22"/>
          <w:highlight w:val="none"/>
        </w:rPr>
      </w:pPr>
      <w:r>
        <w:rPr>
          <w:rFonts w:hint="eastAsia" w:ascii="宋体" w:hAnsi="宋体" w:eastAsia="宋体" w:cs="宋体"/>
          <w:b/>
          <w:color w:val="auto"/>
          <w:kern w:val="1"/>
          <w:sz w:val="24"/>
          <w:szCs w:val="22"/>
          <w:highlight w:val="none"/>
          <w:lang w:bidi="ar"/>
        </w:rPr>
        <w:t xml:space="preserve">      (另册)</w:t>
      </w:r>
    </w:p>
    <w:p>
      <w:pPr>
        <w:spacing w:line="440" w:lineRule="exact"/>
        <w:jc w:val="center"/>
        <w:rPr>
          <w:rFonts w:ascii="宋体" w:hAnsi="宋体" w:eastAsia="宋体" w:cs="宋体"/>
          <w:b/>
          <w:color w:val="auto"/>
          <w:kern w:val="1"/>
          <w:sz w:val="24"/>
          <w:szCs w:val="22"/>
          <w:highlight w:val="none"/>
        </w:rPr>
      </w:pPr>
    </w:p>
    <w:p>
      <w:pPr>
        <w:spacing w:line="800" w:lineRule="exact"/>
        <w:ind w:right="280"/>
        <w:jc w:val="right"/>
        <w:rPr>
          <w:rFonts w:ascii="宋体" w:hAnsi="宋体" w:eastAsia="宋体" w:cs="宋体"/>
          <w:b/>
          <w:color w:val="auto"/>
          <w:kern w:val="1"/>
          <w:sz w:val="28"/>
          <w:szCs w:val="28"/>
          <w:highlight w:val="none"/>
        </w:rPr>
      </w:pPr>
    </w:p>
    <w:p>
      <w:pPr>
        <w:spacing w:line="800" w:lineRule="exact"/>
        <w:ind w:right="280"/>
        <w:jc w:val="right"/>
        <w:rPr>
          <w:rFonts w:ascii="宋体" w:hAnsi="宋体" w:eastAsia="宋体" w:cs="宋体"/>
          <w:b/>
          <w:color w:val="auto"/>
          <w:kern w:val="1"/>
          <w:sz w:val="28"/>
          <w:szCs w:val="28"/>
          <w:highlight w:val="none"/>
        </w:rPr>
      </w:pPr>
    </w:p>
    <w:p>
      <w:pPr>
        <w:spacing w:line="800" w:lineRule="exact"/>
        <w:ind w:right="280"/>
        <w:jc w:val="right"/>
        <w:rPr>
          <w:rFonts w:ascii="宋体" w:hAnsi="宋体" w:eastAsia="宋体" w:cs="宋体"/>
          <w:b/>
          <w:color w:val="auto"/>
          <w:kern w:val="1"/>
          <w:sz w:val="28"/>
          <w:szCs w:val="28"/>
          <w:highlight w:val="none"/>
        </w:rPr>
      </w:pPr>
    </w:p>
    <w:p>
      <w:pPr>
        <w:spacing w:line="800" w:lineRule="exact"/>
        <w:ind w:right="280"/>
        <w:jc w:val="right"/>
        <w:rPr>
          <w:rFonts w:ascii="宋体" w:hAnsi="宋体" w:eastAsia="宋体" w:cs="宋体"/>
          <w:b/>
          <w:color w:val="auto"/>
          <w:kern w:val="1"/>
          <w:sz w:val="28"/>
          <w:szCs w:val="28"/>
          <w:highlight w:val="none"/>
        </w:rPr>
      </w:pPr>
    </w:p>
    <w:p>
      <w:pPr>
        <w:spacing w:line="800" w:lineRule="exact"/>
        <w:ind w:right="280"/>
        <w:jc w:val="right"/>
        <w:rPr>
          <w:rFonts w:ascii="宋体" w:hAnsi="宋体" w:eastAsia="宋体" w:cs="宋体"/>
          <w:b/>
          <w:color w:val="auto"/>
          <w:kern w:val="1"/>
          <w:sz w:val="28"/>
          <w:szCs w:val="28"/>
          <w:highlight w:val="none"/>
        </w:rPr>
      </w:pPr>
    </w:p>
    <w:p>
      <w:pPr>
        <w:spacing w:line="800" w:lineRule="exact"/>
        <w:ind w:right="280"/>
        <w:jc w:val="right"/>
        <w:rPr>
          <w:rFonts w:ascii="宋体" w:hAnsi="宋体" w:eastAsia="宋体" w:cs="宋体"/>
          <w:b/>
          <w:color w:val="auto"/>
          <w:kern w:val="1"/>
          <w:sz w:val="28"/>
          <w:szCs w:val="28"/>
          <w:highlight w:val="none"/>
        </w:rPr>
      </w:pPr>
    </w:p>
    <w:p>
      <w:pPr>
        <w:spacing w:line="800" w:lineRule="exact"/>
        <w:ind w:right="280"/>
        <w:jc w:val="right"/>
        <w:rPr>
          <w:rFonts w:ascii="宋体" w:hAnsi="宋体" w:eastAsia="宋体" w:cs="宋体"/>
          <w:b/>
          <w:color w:val="auto"/>
          <w:kern w:val="1"/>
          <w:sz w:val="28"/>
          <w:szCs w:val="28"/>
          <w:highlight w:val="none"/>
        </w:rPr>
      </w:pPr>
    </w:p>
    <w:p>
      <w:pPr>
        <w:spacing w:line="800" w:lineRule="exact"/>
        <w:ind w:right="280"/>
        <w:jc w:val="right"/>
        <w:rPr>
          <w:rFonts w:ascii="宋体" w:hAnsi="宋体" w:eastAsia="宋体" w:cs="宋体"/>
          <w:b/>
          <w:color w:val="auto"/>
          <w:kern w:val="1"/>
          <w:sz w:val="28"/>
          <w:szCs w:val="28"/>
          <w:highlight w:val="none"/>
        </w:rPr>
      </w:pPr>
    </w:p>
    <w:p>
      <w:pPr>
        <w:spacing w:line="800" w:lineRule="exact"/>
        <w:ind w:right="280"/>
        <w:jc w:val="right"/>
        <w:rPr>
          <w:rFonts w:ascii="宋体" w:hAnsi="宋体" w:eastAsia="宋体" w:cs="宋体"/>
          <w:b/>
          <w:color w:val="auto"/>
          <w:kern w:val="1"/>
          <w:sz w:val="28"/>
          <w:szCs w:val="28"/>
          <w:highlight w:val="none"/>
        </w:rPr>
      </w:pPr>
    </w:p>
    <w:p>
      <w:pPr>
        <w:spacing w:line="800" w:lineRule="exact"/>
        <w:ind w:right="280"/>
        <w:jc w:val="right"/>
        <w:rPr>
          <w:rFonts w:ascii="宋体" w:hAnsi="宋体" w:eastAsia="宋体" w:cs="宋体"/>
          <w:b/>
          <w:color w:val="auto"/>
          <w:kern w:val="1"/>
          <w:sz w:val="28"/>
          <w:szCs w:val="28"/>
          <w:highlight w:val="none"/>
        </w:rPr>
      </w:pPr>
    </w:p>
    <w:p>
      <w:pPr>
        <w:spacing w:line="800" w:lineRule="exact"/>
        <w:ind w:right="280"/>
        <w:jc w:val="right"/>
        <w:rPr>
          <w:rFonts w:ascii="宋体" w:hAnsi="宋体" w:eastAsia="宋体" w:cs="宋体"/>
          <w:b/>
          <w:color w:val="auto"/>
          <w:kern w:val="1"/>
          <w:sz w:val="28"/>
          <w:szCs w:val="28"/>
          <w:highlight w:val="none"/>
        </w:rPr>
      </w:pPr>
    </w:p>
    <w:p>
      <w:pPr>
        <w:spacing w:line="800" w:lineRule="exact"/>
        <w:ind w:right="280"/>
        <w:jc w:val="right"/>
        <w:rPr>
          <w:rFonts w:ascii="宋体" w:hAnsi="宋体" w:eastAsia="宋体" w:cs="宋体"/>
          <w:b/>
          <w:color w:val="auto"/>
          <w:kern w:val="1"/>
          <w:sz w:val="28"/>
          <w:szCs w:val="28"/>
          <w:highlight w:val="none"/>
        </w:rPr>
      </w:pPr>
    </w:p>
    <w:p>
      <w:pPr>
        <w:spacing w:line="800" w:lineRule="exact"/>
        <w:ind w:right="280"/>
        <w:jc w:val="right"/>
        <w:rPr>
          <w:rFonts w:ascii="宋体" w:hAnsi="宋体" w:eastAsia="宋体" w:cs="宋体"/>
          <w:b/>
          <w:color w:val="auto"/>
          <w:kern w:val="1"/>
          <w:sz w:val="28"/>
          <w:szCs w:val="28"/>
          <w:highlight w:val="none"/>
        </w:rPr>
      </w:pPr>
    </w:p>
    <w:p>
      <w:pPr>
        <w:pStyle w:val="12"/>
        <w:rPr>
          <w:rFonts w:hint="default"/>
          <w:color w:val="auto"/>
          <w:highlight w:val="none"/>
        </w:rPr>
      </w:pPr>
    </w:p>
    <w:p>
      <w:pPr>
        <w:pStyle w:val="12"/>
        <w:rPr>
          <w:rFonts w:hint="default"/>
          <w:color w:val="auto"/>
          <w:highlight w:val="none"/>
        </w:rPr>
      </w:pPr>
    </w:p>
    <w:p>
      <w:pPr>
        <w:pStyle w:val="12"/>
        <w:rPr>
          <w:rFonts w:hint="default"/>
          <w:color w:val="auto"/>
          <w:highlight w:val="none"/>
        </w:rPr>
      </w:pPr>
    </w:p>
    <w:p>
      <w:pPr>
        <w:pStyle w:val="2"/>
        <w:widowControl/>
        <w:jc w:val="center"/>
        <w:rPr>
          <w:rFonts w:ascii="宋体" w:hAnsi="宋体" w:cs="宋体"/>
          <w:color w:val="auto"/>
          <w:highlight w:val="none"/>
        </w:rPr>
      </w:pPr>
      <w:bookmarkStart w:id="397" w:name="_Toc16641"/>
      <w:bookmarkStart w:id="398" w:name="_Toc4162"/>
      <w:r>
        <w:rPr>
          <w:rFonts w:hint="eastAsia" w:ascii="宋体" w:hAnsi="宋体" w:cs="宋体"/>
          <w:color w:val="auto"/>
          <w:highlight w:val="none"/>
        </w:rPr>
        <w:t>第五章 招标人要求</w:t>
      </w:r>
      <w:bookmarkEnd w:id="397"/>
      <w:bookmarkEnd w:id="398"/>
    </w:p>
    <w:p>
      <w:pPr>
        <w:widowControl w:val="0"/>
        <w:spacing w:line="360" w:lineRule="auto"/>
        <w:ind w:firstLine="880"/>
        <w:jc w:val="center"/>
        <w:rPr>
          <w:rFonts w:ascii="宋体" w:hAnsi="宋体" w:eastAsia="宋体" w:cs="宋体"/>
          <w:b/>
          <w:bCs/>
          <w:color w:val="auto"/>
          <w:kern w:val="44"/>
          <w:sz w:val="44"/>
          <w:szCs w:val="44"/>
          <w:highlight w:val="none"/>
          <w:lang w:val="en-US" w:eastAsia="zh-CN" w:bidi="ar-SA"/>
        </w:rPr>
      </w:pPr>
      <w:bookmarkStart w:id="399" w:name="_Toc3467"/>
      <w:bookmarkStart w:id="400" w:name="_Toc5620360"/>
      <w:r>
        <w:rPr>
          <w:rFonts w:hint="eastAsia" w:ascii="宋体" w:hAnsi="宋体" w:eastAsia="宋体" w:cs="宋体"/>
          <w:b/>
          <w:bCs/>
          <w:color w:val="auto"/>
          <w:kern w:val="44"/>
          <w:sz w:val="44"/>
          <w:szCs w:val="44"/>
          <w:highlight w:val="none"/>
          <w:lang w:val="en-US" w:eastAsia="zh-CN" w:bidi="ar-SA"/>
        </w:rPr>
        <w:t>设计任务书</w:t>
      </w:r>
    </w:p>
    <w:p>
      <w:pPr>
        <w:widowControl w:val="0"/>
        <w:adjustRightInd w:val="0"/>
        <w:snapToGrid w:val="0"/>
        <w:spacing w:line="360" w:lineRule="auto"/>
        <w:ind w:left="0" w:firstLine="420" w:firstLineChars="200"/>
        <w:jc w:val="left"/>
        <w:rPr>
          <w:rFonts w:ascii="宋体" w:hAnsi="宋体" w:eastAsia="宋体" w:cs="等线"/>
          <w:b/>
          <w:bCs/>
          <w:color w:val="auto"/>
          <w:kern w:val="0"/>
          <w:sz w:val="21"/>
          <w:szCs w:val="21"/>
          <w:highlight w:val="none"/>
          <w:lang w:val="en-US" w:eastAsia="zh-CN" w:bidi="ar-SA"/>
        </w:rPr>
      </w:pPr>
      <w:r>
        <w:rPr>
          <w:rFonts w:hint="eastAsia" w:ascii="宋体" w:hAnsi="宋体" w:eastAsia="宋体" w:cs="等线"/>
          <w:b/>
          <w:bCs/>
          <w:color w:val="auto"/>
          <w:kern w:val="0"/>
          <w:sz w:val="21"/>
          <w:szCs w:val="21"/>
          <w:highlight w:val="none"/>
          <w:lang w:val="en-US" w:eastAsia="zh-CN" w:bidi="ar-SA"/>
        </w:rPr>
        <w:t>一、设计任务</w:t>
      </w:r>
    </w:p>
    <w:p>
      <w:pPr>
        <w:widowControl w:val="0"/>
        <w:adjustRightInd w:val="0"/>
        <w:snapToGrid w:val="0"/>
        <w:spacing w:line="360" w:lineRule="auto"/>
        <w:ind w:left="0" w:firstLine="420" w:firstLineChars="200"/>
        <w:jc w:val="left"/>
        <w:rPr>
          <w:rFonts w:ascii="宋体" w:hAnsi="宋体" w:eastAsia="宋体" w:cs="等线"/>
          <w:b/>
          <w:bCs/>
          <w:color w:val="auto"/>
          <w:kern w:val="0"/>
          <w:sz w:val="21"/>
          <w:szCs w:val="21"/>
          <w:highlight w:val="none"/>
          <w:lang w:val="en-US" w:eastAsia="zh-CN" w:bidi="ar-SA"/>
        </w:rPr>
      </w:pPr>
      <w:r>
        <w:rPr>
          <w:rFonts w:hint="eastAsia" w:ascii="宋体" w:hAnsi="宋体" w:eastAsia="宋体" w:cs="等线"/>
          <w:b/>
          <w:bCs/>
          <w:color w:val="auto"/>
          <w:kern w:val="0"/>
          <w:sz w:val="21"/>
          <w:szCs w:val="21"/>
          <w:highlight w:val="none"/>
          <w:lang w:val="en-US" w:eastAsia="zh-CN" w:bidi="ar-SA"/>
        </w:rPr>
        <w:t>（一）项目背景</w:t>
      </w:r>
    </w:p>
    <w:p>
      <w:pPr>
        <w:spacing w:line="360" w:lineRule="auto"/>
        <w:ind w:firstLine="420" w:firstLineChars="200"/>
        <w:rPr>
          <w:rFonts w:hint="eastAsia" w:ascii="宋体" w:hAnsi="宋体" w:eastAsia="宋体" w:cs="仿宋"/>
          <w:color w:val="auto"/>
          <w:szCs w:val="21"/>
          <w:highlight w:val="none"/>
        </w:rPr>
      </w:pPr>
      <w:r>
        <w:rPr>
          <w:rFonts w:hint="eastAsia" w:ascii="宋体" w:hAnsi="宋体" w:eastAsia="宋体" w:cs="仿宋"/>
          <w:color w:val="auto"/>
          <w:szCs w:val="21"/>
          <w:highlight w:val="none"/>
        </w:rPr>
        <w:t xml:space="preserve">花都区位于广州市北部，东接广州市从化区，南邻广州市白云区，西连佛山市三水区和南海区，北邻清远市。花都区行政辖区面积970.04km²，下辖4个街道和6个镇。2023年实现地区生产总值1801亿元，年末常住人口172.8万人，户籍人口90.5万人。 </w:t>
      </w:r>
    </w:p>
    <w:p>
      <w:pPr>
        <w:spacing w:line="360" w:lineRule="auto"/>
        <w:ind w:firstLine="420" w:firstLineChars="200"/>
        <w:rPr>
          <w:rFonts w:hint="eastAsia" w:ascii="宋体" w:hAnsi="宋体" w:eastAsia="宋体" w:cs="仿宋"/>
          <w:color w:val="auto"/>
          <w:szCs w:val="21"/>
          <w:highlight w:val="none"/>
        </w:rPr>
      </w:pPr>
      <w:r>
        <w:rPr>
          <w:rFonts w:hint="eastAsia" w:ascii="宋体" w:hAnsi="宋体" w:eastAsia="宋体" w:cs="仿宋"/>
          <w:color w:val="auto"/>
          <w:szCs w:val="21"/>
          <w:highlight w:val="none"/>
        </w:rPr>
        <w:t>花都区北部属南岭青云山脉，南部属广花平原，呈现“三山一水六平原”的自然地理地貌特征；坐拥广州白云国际机场和广州北站两大交通枢纽，是粤港澳大湾区重要的汽车制造、都市消费工业、电子信息等产业基地。</w:t>
      </w:r>
    </w:p>
    <w:p>
      <w:pPr>
        <w:widowControl w:val="0"/>
        <w:adjustRightInd w:val="0"/>
        <w:snapToGrid w:val="0"/>
        <w:spacing w:line="360" w:lineRule="auto"/>
        <w:ind w:left="0" w:firstLine="420" w:firstLineChars="200"/>
        <w:jc w:val="left"/>
        <w:rPr>
          <w:rFonts w:ascii="宋体" w:hAnsi="宋体" w:eastAsia="宋体" w:cs="等线"/>
          <w:color w:val="auto"/>
          <w:kern w:val="0"/>
          <w:sz w:val="21"/>
          <w:szCs w:val="21"/>
          <w:highlight w:val="none"/>
          <w:lang w:val="en-US" w:eastAsia="zh-CN" w:bidi="ar-SA"/>
        </w:rPr>
      </w:pPr>
      <w:r>
        <w:rPr>
          <w:rFonts w:hint="eastAsia" w:ascii="宋体" w:hAnsi="宋体" w:eastAsia="宋体" w:cs="等线"/>
          <w:b/>
          <w:bCs/>
          <w:color w:val="auto"/>
          <w:kern w:val="0"/>
          <w:sz w:val="21"/>
          <w:szCs w:val="21"/>
          <w:highlight w:val="none"/>
          <w:lang w:val="en-US" w:eastAsia="zh-CN" w:bidi="ar-SA"/>
        </w:rPr>
        <w:t>（二）项目概况</w:t>
      </w:r>
    </w:p>
    <w:p>
      <w:pPr>
        <w:widowControl w:val="0"/>
        <w:adjustRightInd w:val="0"/>
        <w:snapToGrid w:val="0"/>
        <w:spacing w:line="360" w:lineRule="auto"/>
        <w:ind w:left="0" w:firstLine="420" w:firstLineChars="200"/>
        <w:jc w:val="left"/>
        <w:rPr>
          <w:rFonts w:ascii="宋体" w:hAnsi="宋体" w:eastAsia="宋体" w:cs="等线"/>
          <w:color w:val="auto"/>
          <w:kern w:val="0"/>
          <w:sz w:val="21"/>
          <w:szCs w:val="21"/>
          <w:highlight w:val="none"/>
          <w:lang w:val="en-US" w:eastAsia="zh-CN" w:bidi="ar-SA"/>
        </w:rPr>
      </w:pPr>
      <w:r>
        <w:rPr>
          <w:rFonts w:hint="eastAsia" w:ascii="宋体" w:hAnsi="宋体" w:eastAsia="宋体" w:cs="等线"/>
          <w:color w:val="auto"/>
          <w:kern w:val="0"/>
          <w:sz w:val="21"/>
          <w:szCs w:val="21"/>
          <w:highlight w:val="none"/>
          <w:lang w:val="en-US" w:eastAsia="zh-CN" w:bidi="ar-SA"/>
        </w:rPr>
        <w:t>项目名称：</w:t>
      </w:r>
      <w:r>
        <w:rPr>
          <w:rFonts w:hint="eastAsia" w:ascii="宋体" w:hAnsi="宋体" w:eastAsia="宋体" w:cs="仿宋"/>
          <w:color w:val="auto"/>
          <w:kern w:val="0"/>
          <w:sz w:val="21"/>
          <w:szCs w:val="21"/>
          <w:highlight w:val="none"/>
          <w:lang w:val="en-US" w:eastAsia="zh-CN" w:bidi="ar-SA"/>
        </w:rPr>
        <w:t>白云机场北花山镇城区道路承载力优化提升一期项目</w:t>
      </w:r>
    </w:p>
    <w:p>
      <w:pPr>
        <w:widowControl w:val="0"/>
        <w:adjustRightInd w:val="0"/>
        <w:snapToGrid w:val="0"/>
        <w:spacing w:line="360" w:lineRule="auto"/>
        <w:ind w:left="0" w:firstLine="420" w:firstLineChars="200"/>
        <w:jc w:val="left"/>
        <w:rPr>
          <w:rFonts w:ascii="宋体" w:hAnsi="宋体" w:eastAsia="宋体" w:cs="等线"/>
          <w:color w:val="auto"/>
          <w:kern w:val="0"/>
          <w:sz w:val="21"/>
          <w:szCs w:val="21"/>
          <w:highlight w:val="none"/>
          <w:lang w:val="en-US" w:eastAsia="zh-CN" w:bidi="ar-SA"/>
        </w:rPr>
      </w:pPr>
      <w:r>
        <w:rPr>
          <w:rFonts w:hint="eastAsia" w:ascii="宋体" w:hAnsi="宋体" w:eastAsia="宋体" w:cs="等线"/>
          <w:color w:val="auto"/>
          <w:kern w:val="0"/>
          <w:sz w:val="21"/>
          <w:szCs w:val="21"/>
          <w:highlight w:val="none"/>
          <w:lang w:val="en-US" w:eastAsia="zh-CN" w:bidi="ar-SA"/>
        </w:rPr>
        <w:t>建设单位：广州市花都区花山镇人民政府</w:t>
      </w:r>
    </w:p>
    <w:p>
      <w:pPr>
        <w:widowControl w:val="0"/>
        <w:adjustRightInd w:val="0"/>
        <w:snapToGrid w:val="0"/>
        <w:spacing w:line="360" w:lineRule="auto"/>
        <w:ind w:left="0" w:firstLine="420" w:firstLineChars="200"/>
        <w:jc w:val="left"/>
        <w:rPr>
          <w:rFonts w:ascii="宋体" w:hAnsi="宋体" w:eastAsia="宋体" w:cs="等线"/>
          <w:color w:val="auto"/>
          <w:kern w:val="0"/>
          <w:sz w:val="21"/>
          <w:szCs w:val="21"/>
          <w:highlight w:val="none"/>
          <w:lang w:val="en-US" w:eastAsia="zh-CN" w:bidi="ar-SA"/>
        </w:rPr>
      </w:pPr>
      <w:r>
        <w:rPr>
          <w:rFonts w:hint="eastAsia" w:ascii="宋体" w:hAnsi="宋体" w:eastAsia="宋体" w:cs="仿宋"/>
          <w:color w:val="auto"/>
          <w:kern w:val="0"/>
          <w:sz w:val="21"/>
          <w:szCs w:val="21"/>
          <w:highlight w:val="none"/>
          <w:lang w:val="en-US" w:eastAsia="zh-CN" w:bidi="ar-SA"/>
        </w:rPr>
        <w:t>项目概况：本工程拟对花山镇城区既有道路进行改造，以完善花山镇市政道路通行能力及服务水平，对育才路、两龙路、南岭路、两龙南街西段、富华路、龙胜路、龙华路、两龙北街及两龙大街、两龙东街等9条道路，共计4979.992米进行改造，建设内容包含道路工程、给排水工程、交通设施、照明工程、电力通信及附属工程等</w:t>
      </w:r>
      <w:r>
        <w:rPr>
          <w:rFonts w:hint="eastAsia" w:ascii="宋体" w:hAnsi="宋体" w:eastAsia="宋体" w:cs="等线"/>
          <w:color w:val="auto"/>
          <w:kern w:val="0"/>
          <w:sz w:val="21"/>
          <w:szCs w:val="21"/>
          <w:highlight w:val="none"/>
          <w:lang w:val="en-US" w:eastAsia="zh-CN" w:bidi="ar-SA"/>
        </w:rPr>
        <w:t>。</w:t>
      </w:r>
    </w:p>
    <w:p>
      <w:pPr>
        <w:widowControl w:val="0"/>
        <w:adjustRightInd w:val="0"/>
        <w:snapToGrid w:val="0"/>
        <w:spacing w:line="360" w:lineRule="auto"/>
        <w:ind w:left="0" w:firstLine="420" w:firstLineChars="200"/>
        <w:jc w:val="left"/>
        <w:rPr>
          <w:rFonts w:ascii="宋体" w:hAnsi="宋体" w:eastAsia="宋体" w:cs="等线"/>
          <w:color w:val="auto"/>
          <w:kern w:val="0"/>
          <w:sz w:val="21"/>
          <w:szCs w:val="21"/>
          <w:highlight w:val="none"/>
          <w:lang w:val="en-US" w:eastAsia="zh-CN" w:bidi="ar-SA"/>
        </w:rPr>
      </w:pPr>
      <w:r>
        <w:rPr>
          <w:rFonts w:hint="eastAsia" w:ascii="宋体" w:hAnsi="宋体" w:eastAsia="宋体" w:cs="等线"/>
          <w:b/>
          <w:bCs/>
          <w:color w:val="auto"/>
          <w:kern w:val="0"/>
          <w:sz w:val="21"/>
          <w:szCs w:val="21"/>
          <w:highlight w:val="none"/>
          <w:lang w:val="en-US" w:eastAsia="zh-CN" w:bidi="ar-SA"/>
        </w:rPr>
        <w:t>（三）项目建设内容和规模</w:t>
      </w:r>
    </w:p>
    <w:p>
      <w:pPr>
        <w:spacing w:line="360" w:lineRule="auto"/>
        <w:ind w:firstLine="420" w:firstLineChars="200"/>
        <w:rPr>
          <w:rFonts w:hint="eastAsia" w:ascii="宋体" w:hAnsi="宋体" w:eastAsia="宋体" w:cs="仿宋"/>
          <w:color w:val="auto"/>
          <w:szCs w:val="21"/>
          <w:highlight w:val="none"/>
        </w:rPr>
      </w:pPr>
      <w:r>
        <w:rPr>
          <w:rFonts w:hint="eastAsia" w:ascii="宋体" w:hAnsi="宋体" w:eastAsia="宋体" w:cs="仿宋"/>
          <w:color w:val="auto"/>
          <w:szCs w:val="21"/>
          <w:highlight w:val="none"/>
        </w:rPr>
        <w:t>本项目位于花都区花山镇城区，对城区内既有9条道路（育才路、两龙路、南岭路、两龙南街西段、富华路、龙胜路、龙华路、两龙北街及两龙大街、两龙东街等共计4980.217米）进行改造，改造内容包含道路工程、给排水工程、交通设施、照明工程、电力通信及附属工程等。</w:t>
      </w:r>
    </w:p>
    <w:p>
      <w:pPr>
        <w:spacing w:line="360" w:lineRule="auto"/>
        <w:ind w:firstLine="420" w:firstLineChars="200"/>
        <w:rPr>
          <w:rFonts w:hint="eastAsia" w:ascii="宋体" w:hAnsi="宋体" w:eastAsia="宋体" w:cs="仿宋"/>
          <w:color w:val="auto"/>
          <w:szCs w:val="21"/>
          <w:highlight w:val="none"/>
        </w:rPr>
      </w:pPr>
      <w:r>
        <w:rPr>
          <w:rFonts w:hint="eastAsia" w:ascii="宋体" w:hAnsi="宋体" w:eastAsia="宋体" w:cs="仿宋"/>
          <w:color w:val="auto"/>
          <w:szCs w:val="21"/>
          <w:highlight w:val="none"/>
        </w:rPr>
        <w:t xml:space="preserve">1、育才路：西起两龙路，由西往东，终于菊花石大道，路线全长422.940米，现状道路宽30米，双向四车道，改造采用城市次干路标准建设，设计车速30km/h，双向四车道，道路红线宽30米。 </w:t>
      </w:r>
    </w:p>
    <w:p>
      <w:pPr>
        <w:spacing w:line="360" w:lineRule="auto"/>
        <w:ind w:firstLine="420" w:firstLineChars="200"/>
        <w:rPr>
          <w:rFonts w:hint="eastAsia" w:ascii="宋体" w:hAnsi="宋体" w:eastAsia="宋体" w:cs="仿宋"/>
          <w:color w:val="auto"/>
          <w:szCs w:val="21"/>
          <w:highlight w:val="none"/>
        </w:rPr>
      </w:pPr>
      <w:r>
        <w:rPr>
          <w:rFonts w:hint="eastAsia" w:ascii="宋体" w:hAnsi="宋体" w:eastAsia="宋体" w:cs="仿宋"/>
          <w:color w:val="auto"/>
          <w:szCs w:val="21"/>
          <w:highlight w:val="none"/>
        </w:rPr>
        <w:t>2、两龙路：北起育才路、沿线与两龙北街、两龙东街、南岭路、两龙南街、富华路及龙胜路相交，终于万安南街，路线全长1681.144米，现状路面宽22~24米，双向两车道，改造采用城市次干路标准建设，设计车速30km/h，双向四车道，道路红线宽22~24米。</w:t>
      </w:r>
    </w:p>
    <w:p>
      <w:pPr>
        <w:spacing w:line="360" w:lineRule="auto"/>
        <w:ind w:firstLine="420" w:firstLineChars="200"/>
        <w:rPr>
          <w:rFonts w:hint="eastAsia" w:ascii="宋体" w:hAnsi="宋体" w:eastAsia="宋体" w:cs="仿宋"/>
          <w:color w:val="auto"/>
          <w:szCs w:val="21"/>
          <w:highlight w:val="none"/>
        </w:rPr>
      </w:pPr>
      <w:r>
        <w:rPr>
          <w:rFonts w:hint="eastAsia" w:ascii="宋体" w:hAnsi="宋体" w:eastAsia="宋体" w:cs="仿宋"/>
          <w:color w:val="auto"/>
          <w:szCs w:val="21"/>
          <w:highlight w:val="none"/>
        </w:rPr>
        <w:t>3、南岭路：西起两龙路，由西往东，终于菊花石大道，路线全长393.121米，现状道路宽20~25米，双向两车道，改造采用城市支路标准建设，设计车速30km/h，双向两车道，道路红线宽20~25米。</w:t>
      </w:r>
    </w:p>
    <w:p>
      <w:pPr>
        <w:spacing w:line="360" w:lineRule="auto"/>
        <w:ind w:firstLine="420" w:firstLineChars="200"/>
        <w:rPr>
          <w:rFonts w:hint="eastAsia" w:ascii="宋体" w:hAnsi="宋体" w:eastAsia="宋体" w:cs="仿宋"/>
          <w:color w:val="auto"/>
          <w:szCs w:val="21"/>
          <w:highlight w:val="none"/>
        </w:rPr>
      </w:pPr>
      <w:r>
        <w:rPr>
          <w:rFonts w:hint="eastAsia" w:ascii="宋体" w:hAnsi="宋体" w:eastAsia="宋体" w:cs="仿宋"/>
          <w:color w:val="auto"/>
          <w:szCs w:val="21"/>
          <w:highlight w:val="none"/>
        </w:rPr>
        <w:t>4、两龙南街西段：西起龙福路，由西往东，沿线与两龙大街相交，终于两龙路，路线全长342.947米，现状路面宽10~19米，双向两车道，改造采用城市支路标准建设，设计车速20km/h，双向两车道，道路红线宽10~19米。</w:t>
      </w:r>
    </w:p>
    <w:p>
      <w:pPr>
        <w:spacing w:line="360" w:lineRule="auto"/>
        <w:ind w:firstLine="420" w:firstLineChars="200"/>
        <w:rPr>
          <w:rFonts w:hint="eastAsia" w:ascii="宋体" w:hAnsi="宋体" w:eastAsia="宋体" w:cs="仿宋"/>
          <w:color w:val="auto"/>
          <w:szCs w:val="21"/>
          <w:highlight w:val="none"/>
        </w:rPr>
      </w:pPr>
      <w:r>
        <w:rPr>
          <w:rFonts w:hint="eastAsia" w:ascii="宋体" w:hAnsi="宋体" w:eastAsia="宋体" w:cs="仿宋"/>
          <w:color w:val="auto"/>
          <w:szCs w:val="21"/>
          <w:highlight w:val="none"/>
        </w:rPr>
        <w:t>5、富华路：西起两龙路，由西往东，沿线与龙华路相交，终于菊花石大道，路线全长423.323米，现状路面宽20米，双向两车道，改造采用城市支路标准建设，设计车速20km/h，双向两车道，道路红线宽20米。</w:t>
      </w:r>
    </w:p>
    <w:p>
      <w:pPr>
        <w:spacing w:line="360" w:lineRule="auto"/>
        <w:ind w:firstLine="420" w:firstLineChars="200"/>
        <w:rPr>
          <w:rFonts w:hint="eastAsia" w:ascii="宋体" w:hAnsi="宋体" w:eastAsia="宋体" w:cs="仿宋"/>
          <w:color w:val="auto"/>
          <w:szCs w:val="21"/>
          <w:highlight w:val="none"/>
        </w:rPr>
      </w:pPr>
      <w:r>
        <w:rPr>
          <w:rFonts w:hint="eastAsia" w:ascii="宋体" w:hAnsi="宋体" w:eastAsia="宋体" w:cs="仿宋"/>
          <w:color w:val="auto"/>
          <w:szCs w:val="21"/>
          <w:highlight w:val="none"/>
        </w:rPr>
        <w:t>6、龙胜路：西起两龙路，由西往东，沿线与龙华路相交，终于菊花石大道，路线全长449.967米，现状路面宽14.5米，双向两车道，改造采用城市支路标准建设，设计车速20km/h，双向两车道，道路红线宽14.5米。</w:t>
      </w:r>
    </w:p>
    <w:p>
      <w:pPr>
        <w:spacing w:line="360" w:lineRule="auto"/>
        <w:ind w:firstLine="420" w:firstLineChars="200"/>
        <w:rPr>
          <w:rFonts w:hint="eastAsia" w:ascii="宋体" w:hAnsi="宋体" w:eastAsia="宋体" w:cs="仿宋"/>
          <w:color w:val="auto"/>
          <w:szCs w:val="21"/>
          <w:highlight w:val="none"/>
        </w:rPr>
      </w:pPr>
      <w:r>
        <w:rPr>
          <w:rFonts w:hint="eastAsia" w:ascii="宋体" w:hAnsi="宋体" w:eastAsia="宋体" w:cs="仿宋"/>
          <w:color w:val="auto"/>
          <w:szCs w:val="21"/>
          <w:highlight w:val="none"/>
        </w:rPr>
        <w:t>7、龙华路：北起南岭路以北约80米位置，由北往南，沿线与南岭路、两龙南街、富华路相交，终于龙胜路，路线全长599.361米，现状路面宽20米，双向两车道，改造采用城市支路标准建设，设计车速20km/h，双向两车道，道路红线宽20米。</w:t>
      </w:r>
    </w:p>
    <w:p>
      <w:pPr>
        <w:spacing w:line="360" w:lineRule="auto"/>
        <w:ind w:firstLine="420" w:firstLineChars="200"/>
        <w:rPr>
          <w:rFonts w:hint="eastAsia" w:ascii="宋体" w:hAnsi="宋体" w:eastAsia="宋体" w:cs="仿宋"/>
          <w:color w:val="auto"/>
          <w:szCs w:val="21"/>
          <w:highlight w:val="none"/>
        </w:rPr>
      </w:pPr>
      <w:r>
        <w:rPr>
          <w:rFonts w:hint="eastAsia" w:ascii="宋体" w:hAnsi="宋体" w:eastAsia="宋体" w:cs="仿宋"/>
          <w:color w:val="auto"/>
          <w:szCs w:val="21"/>
          <w:highlight w:val="none"/>
        </w:rPr>
        <w:t>8、两龙北街及两龙大街：北接两龙路，由北往南，沿线与两龙东街相交，终于两龙南街，路线全长540.275米，两龙北街现状路面宽14.5米，两龙大街现状路面宽10米，双向两车道，改造采用城市支路标准建设，设计车速20km/h，双向两车道，道路红线宽分别为14.5米和10米。</w:t>
      </w:r>
    </w:p>
    <w:p>
      <w:pPr>
        <w:widowControl w:val="0"/>
        <w:adjustRightInd w:val="0"/>
        <w:snapToGrid w:val="0"/>
        <w:spacing w:line="360" w:lineRule="auto"/>
        <w:ind w:left="0" w:firstLine="420" w:firstLineChars="200"/>
        <w:jc w:val="left"/>
        <w:rPr>
          <w:rFonts w:ascii="宋体" w:hAnsi="宋体" w:eastAsia="宋体" w:cs="仿宋"/>
          <w:color w:val="auto"/>
          <w:kern w:val="0"/>
          <w:sz w:val="21"/>
          <w:szCs w:val="21"/>
          <w:highlight w:val="none"/>
          <w:lang w:val="en-US" w:eastAsia="zh-CN" w:bidi="ar-SA"/>
        </w:rPr>
      </w:pPr>
      <w:r>
        <w:rPr>
          <w:rFonts w:hint="eastAsia" w:ascii="宋体" w:hAnsi="宋体" w:eastAsia="宋体" w:cs="仿宋"/>
          <w:color w:val="auto"/>
          <w:kern w:val="0"/>
          <w:sz w:val="21"/>
          <w:szCs w:val="21"/>
          <w:highlight w:val="none"/>
          <w:lang w:val="en-US" w:eastAsia="zh-CN" w:bidi="ar-SA"/>
        </w:rPr>
        <w:t>9、两龙东街：西起两龙北街，由西往东，终于两龙路，路线全长126.915米，现状道路宽9.5米，双向两车道，改造采用城市支路标准建设，设计车速20km/h，双向两车道，道路红线宽9.5米。</w:t>
      </w:r>
    </w:p>
    <w:p>
      <w:pPr>
        <w:spacing w:line="360" w:lineRule="auto"/>
        <w:jc w:val="center"/>
        <w:rPr>
          <w:rFonts w:hint="eastAsia" w:ascii="仿宋" w:hAnsi="仿宋" w:eastAsia="仿宋" w:cs="仿宋"/>
          <w:color w:val="auto"/>
          <w:sz w:val="24"/>
          <w:highlight w:val="none"/>
        </w:rPr>
      </w:pPr>
      <w:r>
        <w:rPr>
          <w:rFonts w:ascii="Times New Roman" w:hAnsi="Times New Roman" w:eastAsia="宋体" w:cs="Times New Roman"/>
          <w:color w:val="auto"/>
          <w:highlight w:val="none"/>
        </w:rPr>
        <w:drawing>
          <wp:inline distT="0" distB="0" distL="114300" distR="114300">
            <wp:extent cx="3221990" cy="6663690"/>
            <wp:effectExtent l="0" t="0" r="3810" b="165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rcRect l="14317" t="7423" r="37396" b="21548"/>
                    <a:stretch>
                      <a:fillRect/>
                    </a:stretch>
                  </pic:blipFill>
                  <pic:spPr>
                    <a:xfrm>
                      <a:off x="0" y="0"/>
                      <a:ext cx="3221990" cy="6663690"/>
                    </a:xfrm>
                    <a:prstGeom prst="rect">
                      <a:avLst/>
                    </a:prstGeom>
                    <a:noFill/>
                    <a:ln>
                      <a:noFill/>
                    </a:ln>
                  </pic:spPr>
                </pic:pic>
              </a:graphicData>
            </a:graphic>
          </wp:inline>
        </w:drawing>
      </w: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项目总平面图</w:t>
      </w:r>
    </w:p>
    <w:p>
      <w:pPr>
        <w:widowControl w:val="0"/>
        <w:adjustRightInd w:val="0"/>
        <w:snapToGrid w:val="0"/>
        <w:spacing w:line="360" w:lineRule="auto"/>
        <w:ind w:left="0" w:firstLine="420" w:firstLineChars="200"/>
        <w:jc w:val="left"/>
        <w:rPr>
          <w:rFonts w:hint="eastAsia" w:ascii="宋体" w:hAnsi="宋体" w:eastAsia="宋体" w:cs="等线"/>
          <w:b/>
          <w:bCs/>
          <w:color w:val="auto"/>
          <w:kern w:val="0"/>
          <w:sz w:val="21"/>
          <w:szCs w:val="21"/>
          <w:highlight w:val="none"/>
          <w:lang w:val="en-US" w:eastAsia="zh-CN" w:bidi="ar-SA"/>
        </w:rPr>
      </w:pPr>
      <w:r>
        <w:rPr>
          <w:rFonts w:hint="eastAsia" w:ascii="宋体" w:hAnsi="宋体" w:eastAsia="宋体" w:cs="等线"/>
          <w:b/>
          <w:bCs/>
          <w:color w:val="auto"/>
          <w:kern w:val="0"/>
          <w:sz w:val="21"/>
          <w:szCs w:val="21"/>
          <w:highlight w:val="none"/>
          <w:lang w:val="en-US" w:eastAsia="zh-CN" w:bidi="ar-SA"/>
        </w:rPr>
        <w:t>（四）设计依据</w:t>
      </w:r>
    </w:p>
    <w:p>
      <w:pPr>
        <w:widowControl w:val="0"/>
        <w:numPr>
          <w:ilvl w:val="0"/>
          <w:numId w:val="4"/>
        </w:numPr>
        <w:autoSpaceDE w:val="0"/>
        <w:autoSpaceDN w:val="0"/>
        <w:snapToGrid w:val="0"/>
        <w:spacing w:line="360" w:lineRule="auto"/>
        <w:ind w:firstLine="420" w:firstLineChars="200"/>
        <w:jc w:val="both"/>
        <w:rPr>
          <w:rFonts w:hint="eastAsia" w:ascii="宋体" w:hAnsi="宋体" w:eastAsia="宋体" w:cs="仿宋"/>
          <w:color w:val="auto"/>
          <w:kern w:val="0"/>
          <w:sz w:val="21"/>
          <w:szCs w:val="21"/>
          <w:highlight w:val="none"/>
          <w:lang w:val="en-US" w:eastAsia="zh-CN" w:bidi="ar-SA"/>
        </w:rPr>
      </w:pPr>
      <w:r>
        <w:rPr>
          <w:rFonts w:hint="eastAsia" w:ascii="宋体" w:hAnsi="宋体" w:eastAsia="宋体" w:cs="仿宋"/>
          <w:color w:val="auto"/>
          <w:kern w:val="0"/>
          <w:sz w:val="21"/>
          <w:szCs w:val="21"/>
          <w:highlight w:val="none"/>
          <w:lang w:val="en-US" w:eastAsia="zh-CN" w:bidi="ar-SA"/>
        </w:rPr>
        <w:t>《区委常委会会议纪要》十五届第149 次〔2024〕28号；</w:t>
      </w:r>
    </w:p>
    <w:p>
      <w:pPr>
        <w:widowControl w:val="0"/>
        <w:numPr>
          <w:ilvl w:val="0"/>
          <w:numId w:val="4"/>
        </w:numPr>
        <w:autoSpaceDE w:val="0"/>
        <w:autoSpaceDN w:val="0"/>
        <w:snapToGrid w:val="0"/>
        <w:spacing w:line="360" w:lineRule="auto"/>
        <w:ind w:firstLine="420" w:firstLineChars="200"/>
        <w:jc w:val="both"/>
        <w:rPr>
          <w:rFonts w:hint="eastAsia" w:ascii="宋体" w:hAnsi="宋体" w:eastAsia="宋体" w:cs="仿宋"/>
          <w:color w:val="auto"/>
          <w:kern w:val="0"/>
          <w:sz w:val="21"/>
          <w:szCs w:val="21"/>
          <w:highlight w:val="none"/>
          <w:lang w:val="en-US" w:eastAsia="zh-CN" w:bidi="ar-SA"/>
        </w:rPr>
      </w:pPr>
      <w:r>
        <w:rPr>
          <w:rFonts w:hint="eastAsia" w:ascii="宋体" w:hAnsi="宋体" w:eastAsia="宋体" w:cs="仿宋"/>
          <w:color w:val="auto"/>
          <w:kern w:val="0"/>
          <w:sz w:val="21"/>
          <w:szCs w:val="21"/>
          <w:highlight w:val="none"/>
          <w:lang w:val="en-US" w:eastAsia="zh-CN" w:bidi="ar-SA"/>
        </w:rPr>
        <w:t>《广州市花都区政府常务会议纪要》花府17届116次〔2024] 29号；</w:t>
      </w:r>
    </w:p>
    <w:p>
      <w:pPr>
        <w:widowControl w:val="0"/>
        <w:numPr>
          <w:ilvl w:val="0"/>
          <w:numId w:val="4"/>
        </w:numPr>
        <w:autoSpaceDE w:val="0"/>
        <w:autoSpaceDN w:val="0"/>
        <w:snapToGrid w:val="0"/>
        <w:spacing w:line="360" w:lineRule="auto"/>
        <w:ind w:firstLine="420" w:firstLineChars="200"/>
        <w:jc w:val="both"/>
        <w:rPr>
          <w:rFonts w:hint="eastAsia" w:ascii="宋体" w:hAnsi="宋体" w:eastAsia="宋体" w:cs="仿宋"/>
          <w:color w:val="auto"/>
          <w:kern w:val="0"/>
          <w:sz w:val="21"/>
          <w:szCs w:val="21"/>
          <w:highlight w:val="none"/>
          <w:lang w:val="en-US" w:eastAsia="zh-CN" w:bidi="ar-SA"/>
        </w:rPr>
      </w:pPr>
      <w:r>
        <w:rPr>
          <w:rFonts w:hint="eastAsia" w:ascii="宋体" w:hAnsi="宋体" w:eastAsia="宋体" w:cs="仿宋"/>
          <w:color w:val="auto"/>
          <w:kern w:val="0"/>
          <w:sz w:val="21"/>
          <w:szCs w:val="21"/>
          <w:highlight w:val="none"/>
          <w:lang w:val="en-US" w:eastAsia="zh-CN" w:bidi="ar-SA"/>
        </w:rPr>
        <w:t>《广州市花都区发展和改革局关于审议我区2024年第二批地方政府专项债项目</w:t>
      </w:r>
    </w:p>
    <w:p>
      <w:pPr>
        <w:widowControl w:val="0"/>
        <w:autoSpaceDE w:val="0"/>
        <w:autoSpaceDN w:val="0"/>
        <w:snapToGrid w:val="0"/>
        <w:spacing w:line="360" w:lineRule="auto"/>
        <w:ind w:left="420" w:leftChars="200"/>
        <w:jc w:val="both"/>
        <w:rPr>
          <w:rFonts w:hint="eastAsia" w:ascii="宋体" w:hAnsi="宋体" w:eastAsia="宋体" w:cs="仿宋"/>
          <w:color w:val="auto"/>
          <w:kern w:val="0"/>
          <w:sz w:val="21"/>
          <w:szCs w:val="21"/>
          <w:highlight w:val="none"/>
          <w:lang w:val="en-US" w:eastAsia="zh-CN" w:bidi="ar-SA"/>
        </w:rPr>
      </w:pPr>
      <w:r>
        <w:rPr>
          <w:rFonts w:hint="eastAsia" w:ascii="宋体" w:hAnsi="宋体" w:eastAsia="宋体" w:cs="仿宋"/>
          <w:color w:val="auto"/>
          <w:kern w:val="0"/>
          <w:sz w:val="21"/>
          <w:szCs w:val="21"/>
          <w:highlight w:val="none"/>
          <w:lang w:val="en-US" w:eastAsia="zh-CN" w:bidi="ar-SA"/>
        </w:rPr>
        <w:t>的请示》花发改〔2024〕70号；</w:t>
      </w:r>
    </w:p>
    <w:p>
      <w:pPr>
        <w:widowControl w:val="0"/>
        <w:numPr>
          <w:ilvl w:val="0"/>
          <w:numId w:val="4"/>
        </w:numPr>
        <w:autoSpaceDE w:val="0"/>
        <w:autoSpaceDN w:val="0"/>
        <w:snapToGrid w:val="0"/>
        <w:spacing w:line="360" w:lineRule="auto"/>
        <w:ind w:firstLine="420" w:firstLineChars="200"/>
        <w:jc w:val="both"/>
        <w:rPr>
          <w:rFonts w:hint="eastAsia" w:ascii="宋体" w:hAnsi="宋体" w:eastAsia="宋体" w:cs="仿宋"/>
          <w:color w:val="auto"/>
          <w:kern w:val="0"/>
          <w:sz w:val="21"/>
          <w:szCs w:val="21"/>
          <w:highlight w:val="none"/>
          <w:lang w:val="en-US" w:eastAsia="zh-CN" w:bidi="ar-SA"/>
        </w:rPr>
      </w:pPr>
      <w:r>
        <w:rPr>
          <w:rFonts w:hint="eastAsia" w:ascii="宋体" w:hAnsi="宋体" w:eastAsia="宋体" w:cs="仿宋"/>
          <w:color w:val="auto"/>
          <w:kern w:val="0"/>
          <w:sz w:val="21"/>
          <w:szCs w:val="21"/>
          <w:highlight w:val="none"/>
          <w:lang w:val="en-US" w:eastAsia="zh-CN" w:bidi="ar-SA"/>
        </w:rPr>
        <w:t>本区域的控制性详细规划</w:t>
      </w:r>
    </w:p>
    <w:p>
      <w:pPr>
        <w:widowControl w:val="0"/>
        <w:numPr>
          <w:ilvl w:val="0"/>
          <w:numId w:val="4"/>
        </w:numPr>
        <w:autoSpaceDE w:val="0"/>
        <w:autoSpaceDN w:val="0"/>
        <w:snapToGrid w:val="0"/>
        <w:spacing w:line="360" w:lineRule="auto"/>
        <w:ind w:firstLine="420" w:firstLineChars="200"/>
        <w:jc w:val="both"/>
        <w:rPr>
          <w:rFonts w:hint="eastAsia" w:ascii="宋体" w:hAnsi="宋体" w:eastAsia="宋体" w:cs="仿宋"/>
          <w:color w:val="auto"/>
          <w:kern w:val="0"/>
          <w:sz w:val="21"/>
          <w:szCs w:val="21"/>
          <w:highlight w:val="none"/>
          <w:lang w:val="en-US" w:eastAsia="zh-CN" w:bidi="ar-SA"/>
        </w:rPr>
      </w:pPr>
      <w:r>
        <w:rPr>
          <w:rFonts w:hint="eastAsia" w:ascii="宋体" w:hAnsi="宋体" w:eastAsia="宋体" w:cs="仿宋"/>
          <w:color w:val="auto"/>
          <w:kern w:val="0"/>
          <w:sz w:val="21"/>
          <w:szCs w:val="21"/>
          <w:highlight w:val="none"/>
          <w:lang w:val="en-US" w:eastAsia="zh-CN" w:bidi="ar-SA"/>
        </w:rPr>
        <w:t>《广州市城市总体规划（2017-2035 年）》；</w:t>
      </w:r>
    </w:p>
    <w:p>
      <w:pPr>
        <w:widowControl w:val="0"/>
        <w:numPr>
          <w:ilvl w:val="0"/>
          <w:numId w:val="4"/>
        </w:numPr>
        <w:autoSpaceDE w:val="0"/>
        <w:autoSpaceDN w:val="0"/>
        <w:snapToGrid w:val="0"/>
        <w:spacing w:line="360" w:lineRule="auto"/>
        <w:ind w:firstLine="420" w:firstLineChars="200"/>
        <w:jc w:val="both"/>
        <w:rPr>
          <w:rFonts w:hint="eastAsia" w:ascii="宋体" w:hAnsi="宋体" w:eastAsia="宋体" w:cs="仿宋"/>
          <w:color w:val="auto"/>
          <w:kern w:val="0"/>
          <w:sz w:val="21"/>
          <w:szCs w:val="21"/>
          <w:highlight w:val="none"/>
          <w:lang w:val="en-US" w:eastAsia="zh-CN" w:bidi="ar-SA"/>
        </w:rPr>
      </w:pPr>
      <w:r>
        <w:rPr>
          <w:rFonts w:hint="eastAsia" w:ascii="宋体" w:hAnsi="宋体" w:eastAsia="宋体" w:cs="仿宋"/>
          <w:color w:val="auto"/>
          <w:kern w:val="0"/>
          <w:sz w:val="21"/>
          <w:szCs w:val="21"/>
          <w:highlight w:val="none"/>
          <w:lang w:val="en-US" w:eastAsia="zh-CN" w:bidi="ar-SA"/>
        </w:rPr>
        <w:t>《广州市花都区国土空间总体规划（2021-2035年）》；</w:t>
      </w:r>
    </w:p>
    <w:p>
      <w:pPr>
        <w:widowControl w:val="0"/>
        <w:numPr>
          <w:ilvl w:val="0"/>
          <w:numId w:val="4"/>
        </w:numPr>
        <w:autoSpaceDE w:val="0"/>
        <w:autoSpaceDN w:val="0"/>
        <w:snapToGrid w:val="0"/>
        <w:spacing w:line="360" w:lineRule="auto"/>
        <w:ind w:firstLine="420" w:firstLineChars="200"/>
        <w:jc w:val="both"/>
        <w:rPr>
          <w:rFonts w:hint="eastAsia" w:ascii="宋体" w:hAnsi="宋体" w:eastAsia="宋体" w:cs="仿宋"/>
          <w:color w:val="auto"/>
          <w:kern w:val="0"/>
          <w:sz w:val="21"/>
          <w:szCs w:val="21"/>
          <w:highlight w:val="none"/>
          <w:lang w:val="en-US" w:eastAsia="zh-CN" w:bidi="ar-SA"/>
        </w:rPr>
      </w:pPr>
      <w:r>
        <w:rPr>
          <w:rFonts w:hint="eastAsia" w:ascii="宋体" w:hAnsi="宋体" w:eastAsia="宋体" w:cs="仿宋"/>
          <w:color w:val="auto"/>
          <w:kern w:val="0"/>
          <w:sz w:val="21"/>
          <w:szCs w:val="21"/>
          <w:highlight w:val="none"/>
          <w:lang w:val="en-US" w:eastAsia="zh-CN" w:bidi="ar-SA"/>
        </w:rPr>
        <w:t>《2023年广州市国民经济和社会发展统计公报》（2023年12月）；</w:t>
      </w:r>
    </w:p>
    <w:p>
      <w:pPr>
        <w:widowControl w:val="0"/>
        <w:numPr>
          <w:ilvl w:val="0"/>
          <w:numId w:val="4"/>
        </w:numPr>
        <w:autoSpaceDE w:val="0"/>
        <w:autoSpaceDN w:val="0"/>
        <w:snapToGrid w:val="0"/>
        <w:spacing w:line="360" w:lineRule="auto"/>
        <w:ind w:firstLine="420" w:firstLineChars="200"/>
        <w:jc w:val="both"/>
        <w:rPr>
          <w:rFonts w:hint="eastAsia" w:ascii="宋体" w:hAnsi="宋体" w:eastAsia="宋体" w:cs="仿宋"/>
          <w:color w:val="auto"/>
          <w:kern w:val="0"/>
          <w:sz w:val="21"/>
          <w:szCs w:val="21"/>
          <w:highlight w:val="none"/>
          <w:lang w:val="en-US" w:eastAsia="zh-CN" w:bidi="ar-SA"/>
        </w:rPr>
      </w:pPr>
      <w:r>
        <w:rPr>
          <w:rFonts w:hint="eastAsia" w:ascii="宋体" w:hAnsi="宋体" w:eastAsia="宋体" w:cs="仿宋"/>
          <w:color w:val="auto"/>
          <w:kern w:val="0"/>
          <w:sz w:val="21"/>
          <w:szCs w:val="21"/>
          <w:highlight w:val="none"/>
          <w:lang w:val="en-US" w:eastAsia="zh-CN" w:bidi="ar-SA"/>
        </w:rPr>
        <w:t>《2024年花都统计月报》（2024年1-5月）；</w:t>
      </w:r>
    </w:p>
    <w:p>
      <w:pPr>
        <w:widowControl w:val="0"/>
        <w:numPr>
          <w:ilvl w:val="0"/>
          <w:numId w:val="4"/>
        </w:numPr>
        <w:autoSpaceDE w:val="0"/>
        <w:autoSpaceDN w:val="0"/>
        <w:snapToGrid w:val="0"/>
        <w:spacing w:line="360" w:lineRule="auto"/>
        <w:ind w:firstLine="420" w:firstLineChars="200"/>
        <w:jc w:val="both"/>
        <w:rPr>
          <w:rFonts w:hint="eastAsia" w:ascii="宋体" w:hAnsi="宋体" w:eastAsia="宋体" w:cs="仿宋"/>
          <w:color w:val="auto"/>
          <w:kern w:val="0"/>
          <w:sz w:val="21"/>
          <w:szCs w:val="21"/>
          <w:highlight w:val="none"/>
          <w:lang w:val="en-US" w:eastAsia="zh-CN" w:bidi="ar-SA"/>
        </w:rPr>
      </w:pPr>
      <w:r>
        <w:rPr>
          <w:rFonts w:hint="eastAsia" w:ascii="宋体" w:hAnsi="宋体" w:eastAsia="宋体" w:cs="仿宋"/>
          <w:color w:val="auto"/>
          <w:kern w:val="0"/>
          <w:sz w:val="21"/>
          <w:szCs w:val="21"/>
          <w:highlight w:val="none"/>
          <w:lang w:val="en-US" w:eastAsia="zh-CN" w:bidi="ar-SA"/>
        </w:rPr>
        <w:t>《广州市花都区国民经济和社会发展第一四个五年规划和2035年远景目标纲要》；</w:t>
      </w:r>
    </w:p>
    <w:p>
      <w:pPr>
        <w:widowControl w:val="0"/>
        <w:numPr>
          <w:ilvl w:val="0"/>
          <w:numId w:val="4"/>
        </w:numPr>
        <w:autoSpaceDE w:val="0"/>
        <w:autoSpaceDN w:val="0"/>
        <w:snapToGrid w:val="0"/>
        <w:spacing w:line="360" w:lineRule="auto"/>
        <w:ind w:firstLine="420" w:firstLineChars="200"/>
        <w:jc w:val="both"/>
        <w:rPr>
          <w:rFonts w:hint="eastAsia" w:ascii="宋体" w:hAnsi="宋体" w:eastAsia="宋体" w:cs="仿宋"/>
          <w:color w:val="auto"/>
          <w:kern w:val="0"/>
          <w:sz w:val="21"/>
          <w:szCs w:val="21"/>
          <w:highlight w:val="none"/>
          <w:lang w:val="en-US" w:eastAsia="zh-CN" w:bidi="ar-SA"/>
        </w:rPr>
      </w:pPr>
      <w:r>
        <w:rPr>
          <w:rFonts w:hint="eastAsia" w:ascii="宋体" w:hAnsi="宋体" w:eastAsia="宋体" w:cs="仿宋"/>
          <w:color w:val="auto"/>
          <w:kern w:val="0"/>
          <w:sz w:val="21"/>
          <w:szCs w:val="21"/>
          <w:highlight w:val="none"/>
          <w:lang w:val="en-US" w:eastAsia="zh-CN" w:bidi="ar-SA"/>
        </w:rPr>
        <w:t>交通部、住建部颁发的有关标准、规范、规程及其他有关规定等，主要有：</w:t>
      </w:r>
    </w:p>
    <w:p>
      <w:pPr>
        <w:widowControl w:val="0"/>
        <w:numPr>
          <w:ilvl w:val="0"/>
          <w:numId w:val="5"/>
        </w:numPr>
        <w:autoSpaceDE w:val="0"/>
        <w:autoSpaceDN w:val="0"/>
        <w:snapToGrid w:val="0"/>
        <w:spacing w:line="360" w:lineRule="auto"/>
        <w:ind w:left="0" w:firstLine="420" w:firstLineChars="200"/>
        <w:jc w:val="both"/>
        <w:rPr>
          <w:rFonts w:hint="eastAsia" w:ascii="宋体" w:hAnsi="宋体" w:eastAsia="宋体" w:cs="仿宋"/>
          <w:color w:val="auto"/>
          <w:kern w:val="0"/>
          <w:sz w:val="21"/>
          <w:szCs w:val="21"/>
          <w:highlight w:val="none"/>
          <w:lang w:val="zh-CN" w:eastAsia="zh-CN" w:bidi="ar-SA"/>
        </w:rPr>
      </w:pPr>
      <w:r>
        <w:rPr>
          <w:rFonts w:hint="eastAsia" w:ascii="宋体" w:hAnsi="宋体" w:eastAsia="宋体" w:cs="仿宋"/>
          <w:color w:val="auto"/>
          <w:kern w:val="0"/>
          <w:sz w:val="21"/>
          <w:szCs w:val="21"/>
          <w:highlight w:val="none"/>
          <w:lang w:val="zh-CN" w:eastAsia="zh-CN" w:bidi="ar-SA"/>
        </w:rPr>
        <w:t>《城市道路工程设计规范》（CJJ37-2012）（2016 年版）；</w:t>
      </w:r>
    </w:p>
    <w:p>
      <w:pPr>
        <w:widowControl w:val="0"/>
        <w:numPr>
          <w:ilvl w:val="0"/>
          <w:numId w:val="5"/>
        </w:numPr>
        <w:autoSpaceDE w:val="0"/>
        <w:autoSpaceDN w:val="0"/>
        <w:snapToGrid w:val="0"/>
        <w:spacing w:line="360" w:lineRule="auto"/>
        <w:ind w:left="0" w:firstLine="420" w:firstLineChars="200"/>
        <w:jc w:val="both"/>
        <w:rPr>
          <w:rFonts w:hint="eastAsia" w:ascii="宋体" w:hAnsi="宋体" w:eastAsia="宋体" w:cs="仿宋"/>
          <w:color w:val="auto"/>
          <w:kern w:val="0"/>
          <w:sz w:val="21"/>
          <w:szCs w:val="21"/>
          <w:highlight w:val="none"/>
          <w:lang w:val="zh-CN" w:eastAsia="zh-CN" w:bidi="ar-SA"/>
        </w:rPr>
      </w:pPr>
      <w:r>
        <w:rPr>
          <w:rFonts w:hint="eastAsia" w:ascii="宋体" w:hAnsi="宋体" w:eastAsia="宋体" w:cs="仿宋"/>
          <w:color w:val="auto"/>
          <w:kern w:val="0"/>
          <w:sz w:val="21"/>
          <w:szCs w:val="21"/>
          <w:highlight w:val="none"/>
          <w:lang w:val="zh-CN" w:eastAsia="zh-CN" w:bidi="ar-SA"/>
        </w:rPr>
        <w:t>《城市道路路线设计规范》(CJJ193-201</w:t>
      </w:r>
      <w:r>
        <w:rPr>
          <w:rFonts w:hint="eastAsia" w:ascii="宋体" w:hAnsi="宋体" w:eastAsia="宋体" w:cs="仿宋"/>
          <w:color w:val="auto"/>
          <w:kern w:val="0"/>
          <w:sz w:val="21"/>
          <w:szCs w:val="21"/>
          <w:highlight w:val="none"/>
          <w:lang w:val="en-US" w:eastAsia="zh-CN" w:bidi="ar-SA"/>
        </w:rPr>
        <w:t>2</w:t>
      </w:r>
      <w:r>
        <w:rPr>
          <w:rFonts w:hint="eastAsia" w:ascii="宋体" w:hAnsi="宋体" w:eastAsia="宋体" w:cs="仿宋"/>
          <w:color w:val="auto"/>
          <w:kern w:val="0"/>
          <w:sz w:val="21"/>
          <w:szCs w:val="21"/>
          <w:highlight w:val="none"/>
          <w:lang w:val="zh-CN" w:eastAsia="zh-CN" w:bidi="ar-SA"/>
        </w:rPr>
        <w:t>)；</w:t>
      </w:r>
    </w:p>
    <w:p>
      <w:pPr>
        <w:widowControl w:val="0"/>
        <w:numPr>
          <w:ilvl w:val="0"/>
          <w:numId w:val="5"/>
        </w:numPr>
        <w:autoSpaceDE w:val="0"/>
        <w:autoSpaceDN w:val="0"/>
        <w:snapToGrid w:val="0"/>
        <w:spacing w:line="360" w:lineRule="auto"/>
        <w:ind w:left="0" w:firstLine="420" w:firstLineChars="200"/>
        <w:jc w:val="both"/>
        <w:rPr>
          <w:rFonts w:hint="eastAsia" w:ascii="宋体" w:hAnsi="宋体" w:eastAsia="宋体" w:cs="仿宋"/>
          <w:color w:val="auto"/>
          <w:kern w:val="0"/>
          <w:sz w:val="21"/>
          <w:szCs w:val="21"/>
          <w:highlight w:val="none"/>
          <w:lang w:val="zh-CN" w:eastAsia="zh-CN" w:bidi="ar-SA"/>
        </w:rPr>
      </w:pPr>
      <w:r>
        <w:rPr>
          <w:rFonts w:hint="eastAsia" w:ascii="宋体" w:hAnsi="宋体" w:eastAsia="宋体" w:cs="仿宋"/>
          <w:color w:val="auto"/>
          <w:kern w:val="0"/>
          <w:sz w:val="21"/>
          <w:szCs w:val="21"/>
          <w:highlight w:val="none"/>
          <w:lang w:val="zh-CN" w:eastAsia="zh-CN" w:bidi="ar-SA"/>
        </w:rPr>
        <w:t>《城镇道路路面设计规范》（CJJ169-2012）；</w:t>
      </w:r>
    </w:p>
    <w:p>
      <w:pPr>
        <w:widowControl w:val="0"/>
        <w:numPr>
          <w:ilvl w:val="0"/>
          <w:numId w:val="5"/>
        </w:numPr>
        <w:autoSpaceDE w:val="0"/>
        <w:autoSpaceDN w:val="0"/>
        <w:snapToGrid w:val="0"/>
        <w:spacing w:line="360" w:lineRule="auto"/>
        <w:ind w:left="0" w:firstLine="420" w:firstLineChars="200"/>
        <w:jc w:val="both"/>
        <w:rPr>
          <w:rFonts w:hint="eastAsia" w:ascii="宋体" w:hAnsi="宋体" w:eastAsia="宋体" w:cs="仿宋"/>
          <w:color w:val="auto"/>
          <w:kern w:val="0"/>
          <w:sz w:val="21"/>
          <w:szCs w:val="21"/>
          <w:highlight w:val="none"/>
          <w:lang w:val="zh-CN" w:eastAsia="zh-CN" w:bidi="ar-SA"/>
        </w:rPr>
      </w:pPr>
      <w:r>
        <w:rPr>
          <w:rFonts w:hint="eastAsia" w:ascii="宋体" w:hAnsi="宋体" w:eastAsia="宋体" w:cs="仿宋"/>
          <w:color w:val="auto"/>
          <w:kern w:val="0"/>
          <w:sz w:val="21"/>
          <w:szCs w:val="21"/>
          <w:highlight w:val="none"/>
          <w:lang w:val="zh-CN" w:eastAsia="zh-CN" w:bidi="ar-SA"/>
        </w:rPr>
        <w:t>《城市道路路基设计规范》（CJJ194-2013）；</w:t>
      </w:r>
    </w:p>
    <w:p>
      <w:pPr>
        <w:widowControl w:val="0"/>
        <w:numPr>
          <w:ilvl w:val="0"/>
          <w:numId w:val="5"/>
        </w:numPr>
        <w:autoSpaceDE w:val="0"/>
        <w:autoSpaceDN w:val="0"/>
        <w:snapToGrid w:val="0"/>
        <w:spacing w:line="360" w:lineRule="auto"/>
        <w:ind w:left="0" w:firstLine="420" w:firstLineChars="200"/>
        <w:jc w:val="both"/>
        <w:rPr>
          <w:rFonts w:hint="eastAsia" w:ascii="宋体" w:hAnsi="宋体" w:eastAsia="宋体" w:cs="仿宋"/>
          <w:color w:val="auto"/>
          <w:kern w:val="0"/>
          <w:sz w:val="21"/>
          <w:szCs w:val="21"/>
          <w:highlight w:val="none"/>
          <w:lang w:val="zh-CN" w:eastAsia="zh-CN" w:bidi="ar-SA"/>
        </w:rPr>
      </w:pPr>
      <w:r>
        <w:rPr>
          <w:rFonts w:hint="eastAsia" w:ascii="宋体" w:hAnsi="宋体" w:eastAsia="宋体" w:cs="仿宋"/>
          <w:color w:val="auto"/>
          <w:kern w:val="0"/>
          <w:sz w:val="21"/>
          <w:szCs w:val="21"/>
          <w:highlight w:val="none"/>
          <w:lang w:val="zh-CN" w:eastAsia="zh-CN" w:bidi="ar-SA"/>
        </w:rPr>
        <w:t>《城市道路交叉口设计规程》（CJJ152-2010）；</w:t>
      </w:r>
    </w:p>
    <w:p>
      <w:pPr>
        <w:widowControl w:val="0"/>
        <w:numPr>
          <w:ilvl w:val="0"/>
          <w:numId w:val="5"/>
        </w:numPr>
        <w:autoSpaceDE w:val="0"/>
        <w:autoSpaceDN w:val="0"/>
        <w:snapToGrid w:val="0"/>
        <w:spacing w:line="360" w:lineRule="auto"/>
        <w:ind w:left="0" w:firstLine="420" w:firstLineChars="200"/>
        <w:jc w:val="both"/>
        <w:rPr>
          <w:rFonts w:hint="eastAsia" w:ascii="宋体" w:hAnsi="宋体" w:eastAsia="宋体" w:cs="仿宋"/>
          <w:color w:val="auto"/>
          <w:kern w:val="0"/>
          <w:sz w:val="21"/>
          <w:szCs w:val="21"/>
          <w:highlight w:val="none"/>
          <w:lang w:val="zh-CN" w:eastAsia="zh-CN" w:bidi="ar-SA"/>
        </w:rPr>
      </w:pPr>
      <w:r>
        <w:rPr>
          <w:rFonts w:hint="eastAsia" w:ascii="宋体" w:hAnsi="宋体" w:eastAsia="宋体" w:cs="仿宋"/>
          <w:color w:val="auto"/>
          <w:kern w:val="0"/>
          <w:sz w:val="21"/>
          <w:szCs w:val="21"/>
          <w:highlight w:val="none"/>
          <w:lang w:val="zh-CN" w:eastAsia="zh-CN" w:bidi="ar-SA"/>
        </w:rPr>
        <w:t>《城镇道路工程施工</w:t>
      </w:r>
      <w:r>
        <w:rPr>
          <w:rFonts w:hint="eastAsia" w:ascii="宋体" w:hAnsi="宋体" w:eastAsia="宋体" w:cs="仿宋"/>
          <w:color w:val="auto"/>
          <w:kern w:val="0"/>
          <w:sz w:val="21"/>
          <w:szCs w:val="21"/>
          <w:highlight w:val="none"/>
          <w:lang w:val="en-US" w:eastAsia="zh-CN" w:bidi="ar-SA"/>
        </w:rPr>
        <w:t>与</w:t>
      </w:r>
      <w:r>
        <w:rPr>
          <w:rFonts w:hint="eastAsia" w:ascii="宋体" w:hAnsi="宋体" w:eastAsia="宋体" w:cs="仿宋"/>
          <w:color w:val="auto"/>
          <w:kern w:val="0"/>
          <w:sz w:val="21"/>
          <w:szCs w:val="21"/>
          <w:highlight w:val="none"/>
          <w:lang w:val="zh-CN" w:eastAsia="zh-CN" w:bidi="ar-SA"/>
        </w:rPr>
        <w:t>质量验收规范》（CJJ1-2008）；</w:t>
      </w:r>
    </w:p>
    <w:p>
      <w:pPr>
        <w:widowControl w:val="0"/>
        <w:numPr>
          <w:ilvl w:val="0"/>
          <w:numId w:val="5"/>
        </w:numPr>
        <w:autoSpaceDE w:val="0"/>
        <w:autoSpaceDN w:val="0"/>
        <w:snapToGrid w:val="0"/>
        <w:spacing w:line="360" w:lineRule="auto"/>
        <w:ind w:left="0" w:firstLine="420" w:firstLineChars="200"/>
        <w:jc w:val="both"/>
        <w:rPr>
          <w:rFonts w:hint="eastAsia" w:ascii="宋体" w:hAnsi="宋体" w:eastAsia="宋体" w:cs="仿宋"/>
          <w:color w:val="auto"/>
          <w:kern w:val="0"/>
          <w:sz w:val="21"/>
          <w:szCs w:val="21"/>
          <w:highlight w:val="none"/>
          <w:lang w:val="zh-CN" w:eastAsia="zh-CN" w:bidi="ar-SA"/>
        </w:rPr>
      </w:pPr>
      <w:r>
        <w:rPr>
          <w:rFonts w:hint="eastAsia" w:ascii="宋体" w:hAnsi="宋体" w:eastAsia="宋体" w:cs="仿宋"/>
          <w:color w:val="auto"/>
          <w:kern w:val="0"/>
          <w:sz w:val="21"/>
          <w:szCs w:val="21"/>
          <w:highlight w:val="none"/>
          <w:lang w:val="zh-CN" w:eastAsia="zh-CN" w:bidi="ar-SA"/>
        </w:rPr>
        <w:t>《城市桥梁设计规范（</w:t>
      </w:r>
      <w:r>
        <w:rPr>
          <w:rFonts w:hint="eastAsia" w:ascii="宋体" w:hAnsi="宋体" w:eastAsia="宋体" w:cs="仿宋"/>
          <w:color w:val="auto"/>
          <w:kern w:val="0"/>
          <w:sz w:val="21"/>
          <w:szCs w:val="21"/>
          <w:highlight w:val="none"/>
          <w:lang w:val="en-US" w:eastAsia="zh-CN" w:bidi="ar-SA"/>
        </w:rPr>
        <w:t>2019年版）</w:t>
      </w:r>
      <w:r>
        <w:rPr>
          <w:rFonts w:hint="eastAsia" w:ascii="宋体" w:hAnsi="宋体" w:eastAsia="宋体" w:cs="仿宋"/>
          <w:color w:val="auto"/>
          <w:kern w:val="0"/>
          <w:sz w:val="21"/>
          <w:szCs w:val="21"/>
          <w:highlight w:val="none"/>
          <w:lang w:val="zh-CN" w:eastAsia="zh-CN" w:bidi="ar-SA"/>
        </w:rPr>
        <w:t>》（CJJ11-2011）；</w:t>
      </w:r>
    </w:p>
    <w:p>
      <w:pPr>
        <w:widowControl w:val="0"/>
        <w:numPr>
          <w:ilvl w:val="0"/>
          <w:numId w:val="5"/>
        </w:numPr>
        <w:autoSpaceDE w:val="0"/>
        <w:autoSpaceDN w:val="0"/>
        <w:snapToGrid w:val="0"/>
        <w:spacing w:line="360" w:lineRule="auto"/>
        <w:ind w:left="0" w:firstLine="420" w:firstLineChars="200"/>
        <w:jc w:val="both"/>
        <w:rPr>
          <w:rFonts w:hint="eastAsia" w:ascii="宋体" w:hAnsi="宋体" w:eastAsia="宋体" w:cs="仿宋"/>
          <w:color w:val="auto"/>
          <w:kern w:val="0"/>
          <w:sz w:val="21"/>
          <w:szCs w:val="21"/>
          <w:highlight w:val="none"/>
          <w:lang w:val="zh-CN" w:eastAsia="zh-CN" w:bidi="ar-SA"/>
        </w:rPr>
      </w:pPr>
      <w:r>
        <w:rPr>
          <w:rFonts w:hint="eastAsia" w:ascii="宋体" w:hAnsi="宋体" w:eastAsia="宋体" w:cs="仿宋"/>
          <w:color w:val="auto"/>
          <w:kern w:val="0"/>
          <w:sz w:val="21"/>
          <w:szCs w:val="21"/>
          <w:highlight w:val="none"/>
          <w:lang w:val="zh-CN" w:eastAsia="zh-CN" w:bidi="ar-SA"/>
        </w:rPr>
        <w:t>《道路交通标志和标线》（GB5768.1-2009）、（GB5768.2-20</w:t>
      </w:r>
      <w:r>
        <w:rPr>
          <w:rFonts w:hint="eastAsia" w:ascii="宋体" w:hAnsi="宋体" w:eastAsia="宋体" w:cs="仿宋"/>
          <w:color w:val="auto"/>
          <w:kern w:val="0"/>
          <w:sz w:val="21"/>
          <w:szCs w:val="21"/>
          <w:highlight w:val="none"/>
          <w:lang w:val="en-US" w:eastAsia="zh-CN" w:bidi="ar-SA"/>
        </w:rPr>
        <w:t>22</w:t>
      </w:r>
      <w:r>
        <w:rPr>
          <w:rFonts w:hint="eastAsia" w:ascii="宋体" w:hAnsi="宋体" w:eastAsia="宋体" w:cs="仿宋"/>
          <w:color w:val="auto"/>
          <w:kern w:val="0"/>
          <w:sz w:val="21"/>
          <w:szCs w:val="21"/>
          <w:highlight w:val="none"/>
          <w:lang w:val="zh-CN" w:eastAsia="zh-CN" w:bidi="ar-SA"/>
        </w:rPr>
        <w:t>）、（GB5768.3-2009）；</w:t>
      </w:r>
    </w:p>
    <w:p>
      <w:pPr>
        <w:widowControl w:val="0"/>
        <w:numPr>
          <w:ilvl w:val="0"/>
          <w:numId w:val="5"/>
        </w:numPr>
        <w:autoSpaceDE w:val="0"/>
        <w:autoSpaceDN w:val="0"/>
        <w:snapToGrid w:val="0"/>
        <w:spacing w:line="360" w:lineRule="auto"/>
        <w:ind w:left="0" w:firstLine="420" w:firstLineChars="200"/>
        <w:jc w:val="both"/>
        <w:rPr>
          <w:rFonts w:hint="eastAsia" w:ascii="宋体" w:hAnsi="宋体" w:eastAsia="宋体" w:cs="仿宋"/>
          <w:color w:val="auto"/>
          <w:kern w:val="0"/>
          <w:sz w:val="21"/>
          <w:szCs w:val="21"/>
          <w:highlight w:val="none"/>
          <w:lang w:val="zh-CN" w:eastAsia="zh-CN" w:bidi="ar-SA"/>
        </w:rPr>
      </w:pPr>
      <w:r>
        <w:rPr>
          <w:rFonts w:hint="eastAsia" w:ascii="宋体" w:hAnsi="宋体" w:eastAsia="宋体" w:cs="仿宋"/>
          <w:color w:val="auto"/>
          <w:kern w:val="0"/>
          <w:sz w:val="21"/>
          <w:szCs w:val="21"/>
          <w:highlight w:val="none"/>
          <w:lang w:val="zh-CN" w:eastAsia="zh-CN" w:bidi="ar-SA"/>
        </w:rPr>
        <w:t>《城市道路交通设施设计规范（2019年板）》（GB50688-2011）；</w:t>
      </w:r>
    </w:p>
    <w:p>
      <w:pPr>
        <w:widowControl w:val="0"/>
        <w:autoSpaceDE w:val="0"/>
        <w:autoSpaceDN w:val="0"/>
        <w:snapToGrid w:val="0"/>
        <w:spacing w:line="360" w:lineRule="auto"/>
        <w:ind w:left="420" w:leftChars="200"/>
        <w:jc w:val="both"/>
        <w:rPr>
          <w:rFonts w:hint="eastAsia" w:ascii="宋体" w:hAnsi="宋体" w:eastAsia="宋体" w:cs="仿宋"/>
          <w:color w:val="auto"/>
          <w:kern w:val="0"/>
          <w:sz w:val="21"/>
          <w:szCs w:val="21"/>
          <w:highlight w:val="none"/>
          <w:lang w:val="zh-CN" w:eastAsia="zh-CN" w:bidi="ar-SA"/>
        </w:rPr>
      </w:pPr>
      <w:r>
        <w:rPr>
          <w:rFonts w:hint="eastAsia" w:ascii="宋体" w:hAnsi="宋体" w:eastAsia="宋体" w:cs="仿宋"/>
          <w:color w:val="auto"/>
          <w:kern w:val="0"/>
          <w:sz w:val="21"/>
          <w:szCs w:val="21"/>
          <w:highlight w:val="none"/>
          <w:lang w:val="en-US" w:eastAsia="zh-CN" w:bidi="ar-SA"/>
        </w:rPr>
        <w:t>10）</w:t>
      </w:r>
      <w:r>
        <w:rPr>
          <w:rFonts w:hint="eastAsia" w:ascii="宋体" w:hAnsi="宋体" w:eastAsia="宋体" w:cs="仿宋"/>
          <w:color w:val="auto"/>
          <w:kern w:val="0"/>
          <w:sz w:val="21"/>
          <w:szCs w:val="21"/>
          <w:highlight w:val="none"/>
          <w:lang w:val="zh-CN" w:eastAsia="zh-CN" w:bidi="ar-SA"/>
        </w:rPr>
        <w:t>《城市道路交通标志和标线设置规范》（GB51038-2015）；</w:t>
      </w:r>
    </w:p>
    <w:p>
      <w:pPr>
        <w:widowControl w:val="0"/>
        <w:autoSpaceDE w:val="0"/>
        <w:autoSpaceDN w:val="0"/>
        <w:snapToGrid w:val="0"/>
        <w:spacing w:line="360" w:lineRule="auto"/>
        <w:ind w:left="420" w:leftChars="200"/>
        <w:jc w:val="both"/>
        <w:rPr>
          <w:rFonts w:hint="eastAsia" w:ascii="宋体" w:hAnsi="宋体" w:eastAsia="宋体" w:cs="仿宋"/>
          <w:color w:val="auto"/>
          <w:kern w:val="0"/>
          <w:sz w:val="21"/>
          <w:szCs w:val="21"/>
          <w:highlight w:val="none"/>
          <w:lang w:val="zh-CN" w:eastAsia="zh-CN" w:bidi="ar-SA"/>
        </w:rPr>
      </w:pPr>
      <w:r>
        <w:rPr>
          <w:rFonts w:hint="eastAsia" w:ascii="宋体" w:hAnsi="宋体" w:eastAsia="宋体" w:cs="仿宋"/>
          <w:color w:val="auto"/>
          <w:kern w:val="0"/>
          <w:sz w:val="21"/>
          <w:szCs w:val="21"/>
          <w:highlight w:val="none"/>
          <w:lang w:val="en-US" w:eastAsia="zh-CN" w:bidi="ar-SA"/>
        </w:rPr>
        <w:t>11）</w:t>
      </w:r>
      <w:r>
        <w:rPr>
          <w:rFonts w:hint="eastAsia" w:ascii="宋体" w:hAnsi="宋体" w:eastAsia="宋体" w:cs="仿宋"/>
          <w:color w:val="auto"/>
          <w:kern w:val="0"/>
          <w:sz w:val="21"/>
          <w:szCs w:val="21"/>
          <w:highlight w:val="none"/>
          <w:lang w:val="zh-CN" w:eastAsia="zh-CN" w:bidi="ar-SA"/>
        </w:rPr>
        <w:t>《无障碍设计规范》（GB50763-2012）；</w:t>
      </w:r>
    </w:p>
    <w:p>
      <w:pPr>
        <w:widowControl w:val="0"/>
        <w:autoSpaceDE w:val="0"/>
        <w:autoSpaceDN w:val="0"/>
        <w:snapToGrid w:val="0"/>
        <w:spacing w:line="360" w:lineRule="auto"/>
        <w:ind w:left="420" w:leftChars="200"/>
        <w:jc w:val="both"/>
        <w:rPr>
          <w:rFonts w:hint="eastAsia" w:ascii="宋体" w:hAnsi="宋体" w:eastAsia="宋体" w:cs="仿宋"/>
          <w:color w:val="auto"/>
          <w:kern w:val="0"/>
          <w:sz w:val="21"/>
          <w:szCs w:val="21"/>
          <w:highlight w:val="none"/>
          <w:lang w:val="zh-CN" w:eastAsia="zh-CN" w:bidi="ar-SA"/>
        </w:rPr>
      </w:pPr>
      <w:r>
        <w:rPr>
          <w:rFonts w:hint="eastAsia" w:ascii="宋体" w:hAnsi="宋体" w:eastAsia="宋体" w:cs="仿宋"/>
          <w:color w:val="auto"/>
          <w:kern w:val="0"/>
          <w:sz w:val="21"/>
          <w:szCs w:val="21"/>
          <w:highlight w:val="none"/>
          <w:lang w:val="en-US" w:eastAsia="zh-CN" w:bidi="ar-SA"/>
        </w:rPr>
        <w:t>12）</w:t>
      </w:r>
      <w:r>
        <w:rPr>
          <w:rFonts w:hint="eastAsia" w:ascii="宋体" w:hAnsi="宋体" w:eastAsia="宋体" w:cs="仿宋"/>
          <w:color w:val="auto"/>
          <w:kern w:val="0"/>
          <w:sz w:val="21"/>
          <w:szCs w:val="21"/>
          <w:highlight w:val="none"/>
          <w:lang w:val="zh-CN" w:eastAsia="zh-CN" w:bidi="ar-SA"/>
        </w:rPr>
        <w:t>《公路水泥混凝土路面设计规范》（JTG D40－2011）；</w:t>
      </w:r>
    </w:p>
    <w:p>
      <w:pPr>
        <w:widowControl w:val="0"/>
        <w:autoSpaceDE w:val="0"/>
        <w:autoSpaceDN w:val="0"/>
        <w:snapToGrid w:val="0"/>
        <w:spacing w:line="360" w:lineRule="auto"/>
        <w:ind w:left="420" w:leftChars="200"/>
        <w:jc w:val="both"/>
        <w:rPr>
          <w:rFonts w:hint="eastAsia" w:ascii="宋体" w:hAnsi="宋体" w:eastAsia="宋体" w:cs="仿宋"/>
          <w:color w:val="auto"/>
          <w:kern w:val="0"/>
          <w:sz w:val="21"/>
          <w:szCs w:val="21"/>
          <w:highlight w:val="none"/>
          <w:lang w:val="zh-CN" w:eastAsia="zh-CN" w:bidi="ar-SA"/>
        </w:rPr>
      </w:pPr>
      <w:r>
        <w:rPr>
          <w:rFonts w:hint="eastAsia" w:ascii="宋体" w:hAnsi="宋体" w:eastAsia="宋体" w:cs="仿宋"/>
          <w:color w:val="auto"/>
          <w:kern w:val="0"/>
          <w:sz w:val="21"/>
          <w:szCs w:val="21"/>
          <w:highlight w:val="none"/>
          <w:lang w:val="en-US" w:eastAsia="zh-CN" w:bidi="ar-SA"/>
        </w:rPr>
        <w:t>13）</w:t>
      </w:r>
      <w:r>
        <w:rPr>
          <w:rFonts w:hint="eastAsia" w:ascii="宋体" w:hAnsi="宋体" w:eastAsia="宋体" w:cs="仿宋"/>
          <w:color w:val="auto"/>
          <w:kern w:val="0"/>
          <w:sz w:val="21"/>
          <w:szCs w:val="21"/>
          <w:highlight w:val="none"/>
          <w:lang w:val="zh-CN" w:eastAsia="zh-CN" w:bidi="ar-SA"/>
        </w:rPr>
        <w:t>《公路沥青路面设计规范》（JTG D50－2017）；</w:t>
      </w:r>
    </w:p>
    <w:p>
      <w:pPr>
        <w:widowControl w:val="0"/>
        <w:numPr>
          <w:ilvl w:val="0"/>
          <w:numId w:val="4"/>
        </w:numPr>
        <w:autoSpaceDE w:val="0"/>
        <w:autoSpaceDN w:val="0"/>
        <w:snapToGrid w:val="0"/>
        <w:spacing w:line="360" w:lineRule="auto"/>
        <w:ind w:firstLine="420" w:firstLineChars="200"/>
        <w:jc w:val="both"/>
        <w:rPr>
          <w:rFonts w:hint="eastAsia" w:ascii="宋体" w:hAnsi="宋体" w:eastAsia="宋体" w:cs="仿宋"/>
          <w:color w:val="auto"/>
          <w:kern w:val="0"/>
          <w:sz w:val="21"/>
          <w:szCs w:val="21"/>
          <w:highlight w:val="none"/>
          <w:lang w:val="en-US" w:eastAsia="zh-CN" w:bidi="ar-SA"/>
        </w:rPr>
      </w:pPr>
      <w:r>
        <w:rPr>
          <w:rFonts w:hint="eastAsia" w:ascii="宋体" w:hAnsi="宋体" w:eastAsia="宋体" w:cs="仿宋"/>
          <w:color w:val="auto"/>
          <w:kern w:val="0"/>
          <w:sz w:val="21"/>
          <w:szCs w:val="21"/>
          <w:highlight w:val="none"/>
          <w:lang w:val="en-US" w:eastAsia="zh-CN" w:bidi="ar-SA"/>
        </w:rPr>
        <w:t>国家发展改革委、建设部发改投资[2006]1325号发布的《建设项目经济评价方法与参数（第三版）》；</w:t>
      </w:r>
    </w:p>
    <w:p>
      <w:pPr>
        <w:widowControl w:val="0"/>
        <w:numPr>
          <w:ilvl w:val="0"/>
          <w:numId w:val="4"/>
        </w:numPr>
        <w:autoSpaceDE w:val="0"/>
        <w:autoSpaceDN w:val="0"/>
        <w:snapToGrid w:val="0"/>
        <w:spacing w:line="360" w:lineRule="auto"/>
        <w:ind w:firstLine="420" w:firstLineChars="200"/>
        <w:jc w:val="both"/>
        <w:rPr>
          <w:rFonts w:hint="eastAsia" w:ascii="宋体" w:hAnsi="宋体" w:eastAsia="宋体" w:cs="仿宋"/>
          <w:color w:val="auto"/>
          <w:kern w:val="0"/>
          <w:sz w:val="21"/>
          <w:szCs w:val="21"/>
          <w:highlight w:val="none"/>
          <w:lang w:val="en-US" w:eastAsia="zh-CN" w:bidi="ar-SA"/>
        </w:rPr>
      </w:pPr>
      <w:r>
        <w:rPr>
          <w:rFonts w:hint="eastAsia" w:ascii="宋体" w:hAnsi="宋体" w:eastAsia="宋体" w:cs="仿宋"/>
          <w:color w:val="auto"/>
          <w:kern w:val="0"/>
          <w:sz w:val="21"/>
          <w:szCs w:val="21"/>
          <w:highlight w:val="none"/>
          <w:lang w:val="en-US" w:eastAsia="zh-CN" w:bidi="ar-SA"/>
        </w:rPr>
        <w:t>《广州市本级政府投资项目估算编制指引（市政交通项目）》 广州市发展和改革委员会；</w:t>
      </w:r>
    </w:p>
    <w:p>
      <w:pPr>
        <w:widowControl w:val="0"/>
        <w:numPr>
          <w:ilvl w:val="0"/>
          <w:numId w:val="4"/>
        </w:numPr>
        <w:autoSpaceDE w:val="0"/>
        <w:autoSpaceDN w:val="0"/>
        <w:snapToGrid w:val="0"/>
        <w:spacing w:line="360" w:lineRule="auto"/>
        <w:ind w:firstLine="420" w:firstLineChars="200"/>
        <w:jc w:val="both"/>
        <w:rPr>
          <w:rFonts w:hint="eastAsia" w:ascii="宋体" w:hAnsi="宋体" w:eastAsia="宋体" w:cs="仿宋"/>
          <w:color w:val="auto"/>
          <w:kern w:val="0"/>
          <w:sz w:val="21"/>
          <w:szCs w:val="21"/>
          <w:highlight w:val="none"/>
          <w:lang w:val="en-US" w:eastAsia="zh-CN" w:bidi="ar-SA"/>
        </w:rPr>
      </w:pPr>
      <w:r>
        <w:rPr>
          <w:rFonts w:hint="eastAsia" w:ascii="宋体" w:hAnsi="宋体" w:eastAsia="宋体" w:cs="仿宋"/>
          <w:color w:val="auto"/>
          <w:kern w:val="0"/>
          <w:sz w:val="21"/>
          <w:szCs w:val="21"/>
          <w:highlight w:val="none"/>
          <w:lang w:val="en-US" w:eastAsia="zh-CN" w:bidi="ar-SA"/>
        </w:rPr>
        <w:t>建标［2007］164 号《市政工程投资估算编制办法》。</w:t>
      </w:r>
    </w:p>
    <w:p>
      <w:pPr>
        <w:widowControl w:val="0"/>
        <w:numPr>
          <w:ilvl w:val="0"/>
          <w:numId w:val="4"/>
        </w:numPr>
        <w:autoSpaceDE w:val="0"/>
        <w:autoSpaceDN w:val="0"/>
        <w:snapToGrid w:val="0"/>
        <w:spacing w:line="360" w:lineRule="auto"/>
        <w:ind w:firstLine="420" w:firstLineChars="200"/>
        <w:jc w:val="both"/>
        <w:rPr>
          <w:rFonts w:hint="eastAsia" w:ascii="宋体" w:hAnsi="宋体" w:eastAsia="宋体" w:cs="仿宋"/>
          <w:color w:val="auto"/>
          <w:kern w:val="0"/>
          <w:sz w:val="21"/>
          <w:szCs w:val="21"/>
          <w:highlight w:val="none"/>
          <w:lang w:val="en-US" w:eastAsia="zh-CN" w:bidi="ar-SA"/>
        </w:rPr>
      </w:pPr>
      <w:r>
        <w:rPr>
          <w:rFonts w:hint="eastAsia" w:ascii="宋体" w:hAnsi="宋体" w:eastAsia="宋体" w:cs="仿宋"/>
          <w:color w:val="auto"/>
          <w:kern w:val="0"/>
          <w:sz w:val="21"/>
          <w:szCs w:val="21"/>
          <w:highlight w:val="none"/>
          <w:lang w:val="en-US" w:eastAsia="zh-CN" w:bidi="ar-SA"/>
        </w:rPr>
        <w:t>交通部2018年第86号公布实施的《公路工程建设项目投资估算编制办法》（JTG 3820-2018）；</w:t>
      </w:r>
    </w:p>
    <w:p>
      <w:pPr>
        <w:widowControl w:val="0"/>
        <w:numPr>
          <w:ilvl w:val="0"/>
          <w:numId w:val="4"/>
        </w:numPr>
        <w:autoSpaceDE w:val="0"/>
        <w:autoSpaceDN w:val="0"/>
        <w:snapToGrid w:val="0"/>
        <w:spacing w:line="360" w:lineRule="auto"/>
        <w:ind w:firstLine="420" w:firstLineChars="200"/>
        <w:jc w:val="both"/>
        <w:rPr>
          <w:rFonts w:hint="eastAsia" w:ascii="宋体" w:hAnsi="宋体" w:eastAsia="宋体" w:cs="仿宋"/>
          <w:color w:val="auto"/>
          <w:kern w:val="0"/>
          <w:sz w:val="21"/>
          <w:szCs w:val="21"/>
          <w:highlight w:val="none"/>
          <w:lang w:val="en-US" w:eastAsia="zh-CN" w:bidi="ar-SA"/>
        </w:rPr>
      </w:pPr>
      <w:r>
        <w:rPr>
          <w:rFonts w:hint="eastAsia" w:ascii="宋体" w:hAnsi="宋体" w:eastAsia="宋体" w:cs="仿宋"/>
          <w:color w:val="auto"/>
          <w:kern w:val="0"/>
          <w:sz w:val="21"/>
          <w:szCs w:val="21"/>
          <w:highlight w:val="none"/>
          <w:lang w:val="en-US" w:eastAsia="zh-CN" w:bidi="ar-SA"/>
        </w:rPr>
        <w:t>国家发展和改革委员会2023年3月23日发布的《国家发展和改革委关于印发投资项目可行性研究报告编写大纲及说明的通知》（发改投资规﹝2023﹞304号）；</w:t>
      </w:r>
    </w:p>
    <w:p>
      <w:pPr>
        <w:widowControl w:val="0"/>
        <w:numPr>
          <w:ilvl w:val="0"/>
          <w:numId w:val="4"/>
        </w:numPr>
        <w:autoSpaceDE w:val="0"/>
        <w:autoSpaceDN w:val="0"/>
        <w:snapToGrid w:val="0"/>
        <w:spacing w:line="360" w:lineRule="auto"/>
        <w:ind w:firstLine="420" w:firstLineChars="200"/>
        <w:jc w:val="both"/>
        <w:rPr>
          <w:rFonts w:ascii="宋体" w:hAnsi="宋体" w:eastAsia="宋体" w:cs="仿宋"/>
          <w:color w:val="auto"/>
          <w:kern w:val="0"/>
          <w:sz w:val="21"/>
          <w:szCs w:val="21"/>
          <w:highlight w:val="none"/>
          <w:lang w:val="en-US" w:eastAsia="zh-CN" w:bidi="ar-SA"/>
        </w:rPr>
      </w:pPr>
      <w:r>
        <w:rPr>
          <w:rFonts w:hint="eastAsia" w:ascii="宋体" w:hAnsi="宋体" w:eastAsia="宋体" w:cs="仿宋"/>
          <w:color w:val="auto"/>
          <w:kern w:val="0"/>
          <w:sz w:val="21"/>
          <w:szCs w:val="21"/>
          <w:highlight w:val="none"/>
          <w:lang w:val="en-US" w:eastAsia="zh-CN" w:bidi="ar-SA"/>
        </w:rPr>
        <w:t>国家、建设部及交通部颁布的有关标准、规范、规程及其它有关规定。</w:t>
      </w:r>
    </w:p>
    <w:p>
      <w:pPr>
        <w:widowControl w:val="0"/>
        <w:adjustRightInd w:val="0"/>
        <w:snapToGrid w:val="0"/>
        <w:spacing w:line="360" w:lineRule="auto"/>
        <w:ind w:left="0" w:firstLine="420" w:firstLineChars="200"/>
        <w:jc w:val="left"/>
        <w:rPr>
          <w:rFonts w:hint="eastAsia" w:ascii="宋体" w:hAnsi="宋体" w:eastAsia="宋体" w:cs="等线"/>
          <w:b/>
          <w:bCs/>
          <w:color w:val="auto"/>
          <w:kern w:val="0"/>
          <w:sz w:val="21"/>
          <w:szCs w:val="21"/>
          <w:highlight w:val="none"/>
          <w:lang w:val="en-US" w:eastAsia="zh-CN" w:bidi="ar-SA"/>
        </w:rPr>
      </w:pPr>
      <w:r>
        <w:rPr>
          <w:rFonts w:hint="eastAsia" w:ascii="宋体" w:hAnsi="宋体" w:eastAsia="宋体" w:cs="等线"/>
          <w:b/>
          <w:bCs/>
          <w:color w:val="auto"/>
          <w:kern w:val="0"/>
          <w:sz w:val="21"/>
          <w:szCs w:val="21"/>
          <w:highlight w:val="none"/>
          <w:lang w:val="en-US" w:eastAsia="zh-CN" w:bidi="ar-SA"/>
        </w:rPr>
        <w:t>2、设计目标及达到效果</w:t>
      </w:r>
    </w:p>
    <w:p>
      <w:pPr>
        <w:spacing w:line="360" w:lineRule="auto"/>
        <w:ind w:firstLine="420" w:firstLineChars="200"/>
        <w:rPr>
          <w:rFonts w:hint="eastAsia" w:ascii="宋体" w:hAnsi="宋体" w:eastAsia="宋体" w:cs="等线"/>
          <w:color w:val="auto"/>
          <w:szCs w:val="21"/>
          <w:highlight w:val="none"/>
        </w:rPr>
      </w:pPr>
      <w:r>
        <w:rPr>
          <w:rFonts w:hint="eastAsia" w:ascii="宋体" w:hAnsi="宋体" w:eastAsia="宋体" w:cs="等线"/>
          <w:color w:val="auto"/>
          <w:szCs w:val="21"/>
          <w:highlight w:val="none"/>
        </w:rPr>
        <w:t>（1）设计方案必须满足国家、省和市有关建设方针、政策、规范、规程同时满足技术标准、通行能力的要求，并考虑工程造价、经济效益和社会效益等综合因素。</w:t>
      </w:r>
    </w:p>
    <w:p>
      <w:pPr>
        <w:spacing w:line="360" w:lineRule="auto"/>
        <w:ind w:firstLine="420" w:firstLineChars="200"/>
        <w:rPr>
          <w:rFonts w:hint="eastAsia" w:ascii="宋体" w:hAnsi="宋体" w:eastAsia="宋体" w:cs="等线"/>
          <w:color w:val="auto"/>
          <w:szCs w:val="21"/>
          <w:highlight w:val="none"/>
        </w:rPr>
      </w:pPr>
      <w:r>
        <w:rPr>
          <w:rFonts w:hint="eastAsia" w:ascii="宋体" w:hAnsi="宋体" w:eastAsia="宋体" w:cs="等线"/>
          <w:color w:val="auto"/>
          <w:szCs w:val="21"/>
          <w:highlight w:val="none"/>
        </w:rPr>
        <w:t>（2）设计方案能正确理解并执行建设意图，与周边路网、管网规划协调一致，交通组织完善合理，总体思路清晰，路线平、纵、横等设计科学合理；充分体现丘陵山地的特点，道路、排水之间的关系处理得当。</w:t>
      </w:r>
    </w:p>
    <w:p>
      <w:pPr>
        <w:spacing w:line="360" w:lineRule="auto"/>
        <w:ind w:firstLine="420" w:firstLineChars="200"/>
        <w:rPr>
          <w:rFonts w:hint="eastAsia" w:ascii="宋体" w:hAnsi="宋体" w:eastAsia="宋体" w:cs="等线"/>
          <w:color w:val="auto"/>
          <w:szCs w:val="21"/>
          <w:highlight w:val="none"/>
        </w:rPr>
      </w:pPr>
      <w:r>
        <w:rPr>
          <w:rFonts w:hint="eastAsia" w:ascii="宋体" w:hAnsi="宋体" w:eastAsia="宋体" w:cs="等线"/>
          <w:color w:val="auto"/>
          <w:szCs w:val="21"/>
          <w:highlight w:val="none"/>
        </w:rPr>
        <w:t>（3）设计方案可以充分结合地形地貌，尽量减少土方开挖、边坡处理生态自然。</w:t>
      </w:r>
    </w:p>
    <w:p>
      <w:pPr>
        <w:spacing w:line="360" w:lineRule="auto"/>
        <w:ind w:firstLine="420" w:firstLineChars="200"/>
        <w:rPr>
          <w:rFonts w:hint="eastAsia" w:ascii="宋体" w:hAnsi="宋体" w:eastAsia="宋体" w:cs="等线"/>
          <w:color w:val="auto"/>
          <w:szCs w:val="21"/>
          <w:highlight w:val="none"/>
        </w:rPr>
      </w:pPr>
      <w:r>
        <w:rPr>
          <w:rFonts w:hint="eastAsia" w:ascii="宋体" w:hAnsi="宋体" w:eastAsia="宋体" w:cs="等线"/>
          <w:color w:val="auto"/>
          <w:szCs w:val="21"/>
          <w:highlight w:val="none"/>
        </w:rPr>
        <w:t>（4）与周边地块衔接设计合理，有重点及亮点，交通出行方便，经济合理。</w:t>
      </w:r>
    </w:p>
    <w:p>
      <w:pPr>
        <w:spacing w:line="360" w:lineRule="auto"/>
        <w:ind w:firstLine="420" w:firstLineChars="200"/>
        <w:rPr>
          <w:rFonts w:hint="eastAsia" w:ascii="宋体" w:hAnsi="宋体" w:eastAsia="宋体" w:cs="等线"/>
          <w:color w:val="auto"/>
          <w:szCs w:val="21"/>
          <w:highlight w:val="none"/>
        </w:rPr>
      </w:pPr>
      <w:r>
        <w:rPr>
          <w:rFonts w:hint="eastAsia" w:ascii="宋体" w:hAnsi="宋体" w:eastAsia="宋体" w:cs="等线"/>
          <w:color w:val="auto"/>
          <w:szCs w:val="21"/>
          <w:highlight w:val="none"/>
        </w:rPr>
        <w:t>（5）道路公用设施（照明、行人设施、道路元素等）设计科学合理、处理得当、特点鲜明。</w:t>
      </w:r>
    </w:p>
    <w:p>
      <w:pPr>
        <w:spacing w:line="360" w:lineRule="auto"/>
        <w:ind w:firstLine="420" w:firstLineChars="200"/>
        <w:rPr>
          <w:rFonts w:hint="eastAsia" w:ascii="宋体" w:hAnsi="宋体" w:eastAsia="宋体" w:cs="等线"/>
          <w:color w:val="auto"/>
          <w:szCs w:val="21"/>
          <w:highlight w:val="none"/>
        </w:rPr>
      </w:pPr>
      <w:r>
        <w:rPr>
          <w:rFonts w:hint="eastAsia" w:ascii="宋体" w:hAnsi="宋体" w:eastAsia="宋体" w:cs="等线"/>
          <w:color w:val="auto"/>
          <w:szCs w:val="21"/>
          <w:highlight w:val="none"/>
        </w:rPr>
        <w:t>（6）施工期间交通组织、施工实施方案切合实际，考虑全面。</w:t>
      </w:r>
    </w:p>
    <w:p>
      <w:pPr>
        <w:spacing w:line="360" w:lineRule="auto"/>
        <w:ind w:firstLine="420" w:firstLineChars="200"/>
        <w:rPr>
          <w:rFonts w:hint="eastAsia" w:ascii="宋体" w:hAnsi="宋体" w:eastAsia="宋体" w:cs="等线"/>
          <w:color w:val="auto"/>
          <w:szCs w:val="21"/>
          <w:highlight w:val="none"/>
        </w:rPr>
      </w:pPr>
      <w:r>
        <w:rPr>
          <w:rFonts w:hint="eastAsia" w:ascii="宋体" w:hAnsi="宋体" w:eastAsia="宋体" w:cs="等线"/>
          <w:color w:val="auto"/>
          <w:szCs w:val="21"/>
          <w:highlight w:val="none"/>
        </w:rPr>
        <w:t>（7）工期进度计划合理可行。</w:t>
      </w:r>
    </w:p>
    <w:p>
      <w:pPr>
        <w:spacing w:line="360" w:lineRule="auto"/>
        <w:ind w:firstLine="420" w:firstLineChars="200"/>
        <w:rPr>
          <w:rFonts w:hint="eastAsia" w:ascii="宋体" w:hAnsi="宋体" w:eastAsia="宋体" w:cs="等线"/>
          <w:color w:val="auto"/>
          <w:szCs w:val="21"/>
          <w:highlight w:val="none"/>
        </w:rPr>
      </w:pPr>
      <w:r>
        <w:rPr>
          <w:rFonts w:hint="eastAsia" w:ascii="宋体" w:hAnsi="宋体" w:eastAsia="宋体" w:cs="等线"/>
          <w:color w:val="auto"/>
          <w:szCs w:val="21"/>
          <w:highlight w:val="none"/>
        </w:rPr>
        <w:t>（8）工程总投资合理，节约工程总投资的措施及理由合理、可信、可行，投资估算编制依据正确，达到相应的深度要求，编制质量高。。</w:t>
      </w:r>
    </w:p>
    <w:p>
      <w:pPr>
        <w:widowControl w:val="0"/>
        <w:adjustRightInd w:val="0"/>
        <w:snapToGrid w:val="0"/>
        <w:spacing w:line="360" w:lineRule="auto"/>
        <w:ind w:left="0" w:firstLine="420" w:firstLineChars="200"/>
        <w:jc w:val="left"/>
        <w:rPr>
          <w:rFonts w:hint="eastAsia" w:ascii="宋体" w:hAnsi="宋体" w:eastAsia="宋体" w:cs="等线"/>
          <w:b/>
          <w:bCs/>
          <w:color w:val="auto"/>
          <w:kern w:val="0"/>
          <w:sz w:val="21"/>
          <w:szCs w:val="21"/>
          <w:highlight w:val="none"/>
          <w:lang w:val="en-US" w:eastAsia="zh-CN" w:bidi="ar-SA"/>
        </w:rPr>
      </w:pPr>
      <w:bookmarkStart w:id="401" w:name="_Toc443505843"/>
      <w:r>
        <w:rPr>
          <w:rFonts w:hint="eastAsia" w:ascii="宋体" w:hAnsi="宋体" w:eastAsia="宋体" w:cs="等线"/>
          <w:b/>
          <w:bCs/>
          <w:color w:val="auto"/>
          <w:kern w:val="0"/>
          <w:sz w:val="21"/>
          <w:szCs w:val="21"/>
          <w:highlight w:val="none"/>
          <w:lang w:val="en-US" w:eastAsia="zh-CN" w:bidi="ar-SA"/>
        </w:rPr>
        <w:t>3.工程规划和立项文件</w:t>
      </w:r>
    </w:p>
    <w:p>
      <w:pPr>
        <w:spacing w:line="360" w:lineRule="auto"/>
        <w:ind w:firstLine="420" w:firstLineChars="200"/>
        <w:rPr>
          <w:rFonts w:hint="eastAsia" w:ascii="宋体" w:hAnsi="宋体" w:eastAsia="宋体" w:cs="等线"/>
          <w:color w:val="auto"/>
          <w:szCs w:val="21"/>
          <w:highlight w:val="none"/>
        </w:rPr>
      </w:pPr>
      <w:r>
        <w:rPr>
          <w:rFonts w:hint="eastAsia" w:ascii="宋体" w:hAnsi="宋体" w:eastAsia="宋体" w:cs="等线"/>
          <w:color w:val="auto"/>
          <w:szCs w:val="21"/>
          <w:highlight w:val="none"/>
        </w:rPr>
        <w:t>由投标人自行收集。</w:t>
      </w:r>
    </w:p>
    <w:p>
      <w:pPr>
        <w:widowControl w:val="0"/>
        <w:adjustRightInd w:val="0"/>
        <w:snapToGrid w:val="0"/>
        <w:spacing w:line="360" w:lineRule="auto"/>
        <w:ind w:left="0" w:firstLine="420" w:firstLineChars="200"/>
        <w:jc w:val="left"/>
        <w:rPr>
          <w:rFonts w:hint="eastAsia" w:ascii="宋体" w:hAnsi="宋体" w:eastAsia="宋体" w:cs="等线"/>
          <w:b/>
          <w:bCs/>
          <w:color w:val="auto"/>
          <w:kern w:val="0"/>
          <w:sz w:val="21"/>
          <w:szCs w:val="21"/>
          <w:highlight w:val="none"/>
          <w:lang w:val="en-US" w:eastAsia="zh-CN" w:bidi="ar-SA"/>
        </w:rPr>
      </w:pPr>
      <w:r>
        <w:rPr>
          <w:rFonts w:hint="eastAsia" w:ascii="宋体" w:hAnsi="宋体" w:eastAsia="宋体" w:cs="等线"/>
          <w:b/>
          <w:bCs/>
          <w:color w:val="auto"/>
          <w:kern w:val="0"/>
          <w:sz w:val="21"/>
          <w:szCs w:val="21"/>
          <w:highlight w:val="none"/>
          <w:lang w:val="en-US" w:eastAsia="zh-CN" w:bidi="ar-SA"/>
        </w:rPr>
        <w:t>4.道路交通规划要求</w:t>
      </w:r>
    </w:p>
    <w:p>
      <w:pPr>
        <w:spacing w:line="360" w:lineRule="auto"/>
        <w:ind w:firstLine="420" w:firstLineChars="200"/>
        <w:rPr>
          <w:rFonts w:hint="eastAsia" w:ascii="宋体" w:hAnsi="宋体" w:eastAsia="宋体" w:cs="等线"/>
          <w:color w:val="auto"/>
          <w:szCs w:val="21"/>
          <w:highlight w:val="none"/>
        </w:rPr>
      </w:pPr>
      <w:r>
        <w:rPr>
          <w:rFonts w:hint="eastAsia" w:ascii="宋体" w:hAnsi="宋体" w:eastAsia="宋体" w:cs="等线"/>
          <w:color w:val="auto"/>
          <w:szCs w:val="21"/>
          <w:highlight w:val="none"/>
        </w:rPr>
        <w:t>由投标人自行收集。</w:t>
      </w:r>
    </w:p>
    <w:p>
      <w:pPr>
        <w:widowControl w:val="0"/>
        <w:adjustRightInd w:val="0"/>
        <w:snapToGrid w:val="0"/>
        <w:spacing w:line="360" w:lineRule="auto"/>
        <w:ind w:left="0" w:firstLine="420" w:firstLineChars="200"/>
        <w:jc w:val="left"/>
        <w:rPr>
          <w:rFonts w:hint="eastAsia" w:ascii="宋体" w:hAnsi="宋体" w:eastAsia="宋体" w:cs="等线"/>
          <w:b/>
          <w:bCs/>
          <w:color w:val="auto"/>
          <w:kern w:val="0"/>
          <w:sz w:val="21"/>
          <w:szCs w:val="21"/>
          <w:highlight w:val="none"/>
          <w:lang w:val="en-US" w:eastAsia="zh-CN" w:bidi="ar-SA"/>
        </w:rPr>
      </w:pPr>
      <w:r>
        <w:rPr>
          <w:rFonts w:hint="eastAsia" w:ascii="宋体" w:hAnsi="宋体" w:eastAsia="宋体" w:cs="等线"/>
          <w:b/>
          <w:bCs/>
          <w:color w:val="auto"/>
          <w:kern w:val="0"/>
          <w:sz w:val="21"/>
          <w:szCs w:val="21"/>
          <w:highlight w:val="none"/>
          <w:lang w:val="en-US" w:eastAsia="zh-CN" w:bidi="ar-SA"/>
        </w:rPr>
        <w:t>5.周边环境现状</w:t>
      </w:r>
    </w:p>
    <w:p>
      <w:pPr>
        <w:spacing w:line="360" w:lineRule="auto"/>
        <w:ind w:firstLine="420" w:firstLineChars="200"/>
        <w:rPr>
          <w:rFonts w:hint="eastAsia" w:ascii="宋体" w:hAnsi="宋体" w:eastAsia="宋体" w:cs="等线"/>
          <w:color w:val="auto"/>
          <w:szCs w:val="21"/>
          <w:highlight w:val="none"/>
        </w:rPr>
      </w:pPr>
      <w:r>
        <w:rPr>
          <w:rFonts w:hint="eastAsia" w:ascii="宋体" w:hAnsi="宋体" w:eastAsia="宋体" w:cs="等线"/>
          <w:color w:val="auto"/>
          <w:szCs w:val="21"/>
          <w:highlight w:val="none"/>
        </w:rPr>
        <w:t>由投标人自行收集。</w:t>
      </w:r>
    </w:p>
    <w:p>
      <w:pPr>
        <w:widowControl w:val="0"/>
        <w:adjustRightInd w:val="0"/>
        <w:snapToGrid w:val="0"/>
        <w:spacing w:line="360" w:lineRule="auto"/>
        <w:ind w:left="0" w:firstLine="420" w:firstLineChars="200"/>
        <w:jc w:val="left"/>
        <w:rPr>
          <w:rFonts w:hint="eastAsia" w:ascii="宋体" w:hAnsi="宋体" w:eastAsia="宋体" w:cs="等线"/>
          <w:b/>
          <w:bCs/>
          <w:color w:val="auto"/>
          <w:kern w:val="0"/>
          <w:sz w:val="21"/>
          <w:szCs w:val="21"/>
          <w:highlight w:val="none"/>
          <w:lang w:val="en-US" w:eastAsia="zh-CN" w:bidi="ar-SA"/>
        </w:rPr>
      </w:pPr>
      <w:r>
        <w:rPr>
          <w:rFonts w:hint="eastAsia" w:ascii="宋体" w:hAnsi="宋体" w:eastAsia="宋体" w:cs="等线"/>
          <w:b/>
          <w:bCs/>
          <w:color w:val="auto"/>
          <w:kern w:val="0"/>
          <w:sz w:val="21"/>
          <w:szCs w:val="21"/>
          <w:highlight w:val="none"/>
          <w:lang w:val="en-US" w:eastAsia="zh-CN" w:bidi="ar-SA"/>
        </w:rPr>
        <w:t>6.气候与地质条件</w:t>
      </w:r>
    </w:p>
    <w:p>
      <w:pPr>
        <w:spacing w:line="360" w:lineRule="auto"/>
        <w:ind w:firstLine="420" w:firstLineChars="200"/>
        <w:rPr>
          <w:rFonts w:hint="eastAsia" w:ascii="宋体" w:hAnsi="宋体" w:eastAsia="宋体" w:cs="等线"/>
          <w:color w:val="auto"/>
          <w:szCs w:val="21"/>
          <w:highlight w:val="none"/>
        </w:rPr>
      </w:pPr>
      <w:r>
        <w:rPr>
          <w:rFonts w:hint="eastAsia" w:ascii="宋体" w:hAnsi="宋体" w:eastAsia="宋体" w:cs="等线"/>
          <w:color w:val="auto"/>
          <w:szCs w:val="21"/>
          <w:highlight w:val="none"/>
          <w:lang w:val="en-US" w:eastAsia="zh-CN"/>
        </w:rPr>
        <w:t>花都区属南亚热带季风气候区。项目所在地区气候温暖潮湿，雨量充沛，年平均气 压为 1012hPa，历年最大降雨量为2865mm(1992 年)，最小降雨量为 1113mm(1916年)，年平均降雨量 1755mm。年降雨量多集中在 4-9月，前期为热雷期，后期为台风,雨，合占全年降雨量的 81%，降雨量最小是 12 月，占全部降雨量的 1.4%左右。年相对 湿度为 77%，全年日照时数为 1862hr，年蒸发量为 1276mm</w:t>
      </w:r>
      <w:r>
        <w:rPr>
          <w:rFonts w:hint="eastAsia" w:ascii="宋体" w:hAnsi="宋体" w:eastAsia="宋体" w:cs="等线"/>
          <w:color w:val="auto"/>
          <w:szCs w:val="21"/>
          <w:highlight w:val="none"/>
        </w:rPr>
        <w:t>。</w:t>
      </w:r>
    </w:p>
    <w:bookmarkEnd w:id="401"/>
    <w:p>
      <w:pPr>
        <w:jc w:val="both"/>
        <w:outlineLvl w:val="0"/>
        <w:rPr>
          <w:rFonts w:ascii="宋体" w:hAnsi="宋体" w:cs="宋体"/>
          <w:color w:val="auto"/>
          <w:highlight w:val="none"/>
        </w:rPr>
        <w:sectPr>
          <w:footerReference r:id="rId5" w:type="first"/>
          <w:footerReference r:id="rId4" w:type="default"/>
          <w:pgSz w:w="11906" w:h="16838"/>
          <w:pgMar w:top="1440" w:right="1800" w:bottom="1440" w:left="1800" w:header="851" w:footer="992" w:gutter="0"/>
          <w:cols w:space="720" w:num="1"/>
          <w:docGrid w:type="lines" w:linePitch="312" w:charSpace="0"/>
        </w:sectPr>
      </w:pPr>
    </w:p>
    <w:p>
      <w:pPr>
        <w:pStyle w:val="2"/>
        <w:widowControl/>
        <w:jc w:val="center"/>
        <w:rPr>
          <w:rFonts w:ascii="宋体" w:hAnsi="宋体" w:cs="宋体"/>
          <w:color w:val="auto"/>
          <w:highlight w:val="none"/>
        </w:rPr>
      </w:pPr>
      <w:bookmarkStart w:id="402" w:name="_Toc13260"/>
      <w:r>
        <w:rPr>
          <w:rFonts w:hint="eastAsia" w:ascii="宋体" w:hAnsi="宋体" w:cs="宋体"/>
          <w:color w:val="auto"/>
          <w:highlight w:val="none"/>
        </w:rPr>
        <w:t>第六章 招标人提供的资料</w:t>
      </w:r>
      <w:bookmarkEnd w:id="399"/>
      <w:bookmarkEnd w:id="400"/>
      <w:bookmarkEnd w:id="402"/>
    </w:p>
    <w:p>
      <w:pPr>
        <w:keepNext/>
        <w:keepLines/>
        <w:jc w:val="center"/>
        <w:rPr>
          <w:rFonts w:ascii="宋体" w:hAnsi="宋体" w:eastAsia="宋体" w:cs="宋体"/>
          <w:color w:val="auto"/>
          <w:kern w:val="1"/>
          <w:sz w:val="28"/>
          <w:szCs w:val="28"/>
          <w:highlight w:val="none"/>
        </w:rPr>
      </w:pPr>
      <w:bookmarkStart w:id="403" w:name="_Toc439240671"/>
      <w:bookmarkEnd w:id="403"/>
      <w:bookmarkStart w:id="404" w:name="_Toc436834201"/>
      <w:bookmarkEnd w:id="404"/>
      <w:bookmarkStart w:id="405" w:name="_Toc439246070"/>
      <w:bookmarkEnd w:id="405"/>
      <w:bookmarkStart w:id="406" w:name="_Toc436834794"/>
      <w:bookmarkEnd w:id="406"/>
      <w:bookmarkStart w:id="407" w:name="_Toc5620361"/>
    </w:p>
    <w:bookmarkEnd w:id="407"/>
    <w:p>
      <w:pPr>
        <w:rPr>
          <w:rFonts w:ascii="宋体" w:hAnsi="宋体" w:eastAsia="宋体" w:cs="宋体"/>
          <w:color w:val="auto"/>
          <w:kern w:val="1"/>
          <w:highlight w:val="none"/>
        </w:rPr>
      </w:pPr>
    </w:p>
    <w:p>
      <w:pPr>
        <w:rPr>
          <w:rFonts w:ascii="宋体" w:hAnsi="宋体" w:eastAsia="宋体" w:cs="宋体"/>
          <w:color w:val="auto"/>
          <w:kern w:val="1"/>
          <w:highlight w:val="none"/>
        </w:rPr>
      </w:pPr>
    </w:p>
    <w:p>
      <w:pPr>
        <w:rPr>
          <w:rFonts w:ascii="宋体" w:hAnsi="宋体" w:eastAsia="宋体" w:cs="宋体"/>
          <w:color w:val="auto"/>
          <w:kern w:val="1"/>
          <w:highlight w:val="none"/>
        </w:rPr>
      </w:pPr>
    </w:p>
    <w:p>
      <w:pPr>
        <w:rPr>
          <w:rFonts w:ascii="宋体" w:hAnsi="宋体" w:eastAsia="宋体" w:cs="宋体"/>
          <w:color w:val="auto"/>
          <w:kern w:val="1"/>
          <w:highlight w:val="none"/>
        </w:rPr>
      </w:pPr>
    </w:p>
    <w:p>
      <w:pPr>
        <w:rPr>
          <w:rFonts w:ascii="宋体" w:hAnsi="宋体" w:eastAsia="宋体" w:cs="宋体"/>
          <w:color w:val="auto"/>
          <w:kern w:val="1"/>
          <w:highlight w:val="none"/>
        </w:rPr>
      </w:pPr>
    </w:p>
    <w:p>
      <w:pPr>
        <w:rPr>
          <w:rFonts w:ascii="宋体" w:hAnsi="宋体" w:eastAsia="宋体" w:cs="宋体"/>
          <w:color w:val="auto"/>
          <w:kern w:val="1"/>
          <w:highlight w:val="none"/>
        </w:rPr>
      </w:pPr>
    </w:p>
    <w:p>
      <w:pPr>
        <w:pStyle w:val="12"/>
        <w:rPr>
          <w:rFonts w:hint="default"/>
          <w:color w:val="auto"/>
          <w:highlight w:val="none"/>
        </w:rPr>
      </w:pPr>
    </w:p>
    <w:p>
      <w:pPr>
        <w:pStyle w:val="12"/>
        <w:rPr>
          <w:rFonts w:hint="default"/>
          <w:color w:val="auto"/>
          <w:highlight w:val="none"/>
        </w:rPr>
      </w:pPr>
    </w:p>
    <w:p>
      <w:pPr>
        <w:rPr>
          <w:rFonts w:ascii="宋体" w:hAnsi="宋体" w:eastAsia="宋体" w:cs="宋体"/>
          <w:color w:val="auto"/>
          <w:kern w:val="1"/>
          <w:highlight w:val="none"/>
        </w:rPr>
      </w:pPr>
    </w:p>
    <w:p>
      <w:pPr>
        <w:rPr>
          <w:rFonts w:ascii="宋体" w:hAnsi="宋体" w:eastAsia="宋体" w:cs="宋体"/>
          <w:color w:val="auto"/>
          <w:kern w:val="1"/>
          <w:highlight w:val="none"/>
        </w:rPr>
      </w:pPr>
    </w:p>
    <w:p>
      <w:pPr>
        <w:rPr>
          <w:rFonts w:ascii="宋体" w:hAnsi="宋体" w:eastAsia="宋体" w:cs="宋体"/>
          <w:color w:val="auto"/>
          <w:kern w:val="1"/>
          <w:highlight w:val="none"/>
        </w:rPr>
      </w:pPr>
    </w:p>
    <w:p>
      <w:pPr>
        <w:rPr>
          <w:rFonts w:ascii="宋体" w:hAnsi="宋体" w:eastAsia="宋体" w:cs="宋体"/>
          <w:color w:val="auto"/>
          <w:kern w:val="1"/>
          <w:highlight w:val="none"/>
        </w:rPr>
      </w:pPr>
    </w:p>
    <w:p>
      <w:pPr>
        <w:rPr>
          <w:rFonts w:ascii="宋体" w:hAnsi="宋体" w:eastAsia="宋体" w:cs="宋体"/>
          <w:color w:val="auto"/>
          <w:kern w:val="1"/>
          <w:highlight w:val="none"/>
        </w:rPr>
      </w:pPr>
    </w:p>
    <w:p>
      <w:pPr>
        <w:rPr>
          <w:rFonts w:ascii="宋体" w:hAnsi="宋体" w:eastAsia="宋体" w:cs="宋体"/>
          <w:color w:val="auto"/>
          <w:kern w:val="1"/>
          <w:highlight w:val="none"/>
        </w:rPr>
      </w:pPr>
    </w:p>
    <w:p>
      <w:pPr>
        <w:rPr>
          <w:rFonts w:ascii="宋体" w:hAnsi="宋体" w:eastAsia="宋体" w:cs="宋体"/>
          <w:color w:val="auto"/>
          <w:kern w:val="1"/>
          <w:highlight w:val="none"/>
        </w:rPr>
      </w:pPr>
    </w:p>
    <w:p>
      <w:pPr>
        <w:rPr>
          <w:rFonts w:ascii="宋体" w:hAnsi="宋体" w:eastAsia="宋体" w:cs="宋体"/>
          <w:color w:val="auto"/>
          <w:kern w:val="1"/>
          <w:highlight w:val="none"/>
        </w:rPr>
      </w:pPr>
    </w:p>
    <w:p>
      <w:pPr>
        <w:rPr>
          <w:rFonts w:ascii="宋体" w:hAnsi="宋体" w:eastAsia="宋体" w:cs="宋体"/>
          <w:color w:val="auto"/>
          <w:kern w:val="1"/>
          <w:highlight w:val="none"/>
        </w:rPr>
      </w:pPr>
    </w:p>
    <w:p>
      <w:pPr>
        <w:rPr>
          <w:rFonts w:ascii="宋体" w:hAnsi="宋体" w:eastAsia="宋体" w:cs="宋体"/>
          <w:color w:val="auto"/>
          <w:kern w:val="1"/>
          <w:highlight w:val="none"/>
        </w:rPr>
      </w:pPr>
    </w:p>
    <w:p>
      <w:pPr>
        <w:rPr>
          <w:rFonts w:ascii="宋体" w:hAnsi="宋体" w:eastAsia="宋体" w:cs="宋体"/>
          <w:color w:val="auto"/>
          <w:kern w:val="1"/>
          <w:highlight w:val="none"/>
        </w:rPr>
      </w:pPr>
    </w:p>
    <w:p>
      <w:pPr>
        <w:rPr>
          <w:rFonts w:ascii="宋体" w:hAnsi="宋体" w:eastAsia="宋体" w:cs="宋体"/>
          <w:color w:val="auto"/>
          <w:kern w:val="1"/>
          <w:highlight w:val="none"/>
        </w:rPr>
      </w:pPr>
    </w:p>
    <w:p>
      <w:pPr>
        <w:rPr>
          <w:rFonts w:ascii="宋体" w:hAnsi="宋体" w:eastAsia="宋体" w:cs="宋体"/>
          <w:color w:val="auto"/>
          <w:kern w:val="1"/>
          <w:highlight w:val="none"/>
        </w:rPr>
      </w:pPr>
    </w:p>
    <w:p>
      <w:pPr>
        <w:rPr>
          <w:rFonts w:ascii="宋体" w:hAnsi="宋体" w:eastAsia="宋体" w:cs="宋体"/>
          <w:color w:val="auto"/>
          <w:kern w:val="1"/>
          <w:highlight w:val="none"/>
        </w:rPr>
      </w:pPr>
    </w:p>
    <w:p>
      <w:pPr>
        <w:rPr>
          <w:rFonts w:ascii="宋体" w:hAnsi="宋体" w:eastAsia="宋体" w:cs="宋体"/>
          <w:color w:val="auto"/>
          <w:kern w:val="1"/>
          <w:highlight w:val="none"/>
        </w:rPr>
      </w:pPr>
    </w:p>
    <w:p>
      <w:pPr>
        <w:rPr>
          <w:rFonts w:ascii="宋体" w:hAnsi="宋体" w:eastAsia="宋体" w:cs="宋体"/>
          <w:color w:val="auto"/>
          <w:kern w:val="1"/>
          <w:highlight w:val="none"/>
        </w:rPr>
      </w:pPr>
    </w:p>
    <w:p>
      <w:pPr>
        <w:rPr>
          <w:rFonts w:ascii="宋体" w:hAnsi="宋体" w:eastAsia="宋体" w:cs="宋体"/>
          <w:color w:val="auto"/>
          <w:kern w:val="1"/>
          <w:highlight w:val="none"/>
        </w:rPr>
      </w:pPr>
    </w:p>
    <w:p>
      <w:pPr>
        <w:rPr>
          <w:rFonts w:ascii="宋体" w:hAnsi="宋体" w:eastAsia="宋体" w:cs="宋体"/>
          <w:color w:val="auto"/>
          <w:kern w:val="1"/>
          <w:highlight w:val="none"/>
        </w:rPr>
      </w:pPr>
    </w:p>
    <w:p>
      <w:pPr>
        <w:rPr>
          <w:rFonts w:ascii="宋体" w:hAnsi="宋体" w:eastAsia="宋体" w:cs="宋体"/>
          <w:color w:val="auto"/>
          <w:kern w:val="1"/>
          <w:highlight w:val="none"/>
        </w:rPr>
      </w:pPr>
    </w:p>
    <w:p>
      <w:pPr>
        <w:pStyle w:val="12"/>
        <w:rPr>
          <w:rFonts w:hint="default"/>
          <w:color w:val="auto"/>
          <w:highlight w:val="none"/>
        </w:rPr>
      </w:pPr>
    </w:p>
    <w:p>
      <w:pPr>
        <w:pStyle w:val="12"/>
        <w:rPr>
          <w:rFonts w:hint="default"/>
          <w:color w:val="auto"/>
          <w:highlight w:val="none"/>
        </w:rPr>
      </w:pPr>
    </w:p>
    <w:p>
      <w:pPr>
        <w:pStyle w:val="12"/>
        <w:rPr>
          <w:rFonts w:hint="default"/>
          <w:color w:val="auto"/>
          <w:highlight w:val="none"/>
        </w:rPr>
      </w:pPr>
    </w:p>
    <w:p>
      <w:pPr>
        <w:pStyle w:val="12"/>
        <w:rPr>
          <w:rFonts w:hint="default"/>
          <w:color w:val="auto"/>
          <w:highlight w:val="none"/>
        </w:rPr>
      </w:pPr>
    </w:p>
    <w:p>
      <w:pPr>
        <w:pStyle w:val="12"/>
        <w:rPr>
          <w:rFonts w:hint="default"/>
          <w:color w:val="auto"/>
          <w:highlight w:val="none"/>
        </w:rPr>
      </w:pPr>
    </w:p>
    <w:p>
      <w:pPr>
        <w:pStyle w:val="12"/>
        <w:rPr>
          <w:rFonts w:hint="default"/>
          <w:color w:val="auto"/>
          <w:highlight w:val="none"/>
        </w:rPr>
      </w:pPr>
    </w:p>
    <w:p>
      <w:pPr>
        <w:pStyle w:val="12"/>
        <w:rPr>
          <w:rFonts w:hint="default"/>
          <w:color w:val="auto"/>
          <w:highlight w:val="none"/>
        </w:rPr>
      </w:pPr>
    </w:p>
    <w:p>
      <w:pPr>
        <w:pStyle w:val="12"/>
        <w:rPr>
          <w:rFonts w:hint="default"/>
          <w:color w:val="auto"/>
          <w:highlight w:val="none"/>
        </w:rPr>
      </w:pPr>
    </w:p>
    <w:p>
      <w:pPr>
        <w:pStyle w:val="12"/>
        <w:rPr>
          <w:rFonts w:hint="default"/>
          <w:color w:val="auto"/>
          <w:highlight w:val="none"/>
        </w:rPr>
      </w:pPr>
    </w:p>
    <w:p>
      <w:pPr>
        <w:pStyle w:val="12"/>
        <w:rPr>
          <w:rFonts w:hint="default"/>
          <w:color w:val="auto"/>
          <w:highlight w:val="none"/>
        </w:rPr>
      </w:pPr>
    </w:p>
    <w:p>
      <w:pPr>
        <w:pStyle w:val="12"/>
        <w:rPr>
          <w:rFonts w:hint="default"/>
          <w:color w:val="auto"/>
          <w:highlight w:val="none"/>
        </w:rPr>
      </w:pPr>
    </w:p>
    <w:p>
      <w:pPr>
        <w:pStyle w:val="12"/>
        <w:rPr>
          <w:rFonts w:hint="default"/>
          <w:color w:val="auto"/>
          <w:highlight w:val="none"/>
        </w:rPr>
      </w:pPr>
    </w:p>
    <w:p>
      <w:pPr>
        <w:pStyle w:val="12"/>
        <w:rPr>
          <w:rFonts w:hint="default"/>
          <w:color w:val="auto"/>
          <w:highlight w:val="none"/>
        </w:rPr>
      </w:pPr>
    </w:p>
    <w:p>
      <w:pPr>
        <w:pStyle w:val="2"/>
        <w:widowControl/>
        <w:jc w:val="center"/>
        <w:rPr>
          <w:rFonts w:ascii="宋体" w:hAnsi="宋体" w:cs="宋体"/>
          <w:color w:val="auto"/>
          <w:highlight w:val="none"/>
        </w:rPr>
      </w:pPr>
      <w:bookmarkStart w:id="408" w:name="_Toc16136"/>
      <w:bookmarkEnd w:id="408"/>
      <w:bookmarkStart w:id="409" w:name="_Toc5620362"/>
      <w:bookmarkStart w:id="410" w:name="_Toc13581"/>
      <w:bookmarkStart w:id="411" w:name="_Toc18390"/>
      <w:r>
        <w:rPr>
          <w:rFonts w:hint="eastAsia" w:ascii="宋体" w:hAnsi="宋体" w:cs="宋体"/>
          <w:color w:val="auto"/>
          <w:highlight w:val="none"/>
        </w:rPr>
        <w:t>第七章 投标文件格式</w:t>
      </w:r>
      <w:bookmarkEnd w:id="409"/>
      <w:bookmarkEnd w:id="410"/>
      <w:bookmarkEnd w:id="411"/>
    </w:p>
    <w:p>
      <w:pPr>
        <w:spacing w:line="400" w:lineRule="exact"/>
        <w:rPr>
          <w:rFonts w:ascii="宋体" w:hAnsi="宋体" w:eastAsia="宋体" w:cs="宋体"/>
          <w:color w:val="auto"/>
          <w:kern w:val="1"/>
          <w:highlight w:val="none"/>
        </w:rPr>
      </w:pPr>
    </w:p>
    <w:p>
      <w:pPr>
        <w:spacing w:line="400" w:lineRule="exact"/>
        <w:rPr>
          <w:rFonts w:ascii="宋体" w:hAnsi="宋体" w:eastAsia="宋体" w:cs="宋体"/>
          <w:color w:val="auto"/>
          <w:kern w:val="1"/>
          <w:highlight w:val="none"/>
        </w:rPr>
      </w:pPr>
    </w:p>
    <w:p>
      <w:pPr>
        <w:spacing w:line="400" w:lineRule="exact"/>
        <w:rPr>
          <w:rFonts w:ascii="宋体" w:hAnsi="宋体" w:eastAsia="宋体" w:cs="宋体"/>
          <w:color w:val="auto"/>
          <w:kern w:val="1"/>
          <w:highlight w:val="none"/>
        </w:rPr>
      </w:pPr>
    </w:p>
    <w:p>
      <w:pPr>
        <w:spacing w:line="400" w:lineRule="exact"/>
        <w:rPr>
          <w:rFonts w:ascii="宋体" w:hAnsi="宋体" w:eastAsia="宋体" w:cs="宋体"/>
          <w:color w:val="auto"/>
          <w:kern w:val="1"/>
          <w:highlight w:val="none"/>
        </w:rPr>
      </w:pPr>
    </w:p>
    <w:p>
      <w:pPr>
        <w:spacing w:line="400" w:lineRule="exact"/>
        <w:rPr>
          <w:rFonts w:ascii="宋体" w:hAnsi="宋体" w:eastAsia="宋体" w:cs="宋体"/>
          <w:color w:val="auto"/>
          <w:kern w:val="1"/>
          <w:highlight w:val="none"/>
        </w:rPr>
      </w:pPr>
    </w:p>
    <w:p>
      <w:pPr>
        <w:spacing w:line="400" w:lineRule="exact"/>
        <w:rPr>
          <w:rFonts w:ascii="宋体" w:hAnsi="宋体" w:eastAsia="宋体" w:cs="宋体"/>
          <w:color w:val="auto"/>
          <w:kern w:val="1"/>
          <w:highlight w:val="none"/>
        </w:rPr>
      </w:pPr>
    </w:p>
    <w:p>
      <w:pPr>
        <w:pStyle w:val="12"/>
        <w:rPr>
          <w:rFonts w:hint="default"/>
          <w:color w:val="auto"/>
          <w:highlight w:val="none"/>
        </w:rPr>
      </w:pPr>
    </w:p>
    <w:p>
      <w:pPr>
        <w:pStyle w:val="12"/>
        <w:rPr>
          <w:rFonts w:hint="default"/>
          <w:color w:val="auto"/>
          <w:highlight w:val="none"/>
        </w:rPr>
      </w:pPr>
    </w:p>
    <w:p>
      <w:pPr>
        <w:pStyle w:val="12"/>
        <w:rPr>
          <w:rFonts w:hint="default"/>
          <w:color w:val="auto"/>
          <w:highlight w:val="none"/>
        </w:rPr>
      </w:pPr>
    </w:p>
    <w:p>
      <w:pPr>
        <w:pStyle w:val="12"/>
        <w:rPr>
          <w:rFonts w:hint="default"/>
          <w:color w:val="auto"/>
          <w:highlight w:val="none"/>
        </w:rPr>
      </w:pPr>
    </w:p>
    <w:p>
      <w:pPr>
        <w:pStyle w:val="12"/>
        <w:rPr>
          <w:rFonts w:hint="default"/>
          <w:color w:val="auto"/>
          <w:highlight w:val="none"/>
        </w:rPr>
      </w:pPr>
    </w:p>
    <w:p>
      <w:pPr>
        <w:pStyle w:val="12"/>
        <w:rPr>
          <w:rFonts w:hint="default"/>
          <w:color w:val="auto"/>
          <w:highlight w:val="none"/>
        </w:rPr>
      </w:pPr>
    </w:p>
    <w:p>
      <w:pPr>
        <w:pStyle w:val="12"/>
        <w:rPr>
          <w:rFonts w:hint="default"/>
          <w:color w:val="auto"/>
          <w:highlight w:val="none"/>
        </w:rPr>
      </w:pPr>
    </w:p>
    <w:p>
      <w:pPr>
        <w:pStyle w:val="12"/>
        <w:rPr>
          <w:rFonts w:hint="default"/>
          <w:color w:val="auto"/>
          <w:highlight w:val="none"/>
        </w:rPr>
      </w:pPr>
    </w:p>
    <w:p>
      <w:pPr>
        <w:pStyle w:val="12"/>
        <w:rPr>
          <w:rFonts w:hint="default"/>
          <w:color w:val="auto"/>
          <w:highlight w:val="none"/>
        </w:rPr>
      </w:pPr>
    </w:p>
    <w:p>
      <w:pPr>
        <w:pStyle w:val="12"/>
        <w:rPr>
          <w:rFonts w:hint="default"/>
          <w:color w:val="auto"/>
          <w:highlight w:val="none"/>
        </w:rPr>
      </w:pPr>
    </w:p>
    <w:p>
      <w:pPr>
        <w:pStyle w:val="12"/>
        <w:rPr>
          <w:rFonts w:hint="default"/>
          <w:color w:val="auto"/>
          <w:highlight w:val="none"/>
        </w:rPr>
      </w:pPr>
    </w:p>
    <w:p>
      <w:pPr>
        <w:pStyle w:val="12"/>
        <w:rPr>
          <w:rFonts w:hint="default"/>
          <w:color w:val="auto"/>
          <w:highlight w:val="none"/>
        </w:rPr>
      </w:pPr>
    </w:p>
    <w:p>
      <w:pPr>
        <w:pStyle w:val="12"/>
        <w:rPr>
          <w:rFonts w:hint="default"/>
          <w:color w:val="auto"/>
          <w:highlight w:val="none"/>
        </w:rPr>
      </w:pPr>
    </w:p>
    <w:p>
      <w:pPr>
        <w:pStyle w:val="12"/>
        <w:rPr>
          <w:rFonts w:hint="default"/>
          <w:color w:val="auto"/>
          <w:highlight w:val="none"/>
        </w:rPr>
      </w:pPr>
    </w:p>
    <w:p>
      <w:pPr>
        <w:pStyle w:val="12"/>
        <w:rPr>
          <w:rFonts w:hint="default"/>
          <w:color w:val="auto"/>
          <w:highlight w:val="none"/>
        </w:rPr>
      </w:pPr>
    </w:p>
    <w:p>
      <w:pPr>
        <w:pStyle w:val="12"/>
        <w:rPr>
          <w:rFonts w:hint="default"/>
          <w:color w:val="auto"/>
          <w:highlight w:val="none"/>
        </w:rPr>
      </w:pPr>
    </w:p>
    <w:p>
      <w:pPr>
        <w:pStyle w:val="12"/>
        <w:rPr>
          <w:rFonts w:hint="default"/>
          <w:color w:val="auto"/>
          <w:highlight w:val="none"/>
        </w:rPr>
      </w:pPr>
    </w:p>
    <w:p>
      <w:pPr>
        <w:pStyle w:val="12"/>
        <w:rPr>
          <w:rFonts w:hint="default"/>
          <w:color w:val="auto"/>
          <w:highlight w:val="none"/>
        </w:rPr>
      </w:pPr>
    </w:p>
    <w:p>
      <w:pPr>
        <w:pStyle w:val="12"/>
        <w:rPr>
          <w:rFonts w:hint="default"/>
          <w:color w:val="auto"/>
          <w:highlight w:val="none"/>
        </w:rPr>
      </w:pPr>
    </w:p>
    <w:p>
      <w:pPr>
        <w:pStyle w:val="12"/>
        <w:rPr>
          <w:rFonts w:hint="default"/>
          <w:color w:val="auto"/>
          <w:highlight w:val="none"/>
        </w:rPr>
      </w:pPr>
    </w:p>
    <w:p>
      <w:pPr>
        <w:pStyle w:val="12"/>
        <w:rPr>
          <w:rFonts w:hint="default"/>
          <w:color w:val="auto"/>
          <w:highlight w:val="none"/>
        </w:rPr>
      </w:pPr>
    </w:p>
    <w:p>
      <w:pPr>
        <w:pStyle w:val="12"/>
        <w:rPr>
          <w:rFonts w:hint="default"/>
          <w:color w:val="auto"/>
          <w:highlight w:val="none"/>
        </w:rPr>
      </w:pPr>
    </w:p>
    <w:p>
      <w:pPr>
        <w:pStyle w:val="12"/>
        <w:rPr>
          <w:rFonts w:hint="default"/>
          <w:color w:val="auto"/>
          <w:highlight w:val="none"/>
        </w:rPr>
      </w:pPr>
    </w:p>
    <w:p>
      <w:pPr>
        <w:pStyle w:val="12"/>
        <w:rPr>
          <w:rFonts w:hint="default"/>
          <w:color w:val="auto"/>
          <w:highlight w:val="none"/>
        </w:rPr>
      </w:pPr>
    </w:p>
    <w:p>
      <w:pPr>
        <w:pStyle w:val="12"/>
        <w:rPr>
          <w:rFonts w:hint="default"/>
          <w:color w:val="auto"/>
          <w:highlight w:val="none"/>
        </w:rPr>
      </w:pPr>
    </w:p>
    <w:p>
      <w:pPr>
        <w:pStyle w:val="12"/>
        <w:rPr>
          <w:rFonts w:hint="default"/>
          <w:color w:val="auto"/>
          <w:highlight w:val="none"/>
        </w:rPr>
      </w:pPr>
    </w:p>
    <w:p>
      <w:pPr>
        <w:pStyle w:val="12"/>
        <w:rPr>
          <w:rFonts w:hint="default"/>
          <w:color w:val="auto"/>
          <w:highlight w:val="none"/>
        </w:rPr>
      </w:pPr>
    </w:p>
    <w:p>
      <w:pPr>
        <w:pStyle w:val="12"/>
        <w:rPr>
          <w:rFonts w:hint="default"/>
          <w:color w:val="auto"/>
          <w:highlight w:val="none"/>
        </w:rPr>
      </w:pPr>
    </w:p>
    <w:p>
      <w:pPr>
        <w:pStyle w:val="12"/>
        <w:rPr>
          <w:rFonts w:hint="default"/>
          <w:color w:val="auto"/>
          <w:highlight w:val="none"/>
        </w:rPr>
      </w:pPr>
    </w:p>
    <w:p>
      <w:pPr>
        <w:pStyle w:val="12"/>
        <w:rPr>
          <w:rFonts w:hint="default"/>
          <w:color w:val="auto"/>
          <w:highlight w:val="none"/>
        </w:rPr>
      </w:pPr>
    </w:p>
    <w:p>
      <w:pPr>
        <w:pStyle w:val="12"/>
        <w:rPr>
          <w:rFonts w:hint="default"/>
          <w:color w:val="auto"/>
          <w:highlight w:val="none"/>
        </w:rPr>
      </w:pPr>
    </w:p>
    <w:p>
      <w:pPr>
        <w:pStyle w:val="12"/>
        <w:rPr>
          <w:rFonts w:hint="default"/>
          <w:color w:val="auto"/>
          <w:highlight w:val="none"/>
        </w:rPr>
      </w:pPr>
    </w:p>
    <w:p>
      <w:pPr>
        <w:pStyle w:val="12"/>
        <w:rPr>
          <w:rFonts w:hint="default"/>
          <w:color w:val="auto"/>
          <w:highlight w:val="none"/>
        </w:rPr>
      </w:pPr>
    </w:p>
    <w:p>
      <w:pPr>
        <w:pStyle w:val="12"/>
        <w:rPr>
          <w:rFonts w:hint="default"/>
          <w:color w:val="auto"/>
          <w:highlight w:val="none"/>
        </w:rPr>
      </w:pPr>
    </w:p>
    <w:p>
      <w:pPr>
        <w:pStyle w:val="12"/>
        <w:rPr>
          <w:rFonts w:hint="default"/>
          <w:color w:val="auto"/>
          <w:highlight w:val="none"/>
        </w:rPr>
      </w:pPr>
    </w:p>
    <w:p>
      <w:pPr>
        <w:pStyle w:val="12"/>
        <w:rPr>
          <w:rFonts w:hint="default"/>
          <w:color w:val="auto"/>
          <w:highlight w:val="none"/>
        </w:rPr>
      </w:pPr>
    </w:p>
    <w:p>
      <w:pPr>
        <w:pStyle w:val="12"/>
        <w:rPr>
          <w:rFonts w:hint="default"/>
          <w:color w:val="auto"/>
          <w:highlight w:val="none"/>
        </w:rPr>
      </w:pPr>
    </w:p>
    <w:p>
      <w:pPr>
        <w:spacing w:line="360" w:lineRule="auto"/>
        <w:jc w:val="center"/>
        <w:rPr>
          <w:rFonts w:ascii="宋体" w:hAnsi="宋体" w:eastAsia="宋体" w:cs="宋体"/>
          <w:b/>
          <w:color w:val="auto"/>
          <w:kern w:val="1"/>
          <w:sz w:val="30"/>
          <w:szCs w:val="30"/>
          <w:highlight w:val="none"/>
        </w:rPr>
      </w:pPr>
    </w:p>
    <w:p>
      <w:pPr>
        <w:spacing w:line="360" w:lineRule="auto"/>
        <w:jc w:val="center"/>
        <w:rPr>
          <w:rFonts w:ascii="宋体" w:hAnsi="宋体" w:eastAsia="宋体" w:cs="宋体"/>
          <w:b/>
          <w:color w:val="auto"/>
          <w:kern w:val="1"/>
          <w:sz w:val="30"/>
          <w:szCs w:val="30"/>
          <w:highlight w:val="none"/>
        </w:rPr>
      </w:pPr>
    </w:p>
    <w:p>
      <w:pPr>
        <w:spacing w:line="360" w:lineRule="auto"/>
        <w:jc w:val="center"/>
        <w:rPr>
          <w:rFonts w:ascii="宋体" w:hAnsi="宋体" w:eastAsia="宋体" w:cs="宋体"/>
          <w:b/>
          <w:color w:val="auto"/>
          <w:kern w:val="1"/>
          <w:sz w:val="30"/>
          <w:szCs w:val="30"/>
          <w:highlight w:val="none"/>
        </w:rPr>
      </w:pPr>
    </w:p>
    <w:p>
      <w:pPr>
        <w:spacing w:line="360" w:lineRule="auto"/>
        <w:jc w:val="center"/>
        <w:rPr>
          <w:rFonts w:ascii="宋体" w:hAnsi="宋体" w:eastAsia="宋体" w:cs="宋体"/>
          <w:b/>
          <w:color w:val="auto"/>
          <w:kern w:val="1"/>
          <w:sz w:val="30"/>
          <w:szCs w:val="30"/>
          <w:highlight w:val="none"/>
        </w:rPr>
      </w:pPr>
    </w:p>
    <w:p>
      <w:pPr>
        <w:spacing w:line="360" w:lineRule="auto"/>
        <w:jc w:val="center"/>
        <w:rPr>
          <w:rFonts w:ascii="宋体" w:hAnsi="宋体" w:eastAsia="宋体" w:cs="宋体"/>
          <w:b/>
          <w:color w:val="auto"/>
          <w:kern w:val="1"/>
          <w:sz w:val="30"/>
          <w:szCs w:val="30"/>
          <w:highlight w:val="none"/>
        </w:rPr>
      </w:pPr>
    </w:p>
    <w:p>
      <w:pPr>
        <w:spacing w:line="360" w:lineRule="auto"/>
        <w:rPr>
          <w:rFonts w:ascii="宋体" w:hAnsi="宋体" w:eastAsia="宋体" w:cs="宋体"/>
          <w:b/>
          <w:color w:val="auto"/>
          <w:kern w:val="1"/>
          <w:sz w:val="30"/>
          <w:szCs w:val="30"/>
          <w:highlight w:val="none"/>
        </w:rPr>
      </w:pPr>
    </w:p>
    <w:p>
      <w:pPr>
        <w:spacing w:line="360" w:lineRule="auto"/>
        <w:jc w:val="center"/>
        <w:rPr>
          <w:rFonts w:ascii="宋体" w:hAnsi="宋体" w:eastAsia="宋体" w:cs="宋体"/>
          <w:b/>
          <w:color w:val="auto"/>
          <w:kern w:val="1"/>
          <w:sz w:val="30"/>
          <w:szCs w:val="30"/>
          <w:highlight w:val="none"/>
        </w:rPr>
      </w:pPr>
    </w:p>
    <w:p>
      <w:pPr>
        <w:spacing w:line="360" w:lineRule="auto"/>
        <w:jc w:val="center"/>
        <w:rPr>
          <w:rFonts w:ascii="宋体" w:hAnsi="宋体" w:eastAsia="宋体" w:cs="宋体"/>
          <w:b/>
          <w:color w:val="auto"/>
          <w:kern w:val="1"/>
          <w:sz w:val="36"/>
          <w:szCs w:val="36"/>
          <w:highlight w:val="none"/>
        </w:rPr>
      </w:pPr>
      <w:r>
        <w:rPr>
          <w:rFonts w:hint="eastAsia" w:ascii="宋体" w:hAnsi="宋体" w:eastAsia="宋体" w:cs="宋体"/>
          <w:b/>
          <w:color w:val="auto"/>
          <w:kern w:val="1"/>
          <w:sz w:val="36"/>
          <w:szCs w:val="36"/>
          <w:highlight w:val="none"/>
          <w:lang w:bidi="ar"/>
        </w:rPr>
        <w:t>第一部分  工程总承包实施方案技术投标文件格式</w:t>
      </w:r>
    </w:p>
    <w:p>
      <w:pPr>
        <w:spacing w:line="360" w:lineRule="auto"/>
        <w:jc w:val="center"/>
        <w:rPr>
          <w:rFonts w:ascii="宋体" w:hAnsi="宋体" w:eastAsia="宋体" w:cs="宋体"/>
          <w:b/>
          <w:color w:val="auto"/>
          <w:kern w:val="1"/>
          <w:sz w:val="30"/>
          <w:szCs w:val="30"/>
          <w:highlight w:val="none"/>
        </w:rPr>
      </w:pPr>
    </w:p>
    <w:p>
      <w:pPr>
        <w:spacing w:line="360" w:lineRule="auto"/>
        <w:jc w:val="center"/>
        <w:rPr>
          <w:rFonts w:ascii="宋体" w:hAnsi="宋体" w:eastAsia="宋体" w:cs="宋体"/>
          <w:b/>
          <w:color w:val="auto"/>
          <w:kern w:val="1"/>
          <w:sz w:val="30"/>
          <w:szCs w:val="30"/>
          <w:highlight w:val="none"/>
        </w:rPr>
      </w:pPr>
    </w:p>
    <w:p>
      <w:pPr>
        <w:spacing w:line="360" w:lineRule="auto"/>
        <w:rPr>
          <w:rFonts w:ascii="宋体" w:hAnsi="宋体" w:eastAsia="宋体" w:cs="宋体"/>
          <w:b/>
          <w:color w:val="auto"/>
          <w:kern w:val="1"/>
          <w:sz w:val="30"/>
          <w:szCs w:val="30"/>
          <w:highlight w:val="none"/>
          <w:lang w:bidi="ar"/>
        </w:rPr>
        <w:sectPr>
          <w:pgSz w:w="11905" w:h="16838"/>
          <w:pgMar w:top="1304" w:right="1304" w:bottom="1304" w:left="1361" w:header="851" w:footer="720" w:gutter="0"/>
          <w:cols w:space="425" w:num="1"/>
          <w:docGrid w:type="lines" w:linePitch="312" w:charSpace="0"/>
        </w:sectPr>
      </w:pPr>
    </w:p>
    <w:p>
      <w:pPr>
        <w:widowControl/>
        <w:adjustRightInd w:val="0"/>
        <w:snapToGrid w:val="0"/>
        <w:ind w:right="102"/>
        <w:jc w:val="center"/>
        <w:rPr>
          <w:rFonts w:ascii="宋体" w:hAnsi="宋体" w:eastAsia="宋体" w:cs="宋体"/>
          <w:b/>
          <w:bCs/>
          <w:color w:val="auto"/>
          <w:kern w:val="1"/>
          <w:sz w:val="44"/>
          <w:szCs w:val="44"/>
          <w:highlight w:val="none"/>
          <w:lang w:val="zh-CN"/>
        </w:rPr>
      </w:pPr>
      <w:r>
        <w:rPr>
          <w:rFonts w:hint="eastAsia" w:ascii="宋体" w:hAnsi="宋体" w:eastAsia="宋体" w:cs="宋体"/>
          <w:b/>
          <w:bCs/>
          <w:color w:val="auto"/>
          <w:kern w:val="1"/>
          <w:sz w:val="44"/>
          <w:szCs w:val="44"/>
          <w:highlight w:val="none"/>
          <w:lang w:val="zh-CN" w:bidi="ar"/>
        </w:rPr>
        <w:t>投标函</w:t>
      </w:r>
    </w:p>
    <w:p>
      <w:pPr>
        <w:widowControl/>
        <w:adjustRightInd w:val="0"/>
        <w:snapToGrid w:val="0"/>
        <w:spacing w:line="324" w:lineRule="auto"/>
        <w:ind w:right="102"/>
        <w:jc w:val="left"/>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val="zh-CN" w:bidi="ar"/>
        </w:rPr>
        <w:t>致:</w:t>
      </w:r>
      <w:r>
        <w:rPr>
          <w:rFonts w:hint="eastAsia" w:ascii="宋体" w:hAnsi="宋体" w:eastAsia="宋体" w:cs="宋体"/>
          <w:color w:val="auto"/>
          <w:kern w:val="1"/>
          <w:szCs w:val="21"/>
          <w:highlight w:val="none"/>
          <w:u w:val="single"/>
          <w:lang w:val="zh-CN" w:bidi="ar"/>
        </w:rPr>
        <w:t xml:space="preserve">         </w:t>
      </w:r>
    </w:p>
    <w:p>
      <w:pPr>
        <w:pStyle w:val="12"/>
        <w:rPr>
          <w:rFonts w:hint="default"/>
          <w:color w:val="auto"/>
          <w:highlight w:val="none"/>
        </w:rPr>
      </w:pPr>
      <w:r>
        <w:rPr>
          <w:color w:val="auto"/>
          <w:highlight w:val="none"/>
        </w:rPr>
        <w:t>我方确认收到贵方提供的</w:t>
      </w:r>
      <w:r>
        <w:rPr>
          <w:color w:val="auto"/>
          <w:highlight w:val="none"/>
          <w:u w:val="single"/>
        </w:rPr>
        <w:t xml:space="preserve">             </w:t>
      </w:r>
      <w:r>
        <w:rPr>
          <w:color w:val="auto"/>
          <w:highlight w:val="none"/>
        </w:rPr>
        <w:t>招标文件的全部内容，我方：</w:t>
      </w:r>
      <w:r>
        <w:rPr>
          <w:color w:val="auto"/>
          <w:highlight w:val="none"/>
          <w:u w:val="single"/>
        </w:rPr>
        <w:t xml:space="preserve">             （投标人名称，联合体投标的，按招标文件要求填写）</w:t>
      </w:r>
      <w:r>
        <w:rPr>
          <w:color w:val="auto"/>
          <w:highlight w:val="none"/>
        </w:rPr>
        <w:t>已理解招标文件的全部内容，我方作为投标人正式授权</w:t>
      </w:r>
      <w:r>
        <w:rPr>
          <w:color w:val="auto"/>
          <w:highlight w:val="none"/>
          <w:u w:val="single"/>
        </w:rPr>
        <w:t xml:space="preserve">        （授权代表全名, 职务</w:t>
      </w:r>
      <w:r>
        <w:rPr>
          <w:color w:val="auto"/>
          <w:highlight w:val="none"/>
        </w:rPr>
        <w:t>）代表我方进行有关本投标活动的一切事宜，考虑本企业自身的实力及特点，做出如下承诺：</w:t>
      </w:r>
    </w:p>
    <w:p>
      <w:pPr>
        <w:widowControl/>
        <w:adjustRightInd w:val="0"/>
        <w:snapToGrid w:val="0"/>
        <w:spacing w:line="324" w:lineRule="auto"/>
        <w:ind w:right="102" w:firstLine="420"/>
        <w:jc w:val="left"/>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val="zh-CN" w:bidi="ar"/>
        </w:rPr>
        <w:t>1、我方已详细研究了本项目招标文件的所有内容包括修正文（如果有）和所有已提供的参考资料以及合同条款和有关附件，并完全明白, 我方放弃在此方面提出含糊意见或误解的一切权力。</w:t>
      </w:r>
    </w:p>
    <w:p>
      <w:pPr>
        <w:widowControl/>
        <w:adjustRightInd w:val="0"/>
        <w:snapToGrid w:val="0"/>
        <w:spacing w:line="324" w:lineRule="auto"/>
        <w:ind w:right="102" w:firstLine="420"/>
        <w:jc w:val="left"/>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val="zh-CN" w:bidi="ar"/>
        </w:rPr>
        <w:t>2、我方承诺对我方提交的投标文件的真实性、可靠性和准确性负责，并承诺不存在侵权的行为，若因投标文件的真实性、可靠性、准确性以及侵权行为，造成的后果及法律责任，与招标代理机构和招标人无关，我方完全承担因此而造成的一切后果及法律责任。如我司成为本项目中标候选人，我司同意并授权招标人将我司投标文件商务部分的报价清单、人员、资信等资料进行公开。</w:t>
      </w:r>
    </w:p>
    <w:p>
      <w:pPr>
        <w:widowControl/>
        <w:adjustRightInd w:val="0"/>
        <w:snapToGrid w:val="0"/>
        <w:spacing w:line="324" w:lineRule="auto"/>
        <w:ind w:right="102" w:firstLine="420"/>
        <w:jc w:val="left"/>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val="zh-CN" w:bidi="ar"/>
        </w:rPr>
        <w:t>3、我方同意按照贵方可能提出的要求，提供与我方投标有关的任何其它数据或信息。</w:t>
      </w:r>
    </w:p>
    <w:p>
      <w:pPr>
        <w:widowControl/>
        <w:adjustRightInd w:val="0"/>
        <w:snapToGrid w:val="0"/>
        <w:spacing w:line="324" w:lineRule="auto"/>
        <w:ind w:right="102" w:firstLine="420"/>
        <w:jc w:val="left"/>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val="zh-CN" w:bidi="ar"/>
        </w:rPr>
        <w:t>4、本投标文件的有效期至投标截止日后</w:t>
      </w:r>
      <w:r>
        <w:rPr>
          <w:rFonts w:hint="eastAsia" w:ascii="宋体" w:hAnsi="宋体" w:eastAsia="宋体" w:cs="宋体"/>
          <w:color w:val="auto"/>
          <w:kern w:val="1"/>
          <w:szCs w:val="21"/>
          <w:highlight w:val="none"/>
          <w:u w:val="single"/>
          <w:lang w:val="zh-CN" w:bidi="ar"/>
        </w:rPr>
        <w:t>120</w:t>
      </w:r>
      <w:r>
        <w:rPr>
          <w:rFonts w:hint="eastAsia" w:ascii="宋体" w:hAnsi="宋体" w:eastAsia="宋体" w:cs="宋体"/>
          <w:color w:val="auto"/>
          <w:kern w:val="1"/>
          <w:szCs w:val="21"/>
          <w:highlight w:val="none"/>
          <w:lang w:val="zh-CN" w:bidi="ar"/>
        </w:rPr>
        <w:t>日历天有效，如中标，有效期将自动延至设计施工总承包合同终止日为止。</w:t>
      </w:r>
    </w:p>
    <w:p>
      <w:pPr>
        <w:widowControl/>
        <w:adjustRightInd w:val="0"/>
        <w:snapToGrid w:val="0"/>
        <w:spacing w:line="324" w:lineRule="auto"/>
        <w:ind w:right="102" w:firstLine="420"/>
        <w:jc w:val="left"/>
        <w:rPr>
          <w:rFonts w:ascii="宋体" w:hAnsi="宋体" w:eastAsia="宋体" w:cs="宋体"/>
          <w:color w:val="auto"/>
          <w:kern w:val="1"/>
          <w:szCs w:val="21"/>
          <w:highlight w:val="none"/>
          <w:lang w:val="zh-CN"/>
        </w:rPr>
      </w:pPr>
      <w:r>
        <w:rPr>
          <w:rFonts w:hint="eastAsia" w:ascii="宋体" w:hAnsi="宋体" w:eastAsia="宋体" w:cs="宋体"/>
          <w:color w:val="auto"/>
          <w:kern w:val="1"/>
          <w:szCs w:val="21"/>
          <w:highlight w:val="none"/>
          <w:lang w:val="zh-CN" w:bidi="ar"/>
        </w:rPr>
        <w:t>5、我方的</w:t>
      </w:r>
      <w:r>
        <w:rPr>
          <w:rFonts w:hint="eastAsia" w:ascii="宋体" w:hAnsi="宋体" w:eastAsia="宋体" w:cs="宋体"/>
          <w:b/>
          <w:color w:val="auto"/>
          <w:kern w:val="1"/>
          <w:szCs w:val="21"/>
          <w:highlight w:val="none"/>
          <w:lang w:bidi="ar"/>
        </w:rPr>
        <w:t>总报价为人民币</w:t>
      </w:r>
      <w:r>
        <w:rPr>
          <w:rFonts w:hint="eastAsia" w:ascii="宋体" w:hAnsi="宋体" w:eastAsia="宋体" w:cs="宋体"/>
          <w:b/>
          <w:color w:val="auto"/>
          <w:kern w:val="1"/>
          <w:szCs w:val="21"/>
          <w:highlight w:val="none"/>
          <w:u w:val="single"/>
          <w:lang w:bidi="ar"/>
        </w:rPr>
        <w:t xml:space="preserve">    </w:t>
      </w:r>
      <w:r>
        <w:rPr>
          <w:rFonts w:hint="eastAsia" w:ascii="宋体" w:hAnsi="宋体" w:eastAsia="宋体" w:cs="宋体"/>
          <w:b/>
          <w:color w:val="auto"/>
          <w:kern w:val="1"/>
          <w:szCs w:val="21"/>
          <w:highlight w:val="none"/>
          <w:lang w:bidi="ar"/>
        </w:rPr>
        <w:t>万元（大写：</w:t>
      </w:r>
      <w:r>
        <w:rPr>
          <w:rFonts w:hint="eastAsia" w:ascii="宋体" w:hAnsi="宋体" w:eastAsia="宋体" w:cs="宋体"/>
          <w:b/>
          <w:color w:val="auto"/>
          <w:kern w:val="1"/>
          <w:szCs w:val="21"/>
          <w:highlight w:val="none"/>
          <w:u w:val="single"/>
          <w:lang w:bidi="ar"/>
        </w:rPr>
        <w:t xml:space="preserve">       </w:t>
      </w:r>
      <w:r>
        <w:rPr>
          <w:rFonts w:hint="eastAsia" w:ascii="宋体" w:hAnsi="宋体" w:eastAsia="宋体" w:cs="宋体"/>
          <w:b/>
          <w:color w:val="auto"/>
          <w:kern w:val="1"/>
          <w:szCs w:val="21"/>
          <w:highlight w:val="none"/>
          <w:lang w:bidi="ar"/>
        </w:rPr>
        <w:t>）【其中：设计费报价为</w:t>
      </w:r>
      <w:r>
        <w:rPr>
          <w:rFonts w:hint="eastAsia" w:ascii="宋体" w:hAnsi="宋体" w:eastAsia="宋体" w:cs="宋体"/>
          <w:b/>
          <w:color w:val="auto"/>
          <w:kern w:val="1"/>
          <w:szCs w:val="21"/>
          <w:highlight w:val="none"/>
          <w:u w:val="single"/>
          <w:lang w:bidi="ar"/>
        </w:rPr>
        <w:t xml:space="preserve">    </w:t>
      </w:r>
      <w:r>
        <w:rPr>
          <w:rFonts w:hint="eastAsia" w:ascii="宋体" w:hAnsi="宋体" w:eastAsia="宋体" w:cs="宋体"/>
          <w:b/>
          <w:color w:val="auto"/>
          <w:kern w:val="1"/>
          <w:szCs w:val="21"/>
          <w:highlight w:val="none"/>
          <w:lang w:bidi="ar"/>
        </w:rPr>
        <w:t>万元，设计费下浮率为</w:t>
      </w:r>
      <w:r>
        <w:rPr>
          <w:rFonts w:hint="eastAsia" w:ascii="宋体" w:hAnsi="宋体" w:eastAsia="宋体" w:cs="宋体"/>
          <w:b/>
          <w:color w:val="auto"/>
          <w:kern w:val="1"/>
          <w:szCs w:val="21"/>
          <w:highlight w:val="none"/>
          <w:u w:val="single"/>
          <w:lang w:bidi="ar"/>
        </w:rPr>
        <w:t xml:space="preserve">    </w:t>
      </w:r>
      <w:r>
        <w:rPr>
          <w:rFonts w:hint="eastAsia" w:ascii="宋体" w:hAnsi="宋体" w:eastAsia="宋体" w:cs="宋体"/>
          <w:b/>
          <w:color w:val="auto"/>
          <w:kern w:val="1"/>
          <w:szCs w:val="21"/>
          <w:highlight w:val="none"/>
          <w:lang w:bidi="ar"/>
        </w:rPr>
        <w:t>%，</w:t>
      </w:r>
      <w:r>
        <w:rPr>
          <w:rFonts w:hint="eastAsia" w:ascii="宋体" w:hAnsi="宋体" w:eastAsia="宋体" w:cs="宋体"/>
          <w:b/>
          <w:bCs/>
          <w:color w:val="auto"/>
          <w:kern w:val="1"/>
          <w:szCs w:val="21"/>
          <w:highlight w:val="none"/>
          <w:lang w:bidi="ar"/>
        </w:rPr>
        <w:t>建安工程费</w:t>
      </w:r>
      <w:r>
        <w:rPr>
          <w:rFonts w:hint="eastAsia" w:ascii="宋体" w:hAnsi="宋体" w:eastAsia="宋体" w:cs="宋体"/>
          <w:b/>
          <w:color w:val="auto"/>
          <w:kern w:val="1"/>
          <w:szCs w:val="21"/>
          <w:highlight w:val="none"/>
          <w:lang w:bidi="ar"/>
        </w:rPr>
        <w:t>报价为</w:t>
      </w:r>
      <w:r>
        <w:rPr>
          <w:rFonts w:hint="eastAsia" w:ascii="宋体" w:hAnsi="宋体" w:eastAsia="宋体" w:cs="宋体"/>
          <w:b/>
          <w:color w:val="auto"/>
          <w:kern w:val="1"/>
          <w:szCs w:val="21"/>
          <w:highlight w:val="none"/>
          <w:u w:val="single"/>
          <w:lang w:bidi="ar"/>
        </w:rPr>
        <w:t xml:space="preserve">    </w:t>
      </w:r>
      <w:r>
        <w:rPr>
          <w:rFonts w:hint="eastAsia" w:ascii="宋体" w:hAnsi="宋体" w:eastAsia="宋体" w:cs="宋体"/>
          <w:b/>
          <w:color w:val="auto"/>
          <w:kern w:val="1"/>
          <w:szCs w:val="21"/>
          <w:highlight w:val="none"/>
          <w:lang w:bidi="ar"/>
        </w:rPr>
        <w:t>万元，</w:t>
      </w:r>
      <w:r>
        <w:rPr>
          <w:rFonts w:hint="eastAsia" w:ascii="宋体" w:hAnsi="宋体" w:eastAsia="宋体" w:cs="宋体"/>
          <w:b/>
          <w:bCs/>
          <w:color w:val="auto"/>
          <w:kern w:val="1"/>
          <w:szCs w:val="21"/>
          <w:highlight w:val="none"/>
          <w:lang w:bidi="ar"/>
        </w:rPr>
        <w:t>建安工程费</w:t>
      </w:r>
      <w:r>
        <w:rPr>
          <w:rFonts w:hint="eastAsia" w:ascii="宋体" w:hAnsi="宋体" w:eastAsia="宋体" w:cs="宋体"/>
          <w:b/>
          <w:color w:val="auto"/>
          <w:kern w:val="1"/>
          <w:szCs w:val="21"/>
          <w:highlight w:val="none"/>
          <w:lang w:bidi="ar"/>
        </w:rPr>
        <w:t>下浮率为</w:t>
      </w:r>
      <w:r>
        <w:rPr>
          <w:rFonts w:hint="eastAsia" w:ascii="宋体" w:hAnsi="宋体" w:eastAsia="宋体" w:cs="宋体"/>
          <w:b/>
          <w:color w:val="auto"/>
          <w:kern w:val="1"/>
          <w:szCs w:val="21"/>
          <w:highlight w:val="none"/>
          <w:u w:val="single"/>
          <w:lang w:bidi="ar"/>
        </w:rPr>
        <w:t xml:space="preserve">    </w:t>
      </w:r>
      <w:r>
        <w:rPr>
          <w:rFonts w:hint="eastAsia" w:ascii="宋体" w:hAnsi="宋体" w:eastAsia="宋体" w:cs="宋体"/>
          <w:b/>
          <w:color w:val="auto"/>
          <w:kern w:val="1"/>
          <w:szCs w:val="21"/>
          <w:highlight w:val="none"/>
          <w:lang w:bidi="ar"/>
        </w:rPr>
        <w:t>%】</w:t>
      </w:r>
      <w:r>
        <w:rPr>
          <w:rFonts w:hint="eastAsia" w:ascii="宋体" w:hAnsi="宋体" w:eastAsia="宋体" w:cs="宋体"/>
          <w:color w:val="auto"/>
          <w:kern w:val="1"/>
          <w:szCs w:val="21"/>
          <w:highlight w:val="none"/>
          <w:lang w:val="zh-CN" w:bidi="ar"/>
        </w:rPr>
        <w:t>。</w:t>
      </w:r>
      <w:r>
        <w:rPr>
          <w:rFonts w:hint="eastAsia" w:ascii="宋体" w:hAnsi="宋体" w:eastAsia="宋体" w:cs="宋体"/>
          <w:color w:val="auto"/>
          <w:kern w:val="1"/>
          <w:szCs w:val="21"/>
          <w:highlight w:val="none"/>
          <w:u w:val="single"/>
          <w:lang w:val="zh-CN" w:bidi="ar"/>
        </w:rPr>
        <w:t>我方承诺以上报价不低于我方成本价，</w:t>
      </w:r>
      <w:r>
        <w:rPr>
          <w:rFonts w:hint="eastAsia" w:ascii="宋体" w:hAnsi="宋体" w:eastAsia="宋体" w:cs="宋体"/>
          <w:color w:val="auto"/>
          <w:kern w:val="1"/>
          <w:szCs w:val="21"/>
          <w:highlight w:val="none"/>
          <w:lang w:val="zh-CN" w:bidi="ar"/>
        </w:rPr>
        <w:t>并且以包括完成本项目招标公告所述招标内容和服务范围所包含全部工作的费用。（注：</w:t>
      </w:r>
      <w:r>
        <w:rPr>
          <w:rFonts w:hint="eastAsia" w:ascii="宋体" w:hAnsi="宋体" w:eastAsia="宋体" w:cs="宋体"/>
          <w:b/>
          <w:bCs/>
          <w:color w:val="auto"/>
          <w:kern w:val="0"/>
          <w:szCs w:val="22"/>
          <w:highlight w:val="none"/>
          <w:lang w:bidi="ar"/>
        </w:rPr>
        <w:t>投标</w:t>
      </w:r>
      <w:r>
        <w:rPr>
          <w:rFonts w:hint="eastAsia" w:ascii="宋体" w:hAnsi="宋体" w:eastAsia="宋体" w:cs="宋体"/>
          <w:b/>
          <w:bCs/>
          <w:color w:val="auto"/>
          <w:kern w:val="0"/>
          <w:szCs w:val="22"/>
          <w:highlight w:val="none"/>
          <w:lang w:val="zh-CN" w:bidi="ar"/>
        </w:rPr>
        <w:t>报价以万元为单位，小数点后保留六位小数，第七位小数四舍五入；</w:t>
      </w:r>
      <w:r>
        <w:rPr>
          <w:rFonts w:hint="eastAsia" w:ascii="宋体" w:hAnsi="宋体" w:eastAsia="宋体" w:cs="宋体"/>
          <w:b/>
          <w:bCs/>
          <w:color w:val="auto"/>
          <w:kern w:val="0"/>
          <w:szCs w:val="22"/>
          <w:highlight w:val="none"/>
          <w:lang w:bidi="ar"/>
        </w:rPr>
        <w:t>投标下浮率小数点后保留二位小数，第三位小数四舍五入。</w:t>
      </w:r>
      <w:r>
        <w:rPr>
          <w:rFonts w:hint="eastAsia" w:ascii="宋体" w:hAnsi="宋体" w:eastAsia="宋体" w:cs="宋体"/>
          <w:color w:val="auto"/>
          <w:kern w:val="1"/>
          <w:szCs w:val="21"/>
          <w:highlight w:val="none"/>
          <w:lang w:val="zh-CN" w:bidi="ar"/>
        </w:rPr>
        <w:t>）</w:t>
      </w:r>
    </w:p>
    <w:p>
      <w:pPr>
        <w:widowControl/>
        <w:adjustRightInd w:val="0"/>
        <w:snapToGrid w:val="0"/>
        <w:spacing w:line="324" w:lineRule="auto"/>
        <w:ind w:right="102" w:firstLine="420"/>
        <w:jc w:val="left"/>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val="zh-CN" w:bidi="ar"/>
        </w:rPr>
        <w:t>6、我方如果中标，将按招标文件合同条款以及我方在投标文件中的承诺签订合同。</w:t>
      </w:r>
    </w:p>
    <w:p>
      <w:pPr>
        <w:widowControl/>
        <w:adjustRightInd w:val="0"/>
        <w:snapToGrid w:val="0"/>
        <w:spacing w:line="324" w:lineRule="auto"/>
        <w:ind w:right="102" w:firstLine="420"/>
        <w:jc w:val="left"/>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val="zh-CN" w:bidi="ar"/>
        </w:rPr>
        <w:t>7、我方完全接受招标人对本项目功能需求和相关建设标准的要求。如果中标，我方保证本工程的投资、工期、质量、安全等控制目标按照招标文件要求完成。</w:t>
      </w:r>
    </w:p>
    <w:p>
      <w:pPr>
        <w:widowControl/>
        <w:adjustRightInd w:val="0"/>
        <w:snapToGrid w:val="0"/>
        <w:spacing w:line="324" w:lineRule="auto"/>
        <w:ind w:right="102" w:firstLine="420"/>
        <w:jc w:val="left"/>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val="zh-CN" w:bidi="ar"/>
        </w:rPr>
        <w:t>8、我方拟委派</w:t>
      </w:r>
      <w:r>
        <w:rPr>
          <w:rFonts w:hint="eastAsia" w:ascii="宋体" w:hAnsi="宋体" w:eastAsia="宋体" w:cs="宋体"/>
          <w:color w:val="auto"/>
          <w:kern w:val="1"/>
          <w:szCs w:val="21"/>
          <w:highlight w:val="none"/>
          <w:u w:val="single"/>
          <w:lang w:val="zh-CN" w:bidi="ar"/>
        </w:rPr>
        <w:t xml:space="preserve">       </w:t>
      </w:r>
      <w:r>
        <w:rPr>
          <w:rFonts w:hint="eastAsia" w:ascii="宋体" w:hAnsi="宋体" w:eastAsia="宋体" w:cs="宋体"/>
          <w:color w:val="auto"/>
          <w:kern w:val="1"/>
          <w:szCs w:val="21"/>
          <w:highlight w:val="none"/>
          <w:lang w:val="zh-CN" w:bidi="ar"/>
        </w:rPr>
        <w:t>同志（身份证号码：</w:t>
      </w:r>
      <w:r>
        <w:rPr>
          <w:rFonts w:hint="eastAsia" w:ascii="宋体" w:hAnsi="宋体" w:eastAsia="宋体" w:cs="宋体"/>
          <w:color w:val="auto"/>
          <w:kern w:val="1"/>
          <w:szCs w:val="21"/>
          <w:highlight w:val="none"/>
          <w:u w:val="single"/>
          <w:lang w:val="zh-CN" w:bidi="ar"/>
        </w:rPr>
        <w:t xml:space="preserve">　　   </w:t>
      </w:r>
      <w:r>
        <w:rPr>
          <w:rFonts w:hint="eastAsia" w:ascii="宋体" w:hAnsi="宋体" w:eastAsia="宋体" w:cs="宋体"/>
          <w:color w:val="auto"/>
          <w:kern w:val="1"/>
          <w:szCs w:val="21"/>
          <w:highlight w:val="none"/>
          <w:lang w:val="zh-CN" w:bidi="ar"/>
        </w:rPr>
        <w:t>）为项目负责人、</w:t>
      </w:r>
      <w:r>
        <w:rPr>
          <w:rFonts w:hint="eastAsia" w:ascii="宋体" w:hAnsi="宋体" w:eastAsia="宋体" w:cs="宋体"/>
          <w:color w:val="auto"/>
          <w:kern w:val="1"/>
          <w:szCs w:val="21"/>
          <w:highlight w:val="none"/>
          <w:u w:val="single"/>
          <w:lang w:val="zh-CN" w:bidi="ar"/>
        </w:rPr>
        <w:t xml:space="preserve">       </w:t>
      </w:r>
      <w:r>
        <w:rPr>
          <w:rFonts w:hint="eastAsia" w:ascii="宋体" w:hAnsi="宋体" w:eastAsia="宋体" w:cs="宋体"/>
          <w:color w:val="auto"/>
          <w:kern w:val="1"/>
          <w:szCs w:val="21"/>
          <w:highlight w:val="none"/>
          <w:lang w:val="zh-CN" w:bidi="ar"/>
        </w:rPr>
        <w:t>同志（身份证号码：</w:t>
      </w:r>
      <w:r>
        <w:rPr>
          <w:rFonts w:hint="eastAsia" w:ascii="宋体" w:hAnsi="宋体" w:eastAsia="宋体" w:cs="宋体"/>
          <w:color w:val="auto"/>
          <w:kern w:val="1"/>
          <w:szCs w:val="21"/>
          <w:highlight w:val="none"/>
          <w:u w:val="single"/>
          <w:lang w:val="zh-CN" w:bidi="ar"/>
        </w:rPr>
        <w:t xml:space="preserve">　　   </w:t>
      </w:r>
      <w:r>
        <w:rPr>
          <w:rFonts w:hint="eastAsia" w:ascii="宋体" w:hAnsi="宋体" w:eastAsia="宋体" w:cs="宋体"/>
          <w:color w:val="auto"/>
          <w:kern w:val="1"/>
          <w:szCs w:val="21"/>
          <w:highlight w:val="none"/>
          <w:lang w:val="zh-CN" w:bidi="ar"/>
        </w:rPr>
        <w:t>）为设计负责人、</w:t>
      </w:r>
      <w:r>
        <w:rPr>
          <w:rFonts w:hint="eastAsia" w:ascii="宋体" w:hAnsi="宋体" w:eastAsia="宋体" w:cs="宋体"/>
          <w:color w:val="auto"/>
          <w:kern w:val="1"/>
          <w:szCs w:val="21"/>
          <w:highlight w:val="none"/>
          <w:u w:val="single"/>
          <w:lang w:val="zh-CN" w:bidi="ar"/>
        </w:rPr>
        <w:t xml:space="preserve">     </w:t>
      </w:r>
      <w:r>
        <w:rPr>
          <w:rFonts w:hint="eastAsia" w:ascii="宋体" w:hAnsi="宋体" w:eastAsia="宋体" w:cs="宋体"/>
          <w:color w:val="auto"/>
          <w:kern w:val="1"/>
          <w:szCs w:val="21"/>
          <w:highlight w:val="none"/>
          <w:lang w:val="zh-CN" w:bidi="ar"/>
        </w:rPr>
        <w:t>同志（身份证号码：</w:t>
      </w:r>
      <w:r>
        <w:rPr>
          <w:rFonts w:hint="eastAsia" w:ascii="宋体" w:hAnsi="宋体" w:eastAsia="宋体" w:cs="宋体"/>
          <w:color w:val="auto"/>
          <w:kern w:val="1"/>
          <w:szCs w:val="21"/>
          <w:highlight w:val="none"/>
          <w:u w:val="single"/>
          <w:lang w:val="zh-CN" w:bidi="ar"/>
        </w:rPr>
        <w:t xml:space="preserve">          </w:t>
      </w:r>
      <w:r>
        <w:rPr>
          <w:rFonts w:hint="eastAsia" w:ascii="宋体" w:hAnsi="宋体" w:eastAsia="宋体" w:cs="宋体"/>
          <w:color w:val="auto"/>
          <w:kern w:val="1"/>
          <w:szCs w:val="21"/>
          <w:highlight w:val="none"/>
          <w:lang w:val="zh-CN" w:bidi="ar"/>
        </w:rPr>
        <w:t>）为项目技术负责人，</w:t>
      </w:r>
      <w:r>
        <w:rPr>
          <w:rFonts w:hint="eastAsia" w:ascii="宋体" w:hAnsi="宋体" w:eastAsia="宋体" w:cs="宋体"/>
          <w:color w:val="auto"/>
          <w:kern w:val="1"/>
          <w:szCs w:val="21"/>
          <w:highlight w:val="none"/>
          <w:u w:val="single"/>
          <w:lang w:val="zh-CN" w:bidi="ar"/>
        </w:rPr>
        <w:t xml:space="preserve">     </w:t>
      </w:r>
      <w:r>
        <w:rPr>
          <w:rFonts w:hint="eastAsia" w:ascii="宋体" w:hAnsi="宋体" w:eastAsia="宋体" w:cs="宋体"/>
          <w:color w:val="auto"/>
          <w:kern w:val="1"/>
          <w:szCs w:val="21"/>
          <w:highlight w:val="none"/>
          <w:lang w:val="zh-CN" w:bidi="ar"/>
        </w:rPr>
        <w:t>同志（身份证号码：</w:t>
      </w:r>
      <w:r>
        <w:rPr>
          <w:rFonts w:hint="eastAsia" w:ascii="宋体" w:hAnsi="宋体" w:eastAsia="宋体" w:cs="宋体"/>
          <w:color w:val="auto"/>
          <w:kern w:val="1"/>
          <w:szCs w:val="21"/>
          <w:highlight w:val="none"/>
          <w:u w:val="single"/>
          <w:lang w:val="zh-CN" w:bidi="ar"/>
        </w:rPr>
        <w:t xml:space="preserve">          </w:t>
      </w:r>
      <w:r>
        <w:rPr>
          <w:rFonts w:hint="eastAsia" w:ascii="宋体" w:hAnsi="宋体" w:eastAsia="宋体" w:cs="宋体"/>
          <w:color w:val="auto"/>
          <w:kern w:val="1"/>
          <w:szCs w:val="21"/>
          <w:highlight w:val="none"/>
          <w:lang w:val="zh-CN" w:bidi="ar"/>
        </w:rPr>
        <w:t>）为</w:t>
      </w:r>
      <w:r>
        <w:rPr>
          <w:rFonts w:hint="eastAsia" w:ascii="宋体" w:hAnsi="宋体" w:eastAsia="宋体" w:cs="宋体"/>
          <w:color w:val="auto"/>
          <w:kern w:val="1"/>
          <w:szCs w:val="21"/>
          <w:highlight w:val="none"/>
          <w:lang w:bidi="ar"/>
        </w:rPr>
        <w:t>专职安全员</w:t>
      </w:r>
      <w:r>
        <w:rPr>
          <w:rFonts w:hint="eastAsia" w:ascii="宋体" w:hAnsi="宋体" w:eastAsia="宋体" w:cs="宋体"/>
          <w:color w:val="auto"/>
          <w:kern w:val="1"/>
          <w:szCs w:val="21"/>
          <w:highlight w:val="none"/>
          <w:lang w:val="zh-CN" w:bidi="ar"/>
        </w:rPr>
        <w:t>。我方承诺中标后上述人员及其他我方投标文件中提供的主要项目管理人员，未经招标人同意，不得更换。否则，我方愿意按招标文件合同条款中的有关规定给予违约赔偿。</w:t>
      </w:r>
    </w:p>
    <w:p>
      <w:pPr>
        <w:widowControl/>
        <w:adjustRightInd w:val="0"/>
        <w:snapToGrid w:val="0"/>
        <w:spacing w:line="324" w:lineRule="auto"/>
        <w:ind w:right="102" w:firstLine="420"/>
        <w:jc w:val="left"/>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val="zh-CN" w:bidi="ar"/>
        </w:rPr>
        <w:t>9、我方如果中标，承诺在中标通知书发出后20个日历天内按招标文件的规定向贵方提交银行履约保函，承诺在中标通知书发出后30个日历天内与贵方签署项目合同。</w:t>
      </w:r>
    </w:p>
    <w:p>
      <w:pPr>
        <w:widowControl/>
        <w:adjustRightInd w:val="0"/>
        <w:snapToGrid w:val="0"/>
        <w:spacing w:line="324" w:lineRule="auto"/>
        <w:ind w:right="102" w:firstLine="420"/>
        <w:jc w:val="left"/>
        <w:rPr>
          <w:rFonts w:ascii="宋体" w:hAnsi="宋体" w:eastAsia="宋体" w:cs="宋体"/>
          <w:color w:val="auto"/>
          <w:kern w:val="1"/>
          <w:szCs w:val="21"/>
          <w:highlight w:val="none"/>
          <w:lang w:val="zh-CN"/>
        </w:rPr>
      </w:pPr>
      <w:r>
        <w:rPr>
          <w:rFonts w:hint="eastAsia" w:ascii="宋体" w:hAnsi="宋体" w:eastAsia="宋体" w:cs="宋体"/>
          <w:color w:val="auto"/>
          <w:kern w:val="1"/>
          <w:szCs w:val="21"/>
          <w:highlight w:val="none"/>
          <w:lang w:val="zh-CN" w:bidi="ar"/>
        </w:rPr>
        <w:t>如我方违背上述承诺，我方愿意接受公开通报，放弃中标资格，承担由此带来的法律后果。</w:t>
      </w:r>
    </w:p>
    <w:p>
      <w:pPr>
        <w:widowControl/>
        <w:wordWrap w:val="0"/>
        <w:adjustRightInd w:val="0"/>
        <w:snapToGrid w:val="0"/>
        <w:spacing w:line="324" w:lineRule="auto"/>
        <w:ind w:right="102"/>
        <w:jc w:val="right"/>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val="zh-CN" w:bidi="ar"/>
        </w:rPr>
        <w:t>投标人（法人公章）：</w:t>
      </w:r>
      <w:r>
        <w:rPr>
          <w:rFonts w:hint="eastAsia" w:ascii="宋体" w:hAnsi="宋体" w:eastAsia="宋体" w:cs="宋体"/>
          <w:color w:val="auto"/>
          <w:kern w:val="1"/>
          <w:szCs w:val="21"/>
          <w:highlight w:val="none"/>
          <w:u w:val="single"/>
          <w:lang w:bidi="ar"/>
        </w:rPr>
        <w:t xml:space="preserve">                   </w:t>
      </w:r>
    </w:p>
    <w:p>
      <w:pPr>
        <w:widowControl/>
        <w:wordWrap w:val="0"/>
        <w:adjustRightInd w:val="0"/>
        <w:snapToGrid w:val="0"/>
        <w:spacing w:line="324" w:lineRule="auto"/>
        <w:ind w:right="102"/>
        <w:jc w:val="right"/>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val="zh-CN" w:bidi="ar"/>
        </w:rPr>
        <w:t>法定代表人或授权代表（签字或盖章）：</w:t>
      </w:r>
      <w:r>
        <w:rPr>
          <w:rFonts w:hint="eastAsia" w:ascii="宋体" w:hAnsi="宋体" w:eastAsia="宋体" w:cs="宋体"/>
          <w:color w:val="auto"/>
          <w:kern w:val="1"/>
          <w:szCs w:val="21"/>
          <w:highlight w:val="none"/>
          <w:u w:val="single"/>
          <w:lang w:bidi="ar"/>
        </w:rPr>
        <w:t xml:space="preserve">                   </w:t>
      </w:r>
    </w:p>
    <w:p>
      <w:pPr>
        <w:widowControl/>
        <w:wordWrap w:val="0"/>
        <w:adjustRightInd w:val="0"/>
        <w:snapToGrid w:val="0"/>
        <w:spacing w:line="324" w:lineRule="auto"/>
        <w:ind w:right="102"/>
        <w:jc w:val="right"/>
        <w:rPr>
          <w:rFonts w:ascii="宋体" w:hAnsi="宋体" w:eastAsia="宋体" w:cs="宋体"/>
          <w:color w:val="auto"/>
          <w:kern w:val="1"/>
          <w:szCs w:val="21"/>
          <w:highlight w:val="none"/>
          <w:u w:val="single"/>
        </w:rPr>
      </w:pPr>
      <w:r>
        <w:rPr>
          <w:rFonts w:hint="eastAsia" w:ascii="宋体" w:hAnsi="宋体" w:eastAsia="宋体" w:cs="宋体"/>
          <w:color w:val="auto"/>
          <w:kern w:val="1"/>
          <w:szCs w:val="21"/>
          <w:highlight w:val="none"/>
          <w:lang w:bidi="ar"/>
        </w:rPr>
        <w:t>项目负责人</w:t>
      </w:r>
      <w:r>
        <w:rPr>
          <w:rFonts w:hint="eastAsia" w:ascii="宋体" w:hAnsi="宋体" w:eastAsia="宋体" w:cs="宋体"/>
          <w:color w:val="auto"/>
          <w:kern w:val="1"/>
          <w:szCs w:val="21"/>
          <w:highlight w:val="none"/>
          <w:lang w:val="zh-CN" w:bidi="ar"/>
        </w:rPr>
        <w:t>（签字或盖章）</w:t>
      </w:r>
      <w:r>
        <w:rPr>
          <w:rFonts w:hint="eastAsia" w:ascii="宋体" w:hAnsi="宋体" w:eastAsia="宋体" w:cs="宋体"/>
          <w:color w:val="auto"/>
          <w:kern w:val="1"/>
          <w:szCs w:val="21"/>
          <w:highlight w:val="none"/>
          <w:lang w:bidi="ar"/>
        </w:rPr>
        <w:t>：</w:t>
      </w:r>
      <w:r>
        <w:rPr>
          <w:rFonts w:hint="eastAsia" w:ascii="宋体" w:hAnsi="宋体" w:eastAsia="宋体" w:cs="宋体"/>
          <w:color w:val="auto"/>
          <w:kern w:val="1"/>
          <w:szCs w:val="21"/>
          <w:highlight w:val="none"/>
          <w:u w:val="single"/>
          <w:lang w:bidi="ar"/>
        </w:rPr>
        <w:t xml:space="preserve">                   </w:t>
      </w:r>
    </w:p>
    <w:p>
      <w:pPr>
        <w:widowControl/>
        <w:wordWrap w:val="0"/>
        <w:adjustRightInd w:val="0"/>
        <w:snapToGrid w:val="0"/>
        <w:spacing w:line="324" w:lineRule="auto"/>
        <w:ind w:right="102"/>
        <w:jc w:val="right"/>
        <w:rPr>
          <w:rFonts w:ascii="宋体" w:hAnsi="宋体" w:eastAsia="宋体" w:cs="宋体"/>
          <w:color w:val="auto"/>
          <w:kern w:val="1"/>
          <w:szCs w:val="21"/>
          <w:highlight w:val="none"/>
          <w:u w:val="single"/>
        </w:rPr>
      </w:pPr>
      <w:r>
        <w:rPr>
          <w:rFonts w:hint="eastAsia" w:ascii="宋体" w:hAnsi="宋体" w:eastAsia="宋体" w:cs="宋体"/>
          <w:color w:val="auto"/>
          <w:kern w:val="1"/>
          <w:szCs w:val="21"/>
          <w:highlight w:val="none"/>
          <w:lang w:bidi="ar"/>
        </w:rPr>
        <w:t>设计负责人</w:t>
      </w:r>
      <w:r>
        <w:rPr>
          <w:rFonts w:hint="eastAsia" w:ascii="宋体" w:hAnsi="宋体" w:eastAsia="宋体" w:cs="宋体"/>
          <w:color w:val="auto"/>
          <w:kern w:val="1"/>
          <w:szCs w:val="21"/>
          <w:highlight w:val="none"/>
          <w:lang w:val="zh-CN" w:bidi="ar"/>
        </w:rPr>
        <w:t>（签字或盖章）</w:t>
      </w:r>
      <w:r>
        <w:rPr>
          <w:rFonts w:hint="eastAsia" w:ascii="宋体" w:hAnsi="宋体" w:eastAsia="宋体" w:cs="宋体"/>
          <w:color w:val="auto"/>
          <w:kern w:val="1"/>
          <w:szCs w:val="21"/>
          <w:highlight w:val="none"/>
          <w:lang w:bidi="ar"/>
        </w:rPr>
        <w:t>:</w:t>
      </w:r>
      <w:r>
        <w:rPr>
          <w:rFonts w:hint="eastAsia" w:ascii="宋体" w:hAnsi="宋体" w:eastAsia="宋体" w:cs="宋体"/>
          <w:color w:val="auto"/>
          <w:kern w:val="1"/>
          <w:szCs w:val="21"/>
          <w:highlight w:val="none"/>
          <w:u w:val="single"/>
          <w:lang w:bidi="ar"/>
        </w:rPr>
        <w:t xml:space="preserve">                    </w:t>
      </w:r>
    </w:p>
    <w:p>
      <w:pPr>
        <w:widowControl/>
        <w:wordWrap w:val="0"/>
        <w:adjustRightInd w:val="0"/>
        <w:snapToGrid w:val="0"/>
        <w:spacing w:line="324" w:lineRule="auto"/>
        <w:ind w:right="102"/>
        <w:jc w:val="right"/>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项目技术负责人</w:t>
      </w:r>
      <w:r>
        <w:rPr>
          <w:rFonts w:hint="eastAsia" w:ascii="宋体" w:hAnsi="宋体" w:eastAsia="宋体" w:cs="宋体"/>
          <w:color w:val="auto"/>
          <w:kern w:val="1"/>
          <w:szCs w:val="21"/>
          <w:highlight w:val="none"/>
          <w:lang w:val="zh-CN" w:bidi="ar"/>
        </w:rPr>
        <w:t>（签字或盖章）</w:t>
      </w:r>
      <w:r>
        <w:rPr>
          <w:rFonts w:hint="eastAsia" w:ascii="宋体" w:hAnsi="宋体" w:eastAsia="宋体" w:cs="宋体"/>
          <w:color w:val="auto"/>
          <w:kern w:val="1"/>
          <w:szCs w:val="21"/>
          <w:highlight w:val="none"/>
          <w:lang w:bidi="ar"/>
        </w:rPr>
        <w:t>：</w:t>
      </w:r>
      <w:r>
        <w:rPr>
          <w:rFonts w:hint="eastAsia" w:ascii="宋体" w:hAnsi="宋体" w:eastAsia="宋体" w:cs="宋体"/>
          <w:color w:val="auto"/>
          <w:kern w:val="1"/>
          <w:szCs w:val="21"/>
          <w:highlight w:val="none"/>
          <w:u w:val="single"/>
          <w:lang w:bidi="ar"/>
        </w:rPr>
        <w:t xml:space="preserve">                   </w:t>
      </w:r>
    </w:p>
    <w:p>
      <w:pPr>
        <w:widowControl/>
        <w:wordWrap w:val="0"/>
        <w:adjustRightInd w:val="0"/>
        <w:snapToGrid w:val="0"/>
        <w:spacing w:line="324" w:lineRule="auto"/>
        <w:ind w:right="102"/>
        <w:jc w:val="right"/>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val="zh-CN" w:bidi="ar"/>
        </w:rPr>
        <w:t>地址：</w:t>
      </w:r>
      <w:r>
        <w:rPr>
          <w:rFonts w:hint="eastAsia" w:ascii="宋体" w:hAnsi="宋体" w:eastAsia="宋体" w:cs="宋体"/>
          <w:color w:val="auto"/>
          <w:kern w:val="1"/>
          <w:szCs w:val="21"/>
          <w:highlight w:val="none"/>
          <w:u w:val="single"/>
          <w:lang w:bidi="ar"/>
        </w:rPr>
        <w:t xml:space="preserve">   </w:t>
      </w:r>
      <w:r>
        <w:rPr>
          <w:rFonts w:hint="eastAsia" w:ascii="宋体" w:hAnsi="宋体" w:eastAsia="宋体" w:cs="宋体"/>
          <w:color w:val="auto"/>
          <w:kern w:val="1"/>
          <w:szCs w:val="21"/>
          <w:highlight w:val="none"/>
          <w:lang w:val="zh-CN" w:bidi="ar"/>
        </w:rPr>
        <w:t>邮政编码：</w:t>
      </w:r>
      <w:r>
        <w:rPr>
          <w:rFonts w:hint="eastAsia" w:ascii="宋体" w:hAnsi="宋体" w:eastAsia="宋体" w:cs="宋体"/>
          <w:color w:val="auto"/>
          <w:kern w:val="1"/>
          <w:szCs w:val="21"/>
          <w:highlight w:val="none"/>
          <w:u w:val="single"/>
          <w:lang w:bidi="ar"/>
        </w:rPr>
        <w:t xml:space="preserve">                   </w:t>
      </w:r>
    </w:p>
    <w:p>
      <w:pPr>
        <w:widowControl/>
        <w:wordWrap w:val="0"/>
        <w:adjustRightInd w:val="0"/>
        <w:snapToGrid w:val="0"/>
        <w:spacing w:line="324" w:lineRule="auto"/>
        <w:ind w:right="102"/>
        <w:jc w:val="right"/>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val="zh-CN" w:bidi="ar"/>
        </w:rPr>
        <w:t>电话：</w:t>
      </w:r>
      <w:r>
        <w:rPr>
          <w:rFonts w:hint="eastAsia" w:ascii="宋体" w:hAnsi="宋体" w:eastAsia="宋体" w:cs="宋体"/>
          <w:color w:val="auto"/>
          <w:kern w:val="1"/>
          <w:szCs w:val="21"/>
          <w:highlight w:val="none"/>
          <w:u w:val="single"/>
          <w:lang w:bidi="ar"/>
        </w:rPr>
        <w:t xml:space="preserve">       </w:t>
      </w:r>
      <w:r>
        <w:rPr>
          <w:rFonts w:hint="eastAsia" w:ascii="宋体" w:hAnsi="宋体" w:eastAsia="宋体" w:cs="宋体"/>
          <w:color w:val="auto"/>
          <w:kern w:val="1"/>
          <w:szCs w:val="21"/>
          <w:highlight w:val="none"/>
          <w:lang w:val="zh-CN" w:bidi="ar"/>
        </w:rPr>
        <w:t>传真：</w:t>
      </w:r>
      <w:r>
        <w:rPr>
          <w:rFonts w:hint="eastAsia" w:ascii="宋体" w:hAnsi="宋体" w:eastAsia="宋体" w:cs="宋体"/>
          <w:color w:val="auto"/>
          <w:kern w:val="1"/>
          <w:szCs w:val="21"/>
          <w:highlight w:val="none"/>
          <w:u w:val="single"/>
          <w:lang w:bidi="ar"/>
        </w:rPr>
        <w:t xml:space="preserve">                   </w:t>
      </w:r>
    </w:p>
    <w:p>
      <w:pPr>
        <w:adjustRightInd w:val="0"/>
        <w:snapToGrid w:val="0"/>
        <w:spacing w:line="324" w:lineRule="auto"/>
        <w:ind w:firstLine="5145"/>
        <w:jc w:val="left"/>
        <w:rPr>
          <w:rFonts w:ascii="宋体" w:hAnsi="宋体" w:eastAsia="宋体" w:cs="宋体"/>
          <w:b/>
          <w:color w:val="auto"/>
          <w:kern w:val="1"/>
          <w:sz w:val="24"/>
          <w:szCs w:val="22"/>
          <w:highlight w:val="none"/>
        </w:rPr>
      </w:pPr>
      <w:r>
        <w:rPr>
          <w:rFonts w:hint="eastAsia" w:ascii="宋体" w:hAnsi="宋体" w:eastAsia="宋体" w:cs="宋体"/>
          <w:color w:val="auto"/>
          <w:kern w:val="1"/>
          <w:szCs w:val="21"/>
          <w:highlight w:val="none"/>
          <w:lang w:val="zh-CN" w:bidi="ar"/>
        </w:rPr>
        <w:t>日期：_______年_______月______日</w:t>
      </w:r>
    </w:p>
    <w:p>
      <w:pPr>
        <w:spacing w:line="360" w:lineRule="auto"/>
        <w:rPr>
          <w:rFonts w:ascii="宋体" w:hAnsi="宋体" w:eastAsia="宋体" w:cs="宋体"/>
          <w:b/>
          <w:color w:val="auto"/>
          <w:kern w:val="1"/>
          <w:sz w:val="24"/>
          <w:szCs w:val="22"/>
          <w:highlight w:val="none"/>
        </w:rPr>
      </w:pPr>
      <w:r>
        <w:rPr>
          <w:rFonts w:hint="eastAsia" w:ascii="宋体" w:hAnsi="宋体" w:eastAsia="宋体" w:cs="宋体"/>
          <w:b/>
          <w:color w:val="auto"/>
          <w:kern w:val="1"/>
          <w:sz w:val="24"/>
          <w:szCs w:val="22"/>
          <w:highlight w:val="none"/>
          <w:lang w:bidi="ar"/>
        </w:rPr>
        <w:t>格式1：</w:t>
      </w:r>
    </w:p>
    <w:p>
      <w:pPr>
        <w:spacing w:line="360" w:lineRule="auto"/>
        <w:jc w:val="center"/>
        <w:rPr>
          <w:rFonts w:ascii="宋体" w:hAnsi="宋体" w:eastAsia="宋体" w:cs="宋体"/>
          <w:b/>
          <w:color w:val="auto"/>
          <w:kern w:val="1"/>
          <w:sz w:val="28"/>
          <w:szCs w:val="28"/>
          <w:highlight w:val="none"/>
          <w:lang w:val="zh-CN"/>
        </w:rPr>
      </w:pPr>
      <w:r>
        <w:rPr>
          <w:rFonts w:hint="eastAsia" w:ascii="宋体" w:hAnsi="宋体" w:eastAsia="宋体" w:cs="宋体"/>
          <w:b/>
          <w:color w:val="auto"/>
          <w:kern w:val="1"/>
          <w:sz w:val="28"/>
          <w:szCs w:val="28"/>
          <w:highlight w:val="none"/>
          <w:lang w:val="zh-CN" w:bidi="ar"/>
        </w:rPr>
        <w:t>设计投标书</w:t>
      </w:r>
    </w:p>
    <w:p>
      <w:pPr>
        <w:spacing w:line="360" w:lineRule="auto"/>
        <w:jc w:val="left"/>
        <w:rPr>
          <w:rFonts w:ascii="宋体" w:hAnsi="宋体" w:eastAsia="宋体" w:cs="宋体"/>
          <w:color w:val="auto"/>
          <w:kern w:val="1"/>
          <w:szCs w:val="20"/>
          <w:highlight w:val="none"/>
        </w:rPr>
      </w:pPr>
      <w:r>
        <w:rPr>
          <w:rFonts w:hint="eastAsia" w:ascii="宋体" w:hAnsi="宋体" w:eastAsia="宋体" w:cs="宋体"/>
          <w:color w:val="auto"/>
          <w:kern w:val="1"/>
          <w:szCs w:val="20"/>
          <w:highlight w:val="none"/>
          <w:lang w:bidi="ar"/>
        </w:rPr>
        <w:t>项目名称：</w:t>
      </w:r>
      <w:r>
        <w:rPr>
          <w:rFonts w:hint="eastAsia" w:ascii="宋体" w:hAnsi="宋体" w:eastAsia="宋体" w:cs="宋体"/>
          <w:color w:val="auto"/>
          <w:kern w:val="1"/>
          <w:szCs w:val="20"/>
          <w:highlight w:val="none"/>
          <w:u w:val="single"/>
          <w:lang w:bidi="ar"/>
        </w:rPr>
        <w:t xml:space="preserve">                                           </w:t>
      </w:r>
      <w:r>
        <w:rPr>
          <w:rFonts w:hint="eastAsia" w:ascii="宋体" w:hAnsi="宋体" w:eastAsia="宋体" w:cs="宋体"/>
          <w:color w:val="auto"/>
          <w:kern w:val="1"/>
          <w:szCs w:val="20"/>
          <w:highlight w:val="none"/>
          <w:lang w:bidi="ar"/>
        </w:rPr>
        <w:t>。</w:t>
      </w:r>
    </w:p>
    <w:p>
      <w:pPr>
        <w:pStyle w:val="12"/>
        <w:rPr>
          <w:rFonts w:hint="default"/>
          <w:color w:val="auto"/>
          <w:highlight w:val="none"/>
        </w:rPr>
      </w:pPr>
    </w:p>
    <w:p>
      <w:pPr>
        <w:pStyle w:val="12"/>
        <w:rPr>
          <w:rFonts w:hint="default"/>
          <w:color w:val="auto"/>
          <w:highlight w:val="none"/>
        </w:rPr>
      </w:pPr>
      <w:r>
        <w:rPr>
          <w:color w:val="auto"/>
          <w:highlight w:val="none"/>
        </w:rPr>
        <w:t>致：</w:t>
      </w:r>
      <w:r>
        <w:rPr>
          <w:rFonts w:cs="宋体"/>
          <w:color w:val="auto"/>
          <w:sz w:val="21"/>
          <w:szCs w:val="21"/>
          <w:highlight w:val="none"/>
          <w:u w:val="single"/>
        </w:rPr>
        <w:t xml:space="preserve">                                    </w:t>
      </w:r>
      <w:r>
        <w:rPr>
          <w:color w:val="auto"/>
          <w:highlight w:val="none"/>
        </w:rPr>
        <w:t>（招标人名称）</w:t>
      </w:r>
    </w:p>
    <w:p>
      <w:pPr>
        <w:spacing w:line="360" w:lineRule="auto"/>
        <w:jc w:val="left"/>
        <w:rPr>
          <w:rFonts w:ascii="宋体" w:hAnsi="宋体" w:eastAsia="宋体" w:cs="宋体"/>
          <w:color w:val="auto"/>
          <w:kern w:val="1"/>
          <w:szCs w:val="20"/>
          <w:highlight w:val="none"/>
        </w:rPr>
      </w:pPr>
    </w:p>
    <w:p>
      <w:pPr>
        <w:pStyle w:val="12"/>
        <w:spacing w:line="360" w:lineRule="auto"/>
        <w:ind w:firstLine="400" w:firstLineChars="200"/>
        <w:rPr>
          <w:rFonts w:hint="default"/>
          <w:color w:val="auto"/>
          <w:highlight w:val="none"/>
        </w:rPr>
      </w:pPr>
      <w:r>
        <w:rPr>
          <w:color w:val="auto"/>
          <w:highlight w:val="none"/>
        </w:rPr>
        <w:t>我方（投标人的简称）已收到并研究了上述项目的招标文件、合同条件、技术文件等文件。我方已检查和核对了这些文件，未发现他们有错误或其他缺陷。据此，我方愿按这些文件的规定，按照本投标书，包括一并提交的所有文件材料和所附建议书，承担上述项目并修补其中任何缺陷。</w:t>
      </w:r>
    </w:p>
    <w:p>
      <w:pPr>
        <w:pStyle w:val="12"/>
        <w:spacing w:line="360" w:lineRule="auto"/>
        <w:ind w:firstLine="400" w:firstLineChars="200"/>
        <w:rPr>
          <w:rFonts w:hint="default"/>
          <w:color w:val="auto"/>
          <w:highlight w:val="none"/>
        </w:rPr>
      </w:pPr>
      <w:r>
        <w:rPr>
          <w:color w:val="auto"/>
          <w:highlight w:val="none"/>
        </w:rPr>
        <w:t>我方遵守本投标书直至投标有效期满，在该日期前，本投标书对我方一直具有约束力，随时可接受中标。我方承认所附设计文件资料为本投标书的一部分。如果我方投标书含有不符合招标文件规定的内容，我方同意按招标文件规定予以修正。我方接受你方关于任命争端裁决委员会的建议。</w:t>
      </w:r>
    </w:p>
    <w:p>
      <w:pPr>
        <w:pStyle w:val="12"/>
        <w:spacing w:line="360" w:lineRule="auto"/>
        <w:ind w:firstLine="400" w:firstLineChars="200"/>
        <w:rPr>
          <w:rFonts w:hint="default"/>
          <w:color w:val="auto"/>
          <w:highlight w:val="none"/>
        </w:rPr>
      </w:pPr>
      <w:r>
        <w:rPr>
          <w:color w:val="auto"/>
          <w:highlight w:val="none"/>
        </w:rPr>
        <w:t>我方认同招标文件规定的评审规则，遵守评标委员会的裁决结果，并且不会采取妨碍项目进展的行为。</w:t>
      </w:r>
    </w:p>
    <w:p>
      <w:pPr>
        <w:pStyle w:val="12"/>
        <w:spacing w:line="360" w:lineRule="auto"/>
        <w:ind w:firstLine="400" w:firstLineChars="200"/>
        <w:rPr>
          <w:rFonts w:hint="default"/>
          <w:color w:val="auto"/>
          <w:highlight w:val="none"/>
        </w:rPr>
      </w:pPr>
      <w:r>
        <w:rPr>
          <w:color w:val="auto"/>
          <w:highlight w:val="none"/>
        </w:rPr>
        <w:t>除非制订正式合同协议书并生效，本投标书以及你方中标通知书，应构成你我双方间具有约束力的合同。</w:t>
      </w:r>
    </w:p>
    <w:p>
      <w:pPr>
        <w:spacing w:line="360" w:lineRule="auto"/>
        <w:ind w:firstLine="480"/>
        <w:rPr>
          <w:rFonts w:ascii="宋体" w:hAnsi="宋体" w:eastAsia="宋体" w:cs="宋体"/>
          <w:color w:val="auto"/>
          <w:kern w:val="1"/>
          <w:szCs w:val="20"/>
          <w:highlight w:val="none"/>
        </w:rPr>
      </w:pPr>
      <w:r>
        <w:rPr>
          <w:rFonts w:hint="eastAsia" w:ascii="宋体" w:hAnsi="宋体" w:eastAsia="宋体" w:cs="宋体"/>
          <w:color w:val="auto"/>
          <w:kern w:val="1"/>
          <w:szCs w:val="20"/>
          <w:highlight w:val="none"/>
          <w:lang w:bidi="ar"/>
        </w:rPr>
        <w:t>本投标书同时作为法人证明书或法人授权委托书。</w:t>
      </w:r>
    </w:p>
    <w:p>
      <w:pPr>
        <w:spacing w:line="360" w:lineRule="auto"/>
        <w:rPr>
          <w:rFonts w:ascii="宋体" w:hAnsi="宋体" w:eastAsia="宋体" w:cs="宋体"/>
          <w:color w:val="auto"/>
          <w:kern w:val="1"/>
          <w:szCs w:val="21"/>
          <w:highlight w:val="none"/>
        </w:rPr>
      </w:pPr>
    </w:p>
    <w:p>
      <w:pPr>
        <w:spacing w:line="360" w:lineRule="auto"/>
        <w:ind w:firstLine="3840"/>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投标人：</w:t>
      </w:r>
      <w:r>
        <w:rPr>
          <w:rFonts w:hint="eastAsia" w:ascii="宋体" w:hAnsi="宋体" w:eastAsia="宋体" w:cs="宋体"/>
          <w:color w:val="auto"/>
          <w:kern w:val="1"/>
          <w:szCs w:val="21"/>
          <w:highlight w:val="none"/>
          <w:u w:val="single"/>
          <w:lang w:bidi="ar"/>
        </w:rPr>
        <w:t xml:space="preserve">  </w:t>
      </w:r>
      <w:r>
        <w:rPr>
          <w:rFonts w:ascii="宋体" w:hAnsi="宋体" w:eastAsia="宋体" w:cs="宋体"/>
          <w:color w:val="auto"/>
          <w:kern w:val="1"/>
          <w:szCs w:val="21"/>
          <w:highlight w:val="none"/>
          <w:u w:val="single"/>
          <w:lang w:bidi="ar"/>
        </w:rPr>
        <w:t xml:space="preserve">                 </w:t>
      </w:r>
      <w:r>
        <w:rPr>
          <w:rFonts w:hint="eastAsia" w:ascii="宋体" w:hAnsi="宋体" w:eastAsia="宋体" w:cs="宋体"/>
          <w:color w:val="auto"/>
          <w:kern w:val="1"/>
          <w:szCs w:val="21"/>
          <w:highlight w:val="none"/>
          <w:u w:val="single"/>
          <w:lang w:bidi="ar"/>
        </w:rPr>
        <w:t xml:space="preserve">  </w:t>
      </w:r>
      <w:r>
        <w:rPr>
          <w:rFonts w:hint="eastAsia" w:ascii="宋体" w:hAnsi="宋体" w:eastAsia="宋体" w:cs="宋体"/>
          <w:color w:val="auto"/>
          <w:kern w:val="1"/>
          <w:szCs w:val="21"/>
          <w:highlight w:val="none"/>
          <w:lang w:bidi="ar"/>
        </w:rPr>
        <w:t xml:space="preserve"> （盖章）</w:t>
      </w:r>
    </w:p>
    <w:p>
      <w:pPr>
        <w:spacing w:line="360" w:lineRule="auto"/>
        <w:ind w:firstLine="3840"/>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法定代表人或其授权代理人(签名或盖章)：</w:t>
      </w:r>
      <w:r>
        <w:rPr>
          <w:rFonts w:hint="eastAsia" w:ascii="宋体" w:hAnsi="宋体" w:eastAsia="宋体" w:cs="宋体"/>
          <w:color w:val="auto"/>
          <w:kern w:val="1"/>
          <w:szCs w:val="21"/>
          <w:highlight w:val="none"/>
          <w:u w:val="single"/>
          <w:lang w:bidi="ar"/>
        </w:rPr>
        <w:t xml:space="preserve">     </w:t>
      </w:r>
    </w:p>
    <w:p>
      <w:pPr>
        <w:spacing w:line="360" w:lineRule="auto"/>
        <w:ind w:firstLine="3840"/>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日期：    年    月    日</w:t>
      </w:r>
    </w:p>
    <w:p>
      <w:pPr>
        <w:spacing w:line="360" w:lineRule="auto"/>
        <w:rPr>
          <w:rFonts w:ascii="宋体" w:hAnsi="宋体" w:eastAsia="宋体" w:cs="宋体"/>
          <w:b/>
          <w:color w:val="auto"/>
          <w:kern w:val="1"/>
          <w:sz w:val="24"/>
          <w:szCs w:val="22"/>
          <w:highlight w:val="none"/>
          <w:lang w:val="zh-CN"/>
        </w:rPr>
      </w:pPr>
      <w:r>
        <w:rPr>
          <w:rFonts w:hint="eastAsia" w:ascii="宋体" w:hAnsi="宋体" w:eastAsia="宋体" w:cs="宋体"/>
          <w:b/>
          <w:color w:val="auto"/>
          <w:kern w:val="1"/>
          <w:sz w:val="24"/>
          <w:szCs w:val="20"/>
          <w:highlight w:val="none"/>
          <w:lang w:val="zh-CN" w:bidi="ar"/>
        </w:rPr>
        <w:br w:type="page"/>
      </w:r>
      <w:r>
        <w:rPr>
          <w:rFonts w:hint="eastAsia" w:ascii="宋体" w:hAnsi="宋体" w:eastAsia="宋体" w:cs="宋体"/>
          <w:b/>
          <w:color w:val="auto"/>
          <w:kern w:val="1"/>
          <w:sz w:val="24"/>
          <w:szCs w:val="22"/>
          <w:highlight w:val="none"/>
          <w:lang w:val="zh-CN" w:bidi="ar"/>
        </w:rPr>
        <w:t>格式2：</w:t>
      </w:r>
    </w:p>
    <w:p>
      <w:pPr>
        <w:spacing w:line="360" w:lineRule="auto"/>
        <w:jc w:val="center"/>
        <w:rPr>
          <w:rFonts w:ascii="宋体" w:hAnsi="宋体" w:eastAsia="宋体" w:cs="宋体"/>
          <w:b/>
          <w:color w:val="auto"/>
          <w:kern w:val="1"/>
          <w:sz w:val="28"/>
          <w:szCs w:val="28"/>
          <w:highlight w:val="none"/>
          <w:lang w:val="zh-CN"/>
        </w:rPr>
      </w:pPr>
      <w:bookmarkStart w:id="412" w:name="_Hlk61429714"/>
      <w:r>
        <w:rPr>
          <w:rFonts w:hint="eastAsia" w:ascii="宋体" w:hAnsi="宋体" w:eastAsia="宋体" w:cs="宋体"/>
          <w:b/>
          <w:color w:val="auto"/>
          <w:kern w:val="1"/>
          <w:sz w:val="28"/>
          <w:szCs w:val="28"/>
          <w:highlight w:val="none"/>
          <w:lang w:val="zh-CN" w:bidi="ar"/>
        </w:rPr>
        <w:t>技术</w:t>
      </w:r>
      <w:bookmarkEnd w:id="412"/>
      <w:r>
        <w:rPr>
          <w:rFonts w:hint="eastAsia" w:ascii="宋体" w:hAnsi="宋体" w:eastAsia="宋体" w:cs="宋体"/>
          <w:b/>
          <w:color w:val="auto"/>
          <w:kern w:val="1"/>
          <w:sz w:val="28"/>
          <w:szCs w:val="28"/>
          <w:highlight w:val="none"/>
          <w:lang w:val="zh-CN" w:bidi="ar"/>
        </w:rPr>
        <w:t>投标书</w:t>
      </w:r>
    </w:p>
    <w:p>
      <w:pPr>
        <w:spacing w:line="360" w:lineRule="auto"/>
        <w:jc w:val="center"/>
        <w:rPr>
          <w:rFonts w:ascii="宋体" w:hAnsi="宋体" w:eastAsia="宋体" w:cs="宋体"/>
          <w:b/>
          <w:color w:val="auto"/>
          <w:kern w:val="1"/>
          <w:sz w:val="32"/>
          <w:szCs w:val="32"/>
          <w:highlight w:val="none"/>
          <w:lang w:val="zh-CN"/>
        </w:rPr>
      </w:pPr>
    </w:p>
    <w:p>
      <w:pPr>
        <w:spacing w:line="360" w:lineRule="auto"/>
        <w:jc w:val="right"/>
        <w:rPr>
          <w:rFonts w:ascii="宋体" w:hAnsi="宋体" w:eastAsia="宋体" w:cs="宋体"/>
          <w:b/>
          <w:color w:val="auto"/>
          <w:kern w:val="1"/>
          <w:sz w:val="32"/>
          <w:szCs w:val="32"/>
          <w:highlight w:val="none"/>
          <w:lang w:val="zh-CN"/>
        </w:rPr>
      </w:pPr>
      <w:r>
        <w:rPr>
          <w:rFonts w:hint="eastAsia" w:ascii="宋体" w:hAnsi="宋体" w:eastAsia="宋体" w:cs="宋体"/>
          <w:b/>
          <w:color w:val="auto"/>
          <w:kern w:val="1"/>
          <w:sz w:val="24"/>
          <w:szCs w:val="22"/>
          <w:highlight w:val="none"/>
          <w:lang w:val="zh-CN" w:bidi="ar"/>
        </w:rPr>
        <w:t>投标日期：   年  月  日</w:t>
      </w:r>
    </w:p>
    <w:tbl>
      <w:tblPr>
        <w:tblStyle w:val="26"/>
        <w:tblW w:w="0" w:type="auto"/>
        <w:tblInd w:w="0" w:type="dxa"/>
        <w:tblLayout w:type="fixed"/>
        <w:tblCellMar>
          <w:top w:w="0" w:type="dxa"/>
          <w:left w:w="108" w:type="dxa"/>
          <w:bottom w:w="0" w:type="dxa"/>
          <w:right w:w="108" w:type="dxa"/>
        </w:tblCellMar>
      </w:tblPr>
      <w:tblGrid>
        <w:gridCol w:w="3048"/>
        <w:gridCol w:w="2294"/>
        <w:gridCol w:w="3933"/>
      </w:tblGrid>
      <w:tr>
        <w:trPr>
          <w:trHeight w:val="680" w:hRule="atLeast"/>
        </w:trPr>
        <w:tc>
          <w:tcPr>
            <w:tcW w:w="30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b/>
                <w:color w:val="auto"/>
                <w:kern w:val="1"/>
                <w:sz w:val="24"/>
                <w:szCs w:val="22"/>
                <w:highlight w:val="none"/>
                <w:lang w:val="zh-CN"/>
              </w:rPr>
            </w:pPr>
            <w:r>
              <w:rPr>
                <w:rFonts w:hint="eastAsia" w:ascii="宋体" w:hAnsi="宋体" w:eastAsia="宋体" w:cs="宋体"/>
                <w:b/>
                <w:color w:val="auto"/>
                <w:kern w:val="1"/>
                <w:sz w:val="24"/>
                <w:szCs w:val="22"/>
                <w:highlight w:val="none"/>
                <w:lang w:val="zh-CN" w:bidi="ar"/>
              </w:rPr>
              <w:t>工 程 名 称</w:t>
            </w:r>
          </w:p>
        </w:tc>
        <w:tc>
          <w:tcPr>
            <w:tcW w:w="62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宋体" w:hAnsi="宋体" w:eastAsia="宋体" w:cs="宋体"/>
                <w:b/>
                <w:color w:val="auto"/>
                <w:kern w:val="1"/>
                <w:sz w:val="24"/>
                <w:szCs w:val="22"/>
                <w:highlight w:val="none"/>
                <w:lang w:val="zh-CN"/>
              </w:rPr>
            </w:pPr>
          </w:p>
        </w:tc>
      </w:tr>
      <w:tr>
        <w:trPr>
          <w:trHeight w:val="680" w:hRule="atLeast"/>
        </w:trPr>
        <w:tc>
          <w:tcPr>
            <w:tcW w:w="30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b/>
                <w:color w:val="auto"/>
                <w:kern w:val="1"/>
                <w:sz w:val="24"/>
                <w:szCs w:val="22"/>
                <w:highlight w:val="none"/>
                <w:lang w:val="zh-CN"/>
              </w:rPr>
            </w:pPr>
            <w:r>
              <w:rPr>
                <w:rFonts w:hint="eastAsia" w:ascii="宋体" w:hAnsi="宋体" w:eastAsia="宋体" w:cs="宋体"/>
                <w:b/>
                <w:color w:val="auto"/>
                <w:kern w:val="1"/>
                <w:sz w:val="24"/>
                <w:szCs w:val="22"/>
                <w:highlight w:val="none"/>
                <w:lang w:val="zh-CN" w:bidi="ar"/>
              </w:rPr>
              <w:t>投 标 总 工 期</w:t>
            </w:r>
          </w:p>
        </w:tc>
        <w:tc>
          <w:tcPr>
            <w:tcW w:w="62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left="236" w:hanging="236"/>
              <w:rPr>
                <w:rFonts w:ascii="宋体" w:hAnsi="宋体" w:eastAsia="宋体" w:cs="宋体"/>
                <w:b/>
                <w:color w:val="auto"/>
                <w:kern w:val="1"/>
                <w:sz w:val="24"/>
                <w:szCs w:val="22"/>
                <w:highlight w:val="none"/>
                <w:lang w:val="zh-CN"/>
              </w:rPr>
            </w:pPr>
          </w:p>
        </w:tc>
      </w:tr>
      <w:tr>
        <w:trPr>
          <w:trHeight w:val="680" w:hRule="atLeast"/>
        </w:trPr>
        <w:tc>
          <w:tcPr>
            <w:tcW w:w="30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b/>
                <w:color w:val="auto"/>
                <w:kern w:val="1"/>
                <w:sz w:val="24"/>
                <w:szCs w:val="22"/>
                <w:highlight w:val="none"/>
                <w:lang w:val="zh-CN"/>
              </w:rPr>
            </w:pPr>
            <w:r>
              <w:rPr>
                <w:rFonts w:hint="eastAsia" w:ascii="宋体" w:hAnsi="宋体" w:eastAsia="宋体" w:cs="宋体"/>
                <w:b/>
                <w:bCs/>
                <w:color w:val="auto"/>
                <w:kern w:val="1"/>
                <w:sz w:val="24"/>
                <w:szCs w:val="22"/>
                <w:highlight w:val="none"/>
                <w:lang w:val="zh-CN" w:bidi="ar"/>
              </w:rPr>
              <w:t>质量标准</w:t>
            </w:r>
          </w:p>
        </w:tc>
        <w:tc>
          <w:tcPr>
            <w:tcW w:w="62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b/>
                <w:color w:val="auto"/>
                <w:kern w:val="1"/>
                <w:sz w:val="24"/>
                <w:szCs w:val="22"/>
                <w:highlight w:val="none"/>
                <w:lang w:val="zh-CN"/>
              </w:rPr>
            </w:pPr>
            <w:r>
              <w:rPr>
                <w:rFonts w:hint="eastAsia" w:ascii="宋体" w:hAnsi="宋体" w:eastAsia="宋体" w:cs="宋体"/>
                <w:bCs/>
                <w:color w:val="auto"/>
                <w:kern w:val="1"/>
                <w:sz w:val="24"/>
                <w:szCs w:val="22"/>
                <w:highlight w:val="none"/>
                <w:lang w:val="zh-CN" w:bidi="ar"/>
              </w:rPr>
              <w:t>完全响应招标文件及合同条款要求。</w:t>
            </w:r>
          </w:p>
        </w:tc>
      </w:tr>
      <w:tr>
        <w:trPr>
          <w:trHeight w:val="680" w:hRule="atLeast"/>
        </w:trPr>
        <w:tc>
          <w:tcPr>
            <w:tcW w:w="30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b/>
                <w:color w:val="auto"/>
                <w:kern w:val="1"/>
                <w:sz w:val="24"/>
                <w:szCs w:val="22"/>
                <w:highlight w:val="none"/>
                <w:lang w:val="zh-CN"/>
              </w:rPr>
            </w:pPr>
            <w:r>
              <w:rPr>
                <w:rFonts w:hint="eastAsia" w:ascii="宋体" w:hAnsi="宋体" w:eastAsia="宋体" w:cs="宋体"/>
                <w:b/>
                <w:color w:val="auto"/>
                <w:kern w:val="1"/>
                <w:sz w:val="24"/>
                <w:szCs w:val="22"/>
                <w:highlight w:val="none"/>
                <w:lang w:val="zh-CN" w:bidi="ar"/>
              </w:rPr>
              <w:t>保修期限</w:t>
            </w:r>
          </w:p>
        </w:tc>
        <w:tc>
          <w:tcPr>
            <w:tcW w:w="62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b/>
                <w:color w:val="auto"/>
                <w:kern w:val="1"/>
                <w:sz w:val="24"/>
                <w:szCs w:val="22"/>
                <w:highlight w:val="none"/>
                <w:lang w:val="zh-CN"/>
              </w:rPr>
            </w:pPr>
            <w:r>
              <w:rPr>
                <w:rFonts w:hint="eastAsia" w:ascii="宋体" w:hAnsi="宋体" w:eastAsia="宋体" w:cs="宋体"/>
                <w:bCs/>
                <w:color w:val="auto"/>
                <w:kern w:val="1"/>
                <w:sz w:val="24"/>
                <w:szCs w:val="22"/>
                <w:highlight w:val="none"/>
                <w:lang w:val="zh-CN" w:bidi="ar"/>
              </w:rPr>
              <w:t>完全响应招标文件及合同条款要求。</w:t>
            </w:r>
          </w:p>
        </w:tc>
      </w:tr>
      <w:tr>
        <w:trPr>
          <w:trHeight w:val="510" w:hRule="atLeast"/>
        </w:trPr>
        <w:tc>
          <w:tcPr>
            <w:tcW w:w="30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b/>
                <w:color w:val="auto"/>
                <w:kern w:val="1"/>
                <w:sz w:val="24"/>
                <w:szCs w:val="22"/>
                <w:highlight w:val="none"/>
                <w:lang w:val="zh-CN"/>
              </w:rPr>
            </w:pPr>
            <w:r>
              <w:rPr>
                <w:rFonts w:hint="eastAsia" w:ascii="宋体" w:hAnsi="宋体" w:eastAsia="宋体" w:cs="宋体"/>
                <w:b/>
                <w:color w:val="auto"/>
                <w:kern w:val="1"/>
                <w:sz w:val="24"/>
                <w:szCs w:val="22"/>
                <w:highlight w:val="none"/>
                <w:lang w:val="zh-CN" w:bidi="ar"/>
              </w:rPr>
              <w:t>委派的项目负责人</w:t>
            </w:r>
          </w:p>
          <w:p>
            <w:pPr>
              <w:spacing w:line="360" w:lineRule="auto"/>
              <w:jc w:val="center"/>
              <w:rPr>
                <w:rFonts w:ascii="宋体" w:hAnsi="宋体" w:eastAsia="宋体" w:cs="宋体"/>
                <w:b/>
                <w:color w:val="auto"/>
                <w:kern w:val="1"/>
                <w:sz w:val="24"/>
                <w:szCs w:val="22"/>
                <w:highlight w:val="none"/>
                <w:lang w:val="zh-CN"/>
              </w:rPr>
            </w:pPr>
            <w:r>
              <w:rPr>
                <w:rFonts w:hint="eastAsia" w:ascii="宋体" w:hAnsi="宋体" w:eastAsia="宋体" w:cs="宋体"/>
                <w:b/>
                <w:color w:val="auto"/>
                <w:kern w:val="1"/>
                <w:sz w:val="24"/>
                <w:szCs w:val="22"/>
                <w:highlight w:val="none"/>
                <w:lang w:val="zh-CN" w:bidi="ar"/>
              </w:rPr>
              <w:t>（兼施工负责人）</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b/>
                <w:color w:val="auto"/>
                <w:kern w:val="1"/>
                <w:sz w:val="24"/>
                <w:szCs w:val="22"/>
                <w:highlight w:val="none"/>
              </w:rPr>
            </w:pPr>
            <w:r>
              <w:rPr>
                <w:rFonts w:hint="eastAsia" w:ascii="宋体" w:hAnsi="宋体" w:eastAsia="宋体" w:cs="宋体"/>
                <w:b/>
                <w:color w:val="auto"/>
                <w:kern w:val="1"/>
                <w:sz w:val="24"/>
                <w:szCs w:val="22"/>
                <w:highlight w:val="none"/>
                <w:lang w:bidi="ar"/>
              </w:rPr>
              <w:t>姓    名</w:t>
            </w:r>
          </w:p>
        </w:tc>
        <w:tc>
          <w:tcPr>
            <w:tcW w:w="3933" w:type="dxa"/>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rFonts w:ascii="宋体" w:hAnsi="宋体" w:eastAsia="宋体" w:cs="宋体"/>
                <w:b/>
                <w:color w:val="auto"/>
                <w:kern w:val="1"/>
                <w:sz w:val="24"/>
                <w:szCs w:val="22"/>
                <w:highlight w:val="none"/>
                <w:lang w:val="zh-CN"/>
              </w:rPr>
            </w:pPr>
          </w:p>
        </w:tc>
      </w:tr>
      <w:tr>
        <w:trPr>
          <w:trHeight w:val="469" w:hRule="atLeast"/>
        </w:trPr>
        <w:tc>
          <w:tcPr>
            <w:tcW w:w="30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b/>
                <w:color w:val="auto"/>
                <w:kern w:val="1"/>
                <w:sz w:val="24"/>
                <w:szCs w:val="22"/>
                <w:highlight w:val="none"/>
                <w:lang w:val="zh-CN"/>
              </w:rPr>
            </w:pPr>
            <w:r>
              <w:rPr>
                <w:rFonts w:hint="eastAsia" w:ascii="宋体" w:hAnsi="宋体" w:eastAsia="宋体" w:cs="宋体"/>
                <w:b/>
                <w:color w:val="auto"/>
                <w:kern w:val="1"/>
                <w:sz w:val="24"/>
                <w:szCs w:val="22"/>
                <w:highlight w:val="none"/>
                <w:lang w:val="zh-CN" w:bidi="ar"/>
              </w:rPr>
              <w:t>委派的设计负责人</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b/>
                <w:color w:val="auto"/>
                <w:kern w:val="1"/>
                <w:sz w:val="24"/>
                <w:szCs w:val="22"/>
                <w:highlight w:val="none"/>
                <w:lang w:val="zh-CN"/>
              </w:rPr>
            </w:pPr>
            <w:r>
              <w:rPr>
                <w:rFonts w:hint="eastAsia" w:ascii="宋体" w:hAnsi="宋体" w:eastAsia="宋体" w:cs="宋体"/>
                <w:b/>
                <w:color w:val="auto"/>
                <w:kern w:val="1"/>
                <w:sz w:val="24"/>
                <w:szCs w:val="22"/>
                <w:highlight w:val="none"/>
                <w:lang w:bidi="ar"/>
              </w:rPr>
              <w:t>姓    名</w:t>
            </w:r>
          </w:p>
        </w:tc>
        <w:tc>
          <w:tcPr>
            <w:tcW w:w="3933" w:type="dxa"/>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rFonts w:ascii="宋体" w:hAnsi="宋体" w:eastAsia="宋体" w:cs="宋体"/>
                <w:b/>
                <w:color w:val="auto"/>
                <w:kern w:val="1"/>
                <w:sz w:val="24"/>
                <w:szCs w:val="22"/>
                <w:highlight w:val="none"/>
                <w:lang w:val="zh-CN"/>
              </w:rPr>
            </w:pPr>
          </w:p>
        </w:tc>
      </w:tr>
      <w:tr>
        <w:trPr>
          <w:trHeight w:val="555" w:hRule="atLeast"/>
        </w:trPr>
        <w:tc>
          <w:tcPr>
            <w:tcW w:w="3048" w:type="dxa"/>
            <w:tcBorders>
              <w:top w:val="single" w:color="000000" w:sz="4" w:space="0"/>
              <w:left w:val="single" w:color="000000" w:sz="4" w:space="0"/>
              <w:bottom w:val="nil"/>
              <w:right w:val="single" w:color="000000" w:sz="4" w:space="0"/>
            </w:tcBorders>
            <w:shd w:val="clear" w:color="auto" w:fill="auto"/>
            <w:vAlign w:val="center"/>
          </w:tcPr>
          <w:p>
            <w:pPr>
              <w:spacing w:line="360" w:lineRule="auto"/>
              <w:jc w:val="center"/>
              <w:rPr>
                <w:rFonts w:ascii="宋体" w:hAnsi="宋体" w:eastAsia="宋体" w:cs="宋体"/>
                <w:b/>
                <w:color w:val="auto"/>
                <w:kern w:val="1"/>
                <w:sz w:val="24"/>
                <w:szCs w:val="22"/>
                <w:highlight w:val="none"/>
                <w:lang w:val="zh-CN"/>
              </w:rPr>
            </w:pPr>
            <w:r>
              <w:rPr>
                <w:rFonts w:hint="eastAsia" w:ascii="宋体" w:hAnsi="宋体" w:eastAsia="宋体" w:cs="宋体"/>
                <w:b/>
                <w:color w:val="auto"/>
                <w:kern w:val="1"/>
                <w:sz w:val="24"/>
                <w:szCs w:val="22"/>
                <w:highlight w:val="none"/>
                <w:lang w:val="zh-CN" w:bidi="ar"/>
              </w:rPr>
              <w:t>委派的技术负责人</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auto"/>
                <w:sz w:val="24"/>
                <w:highlight w:val="none"/>
              </w:rPr>
            </w:pPr>
            <w:r>
              <w:rPr>
                <w:rFonts w:hint="eastAsia" w:ascii="宋体" w:hAnsi="宋体" w:eastAsia="宋体" w:cs="宋体"/>
                <w:b/>
                <w:color w:val="auto"/>
                <w:kern w:val="1"/>
                <w:sz w:val="24"/>
                <w:szCs w:val="22"/>
                <w:highlight w:val="none"/>
                <w:lang w:bidi="ar"/>
              </w:rPr>
              <w:t>姓    名</w:t>
            </w:r>
          </w:p>
        </w:tc>
        <w:tc>
          <w:tcPr>
            <w:tcW w:w="3933" w:type="dxa"/>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rFonts w:ascii="宋体" w:hAnsi="宋体" w:eastAsia="宋体" w:cs="宋体"/>
                <w:b/>
                <w:color w:val="auto"/>
                <w:kern w:val="1"/>
                <w:sz w:val="24"/>
                <w:szCs w:val="22"/>
                <w:highlight w:val="none"/>
                <w:lang w:val="zh-CN"/>
              </w:rPr>
            </w:pPr>
          </w:p>
        </w:tc>
      </w:tr>
      <w:tr>
        <w:trPr>
          <w:trHeight w:val="490" w:hRule="atLeast"/>
        </w:trPr>
        <w:tc>
          <w:tcPr>
            <w:tcW w:w="30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b/>
                <w:color w:val="auto"/>
                <w:kern w:val="1"/>
                <w:sz w:val="24"/>
                <w:szCs w:val="22"/>
                <w:highlight w:val="none"/>
                <w:lang w:val="zh-CN"/>
              </w:rPr>
            </w:pPr>
            <w:r>
              <w:rPr>
                <w:rFonts w:hint="eastAsia" w:ascii="宋体" w:hAnsi="宋体" w:eastAsia="宋体" w:cs="宋体"/>
                <w:b/>
                <w:color w:val="auto"/>
                <w:kern w:val="1"/>
                <w:sz w:val="24"/>
                <w:szCs w:val="22"/>
                <w:highlight w:val="none"/>
                <w:lang w:val="zh-CN" w:bidi="ar"/>
              </w:rPr>
              <w:t>委派的安全员</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b/>
                <w:color w:val="auto"/>
                <w:kern w:val="1"/>
                <w:sz w:val="24"/>
                <w:szCs w:val="22"/>
                <w:highlight w:val="none"/>
                <w:lang w:val="zh-CN"/>
              </w:rPr>
            </w:pPr>
            <w:r>
              <w:rPr>
                <w:rFonts w:hint="eastAsia" w:ascii="宋体" w:hAnsi="宋体" w:eastAsia="宋体" w:cs="宋体"/>
                <w:b/>
                <w:color w:val="auto"/>
                <w:kern w:val="1"/>
                <w:sz w:val="24"/>
                <w:szCs w:val="22"/>
                <w:highlight w:val="none"/>
                <w:lang w:bidi="ar"/>
              </w:rPr>
              <w:t>姓    名</w:t>
            </w:r>
          </w:p>
        </w:tc>
        <w:tc>
          <w:tcPr>
            <w:tcW w:w="3933" w:type="dxa"/>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rFonts w:ascii="宋体" w:hAnsi="宋体" w:eastAsia="宋体" w:cs="宋体"/>
                <w:b/>
                <w:color w:val="auto"/>
                <w:kern w:val="1"/>
                <w:sz w:val="24"/>
                <w:szCs w:val="22"/>
                <w:highlight w:val="none"/>
                <w:lang w:val="zh-CN"/>
              </w:rPr>
            </w:pPr>
          </w:p>
        </w:tc>
      </w:tr>
      <w:tr>
        <w:trPr>
          <w:trHeight w:val="1053" w:hRule="atLeast"/>
        </w:trPr>
        <w:tc>
          <w:tcPr>
            <w:tcW w:w="30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b/>
                <w:color w:val="auto"/>
                <w:kern w:val="1"/>
                <w:sz w:val="24"/>
                <w:szCs w:val="22"/>
                <w:highlight w:val="none"/>
                <w:lang w:val="zh-CN"/>
              </w:rPr>
            </w:pPr>
            <w:r>
              <w:rPr>
                <w:rFonts w:hint="eastAsia" w:ascii="宋体" w:hAnsi="宋体" w:eastAsia="宋体" w:cs="宋体"/>
                <w:b/>
                <w:color w:val="auto"/>
                <w:kern w:val="1"/>
                <w:sz w:val="24"/>
                <w:szCs w:val="22"/>
                <w:highlight w:val="none"/>
                <w:lang w:val="zh-CN" w:bidi="ar"/>
              </w:rPr>
              <w:t>法 定 代 表 人</w:t>
            </w:r>
          </w:p>
          <w:p>
            <w:pPr>
              <w:spacing w:line="360" w:lineRule="auto"/>
              <w:jc w:val="center"/>
              <w:rPr>
                <w:rFonts w:ascii="宋体" w:hAnsi="宋体" w:eastAsia="宋体" w:cs="宋体"/>
                <w:b/>
                <w:color w:val="auto"/>
                <w:kern w:val="1"/>
                <w:sz w:val="24"/>
                <w:szCs w:val="22"/>
                <w:highlight w:val="none"/>
                <w:lang w:val="zh-CN"/>
              </w:rPr>
            </w:pPr>
            <w:r>
              <w:rPr>
                <w:rFonts w:hint="eastAsia" w:ascii="宋体" w:hAnsi="宋体" w:eastAsia="宋体" w:cs="宋体"/>
                <w:b/>
                <w:color w:val="auto"/>
                <w:kern w:val="1"/>
                <w:sz w:val="24"/>
                <w:szCs w:val="22"/>
                <w:highlight w:val="none"/>
                <w:lang w:val="zh-CN" w:bidi="ar"/>
              </w:rPr>
              <w:t>（签名或盖章）</w:t>
            </w:r>
          </w:p>
        </w:tc>
        <w:tc>
          <w:tcPr>
            <w:tcW w:w="62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宋体" w:hAnsi="宋体" w:eastAsia="宋体" w:cs="宋体"/>
                <w:b/>
                <w:color w:val="auto"/>
                <w:kern w:val="1"/>
                <w:sz w:val="24"/>
                <w:szCs w:val="22"/>
                <w:highlight w:val="none"/>
                <w:lang w:val="zh-CN"/>
              </w:rPr>
            </w:pPr>
          </w:p>
        </w:tc>
      </w:tr>
      <w:tr>
        <w:trPr>
          <w:trHeight w:val="1053" w:hRule="atLeast"/>
        </w:trPr>
        <w:tc>
          <w:tcPr>
            <w:tcW w:w="30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b/>
                <w:color w:val="auto"/>
                <w:kern w:val="1"/>
                <w:sz w:val="24"/>
                <w:szCs w:val="22"/>
                <w:highlight w:val="none"/>
                <w:lang w:val="zh-CN"/>
              </w:rPr>
            </w:pPr>
            <w:r>
              <w:rPr>
                <w:rFonts w:hint="eastAsia" w:ascii="宋体" w:hAnsi="宋体" w:eastAsia="宋体" w:cs="宋体"/>
                <w:b/>
                <w:color w:val="auto"/>
                <w:kern w:val="1"/>
                <w:sz w:val="24"/>
                <w:szCs w:val="22"/>
                <w:highlight w:val="none"/>
                <w:lang w:val="zh-CN" w:bidi="ar"/>
              </w:rPr>
              <w:t>授 权 委 托 人</w:t>
            </w:r>
          </w:p>
          <w:p>
            <w:pPr>
              <w:spacing w:line="360" w:lineRule="auto"/>
              <w:jc w:val="center"/>
              <w:rPr>
                <w:rFonts w:ascii="宋体" w:hAnsi="宋体" w:eastAsia="宋体" w:cs="宋体"/>
                <w:b/>
                <w:color w:val="auto"/>
                <w:kern w:val="1"/>
                <w:sz w:val="24"/>
                <w:szCs w:val="22"/>
                <w:highlight w:val="none"/>
                <w:lang w:val="zh-CN"/>
              </w:rPr>
            </w:pPr>
            <w:r>
              <w:rPr>
                <w:rFonts w:hint="eastAsia" w:ascii="宋体" w:hAnsi="宋体" w:eastAsia="宋体" w:cs="宋体"/>
                <w:b/>
                <w:color w:val="auto"/>
                <w:kern w:val="1"/>
                <w:sz w:val="24"/>
                <w:szCs w:val="22"/>
                <w:highlight w:val="none"/>
                <w:lang w:val="zh-CN" w:bidi="ar"/>
              </w:rPr>
              <w:t>（签名或盖章）</w:t>
            </w:r>
          </w:p>
        </w:tc>
        <w:tc>
          <w:tcPr>
            <w:tcW w:w="62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宋体" w:hAnsi="宋体" w:eastAsia="宋体" w:cs="宋体"/>
                <w:b/>
                <w:color w:val="auto"/>
                <w:kern w:val="1"/>
                <w:sz w:val="24"/>
                <w:szCs w:val="22"/>
                <w:highlight w:val="none"/>
                <w:lang w:val="zh-CN"/>
              </w:rPr>
            </w:pPr>
          </w:p>
        </w:tc>
      </w:tr>
      <w:tr>
        <w:trPr>
          <w:trHeight w:val="1053" w:hRule="atLeast"/>
        </w:trPr>
        <w:tc>
          <w:tcPr>
            <w:tcW w:w="30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b/>
                <w:color w:val="auto"/>
                <w:kern w:val="1"/>
                <w:sz w:val="24"/>
                <w:szCs w:val="22"/>
                <w:highlight w:val="none"/>
                <w:lang w:val="zh-CN"/>
              </w:rPr>
            </w:pPr>
            <w:r>
              <w:rPr>
                <w:rFonts w:hint="eastAsia" w:ascii="宋体" w:hAnsi="宋体" w:eastAsia="宋体" w:cs="宋体"/>
                <w:b/>
                <w:color w:val="auto"/>
                <w:kern w:val="1"/>
                <w:sz w:val="24"/>
                <w:szCs w:val="22"/>
                <w:highlight w:val="none"/>
                <w:lang w:val="zh-CN" w:bidi="ar"/>
              </w:rPr>
              <w:t>投  标  单  位</w:t>
            </w:r>
          </w:p>
          <w:p>
            <w:pPr>
              <w:spacing w:line="360" w:lineRule="auto"/>
              <w:ind w:firstLine="239"/>
              <w:jc w:val="center"/>
              <w:rPr>
                <w:rFonts w:ascii="宋体" w:hAnsi="宋体" w:eastAsia="宋体" w:cs="宋体"/>
                <w:b/>
                <w:color w:val="auto"/>
                <w:kern w:val="1"/>
                <w:sz w:val="24"/>
                <w:szCs w:val="22"/>
                <w:highlight w:val="none"/>
                <w:lang w:val="zh-CN"/>
              </w:rPr>
            </w:pPr>
            <w:r>
              <w:rPr>
                <w:rFonts w:hint="eastAsia" w:ascii="宋体" w:hAnsi="宋体" w:eastAsia="宋体" w:cs="宋体"/>
                <w:b/>
                <w:color w:val="auto"/>
                <w:kern w:val="1"/>
                <w:sz w:val="24"/>
                <w:szCs w:val="22"/>
                <w:highlight w:val="none"/>
                <w:lang w:val="zh-CN" w:bidi="ar"/>
              </w:rPr>
              <w:t>（企业公章）</w:t>
            </w:r>
          </w:p>
        </w:tc>
        <w:tc>
          <w:tcPr>
            <w:tcW w:w="62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宋体" w:hAnsi="宋体" w:eastAsia="宋体" w:cs="宋体"/>
                <w:b/>
                <w:color w:val="auto"/>
                <w:kern w:val="1"/>
                <w:sz w:val="24"/>
                <w:szCs w:val="22"/>
                <w:highlight w:val="none"/>
                <w:lang w:val="zh-CN"/>
              </w:rPr>
            </w:pPr>
          </w:p>
        </w:tc>
      </w:tr>
    </w:tbl>
    <w:p>
      <w:pPr>
        <w:pStyle w:val="12"/>
        <w:rPr>
          <w:rFonts w:hint="default"/>
          <w:color w:val="auto"/>
          <w:highlight w:val="none"/>
        </w:rPr>
      </w:pPr>
      <w:r>
        <w:rPr>
          <w:color w:val="auto"/>
          <w:highlight w:val="none"/>
        </w:rPr>
        <w:t>注：联合体投标的，“投标单位”一栏需书写所有联合体成员的单位全称，可由牵头方签署、盖章。</w:t>
      </w:r>
    </w:p>
    <w:p>
      <w:pPr>
        <w:snapToGrid w:val="0"/>
        <w:spacing w:line="360" w:lineRule="auto"/>
        <w:ind w:firstLine="420" w:firstLineChars="200"/>
        <w:rPr>
          <w:rFonts w:ascii="宋体" w:hAnsi="宋体" w:eastAsia="宋体" w:cs="宋体"/>
          <w:color w:val="auto"/>
          <w:highlight w:val="none"/>
        </w:rPr>
      </w:pPr>
      <w:r>
        <w:rPr>
          <w:rFonts w:hint="eastAsia" w:ascii="宋体" w:hAnsi="宋体" w:eastAsia="宋体" w:cs="Calibri"/>
          <w:color w:val="auto"/>
          <w:szCs w:val="22"/>
          <w:highlight w:val="none"/>
          <w:lang w:bidi="ar"/>
        </w:rPr>
        <w:br w:type="page"/>
      </w:r>
      <w:bookmarkStart w:id="413" w:name="_Hlk69827517"/>
      <w:r>
        <w:rPr>
          <w:rFonts w:hint="eastAsia" w:ascii="宋体" w:hAnsi="宋体" w:eastAsia="宋体" w:cs="宋体"/>
          <w:color w:val="auto"/>
          <w:kern w:val="0"/>
          <w:szCs w:val="22"/>
          <w:highlight w:val="none"/>
          <w:lang w:bidi="ar"/>
        </w:rPr>
        <w:t>技术投标书附表：</w:t>
      </w:r>
    </w:p>
    <w:tbl>
      <w:tblPr>
        <w:tblStyle w:val="26"/>
        <w:tblW w:w="5000" w:type="pct"/>
        <w:tblInd w:w="0" w:type="dxa"/>
        <w:tblLayout w:type="autofit"/>
        <w:tblCellMar>
          <w:top w:w="0" w:type="dxa"/>
          <w:left w:w="0" w:type="dxa"/>
          <w:bottom w:w="0" w:type="dxa"/>
          <w:right w:w="0" w:type="dxa"/>
        </w:tblCellMar>
      </w:tblPr>
      <w:tblGrid>
        <w:gridCol w:w="586"/>
        <w:gridCol w:w="1064"/>
        <w:gridCol w:w="2592"/>
        <w:gridCol w:w="1622"/>
        <w:gridCol w:w="3406"/>
      </w:tblGrid>
      <w:tr>
        <w:trPr>
          <w:trHeight w:val="1160" w:hRule="atLeast"/>
        </w:trPr>
        <w:tc>
          <w:tcPr>
            <w:tcW w:w="5000" w:type="pct"/>
            <w:gridSpan w:val="5"/>
            <w:tcBorders>
              <w:top w:val="nil"/>
              <w:left w:val="nil"/>
              <w:bottom w:val="single" w:color="000000" w:sz="4" w:space="0"/>
              <w:right w:val="nil"/>
            </w:tcBorders>
            <w:shd w:val="clear" w:color="auto" w:fill="auto"/>
            <w:noWrap/>
            <w:tcMar>
              <w:top w:w="15" w:type="dxa"/>
              <w:left w:w="15" w:type="dxa"/>
              <w:right w:w="15" w:type="dxa"/>
            </w:tcMar>
            <w:vAlign w:val="center"/>
          </w:tcPr>
          <w:p>
            <w:pPr>
              <w:widowControl/>
              <w:spacing w:line="360" w:lineRule="auto"/>
              <w:jc w:val="center"/>
              <w:textAlignment w:val="center"/>
              <w:rPr>
                <w:rFonts w:ascii="宋体" w:hAnsi="宋体" w:eastAsia="宋体" w:cs="方正大标宋简体"/>
                <w:b/>
                <w:color w:val="auto"/>
                <w:sz w:val="32"/>
                <w:szCs w:val="32"/>
                <w:highlight w:val="none"/>
              </w:rPr>
            </w:pPr>
            <w:bookmarkStart w:id="414" w:name="_Hlk61431754"/>
            <w:r>
              <w:rPr>
                <w:rFonts w:hint="eastAsia" w:ascii="宋体" w:hAnsi="宋体" w:eastAsia="宋体" w:cs="方正大标宋简体"/>
                <w:b/>
                <w:color w:val="auto"/>
                <w:sz w:val="28"/>
                <w:szCs w:val="28"/>
                <w:highlight w:val="none"/>
                <w:lang w:bidi="ar"/>
              </w:rPr>
              <w:t>工程总承包项目管理团队人员信息表</w:t>
            </w:r>
            <w:bookmarkEnd w:id="414"/>
          </w:p>
        </w:tc>
      </w:tr>
      <w:tr>
        <w:trPr>
          <w:trHeight w:val="975"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仿宋"/>
                <w:b/>
                <w:color w:val="auto"/>
                <w:sz w:val="28"/>
                <w:szCs w:val="28"/>
                <w:highlight w:val="none"/>
              </w:rPr>
            </w:pPr>
            <w:r>
              <w:rPr>
                <w:rFonts w:hint="eastAsia" w:ascii="宋体" w:hAnsi="宋体" w:eastAsia="宋体" w:cs="仿宋"/>
                <w:b/>
                <w:color w:val="auto"/>
                <w:sz w:val="28"/>
                <w:szCs w:val="28"/>
                <w:highlight w:val="none"/>
                <w:lang w:bidi="ar"/>
              </w:rPr>
              <w:t>序号</w:t>
            </w: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仿宋"/>
                <w:b/>
                <w:color w:val="auto"/>
                <w:sz w:val="28"/>
                <w:szCs w:val="28"/>
                <w:highlight w:val="none"/>
              </w:rPr>
            </w:pPr>
            <w:r>
              <w:rPr>
                <w:rFonts w:hint="eastAsia" w:ascii="宋体" w:hAnsi="宋体" w:eastAsia="宋体" w:cs="仿宋"/>
                <w:b/>
                <w:color w:val="auto"/>
                <w:sz w:val="28"/>
                <w:szCs w:val="28"/>
                <w:highlight w:val="none"/>
                <w:lang w:bidi="ar"/>
              </w:rPr>
              <w:t>姓名</w:t>
            </w:r>
          </w:p>
        </w:tc>
        <w:tc>
          <w:tcPr>
            <w:tcW w:w="13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仿宋"/>
                <w:b/>
                <w:color w:val="auto"/>
                <w:sz w:val="28"/>
                <w:szCs w:val="28"/>
                <w:highlight w:val="none"/>
              </w:rPr>
            </w:pPr>
            <w:r>
              <w:rPr>
                <w:rFonts w:hint="eastAsia" w:ascii="宋体" w:hAnsi="宋体" w:eastAsia="宋体" w:cs="仿宋"/>
                <w:b/>
                <w:color w:val="auto"/>
                <w:sz w:val="28"/>
                <w:szCs w:val="28"/>
                <w:highlight w:val="none"/>
                <w:lang w:bidi="ar"/>
              </w:rPr>
              <w:t>岗位</w:t>
            </w:r>
          </w:p>
        </w:tc>
        <w:tc>
          <w:tcPr>
            <w:tcW w:w="8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仿宋"/>
                <w:b/>
                <w:color w:val="auto"/>
                <w:sz w:val="28"/>
                <w:szCs w:val="28"/>
                <w:highlight w:val="none"/>
              </w:rPr>
            </w:pPr>
            <w:r>
              <w:rPr>
                <w:rFonts w:hint="eastAsia" w:ascii="宋体" w:hAnsi="宋体" w:eastAsia="宋体" w:cs="仿宋"/>
                <w:b/>
                <w:color w:val="auto"/>
                <w:sz w:val="28"/>
                <w:szCs w:val="28"/>
                <w:highlight w:val="none"/>
                <w:lang w:bidi="ar"/>
              </w:rPr>
              <w:t>职称</w:t>
            </w:r>
          </w:p>
        </w:tc>
        <w:tc>
          <w:tcPr>
            <w:tcW w:w="18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仿宋"/>
                <w:b/>
                <w:color w:val="auto"/>
                <w:sz w:val="28"/>
                <w:szCs w:val="28"/>
                <w:highlight w:val="none"/>
              </w:rPr>
            </w:pPr>
            <w:r>
              <w:rPr>
                <w:rFonts w:hint="eastAsia" w:ascii="宋体" w:hAnsi="宋体" w:eastAsia="宋体" w:cs="仿宋"/>
                <w:b/>
                <w:color w:val="auto"/>
                <w:sz w:val="28"/>
                <w:szCs w:val="28"/>
                <w:highlight w:val="none"/>
                <w:lang w:bidi="ar"/>
              </w:rPr>
              <w:t>职称证书或资格证书编号</w:t>
            </w:r>
          </w:p>
        </w:tc>
      </w:tr>
      <w:tr>
        <w:trPr>
          <w:trHeight w:val="357"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宋体" w:hAnsi="宋体" w:eastAsia="宋体" w:cs="仿宋"/>
                <w:color w:val="auto"/>
                <w:sz w:val="24"/>
                <w:highlight w:val="none"/>
              </w:rPr>
            </w:pPr>
            <w:r>
              <w:rPr>
                <w:rFonts w:hint="eastAsia" w:ascii="宋体" w:hAnsi="宋体" w:eastAsia="宋体" w:cs="仿宋"/>
                <w:color w:val="auto"/>
                <w:sz w:val="24"/>
                <w:highlight w:val="none"/>
                <w:lang w:bidi="ar"/>
              </w:rPr>
              <w:t>1</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宋体" w:hAnsi="宋体" w:eastAsia="宋体" w:cs="仿宋"/>
                <w:color w:val="auto"/>
                <w:sz w:val="24"/>
                <w:highlight w:val="none"/>
              </w:rPr>
            </w:pPr>
          </w:p>
        </w:tc>
        <w:tc>
          <w:tcPr>
            <w:tcW w:w="1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宋体" w:hAnsi="宋体" w:eastAsia="宋体" w:cs="仿宋"/>
                <w:color w:val="auto"/>
                <w:sz w:val="24"/>
                <w:highlight w:val="none"/>
              </w:rPr>
            </w:pP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宋体" w:hAnsi="宋体" w:eastAsia="宋体" w:cs="仿宋"/>
                <w:color w:val="auto"/>
                <w:sz w:val="24"/>
                <w:highlight w:val="none"/>
              </w:rPr>
            </w:pPr>
          </w:p>
        </w:tc>
        <w:tc>
          <w:tcPr>
            <w:tcW w:w="18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宋体" w:hAnsi="宋体" w:eastAsia="宋体" w:cs="仿宋"/>
                <w:color w:val="auto"/>
                <w:sz w:val="24"/>
                <w:highlight w:val="none"/>
              </w:rPr>
            </w:pPr>
          </w:p>
        </w:tc>
      </w:tr>
      <w:tr>
        <w:trPr>
          <w:trHeight w:val="406"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宋体" w:hAnsi="宋体" w:eastAsia="宋体" w:cs="仿宋"/>
                <w:color w:val="auto"/>
                <w:sz w:val="24"/>
                <w:highlight w:val="none"/>
              </w:rPr>
            </w:pPr>
            <w:r>
              <w:rPr>
                <w:rFonts w:hint="eastAsia" w:ascii="宋体" w:hAnsi="宋体" w:eastAsia="宋体" w:cs="仿宋"/>
                <w:color w:val="auto"/>
                <w:sz w:val="24"/>
                <w:highlight w:val="none"/>
                <w:lang w:bidi="ar"/>
              </w:rPr>
              <w:t>2</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宋体" w:hAnsi="宋体" w:eastAsia="宋体" w:cs="仿宋"/>
                <w:color w:val="auto"/>
                <w:sz w:val="24"/>
                <w:highlight w:val="none"/>
              </w:rPr>
            </w:pPr>
          </w:p>
        </w:tc>
        <w:tc>
          <w:tcPr>
            <w:tcW w:w="1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宋体" w:hAnsi="宋体" w:eastAsia="宋体" w:cs="仿宋"/>
                <w:color w:val="auto"/>
                <w:sz w:val="24"/>
                <w:highlight w:val="none"/>
              </w:rPr>
            </w:pP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宋体" w:hAnsi="宋体" w:eastAsia="宋体" w:cs="仿宋"/>
                <w:color w:val="auto"/>
                <w:sz w:val="24"/>
                <w:highlight w:val="none"/>
              </w:rPr>
            </w:pPr>
          </w:p>
        </w:tc>
        <w:tc>
          <w:tcPr>
            <w:tcW w:w="18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宋体" w:hAnsi="宋体" w:eastAsia="宋体" w:cs="仿宋"/>
                <w:color w:val="auto"/>
                <w:sz w:val="24"/>
                <w:highlight w:val="none"/>
              </w:rPr>
            </w:pPr>
          </w:p>
        </w:tc>
      </w:tr>
      <w:tr>
        <w:trPr>
          <w:trHeight w:val="398"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宋体" w:hAnsi="宋体" w:eastAsia="宋体" w:cs="仿宋"/>
                <w:color w:val="auto"/>
                <w:sz w:val="24"/>
                <w:highlight w:val="none"/>
              </w:rPr>
            </w:pPr>
            <w:r>
              <w:rPr>
                <w:rFonts w:hint="eastAsia" w:ascii="宋体" w:hAnsi="宋体" w:eastAsia="宋体" w:cs="仿宋"/>
                <w:color w:val="auto"/>
                <w:sz w:val="24"/>
                <w:highlight w:val="none"/>
                <w:lang w:bidi="ar"/>
              </w:rPr>
              <w:t>3</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宋体" w:hAnsi="宋体" w:eastAsia="宋体" w:cs="仿宋"/>
                <w:color w:val="auto"/>
                <w:sz w:val="24"/>
                <w:highlight w:val="none"/>
              </w:rPr>
            </w:pPr>
          </w:p>
        </w:tc>
        <w:tc>
          <w:tcPr>
            <w:tcW w:w="1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宋体" w:hAnsi="宋体" w:eastAsia="宋体" w:cs="仿宋"/>
                <w:color w:val="auto"/>
                <w:sz w:val="24"/>
                <w:highlight w:val="none"/>
              </w:rPr>
            </w:pP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宋体" w:hAnsi="宋体" w:eastAsia="宋体" w:cs="仿宋"/>
                <w:color w:val="auto"/>
                <w:sz w:val="24"/>
                <w:highlight w:val="none"/>
              </w:rPr>
            </w:pPr>
          </w:p>
        </w:tc>
        <w:tc>
          <w:tcPr>
            <w:tcW w:w="18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宋体" w:hAnsi="宋体" w:eastAsia="宋体" w:cs="仿宋"/>
                <w:color w:val="auto"/>
                <w:sz w:val="24"/>
                <w:highlight w:val="none"/>
              </w:rPr>
            </w:pPr>
          </w:p>
        </w:tc>
      </w:tr>
      <w:tr>
        <w:trPr>
          <w:trHeight w:val="403"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宋体" w:hAnsi="宋体" w:eastAsia="宋体" w:cs="仿宋"/>
                <w:color w:val="auto"/>
                <w:sz w:val="24"/>
                <w:highlight w:val="none"/>
              </w:rPr>
            </w:pPr>
            <w:r>
              <w:rPr>
                <w:rFonts w:hint="eastAsia" w:ascii="宋体" w:hAnsi="宋体" w:eastAsia="宋体" w:cs="仿宋"/>
                <w:color w:val="auto"/>
                <w:sz w:val="24"/>
                <w:highlight w:val="none"/>
                <w:lang w:bidi="ar"/>
              </w:rPr>
              <w:t>4</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宋体" w:hAnsi="宋体" w:eastAsia="宋体" w:cs="仿宋"/>
                <w:color w:val="auto"/>
                <w:sz w:val="24"/>
                <w:highlight w:val="none"/>
              </w:rPr>
            </w:pPr>
          </w:p>
        </w:tc>
        <w:tc>
          <w:tcPr>
            <w:tcW w:w="1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宋体" w:hAnsi="宋体" w:eastAsia="宋体" w:cs="仿宋"/>
                <w:color w:val="auto"/>
                <w:sz w:val="24"/>
                <w:highlight w:val="none"/>
              </w:rPr>
            </w:pP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宋体" w:hAnsi="宋体" w:eastAsia="宋体" w:cs="仿宋"/>
                <w:color w:val="auto"/>
                <w:sz w:val="24"/>
                <w:highlight w:val="none"/>
              </w:rPr>
            </w:pPr>
          </w:p>
        </w:tc>
        <w:tc>
          <w:tcPr>
            <w:tcW w:w="18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宋体" w:hAnsi="宋体" w:eastAsia="宋体" w:cs="仿宋"/>
                <w:color w:val="auto"/>
                <w:sz w:val="24"/>
                <w:highlight w:val="none"/>
              </w:rPr>
            </w:pPr>
          </w:p>
        </w:tc>
      </w:tr>
      <w:tr>
        <w:trPr>
          <w:trHeight w:val="395"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宋体" w:hAnsi="宋体" w:eastAsia="宋体" w:cs="仿宋"/>
                <w:color w:val="auto"/>
                <w:sz w:val="24"/>
                <w:highlight w:val="none"/>
              </w:rPr>
            </w:pPr>
            <w:r>
              <w:rPr>
                <w:rFonts w:hint="eastAsia" w:ascii="宋体" w:hAnsi="宋体" w:eastAsia="宋体" w:cs="仿宋"/>
                <w:color w:val="auto"/>
                <w:sz w:val="24"/>
                <w:highlight w:val="none"/>
                <w:lang w:bidi="ar"/>
              </w:rPr>
              <w:t>5</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宋体" w:hAnsi="宋体" w:eastAsia="宋体" w:cs="仿宋"/>
                <w:color w:val="auto"/>
                <w:sz w:val="24"/>
                <w:highlight w:val="none"/>
              </w:rPr>
            </w:pPr>
          </w:p>
        </w:tc>
        <w:tc>
          <w:tcPr>
            <w:tcW w:w="1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宋体" w:hAnsi="宋体" w:eastAsia="宋体" w:cs="仿宋"/>
                <w:color w:val="auto"/>
                <w:sz w:val="24"/>
                <w:highlight w:val="none"/>
              </w:rPr>
            </w:pP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宋体" w:hAnsi="宋体" w:eastAsia="宋体" w:cs="仿宋"/>
                <w:color w:val="auto"/>
                <w:sz w:val="24"/>
                <w:highlight w:val="none"/>
              </w:rPr>
            </w:pPr>
          </w:p>
        </w:tc>
        <w:tc>
          <w:tcPr>
            <w:tcW w:w="18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宋体" w:hAnsi="宋体" w:eastAsia="宋体" w:cs="仿宋"/>
                <w:color w:val="auto"/>
                <w:sz w:val="24"/>
                <w:highlight w:val="none"/>
              </w:rPr>
            </w:pPr>
          </w:p>
        </w:tc>
      </w:tr>
      <w:tr>
        <w:trPr>
          <w:trHeight w:val="402"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宋体" w:hAnsi="宋体" w:eastAsia="宋体" w:cs="仿宋"/>
                <w:color w:val="auto"/>
                <w:sz w:val="24"/>
                <w:highlight w:val="none"/>
              </w:rPr>
            </w:pPr>
            <w:r>
              <w:rPr>
                <w:rFonts w:hint="eastAsia" w:ascii="宋体" w:hAnsi="宋体" w:eastAsia="宋体" w:cs="仿宋"/>
                <w:color w:val="auto"/>
                <w:sz w:val="24"/>
                <w:highlight w:val="none"/>
                <w:lang w:bidi="ar"/>
              </w:rPr>
              <w:t>6</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宋体" w:hAnsi="宋体" w:eastAsia="宋体" w:cs="仿宋"/>
                <w:color w:val="auto"/>
                <w:sz w:val="24"/>
                <w:highlight w:val="none"/>
              </w:rPr>
            </w:pPr>
          </w:p>
        </w:tc>
        <w:tc>
          <w:tcPr>
            <w:tcW w:w="1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宋体" w:hAnsi="宋体" w:eastAsia="宋体" w:cs="仿宋"/>
                <w:color w:val="auto"/>
                <w:sz w:val="24"/>
                <w:highlight w:val="none"/>
              </w:rPr>
            </w:pP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宋体" w:hAnsi="宋体" w:eastAsia="宋体" w:cs="仿宋"/>
                <w:color w:val="auto"/>
                <w:sz w:val="24"/>
                <w:highlight w:val="none"/>
              </w:rPr>
            </w:pPr>
          </w:p>
        </w:tc>
        <w:tc>
          <w:tcPr>
            <w:tcW w:w="18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宋体" w:hAnsi="宋体" w:eastAsia="宋体" w:cs="仿宋"/>
                <w:color w:val="auto"/>
                <w:sz w:val="24"/>
                <w:highlight w:val="none"/>
              </w:rPr>
            </w:pPr>
          </w:p>
        </w:tc>
      </w:tr>
      <w:tr>
        <w:trPr>
          <w:trHeight w:val="402"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宋体" w:hAnsi="宋体" w:eastAsia="宋体" w:cs="仿宋"/>
                <w:color w:val="auto"/>
                <w:sz w:val="24"/>
                <w:highlight w:val="none"/>
                <w:lang w:bidi="ar"/>
              </w:rPr>
            </w:pPr>
            <w:r>
              <w:rPr>
                <w:rFonts w:hint="eastAsia" w:ascii="宋体" w:hAnsi="宋体" w:eastAsia="宋体" w:cs="仿宋"/>
                <w:color w:val="auto"/>
                <w:sz w:val="24"/>
                <w:highlight w:val="none"/>
                <w:lang w:bidi="ar"/>
              </w:rPr>
              <w:t>7</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宋体" w:hAnsi="宋体" w:eastAsia="宋体" w:cs="仿宋"/>
                <w:color w:val="auto"/>
                <w:sz w:val="24"/>
                <w:highlight w:val="none"/>
              </w:rPr>
            </w:pPr>
          </w:p>
        </w:tc>
        <w:tc>
          <w:tcPr>
            <w:tcW w:w="1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宋体" w:hAnsi="宋体" w:eastAsia="宋体" w:cs="仿宋"/>
                <w:color w:val="auto"/>
                <w:sz w:val="24"/>
                <w:highlight w:val="none"/>
              </w:rPr>
            </w:pP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宋体" w:hAnsi="宋体" w:eastAsia="宋体" w:cs="仿宋"/>
                <w:color w:val="auto"/>
                <w:sz w:val="24"/>
                <w:highlight w:val="none"/>
              </w:rPr>
            </w:pPr>
          </w:p>
        </w:tc>
        <w:tc>
          <w:tcPr>
            <w:tcW w:w="18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宋体" w:hAnsi="宋体" w:eastAsia="宋体" w:cs="仿宋"/>
                <w:color w:val="auto"/>
                <w:sz w:val="24"/>
                <w:highlight w:val="none"/>
              </w:rPr>
            </w:pPr>
          </w:p>
        </w:tc>
      </w:tr>
      <w:tr>
        <w:trPr>
          <w:trHeight w:val="408"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宋体" w:hAnsi="宋体" w:eastAsia="宋体" w:cs="仿宋"/>
                <w:color w:val="auto"/>
                <w:sz w:val="24"/>
                <w:highlight w:val="none"/>
                <w:lang w:bidi="ar"/>
              </w:rPr>
            </w:pPr>
            <w:r>
              <w:rPr>
                <w:rFonts w:hint="eastAsia" w:ascii="宋体" w:hAnsi="宋体" w:eastAsia="宋体" w:cs="仿宋"/>
                <w:color w:val="auto"/>
                <w:sz w:val="24"/>
                <w:highlight w:val="none"/>
                <w:lang w:bidi="ar"/>
              </w:rPr>
              <w:t>8</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宋体" w:hAnsi="宋体" w:eastAsia="宋体" w:cs="仿宋"/>
                <w:color w:val="auto"/>
                <w:sz w:val="24"/>
                <w:highlight w:val="none"/>
              </w:rPr>
            </w:pPr>
          </w:p>
        </w:tc>
        <w:tc>
          <w:tcPr>
            <w:tcW w:w="1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宋体" w:hAnsi="宋体" w:eastAsia="宋体" w:cs="仿宋"/>
                <w:color w:val="auto"/>
                <w:sz w:val="24"/>
                <w:highlight w:val="none"/>
              </w:rPr>
            </w:pP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宋体" w:hAnsi="宋体" w:eastAsia="宋体" w:cs="仿宋"/>
                <w:color w:val="auto"/>
                <w:sz w:val="24"/>
                <w:highlight w:val="none"/>
              </w:rPr>
            </w:pPr>
          </w:p>
        </w:tc>
        <w:tc>
          <w:tcPr>
            <w:tcW w:w="18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宋体" w:hAnsi="宋体" w:eastAsia="宋体" w:cs="仿宋"/>
                <w:color w:val="auto"/>
                <w:sz w:val="24"/>
                <w:highlight w:val="none"/>
              </w:rPr>
            </w:pPr>
          </w:p>
        </w:tc>
      </w:tr>
      <w:tr>
        <w:trPr>
          <w:trHeight w:val="39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宋体" w:hAnsi="宋体" w:eastAsia="宋体" w:cs="仿宋"/>
                <w:color w:val="auto"/>
                <w:sz w:val="24"/>
                <w:highlight w:val="none"/>
              </w:rPr>
            </w:pPr>
            <w:r>
              <w:rPr>
                <w:rFonts w:hint="eastAsia" w:ascii="宋体" w:hAnsi="宋体" w:eastAsia="宋体" w:cs="仿宋"/>
                <w:color w:val="auto"/>
                <w:sz w:val="24"/>
                <w:highlight w:val="none"/>
              </w:rPr>
              <w:t>9</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宋体" w:hAnsi="宋体" w:eastAsia="宋体" w:cs="仿宋"/>
                <w:color w:val="auto"/>
                <w:sz w:val="24"/>
                <w:highlight w:val="none"/>
              </w:rPr>
            </w:pPr>
          </w:p>
        </w:tc>
        <w:tc>
          <w:tcPr>
            <w:tcW w:w="1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宋体" w:hAnsi="宋体" w:eastAsia="宋体" w:cs="仿宋"/>
                <w:color w:val="auto"/>
                <w:sz w:val="24"/>
                <w:highlight w:val="none"/>
              </w:rPr>
            </w:pP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宋体" w:hAnsi="宋体" w:eastAsia="宋体" w:cs="仿宋"/>
                <w:color w:val="auto"/>
                <w:sz w:val="24"/>
                <w:highlight w:val="none"/>
              </w:rPr>
            </w:pPr>
          </w:p>
        </w:tc>
        <w:tc>
          <w:tcPr>
            <w:tcW w:w="18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宋体" w:hAnsi="宋体" w:eastAsia="宋体" w:cs="仿宋"/>
                <w:color w:val="auto"/>
                <w:sz w:val="24"/>
                <w:highlight w:val="none"/>
              </w:rPr>
            </w:pPr>
          </w:p>
        </w:tc>
      </w:tr>
      <w:tr>
        <w:trPr>
          <w:trHeight w:val="395"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宋体" w:hAnsi="宋体" w:eastAsia="宋体" w:cs="仿宋"/>
                <w:color w:val="auto"/>
                <w:sz w:val="24"/>
                <w:highlight w:val="none"/>
              </w:rPr>
            </w:pPr>
            <w:r>
              <w:rPr>
                <w:rFonts w:hint="eastAsia" w:ascii="宋体" w:hAnsi="宋体" w:eastAsia="宋体" w:cs="仿宋"/>
                <w:color w:val="auto"/>
                <w:sz w:val="24"/>
                <w:highlight w:val="none"/>
              </w:rPr>
              <w:t>10</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宋体" w:hAnsi="宋体" w:eastAsia="宋体" w:cs="仿宋"/>
                <w:color w:val="auto"/>
                <w:sz w:val="24"/>
                <w:highlight w:val="none"/>
              </w:rPr>
            </w:pPr>
          </w:p>
        </w:tc>
        <w:tc>
          <w:tcPr>
            <w:tcW w:w="1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宋体" w:hAnsi="宋体" w:eastAsia="宋体" w:cs="仿宋"/>
                <w:color w:val="auto"/>
                <w:sz w:val="24"/>
                <w:highlight w:val="none"/>
              </w:rPr>
            </w:pP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宋体" w:hAnsi="宋体" w:eastAsia="宋体" w:cs="仿宋"/>
                <w:color w:val="auto"/>
                <w:sz w:val="24"/>
                <w:highlight w:val="none"/>
              </w:rPr>
            </w:pPr>
          </w:p>
        </w:tc>
        <w:tc>
          <w:tcPr>
            <w:tcW w:w="18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宋体" w:hAnsi="宋体" w:eastAsia="宋体" w:cs="仿宋"/>
                <w:color w:val="auto"/>
                <w:sz w:val="24"/>
                <w:highlight w:val="none"/>
              </w:rPr>
            </w:pPr>
          </w:p>
        </w:tc>
      </w:tr>
      <w:tr>
        <w:trPr>
          <w:trHeight w:val="401"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宋体" w:hAnsi="宋体" w:eastAsia="宋体" w:cs="仿宋"/>
                <w:color w:val="auto"/>
                <w:sz w:val="24"/>
                <w:highlight w:val="none"/>
              </w:rPr>
            </w:pPr>
            <w:r>
              <w:rPr>
                <w:rFonts w:hint="eastAsia" w:ascii="宋体" w:hAnsi="宋体" w:eastAsia="宋体" w:cs="仿宋"/>
                <w:color w:val="auto"/>
                <w:sz w:val="24"/>
                <w:highlight w:val="none"/>
              </w:rPr>
              <w:t>11</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宋体" w:hAnsi="宋体" w:eastAsia="宋体" w:cs="仿宋"/>
                <w:color w:val="auto"/>
                <w:sz w:val="24"/>
                <w:highlight w:val="none"/>
              </w:rPr>
            </w:pPr>
          </w:p>
        </w:tc>
        <w:tc>
          <w:tcPr>
            <w:tcW w:w="1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宋体" w:hAnsi="宋体" w:eastAsia="宋体" w:cs="仿宋"/>
                <w:color w:val="auto"/>
                <w:sz w:val="24"/>
                <w:highlight w:val="none"/>
              </w:rPr>
            </w:pP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宋体" w:hAnsi="宋体" w:eastAsia="宋体" w:cs="仿宋"/>
                <w:color w:val="auto"/>
                <w:sz w:val="24"/>
                <w:highlight w:val="none"/>
              </w:rPr>
            </w:pPr>
          </w:p>
        </w:tc>
        <w:tc>
          <w:tcPr>
            <w:tcW w:w="18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宋体" w:hAnsi="宋体" w:eastAsia="宋体" w:cs="仿宋"/>
                <w:color w:val="auto"/>
                <w:sz w:val="24"/>
                <w:highlight w:val="none"/>
              </w:rPr>
            </w:pPr>
          </w:p>
        </w:tc>
      </w:tr>
      <w:tr>
        <w:trPr>
          <w:trHeight w:val="394"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宋体" w:hAnsi="宋体" w:eastAsia="宋体" w:cs="仿宋"/>
                <w:color w:val="auto"/>
                <w:sz w:val="24"/>
                <w:highlight w:val="none"/>
              </w:rPr>
            </w:pPr>
            <w:r>
              <w:rPr>
                <w:rFonts w:hint="eastAsia" w:ascii="宋体" w:hAnsi="宋体" w:eastAsia="宋体" w:cs="仿宋"/>
                <w:color w:val="auto"/>
                <w:sz w:val="24"/>
                <w:highlight w:val="none"/>
              </w:rPr>
              <w:t>……</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宋体" w:hAnsi="宋体" w:eastAsia="宋体" w:cs="仿宋"/>
                <w:color w:val="auto"/>
                <w:sz w:val="24"/>
                <w:highlight w:val="none"/>
              </w:rPr>
            </w:pPr>
          </w:p>
        </w:tc>
        <w:tc>
          <w:tcPr>
            <w:tcW w:w="1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宋体" w:hAnsi="宋体" w:eastAsia="宋体" w:cs="仿宋"/>
                <w:color w:val="auto"/>
                <w:sz w:val="24"/>
                <w:highlight w:val="none"/>
              </w:rPr>
            </w:pPr>
            <w:r>
              <w:rPr>
                <w:rFonts w:hint="eastAsia" w:ascii="宋体" w:hAnsi="宋体" w:eastAsia="宋体" w:cs="仿宋"/>
                <w:color w:val="auto"/>
                <w:sz w:val="24"/>
                <w:highlight w:val="none"/>
                <w:lang w:bidi="ar"/>
              </w:rPr>
              <w:t>……</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宋体" w:hAnsi="宋体" w:eastAsia="宋体" w:cs="仿宋"/>
                <w:color w:val="auto"/>
                <w:sz w:val="24"/>
                <w:highlight w:val="none"/>
              </w:rPr>
            </w:pPr>
          </w:p>
        </w:tc>
        <w:tc>
          <w:tcPr>
            <w:tcW w:w="18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宋体" w:hAnsi="宋体" w:eastAsia="宋体" w:cs="仿宋"/>
                <w:color w:val="auto"/>
                <w:sz w:val="24"/>
                <w:highlight w:val="none"/>
              </w:rPr>
            </w:pPr>
            <w:r>
              <w:rPr>
                <w:rFonts w:hint="eastAsia" w:ascii="宋体" w:hAnsi="宋体" w:eastAsia="宋体" w:cs="仿宋"/>
                <w:color w:val="auto"/>
                <w:sz w:val="24"/>
                <w:highlight w:val="none"/>
                <w:lang w:bidi="ar"/>
              </w:rPr>
              <w:t>…</w:t>
            </w:r>
          </w:p>
        </w:tc>
      </w:tr>
      <w:tr>
        <w:trPr>
          <w:trHeight w:val="1388"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宋体" w:hAnsi="宋体" w:eastAsia="仿宋" w:cs="宋体"/>
                <w:color w:val="auto"/>
                <w:sz w:val="18"/>
                <w:szCs w:val="18"/>
                <w:highlight w:val="none"/>
                <w:lang w:bidi="ar"/>
              </w:rPr>
            </w:pPr>
            <w:r>
              <w:rPr>
                <w:rStyle w:val="62"/>
                <w:rFonts w:hint="default" w:ascii="宋体" w:hAnsi="宋体"/>
                <w:color w:val="auto"/>
                <w:sz w:val="18"/>
                <w:szCs w:val="18"/>
                <w:highlight w:val="none"/>
                <w:lang w:bidi="ar"/>
              </w:rPr>
              <w:t>备注</w:t>
            </w:r>
            <w:r>
              <w:rPr>
                <w:rStyle w:val="62"/>
                <w:rFonts w:hint="default" w:ascii="宋体" w:hAnsi="宋体"/>
                <w:b/>
                <w:bCs/>
                <w:color w:val="auto"/>
                <w:sz w:val="18"/>
                <w:szCs w:val="18"/>
                <w:highlight w:val="none"/>
                <w:lang w:bidi="ar"/>
              </w:rPr>
              <w:t>（请投标人严格按照相关要求填写）</w:t>
            </w:r>
            <w:r>
              <w:rPr>
                <w:rStyle w:val="62"/>
                <w:rFonts w:hint="default" w:ascii="宋体" w:hAnsi="宋体"/>
                <w:color w:val="auto"/>
                <w:sz w:val="18"/>
                <w:szCs w:val="18"/>
                <w:highlight w:val="none"/>
                <w:lang w:bidi="ar"/>
              </w:rPr>
              <w:t>：</w:t>
            </w:r>
          </w:p>
          <w:p>
            <w:pPr>
              <w:widowControl/>
              <w:spacing w:line="360" w:lineRule="auto"/>
              <w:jc w:val="left"/>
              <w:textAlignment w:val="center"/>
              <w:rPr>
                <w:rFonts w:ascii="宋体" w:hAnsi="宋体" w:eastAsia="仿宋" w:cs="宋体"/>
                <w:color w:val="auto"/>
                <w:sz w:val="18"/>
                <w:szCs w:val="18"/>
                <w:highlight w:val="none"/>
                <w:lang w:bidi="ar"/>
              </w:rPr>
            </w:pPr>
            <w:r>
              <w:rPr>
                <w:rStyle w:val="62"/>
                <w:rFonts w:hint="eastAsia" w:ascii="宋体" w:hAnsi="宋体" w:eastAsia="仿宋" w:cs="宋体"/>
                <w:color w:val="auto"/>
                <w:sz w:val="18"/>
                <w:szCs w:val="18"/>
                <w:highlight w:val="none"/>
                <w:lang w:val="en-US" w:eastAsia="zh-CN" w:bidi="ar"/>
              </w:rPr>
              <w:t>1</w:t>
            </w:r>
            <w:r>
              <w:rPr>
                <w:rStyle w:val="62"/>
                <w:rFonts w:hint="default" w:ascii="宋体" w:hAnsi="宋体"/>
                <w:color w:val="auto"/>
                <w:sz w:val="18"/>
                <w:szCs w:val="18"/>
                <w:highlight w:val="none"/>
                <w:lang w:bidi="ar"/>
              </w:rPr>
              <w:t>、投标人应根据本表中的</w:t>
            </w:r>
            <w:r>
              <w:rPr>
                <w:rStyle w:val="62"/>
                <w:rFonts w:hint="default" w:ascii="宋体" w:hAnsi="宋体" w:cs="宋体"/>
                <w:color w:val="auto"/>
                <w:sz w:val="18"/>
                <w:szCs w:val="18"/>
                <w:highlight w:val="none"/>
                <w:lang w:bidi="ar"/>
              </w:rPr>
              <w:t>“</w:t>
            </w:r>
            <w:r>
              <w:rPr>
                <w:rStyle w:val="62"/>
                <w:rFonts w:hint="default" w:ascii="宋体" w:hAnsi="宋体"/>
                <w:color w:val="auto"/>
                <w:sz w:val="18"/>
                <w:szCs w:val="18"/>
                <w:highlight w:val="none"/>
                <w:lang w:bidi="ar"/>
              </w:rPr>
              <w:t>岗位</w:t>
            </w:r>
            <w:r>
              <w:rPr>
                <w:rStyle w:val="62"/>
                <w:rFonts w:hint="default" w:ascii="宋体" w:hAnsi="宋体" w:cs="宋体"/>
                <w:color w:val="auto"/>
                <w:sz w:val="18"/>
                <w:szCs w:val="18"/>
                <w:highlight w:val="none"/>
                <w:lang w:bidi="ar"/>
              </w:rPr>
              <w:t>”</w:t>
            </w:r>
            <w:r>
              <w:rPr>
                <w:rStyle w:val="62"/>
                <w:rFonts w:hint="default" w:ascii="宋体" w:hAnsi="宋体"/>
                <w:color w:val="auto"/>
                <w:sz w:val="18"/>
                <w:szCs w:val="18"/>
                <w:highlight w:val="none"/>
                <w:lang w:bidi="ar"/>
              </w:rPr>
              <w:t>要求，填写本表</w:t>
            </w:r>
            <w:r>
              <w:rPr>
                <w:rStyle w:val="62"/>
                <w:rFonts w:hint="default" w:ascii="宋体" w:hAnsi="宋体" w:cs="宋体"/>
                <w:color w:val="auto"/>
                <w:sz w:val="18"/>
                <w:szCs w:val="18"/>
                <w:highlight w:val="none"/>
                <w:lang w:bidi="ar"/>
              </w:rPr>
              <w:t>“</w:t>
            </w:r>
            <w:r>
              <w:rPr>
                <w:rStyle w:val="62"/>
                <w:rFonts w:hint="default" w:ascii="宋体" w:hAnsi="宋体"/>
                <w:color w:val="auto"/>
                <w:sz w:val="18"/>
                <w:szCs w:val="18"/>
                <w:highlight w:val="none"/>
                <w:lang w:bidi="ar"/>
              </w:rPr>
              <w:t>岗位</w:t>
            </w:r>
            <w:r>
              <w:rPr>
                <w:rStyle w:val="62"/>
                <w:rFonts w:hint="default" w:ascii="宋体" w:hAnsi="宋体" w:cs="宋体"/>
                <w:color w:val="auto"/>
                <w:sz w:val="18"/>
                <w:szCs w:val="18"/>
                <w:highlight w:val="none"/>
                <w:lang w:bidi="ar"/>
              </w:rPr>
              <w:t>”</w:t>
            </w:r>
            <w:r>
              <w:rPr>
                <w:rStyle w:val="62"/>
                <w:rFonts w:hint="default" w:ascii="宋体" w:hAnsi="宋体"/>
                <w:color w:val="auto"/>
                <w:sz w:val="18"/>
                <w:szCs w:val="18"/>
                <w:highlight w:val="none"/>
                <w:lang w:bidi="ar"/>
              </w:rPr>
              <w:t>栏和相关人员</w:t>
            </w:r>
            <w:r>
              <w:rPr>
                <w:rStyle w:val="62"/>
                <w:rFonts w:hint="default" w:ascii="宋体" w:hAnsi="宋体" w:cs="宋体"/>
                <w:color w:val="auto"/>
                <w:sz w:val="18"/>
                <w:szCs w:val="18"/>
                <w:highlight w:val="none"/>
                <w:lang w:bidi="ar"/>
              </w:rPr>
              <w:t>“</w:t>
            </w:r>
            <w:r>
              <w:rPr>
                <w:rStyle w:val="62"/>
                <w:rFonts w:hint="default" w:ascii="宋体" w:hAnsi="宋体"/>
                <w:color w:val="auto"/>
                <w:sz w:val="18"/>
                <w:szCs w:val="18"/>
                <w:highlight w:val="none"/>
                <w:lang w:bidi="ar"/>
              </w:rPr>
              <w:t>姓名</w:t>
            </w:r>
            <w:r>
              <w:rPr>
                <w:rStyle w:val="62"/>
                <w:rFonts w:hint="default" w:ascii="宋体" w:hAnsi="宋体" w:cs="宋体"/>
                <w:color w:val="auto"/>
                <w:sz w:val="18"/>
                <w:szCs w:val="18"/>
                <w:highlight w:val="none"/>
                <w:lang w:bidi="ar"/>
              </w:rPr>
              <w:t>”</w:t>
            </w:r>
            <w:r>
              <w:rPr>
                <w:rStyle w:val="62"/>
                <w:rFonts w:hint="default" w:ascii="宋体" w:hAnsi="宋体"/>
                <w:color w:val="auto"/>
                <w:sz w:val="18"/>
                <w:szCs w:val="18"/>
                <w:highlight w:val="none"/>
                <w:lang w:bidi="ar"/>
              </w:rPr>
              <w:t>、</w:t>
            </w:r>
            <w:r>
              <w:rPr>
                <w:rStyle w:val="62"/>
                <w:rFonts w:hint="default" w:ascii="宋体" w:hAnsi="宋体" w:cs="宋体"/>
                <w:color w:val="auto"/>
                <w:sz w:val="18"/>
                <w:szCs w:val="18"/>
                <w:highlight w:val="none"/>
                <w:lang w:bidi="ar"/>
              </w:rPr>
              <w:t>“</w:t>
            </w:r>
            <w:r>
              <w:rPr>
                <w:rStyle w:val="62"/>
                <w:rFonts w:hint="default" w:ascii="宋体" w:hAnsi="宋体"/>
                <w:color w:val="auto"/>
                <w:sz w:val="18"/>
                <w:szCs w:val="18"/>
                <w:highlight w:val="none"/>
                <w:lang w:bidi="ar"/>
              </w:rPr>
              <w:t>职称</w:t>
            </w:r>
            <w:r>
              <w:rPr>
                <w:rStyle w:val="62"/>
                <w:rFonts w:hint="default" w:ascii="宋体" w:hAnsi="宋体" w:cs="宋体"/>
                <w:color w:val="auto"/>
                <w:sz w:val="18"/>
                <w:szCs w:val="18"/>
                <w:highlight w:val="none"/>
                <w:lang w:bidi="ar"/>
              </w:rPr>
              <w:t>”</w:t>
            </w:r>
            <w:r>
              <w:rPr>
                <w:rStyle w:val="62"/>
                <w:rFonts w:hint="default" w:ascii="宋体" w:hAnsi="宋体"/>
                <w:color w:val="auto"/>
                <w:sz w:val="18"/>
                <w:szCs w:val="18"/>
                <w:highlight w:val="none"/>
                <w:lang w:bidi="ar"/>
              </w:rPr>
              <w:t>和</w:t>
            </w:r>
            <w:r>
              <w:rPr>
                <w:rStyle w:val="62"/>
                <w:rFonts w:hint="default" w:ascii="宋体" w:hAnsi="宋体" w:cs="宋体"/>
                <w:color w:val="auto"/>
                <w:sz w:val="18"/>
                <w:szCs w:val="18"/>
                <w:highlight w:val="none"/>
                <w:lang w:bidi="ar"/>
              </w:rPr>
              <w:t>“</w:t>
            </w:r>
            <w:r>
              <w:rPr>
                <w:rStyle w:val="62"/>
                <w:rFonts w:hint="default" w:ascii="宋体" w:hAnsi="宋体"/>
                <w:color w:val="auto"/>
                <w:sz w:val="18"/>
                <w:szCs w:val="18"/>
                <w:highlight w:val="none"/>
                <w:lang w:bidi="ar"/>
              </w:rPr>
              <w:t>职称证书编号</w:t>
            </w:r>
            <w:r>
              <w:rPr>
                <w:rStyle w:val="62"/>
                <w:rFonts w:hint="default" w:ascii="宋体" w:hAnsi="宋体" w:cs="宋体"/>
                <w:color w:val="auto"/>
                <w:sz w:val="18"/>
                <w:szCs w:val="18"/>
                <w:highlight w:val="none"/>
                <w:lang w:bidi="ar"/>
              </w:rPr>
              <w:t>”</w:t>
            </w:r>
            <w:r>
              <w:rPr>
                <w:rStyle w:val="62"/>
                <w:rFonts w:hint="default" w:ascii="宋体" w:hAnsi="宋体"/>
                <w:color w:val="auto"/>
                <w:sz w:val="18"/>
                <w:szCs w:val="18"/>
                <w:highlight w:val="none"/>
                <w:lang w:bidi="ar"/>
              </w:rPr>
              <w:t>栏。</w:t>
            </w:r>
            <w:r>
              <w:rPr>
                <w:rStyle w:val="62"/>
                <w:rFonts w:hint="default" w:ascii="宋体" w:hAnsi="宋体" w:cs="宋体"/>
                <w:color w:val="auto"/>
                <w:sz w:val="18"/>
                <w:szCs w:val="18"/>
                <w:highlight w:val="none"/>
                <w:lang w:bidi="ar"/>
              </w:rPr>
              <w:t>“</w:t>
            </w:r>
            <w:r>
              <w:rPr>
                <w:rStyle w:val="62"/>
                <w:rFonts w:hint="default" w:ascii="宋体" w:hAnsi="宋体"/>
                <w:color w:val="auto"/>
                <w:sz w:val="18"/>
                <w:szCs w:val="18"/>
                <w:highlight w:val="none"/>
                <w:lang w:bidi="ar"/>
              </w:rPr>
              <w:t>职称</w:t>
            </w:r>
            <w:r>
              <w:rPr>
                <w:rStyle w:val="62"/>
                <w:rFonts w:hint="default" w:ascii="宋体" w:hAnsi="宋体" w:cs="宋体"/>
                <w:color w:val="auto"/>
                <w:sz w:val="18"/>
                <w:szCs w:val="18"/>
                <w:highlight w:val="none"/>
                <w:lang w:bidi="ar"/>
              </w:rPr>
              <w:t>”</w:t>
            </w:r>
            <w:r>
              <w:rPr>
                <w:rStyle w:val="62"/>
                <w:rFonts w:hint="default" w:ascii="宋体" w:hAnsi="宋体"/>
                <w:color w:val="auto"/>
                <w:sz w:val="18"/>
                <w:szCs w:val="18"/>
                <w:highlight w:val="none"/>
                <w:lang w:bidi="ar"/>
              </w:rPr>
              <w:t>栏填</w:t>
            </w:r>
            <w:r>
              <w:rPr>
                <w:rStyle w:val="62"/>
                <w:rFonts w:hint="default" w:ascii="宋体" w:hAnsi="宋体" w:cs="宋体"/>
                <w:color w:val="auto"/>
                <w:sz w:val="18"/>
                <w:szCs w:val="18"/>
                <w:highlight w:val="none"/>
                <w:lang w:bidi="ar"/>
              </w:rPr>
              <w:t>“</w:t>
            </w:r>
            <w:r>
              <w:rPr>
                <w:rStyle w:val="62"/>
                <w:rFonts w:hint="default" w:ascii="宋体" w:hAnsi="宋体"/>
                <w:color w:val="auto"/>
                <w:sz w:val="18"/>
                <w:szCs w:val="18"/>
                <w:highlight w:val="none"/>
                <w:lang w:bidi="ar"/>
              </w:rPr>
              <w:t>高级</w:t>
            </w:r>
            <w:r>
              <w:rPr>
                <w:rStyle w:val="62"/>
                <w:rFonts w:hint="default" w:ascii="宋体" w:hAnsi="宋体" w:cs="宋体"/>
                <w:color w:val="auto"/>
                <w:sz w:val="18"/>
                <w:szCs w:val="18"/>
                <w:highlight w:val="none"/>
                <w:lang w:bidi="ar"/>
              </w:rPr>
              <w:t>”</w:t>
            </w:r>
            <w:r>
              <w:rPr>
                <w:rStyle w:val="62"/>
                <w:rFonts w:hint="default" w:ascii="宋体" w:hAnsi="宋体"/>
                <w:color w:val="auto"/>
                <w:sz w:val="18"/>
                <w:szCs w:val="18"/>
                <w:highlight w:val="none"/>
                <w:lang w:bidi="ar"/>
              </w:rPr>
              <w:t>、</w:t>
            </w:r>
            <w:r>
              <w:rPr>
                <w:rStyle w:val="62"/>
                <w:rFonts w:hint="default" w:ascii="宋体" w:hAnsi="宋体" w:cs="宋体"/>
                <w:color w:val="auto"/>
                <w:sz w:val="18"/>
                <w:szCs w:val="18"/>
                <w:highlight w:val="none"/>
                <w:lang w:bidi="ar"/>
              </w:rPr>
              <w:t>“</w:t>
            </w:r>
            <w:r>
              <w:rPr>
                <w:rStyle w:val="62"/>
                <w:rFonts w:hint="default" w:ascii="宋体" w:hAnsi="宋体"/>
                <w:color w:val="auto"/>
                <w:sz w:val="18"/>
                <w:szCs w:val="18"/>
                <w:highlight w:val="none"/>
                <w:lang w:bidi="ar"/>
              </w:rPr>
              <w:t>中级</w:t>
            </w:r>
            <w:r>
              <w:rPr>
                <w:rStyle w:val="62"/>
                <w:rFonts w:hint="default" w:ascii="宋体" w:hAnsi="宋体" w:cs="宋体"/>
                <w:color w:val="auto"/>
                <w:sz w:val="18"/>
                <w:szCs w:val="18"/>
                <w:highlight w:val="none"/>
                <w:lang w:bidi="ar"/>
              </w:rPr>
              <w:t>”</w:t>
            </w:r>
            <w:r>
              <w:rPr>
                <w:rStyle w:val="62"/>
                <w:rFonts w:hint="default" w:ascii="宋体" w:hAnsi="宋体"/>
                <w:color w:val="auto"/>
                <w:sz w:val="18"/>
                <w:szCs w:val="18"/>
                <w:highlight w:val="none"/>
                <w:lang w:bidi="ar"/>
              </w:rPr>
              <w:t>、</w:t>
            </w:r>
            <w:r>
              <w:rPr>
                <w:rStyle w:val="62"/>
                <w:rFonts w:hint="default" w:ascii="宋体" w:hAnsi="宋体" w:cs="宋体"/>
                <w:color w:val="auto"/>
                <w:sz w:val="18"/>
                <w:szCs w:val="18"/>
                <w:highlight w:val="none"/>
                <w:lang w:bidi="ar"/>
              </w:rPr>
              <w:t>“</w:t>
            </w:r>
            <w:r>
              <w:rPr>
                <w:rStyle w:val="62"/>
                <w:rFonts w:hint="default" w:ascii="宋体" w:hAnsi="宋体"/>
                <w:color w:val="auto"/>
                <w:sz w:val="18"/>
                <w:szCs w:val="18"/>
                <w:highlight w:val="none"/>
                <w:lang w:bidi="ar"/>
              </w:rPr>
              <w:t>初级</w:t>
            </w:r>
            <w:r>
              <w:rPr>
                <w:rStyle w:val="62"/>
                <w:rFonts w:hint="default" w:ascii="宋体" w:hAnsi="宋体" w:cs="宋体"/>
                <w:color w:val="auto"/>
                <w:sz w:val="18"/>
                <w:szCs w:val="18"/>
                <w:highlight w:val="none"/>
                <w:lang w:bidi="ar"/>
              </w:rPr>
              <w:t>”</w:t>
            </w:r>
            <w:r>
              <w:rPr>
                <w:rStyle w:val="62"/>
                <w:rFonts w:hint="default" w:ascii="宋体" w:hAnsi="宋体"/>
                <w:color w:val="auto"/>
                <w:sz w:val="18"/>
                <w:szCs w:val="18"/>
                <w:highlight w:val="none"/>
                <w:lang w:bidi="ar"/>
              </w:rPr>
              <w:t>或</w:t>
            </w:r>
            <w:r>
              <w:rPr>
                <w:rStyle w:val="62"/>
                <w:rFonts w:hint="default" w:ascii="宋体" w:hAnsi="宋体" w:cs="宋体"/>
                <w:color w:val="auto"/>
                <w:sz w:val="18"/>
                <w:szCs w:val="18"/>
                <w:highlight w:val="none"/>
                <w:lang w:bidi="ar"/>
              </w:rPr>
              <w:t>“</w:t>
            </w:r>
            <w:r>
              <w:rPr>
                <w:rStyle w:val="62"/>
                <w:rFonts w:hint="default" w:ascii="宋体" w:hAnsi="宋体"/>
                <w:color w:val="auto"/>
                <w:sz w:val="18"/>
                <w:szCs w:val="18"/>
                <w:highlight w:val="none"/>
                <w:lang w:bidi="ar"/>
              </w:rPr>
              <w:t>无</w:t>
            </w:r>
            <w:r>
              <w:rPr>
                <w:rStyle w:val="62"/>
                <w:rFonts w:hint="default" w:ascii="宋体" w:hAnsi="宋体" w:cs="宋体"/>
                <w:color w:val="auto"/>
                <w:sz w:val="18"/>
                <w:szCs w:val="18"/>
                <w:highlight w:val="none"/>
                <w:lang w:bidi="ar"/>
              </w:rPr>
              <w:t>”</w:t>
            </w:r>
            <w:r>
              <w:rPr>
                <w:rStyle w:val="62"/>
                <w:rFonts w:hint="default" w:ascii="宋体" w:hAnsi="宋体"/>
                <w:color w:val="auto"/>
                <w:sz w:val="18"/>
                <w:szCs w:val="18"/>
                <w:highlight w:val="none"/>
                <w:lang w:bidi="ar"/>
              </w:rPr>
              <w:t>；无职称证书或资格证书的，</w:t>
            </w:r>
            <w:r>
              <w:rPr>
                <w:rStyle w:val="62"/>
                <w:rFonts w:hint="default" w:ascii="宋体" w:hAnsi="宋体" w:cs="宋体"/>
                <w:color w:val="auto"/>
                <w:sz w:val="18"/>
                <w:szCs w:val="18"/>
                <w:highlight w:val="none"/>
                <w:lang w:bidi="ar"/>
              </w:rPr>
              <w:t>“</w:t>
            </w:r>
            <w:r>
              <w:rPr>
                <w:rStyle w:val="62"/>
                <w:rFonts w:hint="default" w:ascii="宋体" w:hAnsi="宋体"/>
                <w:color w:val="auto"/>
                <w:sz w:val="18"/>
                <w:szCs w:val="18"/>
                <w:highlight w:val="none"/>
                <w:lang w:bidi="ar"/>
              </w:rPr>
              <w:t>职称证书或资格证书编号</w:t>
            </w:r>
            <w:r>
              <w:rPr>
                <w:rStyle w:val="62"/>
                <w:rFonts w:hint="default" w:ascii="宋体" w:hAnsi="宋体" w:cs="宋体"/>
                <w:color w:val="auto"/>
                <w:sz w:val="18"/>
                <w:szCs w:val="18"/>
                <w:highlight w:val="none"/>
                <w:lang w:bidi="ar"/>
              </w:rPr>
              <w:t>”</w:t>
            </w:r>
            <w:r>
              <w:rPr>
                <w:rStyle w:val="62"/>
                <w:rFonts w:hint="default" w:ascii="宋体" w:hAnsi="宋体"/>
                <w:color w:val="auto"/>
                <w:sz w:val="18"/>
                <w:szCs w:val="18"/>
                <w:highlight w:val="none"/>
                <w:lang w:bidi="ar"/>
              </w:rPr>
              <w:t>栏填</w:t>
            </w:r>
            <w:r>
              <w:rPr>
                <w:rStyle w:val="62"/>
                <w:rFonts w:hint="default" w:ascii="宋体" w:hAnsi="宋体" w:cs="宋体"/>
                <w:color w:val="auto"/>
                <w:sz w:val="18"/>
                <w:szCs w:val="18"/>
                <w:highlight w:val="none"/>
                <w:lang w:bidi="ar"/>
              </w:rPr>
              <w:t>“</w:t>
            </w:r>
            <w:r>
              <w:rPr>
                <w:rStyle w:val="62"/>
                <w:rFonts w:hint="default" w:ascii="宋体" w:hAnsi="宋体"/>
                <w:color w:val="auto"/>
                <w:sz w:val="18"/>
                <w:szCs w:val="18"/>
                <w:highlight w:val="none"/>
                <w:lang w:bidi="ar"/>
              </w:rPr>
              <w:t>无</w:t>
            </w:r>
            <w:r>
              <w:rPr>
                <w:rStyle w:val="62"/>
                <w:rFonts w:hint="default" w:ascii="宋体" w:hAnsi="宋体" w:cs="宋体"/>
                <w:color w:val="auto"/>
                <w:sz w:val="18"/>
                <w:szCs w:val="18"/>
                <w:highlight w:val="none"/>
                <w:lang w:bidi="ar"/>
              </w:rPr>
              <w:t>”</w:t>
            </w:r>
            <w:r>
              <w:rPr>
                <w:rStyle w:val="62"/>
                <w:rFonts w:hint="default" w:ascii="宋体" w:hAnsi="宋体"/>
                <w:color w:val="auto"/>
                <w:sz w:val="18"/>
                <w:szCs w:val="18"/>
                <w:highlight w:val="none"/>
                <w:lang w:bidi="ar"/>
              </w:rPr>
              <w:t>；同时具备职称证书和资格证书的，</w:t>
            </w:r>
            <w:r>
              <w:rPr>
                <w:rStyle w:val="62"/>
                <w:rFonts w:hint="default" w:ascii="宋体" w:hAnsi="宋体" w:cs="宋体"/>
                <w:color w:val="auto"/>
                <w:sz w:val="18"/>
                <w:szCs w:val="18"/>
                <w:highlight w:val="none"/>
                <w:lang w:bidi="ar"/>
              </w:rPr>
              <w:t>“</w:t>
            </w:r>
            <w:r>
              <w:rPr>
                <w:rStyle w:val="62"/>
                <w:rFonts w:hint="default" w:ascii="宋体" w:hAnsi="宋体"/>
                <w:color w:val="auto"/>
                <w:sz w:val="18"/>
                <w:szCs w:val="18"/>
                <w:highlight w:val="none"/>
                <w:lang w:bidi="ar"/>
              </w:rPr>
              <w:t>职称证书或资格证书编号</w:t>
            </w:r>
            <w:r>
              <w:rPr>
                <w:rStyle w:val="62"/>
                <w:rFonts w:hint="default" w:ascii="宋体" w:hAnsi="宋体" w:cs="宋体"/>
                <w:color w:val="auto"/>
                <w:sz w:val="18"/>
                <w:szCs w:val="18"/>
                <w:highlight w:val="none"/>
                <w:lang w:bidi="ar"/>
              </w:rPr>
              <w:t>”</w:t>
            </w:r>
            <w:r>
              <w:rPr>
                <w:rStyle w:val="62"/>
                <w:rFonts w:hint="default" w:ascii="宋体" w:hAnsi="宋体"/>
                <w:color w:val="auto"/>
                <w:sz w:val="18"/>
                <w:szCs w:val="18"/>
                <w:highlight w:val="none"/>
                <w:lang w:bidi="ar"/>
              </w:rPr>
              <w:t>栏填职称证书编号。</w:t>
            </w:r>
          </w:p>
          <w:p>
            <w:pPr>
              <w:widowControl/>
              <w:spacing w:line="360" w:lineRule="auto"/>
              <w:jc w:val="left"/>
              <w:textAlignment w:val="center"/>
              <w:rPr>
                <w:rFonts w:ascii="宋体" w:hAnsi="宋体" w:eastAsia="宋体" w:cs="仿宋"/>
                <w:color w:val="auto"/>
                <w:sz w:val="18"/>
                <w:szCs w:val="18"/>
                <w:highlight w:val="none"/>
              </w:rPr>
            </w:pPr>
            <w:r>
              <w:rPr>
                <w:rStyle w:val="62"/>
                <w:rFonts w:hint="eastAsia" w:ascii="宋体" w:hAnsi="宋体" w:eastAsia="仿宋" w:cs="宋体"/>
                <w:color w:val="auto"/>
                <w:sz w:val="18"/>
                <w:szCs w:val="18"/>
                <w:highlight w:val="none"/>
                <w:lang w:val="en-US" w:eastAsia="zh-CN" w:bidi="ar"/>
              </w:rPr>
              <w:t>2</w:t>
            </w:r>
            <w:r>
              <w:rPr>
                <w:rStyle w:val="62"/>
                <w:rFonts w:hint="default" w:ascii="宋体" w:hAnsi="宋体"/>
                <w:color w:val="auto"/>
                <w:sz w:val="18"/>
                <w:szCs w:val="18"/>
                <w:highlight w:val="none"/>
                <w:lang w:bidi="ar"/>
              </w:rPr>
              <w:t>、如评标办法对投标人拟投入的项目管理团队进行评审的，</w:t>
            </w:r>
            <w:bookmarkStart w:id="415" w:name="_Hlk61431742"/>
            <w:r>
              <w:rPr>
                <w:rStyle w:val="62"/>
                <w:rFonts w:hint="default" w:ascii="宋体" w:hAnsi="宋体"/>
                <w:color w:val="auto"/>
                <w:sz w:val="18"/>
                <w:szCs w:val="18"/>
                <w:highlight w:val="none"/>
                <w:lang w:bidi="ar"/>
              </w:rPr>
              <w:t>如相同岗位投入人员姓名与本表不一致的，以本表中姓名为准；投标人提供的团队人员职称或资格（含证书编号）情况与本表不一致的，以投标人提供的相关证明材料为准。</w:t>
            </w:r>
            <w:bookmarkEnd w:id="415"/>
          </w:p>
        </w:tc>
      </w:tr>
      <w:bookmarkEnd w:id="413"/>
    </w:tbl>
    <w:p>
      <w:pPr>
        <w:pStyle w:val="12"/>
        <w:rPr>
          <w:rFonts w:hint="default"/>
          <w:color w:val="auto"/>
          <w:highlight w:val="none"/>
        </w:rPr>
      </w:pPr>
    </w:p>
    <w:p>
      <w:pPr>
        <w:spacing w:line="360" w:lineRule="auto"/>
        <w:rPr>
          <w:rFonts w:ascii="宋体" w:hAnsi="宋体" w:eastAsia="宋体" w:cs="宋体"/>
          <w:b/>
          <w:color w:val="auto"/>
          <w:kern w:val="1"/>
          <w:sz w:val="24"/>
          <w:szCs w:val="22"/>
          <w:highlight w:val="none"/>
          <w:lang w:val="zh-CN"/>
        </w:rPr>
      </w:pPr>
      <w:r>
        <w:rPr>
          <w:rFonts w:hint="eastAsia" w:ascii="宋体" w:hAnsi="宋体" w:eastAsia="宋体" w:cs="宋体"/>
          <w:b/>
          <w:color w:val="auto"/>
          <w:kern w:val="1"/>
          <w:sz w:val="24"/>
          <w:szCs w:val="22"/>
          <w:highlight w:val="none"/>
          <w:lang w:bidi="ar"/>
        </w:rPr>
        <w:br w:type="page"/>
      </w:r>
      <w:r>
        <w:rPr>
          <w:rFonts w:hint="eastAsia" w:ascii="宋体" w:hAnsi="宋体" w:eastAsia="宋体" w:cs="宋体"/>
          <w:b/>
          <w:color w:val="auto"/>
          <w:kern w:val="1"/>
          <w:sz w:val="24"/>
          <w:szCs w:val="22"/>
          <w:highlight w:val="none"/>
          <w:lang w:val="zh-CN" w:bidi="ar"/>
        </w:rPr>
        <w:t>格式3：</w:t>
      </w:r>
    </w:p>
    <w:p>
      <w:pPr>
        <w:pStyle w:val="24"/>
        <w:widowControl/>
        <w:spacing w:line="360" w:lineRule="auto"/>
        <w:ind w:left="-2" w:firstLine="632"/>
        <w:jc w:val="center"/>
        <w:rPr>
          <w:rFonts w:ascii="宋体" w:hAnsi="宋体" w:cs="宋体"/>
          <w:b/>
          <w:color w:val="auto"/>
          <w:sz w:val="24"/>
          <w:highlight w:val="none"/>
        </w:rPr>
      </w:pPr>
      <w:r>
        <w:rPr>
          <w:rFonts w:hint="eastAsia" w:ascii="宋体" w:hAnsi="宋体" w:cs="宋体"/>
          <w:b/>
          <w:bCs/>
          <w:color w:val="auto"/>
          <w:sz w:val="28"/>
          <w:szCs w:val="28"/>
          <w:highlight w:val="none"/>
          <w:lang w:val="zh-CN"/>
        </w:rPr>
        <w:t>投标承诺</w:t>
      </w:r>
      <w:r>
        <w:rPr>
          <w:rFonts w:hint="eastAsia" w:ascii="宋体" w:hAnsi="宋体" w:cs="宋体"/>
          <w:b/>
          <w:bCs/>
          <w:color w:val="auto"/>
          <w:sz w:val="28"/>
          <w:szCs w:val="28"/>
          <w:highlight w:val="none"/>
        </w:rPr>
        <w:t>函</w:t>
      </w:r>
    </w:p>
    <w:p>
      <w:pPr>
        <w:spacing w:line="360" w:lineRule="auto"/>
        <w:rPr>
          <w:rFonts w:ascii="宋体" w:hAnsi="宋体" w:eastAsia="宋体" w:cs="宋体"/>
          <w:color w:val="auto"/>
          <w:szCs w:val="21"/>
          <w:highlight w:val="none"/>
        </w:rPr>
      </w:pP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（招标人名称）：</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1．我方已仔细研究了</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项目名称）招标文件的全部内容，愿意以《投标函》中承诺的投标报价和工期，按合同约定进行设计、实施和竣工承包工程，修补工程中的任何缺陷，实现工程目的。我方充分了解了现场条件对可能存在的所有风险都已充分考虑，我方放弃在此方面提出含糊意见或误解的一切权力，承认招标文件的所有条款，按招标文件规定条款完成本次招标项目的内容。</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 我方已充分阅读了本项目招标文件并充分了解有关报价方式及变更、结算方式，我方完全响应招标文件的规定。</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3．我方承诺投标文件中的一切资料、数据是真实的，并承担由此引起的一切责任。</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4．我方承诺在招标文件规定的投标有效期内不修改、撤销投标文件。</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5．按规定递交投标保证金。</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6．我方如果中标，我方保证：</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（1）保证履行招标文件以及招标文件修改书(如有)中的全部责任和义务，在中标通知书规定的时间内签订合同，并严格按国家有关法规履行我方的全部责任，按质、按量、按期完成合同约定的全部任务。</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保证将我方的资质承包范围不能涵盖或不具备相应能力(该能力须保证进度和质量且须获得发包人认可)的部分专业工程（如果有），委托获得发包人批准的具备相应专业资质和能力的单位实施，确保项目质量及进度。</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保证所完成的设计将完全符合国家相关规范要求，符合或优于招标文件、技术条件、合同条款的要求。若我方完成的设计文件未能达到发包人（或相关政府部门）的要求，我方将无条件根据要求进行修改设计文件，直至得到发包人（及相关政府部门）的认可为止。</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（4）保证尽一切力量确保投标承诺的竣工日期，若我方未能按投标承诺的工期完成本项目，除承担合同约定的违约责任外，发包人有权解除合同，我方承担由于违约解除合同退场造成的对发包人的一切损失。</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（5）保证所投入本项目的主要材料、设备质量符合或优于招标文件要求，所投入本项目的辅助设备、材料与主主要材料、设备质量一致并有良好的配套性。</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（6）保证按照招标文件的要求确保安全生产及文明施工，如有违反，我方愿意按合同约定承担违约责任，并为此负相关的法律责任。</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（7）保证按国家的有关规定制订保证民工工资支付的方案及保证措施，否则，我方愿按合同条款规定承担违约责任并赔偿发包人的全部损失。</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（8）保证按施工期间做好安全文明和交通保证措施，施工区全封闭围挡，根据工程进度计划分段施工分期围挡。最大限度满足交通和市民出行方便，施工行为做到便民，不扰民。</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（9）保证按发包方工期要求编制施工进度计划，计划内用全面详实，根据项目特点合理组织分段施工，分段逐步移交。</w:t>
      </w:r>
    </w:p>
    <w:p>
      <w:pPr>
        <w:spacing w:line="360" w:lineRule="auto"/>
        <w:ind w:firstLine="420" w:firstLineChars="200"/>
        <w:rPr>
          <w:rFonts w:ascii="宋体" w:hAnsi="宋体" w:eastAsia="宋体" w:cs="宋体"/>
          <w:color w:val="auto"/>
          <w:szCs w:val="21"/>
          <w:highlight w:val="none"/>
        </w:rPr>
      </w:pPr>
    </w:p>
    <w:p>
      <w:pPr>
        <w:spacing w:line="360" w:lineRule="auto"/>
        <w:ind w:firstLine="420" w:firstLineChars="200"/>
        <w:rPr>
          <w:rFonts w:ascii="宋体" w:hAnsi="宋体" w:eastAsia="宋体" w:cs="宋体"/>
          <w:color w:val="auto"/>
          <w:szCs w:val="21"/>
          <w:highlight w:val="none"/>
        </w:rPr>
      </w:pPr>
    </w:p>
    <w:p>
      <w:pPr>
        <w:spacing w:line="360" w:lineRule="auto"/>
        <w:ind w:firstLine="4725" w:firstLineChars="2250"/>
        <w:rPr>
          <w:rFonts w:ascii="宋体" w:hAnsi="宋体" w:eastAsia="宋体" w:cs="宋体"/>
          <w:color w:val="auto"/>
          <w:szCs w:val="21"/>
          <w:highlight w:val="none"/>
        </w:rPr>
      </w:pPr>
    </w:p>
    <w:p>
      <w:pPr>
        <w:spacing w:line="360" w:lineRule="auto"/>
        <w:ind w:firstLine="4725" w:firstLineChars="225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投标人：</w:t>
      </w:r>
      <w:r>
        <w:rPr>
          <w:rFonts w:hint="eastAsia" w:ascii="宋体" w:hAnsi="宋体" w:eastAsia="宋体" w:cs="宋体"/>
          <w:color w:val="auto"/>
          <w:kern w:val="1"/>
          <w:szCs w:val="21"/>
          <w:highlight w:val="none"/>
          <w:u w:val="single"/>
          <w:lang w:bidi="ar"/>
        </w:rPr>
        <w:t xml:space="preserve">         </w:t>
      </w:r>
      <w:r>
        <w:rPr>
          <w:rFonts w:hint="eastAsia" w:ascii="宋体" w:hAnsi="宋体" w:eastAsia="宋体" w:cs="宋体"/>
          <w:color w:val="auto"/>
          <w:kern w:val="0"/>
          <w:szCs w:val="21"/>
          <w:highlight w:val="none"/>
          <w:lang w:bidi="ar"/>
        </w:rPr>
        <w:t>（盖章）</w:t>
      </w:r>
    </w:p>
    <w:p>
      <w:pPr>
        <w:spacing w:line="360" w:lineRule="auto"/>
        <w:ind w:firstLine="4725" w:firstLineChars="2250"/>
        <w:rPr>
          <w:rFonts w:ascii="宋体" w:hAnsi="宋体" w:eastAsia="宋体" w:cs="宋体"/>
          <w:color w:val="auto"/>
          <w:kern w:val="1"/>
          <w:szCs w:val="21"/>
          <w:highlight w:val="none"/>
          <w:u w:val="single"/>
        </w:rPr>
      </w:pPr>
      <w:r>
        <w:rPr>
          <w:rFonts w:hint="eastAsia" w:ascii="宋体" w:hAnsi="宋体" w:eastAsia="宋体" w:cs="宋体"/>
          <w:color w:val="auto"/>
          <w:kern w:val="1"/>
          <w:szCs w:val="21"/>
          <w:highlight w:val="none"/>
          <w:lang w:bidi="ar"/>
        </w:rPr>
        <w:t>法定代表人或其授权代理人(</w:t>
      </w:r>
      <w:r>
        <w:rPr>
          <w:rFonts w:hint="eastAsia" w:ascii="宋体" w:hAnsi="宋体" w:eastAsia="宋体" w:cs="宋体"/>
          <w:color w:val="auto"/>
          <w:kern w:val="0"/>
          <w:szCs w:val="21"/>
          <w:highlight w:val="none"/>
          <w:lang w:bidi="ar"/>
        </w:rPr>
        <w:t>签字或盖章</w:t>
      </w:r>
      <w:r>
        <w:rPr>
          <w:rFonts w:hint="eastAsia" w:ascii="宋体" w:hAnsi="宋体" w:eastAsia="宋体" w:cs="宋体"/>
          <w:color w:val="auto"/>
          <w:kern w:val="1"/>
          <w:szCs w:val="21"/>
          <w:highlight w:val="none"/>
          <w:lang w:bidi="ar"/>
        </w:rPr>
        <w:t>)：</w:t>
      </w:r>
      <w:r>
        <w:rPr>
          <w:rFonts w:hint="eastAsia" w:ascii="宋体" w:hAnsi="宋体" w:eastAsia="宋体" w:cs="宋体"/>
          <w:color w:val="auto"/>
          <w:kern w:val="1"/>
          <w:szCs w:val="21"/>
          <w:highlight w:val="none"/>
          <w:u w:val="single"/>
          <w:lang w:bidi="ar"/>
        </w:rPr>
        <w:t xml:space="preserve">                 </w:t>
      </w:r>
    </w:p>
    <w:p>
      <w:pPr>
        <w:spacing w:line="360" w:lineRule="auto"/>
        <w:ind w:firstLine="4725" w:firstLineChars="225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日   期：    年    月    日</w:t>
      </w:r>
    </w:p>
    <w:p>
      <w:pPr>
        <w:spacing w:line="360" w:lineRule="auto"/>
        <w:ind w:firstLine="3360"/>
        <w:jc w:val="right"/>
        <w:rPr>
          <w:rFonts w:ascii="宋体" w:hAnsi="宋体" w:eastAsia="宋体" w:cs="宋体"/>
          <w:color w:val="auto"/>
          <w:kern w:val="1"/>
          <w:szCs w:val="21"/>
          <w:highlight w:val="none"/>
        </w:rPr>
      </w:pPr>
    </w:p>
    <w:p>
      <w:pPr>
        <w:pStyle w:val="12"/>
        <w:rPr>
          <w:rFonts w:hint="default"/>
          <w:color w:val="auto"/>
          <w:highlight w:val="none"/>
        </w:rPr>
      </w:pPr>
    </w:p>
    <w:p>
      <w:pPr>
        <w:spacing w:line="360" w:lineRule="auto"/>
        <w:ind w:firstLine="420"/>
        <w:rPr>
          <w:rFonts w:ascii="宋体" w:hAnsi="宋体" w:eastAsia="宋体" w:cs="宋体"/>
          <w:color w:val="auto"/>
          <w:kern w:val="1"/>
          <w:szCs w:val="21"/>
          <w:highlight w:val="none"/>
        </w:rPr>
      </w:pPr>
    </w:p>
    <w:p>
      <w:pPr>
        <w:spacing w:line="360" w:lineRule="auto"/>
        <w:rPr>
          <w:rFonts w:ascii="宋体" w:hAnsi="宋体" w:eastAsia="宋体" w:cs="宋体"/>
          <w:b/>
          <w:color w:val="auto"/>
          <w:kern w:val="1"/>
          <w:sz w:val="24"/>
          <w:szCs w:val="22"/>
          <w:highlight w:val="none"/>
          <w:lang w:val="zh-CN"/>
        </w:rPr>
      </w:pPr>
      <w:r>
        <w:rPr>
          <w:rFonts w:hint="eastAsia" w:ascii="宋体" w:hAnsi="宋体" w:eastAsia="宋体" w:cs="Calibri"/>
          <w:color w:val="auto"/>
          <w:szCs w:val="22"/>
          <w:highlight w:val="none"/>
          <w:lang w:bidi="ar"/>
        </w:rPr>
        <w:br w:type="page"/>
      </w:r>
      <w:r>
        <w:rPr>
          <w:rFonts w:hint="eastAsia" w:ascii="宋体" w:hAnsi="宋体" w:eastAsia="宋体" w:cs="宋体"/>
          <w:b/>
          <w:color w:val="auto"/>
          <w:kern w:val="1"/>
          <w:sz w:val="24"/>
          <w:szCs w:val="22"/>
          <w:highlight w:val="none"/>
          <w:lang w:val="zh-CN" w:bidi="ar"/>
        </w:rPr>
        <w:t>格式</w:t>
      </w:r>
      <w:r>
        <w:rPr>
          <w:rFonts w:hint="eastAsia" w:ascii="宋体" w:hAnsi="宋体" w:eastAsia="宋体" w:cs="宋体"/>
          <w:b/>
          <w:color w:val="auto"/>
          <w:kern w:val="1"/>
          <w:sz w:val="24"/>
          <w:szCs w:val="22"/>
          <w:highlight w:val="none"/>
          <w:lang w:bidi="ar"/>
        </w:rPr>
        <w:t>4</w:t>
      </w:r>
      <w:r>
        <w:rPr>
          <w:rFonts w:hint="eastAsia" w:ascii="宋体" w:hAnsi="宋体" w:eastAsia="宋体" w:cs="宋体"/>
          <w:b/>
          <w:color w:val="auto"/>
          <w:kern w:val="1"/>
          <w:sz w:val="24"/>
          <w:szCs w:val="22"/>
          <w:highlight w:val="none"/>
          <w:lang w:val="zh-CN" w:bidi="ar"/>
        </w:rPr>
        <w:t>：法人代表证明书、授权委托书</w:t>
      </w:r>
    </w:p>
    <w:p>
      <w:pPr>
        <w:jc w:val="center"/>
        <w:rPr>
          <w:rFonts w:ascii="宋体" w:hAnsi="宋体" w:eastAsia="宋体" w:cs="宋体"/>
          <w:b/>
          <w:color w:val="auto"/>
          <w:sz w:val="32"/>
          <w:szCs w:val="32"/>
          <w:highlight w:val="none"/>
        </w:rPr>
      </w:pPr>
    </w:p>
    <w:p>
      <w:pPr>
        <w:jc w:val="center"/>
        <w:rPr>
          <w:rFonts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lang w:bidi="ar"/>
        </w:rPr>
        <w:t>法定代表人证明书</w:t>
      </w:r>
    </w:p>
    <w:p>
      <w:pPr>
        <w:spacing w:line="400" w:lineRule="exact"/>
        <w:rPr>
          <w:rFonts w:ascii="宋体" w:hAnsi="宋体" w:eastAsia="宋体" w:cs="宋体"/>
          <w:color w:val="auto"/>
          <w:sz w:val="19"/>
          <w:szCs w:val="19"/>
          <w:highlight w:val="none"/>
        </w:rPr>
      </w:pPr>
    </w:p>
    <w:p>
      <w:pPr>
        <w:spacing w:line="400" w:lineRule="exact"/>
        <w:rPr>
          <w:rFonts w:ascii="宋体" w:hAnsi="宋体" w:eastAsia="宋体" w:cs="宋体"/>
          <w:color w:val="auto"/>
          <w:szCs w:val="21"/>
          <w:highlight w:val="none"/>
        </w:rPr>
      </w:pPr>
    </w:p>
    <w:p>
      <w:pPr>
        <w:spacing w:line="40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投标人名称：</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 </w:t>
      </w:r>
    </w:p>
    <w:p>
      <w:pPr>
        <w:spacing w:line="40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单位性质：</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 </w:t>
      </w:r>
    </w:p>
    <w:p>
      <w:pPr>
        <w:spacing w:line="40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地址：</w:t>
      </w:r>
      <w:r>
        <w:rPr>
          <w:rFonts w:hint="eastAsia" w:ascii="宋体" w:hAnsi="宋体" w:eastAsia="宋体" w:cs="宋体"/>
          <w:color w:val="auto"/>
          <w:kern w:val="0"/>
          <w:szCs w:val="21"/>
          <w:highlight w:val="none"/>
          <w:u w:val="single"/>
          <w:lang w:bidi="ar"/>
        </w:rPr>
        <w:t xml:space="preserve">                                   </w:t>
      </w:r>
    </w:p>
    <w:p>
      <w:pPr>
        <w:spacing w:line="40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成立时间：</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 年</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 月</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 日</w:t>
      </w:r>
    </w:p>
    <w:p>
      <w:pPr>
        <w:spacing w:line="40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经营期限：</w:t>
      </w:r>
      <w:r>
        <w:rPr>
          <w:rFonts w:hint="eastAsia" w:ascii="宋体" w:hAnsi="宋体" w:eastAsia="宋体" w:cs="宋体"/>
          <w:color w:val="auto"/>
          <w:kern w:val="0"/>
          <w:szCs w:val="21"/>
          <w:highlight w:val="none"/>
          <w:u w:val="single"/>
          <w:lang w:bidi="ar"/>
        </w:rPr>
        <w:t xml:space="preserve">                               </w:t>
      </w:r>
    </w:p>
    <w:p>
      <w:pPr>
        <w:spacing w:line="40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姓名：</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 性别：</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 年龄：</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身份证号码：</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职务：</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系</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 (投标人名称)的法定代表人。</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特此证明。</w:t>
      </w:r>
    </w:p>
    <w:p>
      <w:pPr>
        <w:spacing w:line="400" w:lineRule="exact"/>
        <w:rPr>
          <w:rFonts w:ascii="宋体" w:hAnsi="宋体" w:eastAsia="宋体" w:cs="宋体"/>
          <w:color w:val="auto"/>
          <w:szCs w:val="21"/>
          <w:highlight w:val="none"/>
        </w:rPr>
      </w:pPr>
    </w:p>
    <w:p>
      <w:pPr>
        <w:spacing w:line="400" w:lineRule="exact"/>
        <w:rPr>
          <w:rFonts w:ascii="宋体" w:hAnsi="宋体" w:eastAsia="宋体" w:cs="宋体"/>
          <w:color w:val="auto"/>
          <w:szCs w:val="21"/>
          <w:highlight w:val="none"/>
        </w:rPr>
      </w:pPr>
    </w:p>
    <w:p>
      <w:pPr>
        <w:spacing w:line="400" w:lineRule="exact"/>
        <w:rPr>
          <w:rFonts w:ascii="宋体" w:hAnsi="宋体" w:eastAsia="宋体" w:cs="宋体"/>
          <w:color w:val="auto"/>
          <w:szCs w:val="21"/>
          <w:highlight w:val="none"/>
        </w:rPr>
      </w:pPr>
    </w:p>
    <w:p>
      <w:pPr>
        <w:spacing w:line="400" w:lineRule="exact"/>
        <w:jc w:val="righ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投标人：</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（盖章）</w:t>
      </w:r>
    </w:p>
    <w:p>
      <w:pPr>
        <w:spacing w:line="400" w:lineRule="exact"/>
        <w:jc w:val="right"/>
        <w:rPr>
          <w:rFonts w:ascii="宋体" w:hAnsi="宋体" w:eastAsia="宋体" w:cs="宋体"/>
          <w:color w:val="auto"/>
          <w:szCs w:val="21"/>
          <w:highlight w:val="none"/>
        </w:rPr>
      </w:pPr>
    </w:p>
    <w:p>
      <w:pPr>
        <w:spacing w:line="400" w:lineRule="exact"/>
        <w:jc w:val="right"/>
        <w:rPr>
          <w:rFonts w:ascii="宋体" w:hAnsi="宋体" w:eastAsia="宋体" w:cs="宋体"/>
          <w:color w:val="auto"/>
          <w:szCs w:val="21"/>
          <w:highlight w:val="none"/>
        </w:rPr>
      </w:pP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年</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月</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 日 </w:t>
      </w:r>
    </w:p>
    <w:p>
      <w:pPr>
        <w:pStyle w:val="12"/>
        <w:rPr>
          <w:rFonts w:hint="default"/>
          <w:color w:val="auto"/>
          <w:highlight w:val="none"/>
        </w:rPr>
      </w:pPr>
    </w:p>
    <w:p>
      <w:pPr>
        <w:pStyle w:val="12"/>
        <w:rPr>
          <w:rFonts w:hint="default"/>
          <w:color w:val="auto"/>
          <w:highlight w:val="none"/>
        </w:rPr>
      </w:pPr>
    </w:p>
    <w:p>
      <w:pPr>
        <w:pStyle w:val="12"/>
        <w:rPr>
          <w:rFonts w:hint="default"/>
          <w:color w:val="auto"/>
          <w:highlight w:val="none"/>
        </w:rPr>
      </w:pPr>
    </w:p>
    <w:p>
      <w:pPr>
        <w:pStyle w:val="12"/>
        <w:rPr>
          <w:rFonts w:hint="default"/>
          <w:color w:val="auto"/>
          <w:highlight w:val="none"/>
        </w:rPr>
      </w:pPr>
    </w:p>
    <w:p>
      <w:pPr>
        <w:pStyle w:val="12"/>
        <w:rPr>
          <w:rFonts w:hint="default" w:cs="宋体"/>
          <w:color w:val="auto"/>
          <w:szCs w:val="21"/>
          <w:highlight w:val="none"/>
        </w:rPr>
      </w:pPr>
      <w:r>
        <w:rPr>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95250</wp:posOffset>
                </wp:positionH>
                <wp:positionV relativeFrom="paragraph">
                  <wp:posOffset>93980</wp:posOffset>
                </wp:positionV>
                <wp:extent cx="5952490" cy="1584325"/>
                <wp:effectExtent l="4445" t="4445" r="5715" b="11430"/>
                <wp:wrapNone/>
                <wp:docPr id="3" name="流程图: 可选过程 2"/>
                <wp:cNvGraphicFramePr/>
                <a:graphic xmlns:a="http://schemas.openxmlformats.org/drawingml/2006/main">
                  <a:graphicData uri="http://schemas.microsoft.com/office/word/2010/wordprocessingShape">
                    <wps:wsp>
                      <wps:cNvSpPr/>
                      <wps:spPr>
                        <a:xfrm>
                          <a:off x="0" y="0"/>
                          <a:ext cx="595249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pStyle w:val="8"/>
                              <w:widowControl/>
                              <w:jc w:val="center"/>
                              <w:rPr>
                                <w:rFonts w:ascii="宋体" w:hAnsi="宋体" w:cs="宋体"/>
                              </w:rPr>
                            </w:pPr>
                            <w:r>
                              <w:rPr>
                                <w:rFonts w:hint="eastAsia" w:ascii="宋体" w:hAnsi="宋体" w:cs="宋体"/>
                              </w:rPr>
                              <w:t>法定代表人身份证</w:t>
                            </w:r>
                          </w:p>
                        </w:txbxContent>
                      </wps:txbx>
                      <wps:bodyPr upright="1"/>
                    </wps:wsp>
                  </a:graphicData>
                </a:graphic>
              </wp:anchor>
            </w:drawing>
          </mc:Choice>
          <mc:Fallback>
            <w:pict>
              <v:shape id="流程图: 可选过程 2" o:spid="_x0000_s1026" o:spt="176" type="#_x0000_t176" style="position:absolute;left:0pt;margin-left:7.5pt;margin-top:7.4pt;height:124.75pt;width:468.7pt;z-index:251661312;mso-width-relative:page;mso-height-relative:page;" fillcolor="#FFFFFF" filled="t" stroked="t" coordsize="21600,21600" o:gfxdata="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&#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G0M/47XAAAACQEAAA8AAAAAAAAAAQAgAAAAOAAAAGRy&#10;cy9kb3ducmV2LnhtbFBLAQIUABQAAAAIAIdO4kDG8+uVKQIAAFAEAAAOAAAAAAAAAAEAIAAAADwB&#10;AABkcnMvZTJvRG9jLnhtbFBLBQYAAAAABgAGAFkBAADXBQAAAAA=&#10;">
                <v:fill on="t" focussize="0,0"/>
                <v:stroke color="#000000" joinstyle="miter"/>
                <v:imagedata o:title=""/>
                <o:lock v:ext="edit" aspectratio="f"/>
                <v:textbox>
                  <w:txbxContent>
                    <w:p>
                      <w:pPr>
                        <w:pStyle w:val="8"/>
                        <w:widowControl/>
                        <w:jc w:val="center"/>
                        <w:rPr>
                          <w:rFonts w:ascii="宋体" w:hAnsi="宋体" w:cs="宋体"/>
                        </w:rPr>
                      </w:pPr>
                      <w:r>
                        <w:rPr>
                          <w:rFonts w:hint="eastAsia" w:ascii="宋体" w:hAnsi="宋体" w:cs="宋体"/>
                        </w:rPr>
                        <w:t>法定代表人身份证</w:t>
                      </w:r>
                    </w:p>
                  </w:txbxContent>
                </v:textbox>
              </v:shape>
            </w:pict>
          </mc:Fallback>
        </mc:AlternateContent>
      </w:r>
    </w:p>
    <w:p>
      <w:pPr>
        <w:pStyle w:val="12"/>
        <w:rPr>
          <w:rFonts w:hint="default"/>
          <w:color w:val="auto"/>
          <w:highlight w:val="none"/>
        </w:rPr>
      </w:pPr>
    </w:p>
    <w:p>
      <w:pPr>
        <w:pStyle w:val="12"/>
        <w:rPr>
          <w:rFonts w:hint="default"/>
          <w:color w:val="auto"/>
          <w:highlight w:val="none"/>
        </w:rPr>
      </w:pPr>
    </w:p>
    <w:p>
      <w:pPr>
        <w:pStyle w:val="12"/>
        <w:rPr>
          <w:rFonts w:hint="default"/>
          <w:color w:val="auto"/>
          <w:highlight w:val="none"/>
        </w:rPr>
      </w:pPr>
    </w:p>
    <w:p>
      <w:pPr>
        <w:pStyle w:val="12"/>
        <w:rPr>
          <w:rFonts w:hint="default"/>
          <w:color w:val="auto"/>
          <w:highlight w:val="none"/>
        </w:rPr>
      </w:pPr>
    </w:p>
    <w:p>
      <w:pPr>
        <w:pStyle w:val="12"/>
        <w:rPr>
          <w:rFonts w:hint="default"/>
          <w:color w:val="auto"/>
          <w:highlight w:val="none"/>
        </w:rPr>
      </w:pPr>
    </w:p>
    <w:p>
      <w:pPr>
        <w:pStyle w:val="12"/>
        <w:rPr>
          <w:rFonts w:hint="default"/>
          <w:color w:val="auto"/>
          <w:highlight w:val="none"/>
        </w:rPr>
      </w:pPr>
    </w:p>
    <w:p>
      <w:pPr>
        <w:pStyle w:val="12"/>
        <w:rPr>
          <w:rFonts w:hint="default"/>
          <w:color w:val="auto"/>
          <w:highlight w:val="none"/>
        </w:rPr>
      </w:pPr>
    </w:p>
    <w:p>
      <w:pPr>
        <w:pStyle w:val="12"/>
        <w:rPr>
          <w:rFonts w:hint="default"/>
          <w:color w:val="auto"/>
          <w:highlight w:val="none"/>
        </w:rPr>
      </w:pPr>
    </w:p>
    <w:p>
      <w:pPr>
        <w:pStyle w:val="12"/>
        <w:rPr>
          <w:rFonts w:hint="default"/>
          <w:color w:val="auto"/>
          <w:highlight w:val="none"/>
        </w:rPr>
      </w:pPr>
    </w:p>
    <w:p>
      <w:pPr>
        <w:pStyle w:val="12"/>
        <w:rPr>
          <w:rFonts w:hint="default"/>
          <w:color w:val="auto"/>
          <w:highlight w:val="none"/>
        </w:rPr>
      </w:pPr>
    </w:p>
    <w:p>
      <w:pPr>
        <w:pStyle w:val="12"/>
        <w:rPr>
          <w:rFonts w:hint="default"/>
          <w:color w:val="auto"/>
          <w:highlight w:val="none"/>
        </w:rPr>
      </w:pPr>
      <w:r>
        <w:rPr>
          <w:color w:val="auto"/>
          <w:highlight w:val="none"/>
        </w:rPr>
        <w:t>注：若为联合体投标，由联合体牵头单位出具。</w:t>
      </w:r>
    </w:p>
    <w:p>
      <w:pPr>
        <w:pStyle w:val="12"/>
        <w:rPr>
          <w:rFonts w:hint="default"/>
          <w:color w:val="auto"/>
          <w:highlight w:val="none"/>
        </w:rPr>
      </w:pPr>
    </w:p>
    <w:p>
      <w:pPr>
        <w:rPr>
          <w:rFonts w:ascii="宋体" w:hAnsi="宋体" w:eastAsia="宋体" w:cs="宋体"/>
          <w:color w:val="auto"/>
          <w:sz w:val="20"/>
          <w:szCs w:val="21"/>
          <w:highlight w:val="none"/>
          <w:lang w:val="zh-CN" w:bidi="ar"/>
        </w:rPr>
        <w:sectPr>
          <w:pgSz w:w="11905" w:h="16838"/>
          <w:pgMar w:top="1304" w:right="1304" w:bottom="1304" w:left="1361" w:header="851" w:footer="720" w:gutter="0"/>
          <w:cols w:space="425" w:num="1"/>
          <w:docGrid w:type="lines" w:linePitch="312" w:charSpace="0"/>
        </w:sectPr>
      </w:pPr>
    </w:p>
    <w:p>
      <w:pPr>
        <w:rPr>
          <w:color w:val="auto"/>
          <w:highlight w:val="none"/>
        </w:rPr>
      </w:pPr>
    </w:p>
    <w:p>
      <w:pPr>
        <w:pStyle w:val="12"/>
        <w:rPr>
          <w:rFonts w:hint="default"/>
          <w:color w:val="auto"/>
          <w:highlight w:val="none"/>
        </w:rPr>
      </w:pPr>
    </w:p>
    <w:p>
      <w:pPr>
        <w:spacing w:line="400" w:lineRule="exact"/>
        <w:jc w:val="center"/>
        <w:rPr>
          <w:rFonts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lang w:bidi="ar"/>
        </w:rPr>
        <w:t>法定代表人授权委托书</w:t>
      </w:r>
    </w:p>
    <w:p>
      <w:pPr>
        <w:spacing w:line="400" w:lineRule="exact"/>
        <w:rPr>
          <w:rFonts w:ascii="宋体" w:hAnsi="宋体" w:eastAsia="宋体" w:cs="宋体"/>
          <w:color w:val="auto"/>
          <w:sz w:val="20"/>
          <w:szCs w:val="20"/>
          <w:highlight w:val="none"/>
        </w:rPr>
      </w:pPr>
    </w:p>
    <w:p>
      <w:pPr>
        <w:topLinePunct/>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本人</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（姓名）系</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（投标人名称）的法定代表人，现委托</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（姓名）为我方代理人。代理人根据授权，以我方名义签署、澄清、说明、补正、递交、撤回、修改</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（项目名称）</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投标文件、签订合同和处理有关事宜，其法律后果由我方承担。</w:t>
      </w:r>
    </w:p>
    <w:p>
      <w:pPr>
        <w:spacing w:line="40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    委托期限：</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附：法定代表人身份证、代理人身份证。</w:t>
      </w:r>
    </w:p>
    <w:p>
      <w:pPr>
        <w:spacing w:line="400" w:lineRule="exact"/>
        <w:jc w:val="righ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投标人：</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（盖章）</w:t>
      </w:r>
    </w:p>
    <w:p>
      <w:pPr>
        <w:wordWrap w:val="0"/>
        <w:spacing w:line="400" w:lineRule="exact"/>
        <w:jc w:val="righ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法定代表人：</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（签字或盖章）</w:t>
      </w:r>
    </w:p>
    <w:p>
      <w:pPr>
        <w:wordWrap w:val="0"/>
        <w:spacing w:line="400" w:lineRule="exact"/>
        <w:jc w:val="righ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身份证号码：</w:t>
      </w:r>
      <w:r>
        <w:rPr>
          <w:rFonts w:hint="eastAsia" w:ascii="宋体" w:hAnsi="宋体" w:eastAsia="宋体" w:cs="宋体"/>
          <w:color w:val="auto"/>
          <w:kern w:val="0"/>
          <w:szCs w:val="21"/>
          <w:highlight w:val="none"/>
          <w:u w:val="single"/>
          <w:lang w:bidi="ar"/>
        </w:rPr>
        <w:t xml:space="preserve">                                       </w:t>
      </w:r>
    </w:p>
    <w:p>
      <w:pPr>
        <w:wordWrap w:val="0"/>
        <w:spacing w:line="400" w:lineRule="exact"/>
        <w:jc w:val="righ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委托代理人：</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签字或盖章） </w:t>
      </w:r>
    </w:p>
    <w:p>
      <w:pPr>
        <w:wordWrap w:val="0"/>
        <w:spacing w:line="400" w:lineRule="exact"/>
        <w:jc w:val="righ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身份证号码：</w:t>
      </w:r>
      <w:r>
        <w:rPr>
          <w:rFonts w:hint="eastAsia" w:ascii="宋体" w:hAnsi="宋体" w:eastAsia="宋体" w:cs="宋体"/>
          <w:color w:val="auto"/>
          <w:kern w:val="0"/>
          <w:szCs w:val="21"/>
          <w:highlight w:val="none"/>
          <w:u w:val="single"/>
          <w:lang w:bidi="ar"/>
        </w:rPr>
        <w:t xml:space="preserve">                                  </w:t>
      </w:r>
      <w:bookmarkStart w:id="416" w:name="_Hlk55921123"/>
      <w:r>
        <w:rPr>
          <w:rFonts w:hint="eastAsia" w:ascii="宋体" w:hAnsi="宋体" w:eastAsia="宋体" w:cs="宋体"/>
          <w:color w:val="auto"/>
          <w:kern w:val="0"/>
          <w:szCs w:val="21"/>
          <w:highlight w:val="none"/>
          <w:u w:val="single"/>
          <w:lang w:bidi="ar"/>
        </w:rPr>
        <w:t xml:space="preserve">      </w:t>
      </w:r>
    </w:p>
    <w:p>
      <w:pPr>
        <w:spacing w:line="400" w:lineRule="exact"/>
        <w:ind w:firstLine="1575" w:firstLineChars="750"/>
        <w:jc w:val="right"/>
        <w:rPr>
          <w:rFonts w:ascii="宋体" w:hAnsi="宋体" w:eastAsia="宋体" w:cs="宋体"/>
          <w:color w:val="auto"/>
          <w:szCs w:val="21"/>
          <w:highlight w:val="none"/>
        </w:rPr>
      </w:pP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年</w:t>
      </w:r>
      <w:bookmarkEnd w:id="416"/>
      <w:r>
        <w:rPr>
          <w:rFonts w:hint="eastAsia" w:ascii="宋体" w:hAnsi="宋体" w:eastAsia="宋体" w:cs="宋体"/>
          <w:color w:val="auto"/>
          <w:kern w:val="0"/>
          <w:szCs w:val="21"/>
          <w:highlight w:val="none"/>
          <w:lang w:bidi="ar"/>
        </w:rPr>
        <w:t xml:space="preserve"> </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月</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日</w:t>
      </w:r>
    </w:p>
    <w:p>
      <w:pPr>
        <w:rPr>
          <w:rFonts w:ascii="宋体" w:hAnsi="宋体" w:eastAsia="宋体" w:cs="宋体"/>
          <w:bCs/>
          <w:color w:val="auto"/>
          <w:szCs w:val="21"/>
          <w:highlight w:val="none"/>
          <w:u w:val="single"/>
        </w:rPr>
      </w:pPr>
      <w:r>
        <w:rPr>
          <w:rFonts w:ascii="Calibri" w:hAnsi="Calibri" w:eastAsia="宋体" w:cs="Calibri"/>
          <w:color w:val="auto"/>
          <w:kern w:val="0"/>
          <w:szCs w:val="22"/>
          <w:highlight w:val="none"/>
          <w:lang w:bidi="ar"/>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145415</wp:posOffset>
                </wp:positionV>
                <wp:extent cx="5900420" cy="1584325"/>
                <wp:effectExtent l="4445" t="4445" r="19685" b="11430"/>
                <wp:wrapNone/>
                <wp:docPr id="1" name="流程图: 可选过程 1"/>
                <wp:cNvGraphicFramePr/>
                <a:graphic xmlns:a="http://schemas.openxmlformats.org/drawingml/2006/main">
                  <a:graphicData uri="http://schemas.microsoft.com/office/word/2010/wordprocessingShape">
                    <wps:wsp>
                      <wps:cNvSpPr/>
                      <wps:spPr>
                        <a:xfrm>
                          <a:off x="0" y="0"/>
                          <a:ext cx="590042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pStyle w:val="8"/>
                              <w:widowControl/>
                              <w:jc w:val="center"/>
                              <w:rPr>
                                <w:rFonts w:ascii="宋体" w:hAnsi="宋体" w:cs="宋体"/>
                              </w:rPr>
                            </w:pPr>
                            <w:r>
                              <w:rPr>
                                <w:rFonts w:hint="eastAsia" w:ascii="宋体" w:hAnsi="宋体" w:cs="宋体"/>
                                <w:szCs w:val="22"/>
                                <w:lang w:bidi="ar"/>
                              </w:rPr>
                              <w:t>法定代表人身份证</w:t>
                            </w:r>
                          </w:p>
                        </w:txbxContent>
                      </wps:txbx>
                      <wps:bodyPr upright="1"/>
                    </wps:wsp>
                  </a:graphicData>
                </a:graphic>
              </wp:anchor>
            </w:drawing>
          </mc:Choice>
          <mc:Fallback>
            <w:pict>
              <v:shape id="_x0000_s1026" o:spid="_x0000_s1026" o:spt="176" type="#_x0000_t176" style="position:absolute;left:0pt;margin-left:6.75pt;margin-top:11.45pt;height:124.75pt;width:464.6pt;z-index:251659264;mso-width-relative:page;mso-height-relative:page;" fillcolor="#FFFFFF" filled="t" stroked="t" coordsize="21600,21600" o:gfxdata="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KqkstcAAAAJAQAADwAAAAAAAAABACAAAAA4AAAAZHJz&#10;L2Rvd25yZXYueG1sUEsBAhQAFAAAAAgAh07iQNYH3LEoAgAAUAQAAA4AAAAAAAAAAQAgAAAAPAEA&#10;AGRycy9lMm9Eb2MueG1sUEsFBgAAAAAGAAYAWQEAANYFAAAAAA==&#10;">
                <v:fill on="t" focussize="0,0"/>
                <v:stroke color="#000000" joinstyle="miter"/>
                <v:imagedata o:title=""/>
                <o:lock v:ext="edit" aspectratio="f"/>
                <v:textbox>
                  <w:txbxContent>
                    <w:p>
                      <w:pPr>
                        <w:pStyle w:val="8"/>
                        <w:widowControl/>
                        <w:jc w:val="center"/>
                        <w:rPr>
                          <w:rFonts w:ascii="宋体" w:hAnsi="宋体" w:cs="宋体"/>
                        </w:rPr>
                      </w:pPr>
                      <w:r>
                        <w:rPr>
                          <w:rFonts w:hint="eastAsia" w:ascii="宋体" w:hAnsi="宋体" w:cs="宋体"/>
                          <w:szCs w:val="22"/>
                          <w:lang w:bidi="ar"/>
                        </w:rPr>
                        <w:t>法定代表人身份证</w:t>
                      </w:r>
                    </w:p>
                  </w:txbxContent>
                </v:textbox>
              </v:shape>
            </w:pict>
          </mc:Fallback>
        </mc:AlternateContent>
      </w: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43180</wp:posOffset>
                </wp:positionH>
                <wp:positionV relativeFrom="paragraph">
                  <wp:posOffset>2077720</wp:posOffset>
                </wp:positionV>
                <wp:extent cx="5900420" cy="1584325"/>
                <wp:effectExtent l="4445" t="4445" r="19685" b="11430"/>
                <wp:wrapNone/>
                <wp:docPr id="2" name="自选图形 4"/>
                <wp:cNvGraphicFramePr/>
                <a:graphic xmlns:a="http://schemas.openxmlformats.org/drawingml/2006/main">
                  <a:graphicData uri="http://schemas.microsoft.com/office/word/2010/wordprocessingShape">
                    <wps:wsp>
                      <wps:cNvSpPr/>
                      <wps:spPr>
                        <a:xfrm>
                          <a:off x="0" y="0"/>
                          <a:ext cx="590042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pStyle w:val="8"/>
                              <w:widowControl/>
                              <w:jc w:val="center"/>
                              <w:rPr>
                                <w:rFonts w:ascii="宋体" w:hAnsi="宋体" w:cs="宋体"/>
                              </w:rPr>
                            </w:pPr>
                            <w:r>
                              <w:rPr>
                                <w:rFonts w:hint="eastAsia" w:ascii="宋体" w:hAnsi="宋体" w:cs="宋体"/>
                                <w:szCs w:val="21"/>
                              </w:rPr>
                              <w:t>代理人身份证</w:t>
                            </w:r>
                          </w:p>
                        </w:txbxContent>
                      </wps:txbx>
                      <wps:bodyPr upright="1"/>
                    </wps:wsp>
                  </a:graphicData>
                </a:graphic>
              </wp:anchor>
            </w:drawing>
          </mc:Choice>
          <mc:Fallback>
            <w:pict>
              <v:shape id="自选图形 4" o:spid="_x0000_s1026" o:spt="176" type="#_x0000_t176" style="position:absolute;left:0pt;margin-left:3.4pt;margin-top:163.6pt;height:124.75pt;width:464.6pt;z-index:251660288;mso-width-relative:page;mso-height-relative:page;" fillcolor="#FFFFFF" filled="t" stroked="t" coordsize="21600,21600" o:gfxdata="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BCDf6XXAAAACQEAAA8AAAAAAAAAAQAgAAAAOAAAAGRycy9kb3ducmV2LnhtbFBL&#10;AQIUABQAAAAIAIdO4kBx2BLPGgIAAEUEAAAOAAAAAAAAAAEAIAAAADwBAABkcnMvZTJvRG9jLnht&#10;bFBLBQYAAAAABgAGAFkBAADIBQAAAAA=&#10;">
                <v:fill on="t" focussize="0,0"/>
                <v:stroke color="#000000" joinstyle="miter"/>
                <v:imagedata o:title=""/>
                <o:lock v:ext="edit" aspectratio="f"/>
                <v:textbox>
                  <w:txbxContent>
                    <w:p>
                      <w:pPr>
                        <w:pStyle w:val="8"/>
                        <w:widowControl/>
                        <w:jc w:val="center"/>
                        <w:rPr>
                          <w:rFonts w:ascii="宋体" w:hAnsi="宋体" w:cs="宋体"/>
                        </w:rPr>
                      </w:pPr>
                      <w:r>
                        <w:rPr>
                          <w:rFonts w:hint="eastAsia" w:ascii="宋体" w:hAnsi="宋体" w:cs="宋体"/>
                          <w:szCs w:val="21"/>
                        </w:rPr>
                        <w:t>代理人身份证</w:t>
                      </w:r>
                    </w:p>
                  </w:txbxContent>
                </v:textbox>
              </v:shape>
            </w:pict>
          </mc:Fallback>
        </mc:AlternateContent>
      </w:r>
    </w:p>
    <w:p>
      <w:pPr>
        <w:rPr>
          <w:rFonts w:ascii="宋体" w:hAnsi="宋体" w:eastAsia="宋体" w:cs="宋体"/>
          <w:bCs/>
          <w:color w:val="auto"/>
          <w:szCs w:val="21"/>
          <w:highlight w:val="none"/>
          <w:u w:val="single"/>
        </w:rPr>
      </w:pPr>
    </w:p>
    <w:p>
      <w:pPr>
        <w:rPr>
          <w:rFonts w:ascii="宋体" w:hAnsi="宋体" w:eastAsia="宋体" w:cs="宋体"/>
          <w:bCs/>
          <w:color w:val="auto"/>
          <w:szCs w:val="21"/>
          <w:highlight w:val="none"/>
          <w:u w:val="single"/>
        </w:rPr>
      </w:pPr>
    </w:p>
    <w:p>
      <w:pPr>
        <w:rPr>
          <w:rFonts w:ascii="宋体" w:hAnsi="宋体" w:eastAsia="宋体" w:cs="宋体"/>
          <w:bCs/>
          <w:color w:val="auto"/>
          <w:szCs w:val="21"/>
          <w:highlight w:val="none"/>
          <w:u w:val="single"/>
        </w:rPr>
      </w:pPr>
    </w:p>
    <w:p>
      <w:pPr>
        <w:rPr>
          <w:rFonts w:ascii="宋体" w:hAnsi="宋体" w:eastAsia="宋体" w:cs="宋体"/>
          <w:bCs/>
          <w:color w:val="auto"/>
          <w:szCs w:val="21"/>
          <w:highlight w:val="none"/>
          <w:u w:val="single"/>
        </w:rPr>
      </w:pPr>
    </w:p>
    <w:p>
      <w:pPr>
        <w:rPr>
          <w:rFonts w:ascii="宋体" w:hAnsi="宋体" w:eastAsia="宋体" w:cs="宋体"/>
          <w:bCs/>
          <w:color w:val="auto"/>
          <w:szCs w:val="21"/>
          <w:highlight w:val="none"/>
          <w:u w:val="single"/>
        </w:rPr>
      </w:pPr>
    </w:p>
    <w:p>
      <w:pPr>
        <w:rPr>
          <w:rFonts w:ascii="宋体" w:hAnsi="宋体" w:eastAsia="宋体" w:cs="宋体"/>
          <w:bCs/>
          <w:color w:val="auto"/>
          <w:szCs w:val="21"/>
          <w:highlight w:val="none"/>
          <w:u w:val="single"/>
        </w:rPr>
      </w:pPr>
    </w:p>
    <w:p>
      <w:pPr>
        <w:rPr>
          <w:rFonts w:ascii="宋体" w:hAnsi="宋体" w:eastAsia="宋体" w:cs="宋体"/>
          <w:bCs/>
          <w:color w:val="auto"/>
          <w:szCs w:val="21"/>
          <w:highlight w:val="none"/>
          <w:u w:val="single"/>
        </w:rPr>
      </w:pPr>
    </w:p>
    <w:p>
      <w:pPr>
        <w:pStyle w:val="24"/>
        <w:widowControl/>
        <w:rPr>
          <w:rFonts w:ascii="宋体" w:hAnsi="宋体" w:cs="宋体"/>
          <w:bCs/>
          <w:color w:val="auto"/>
          <w:kern w:val="0"/>
          <w:szCs w:val="21"/>
          <w:highlight w:val="none"/>
          <w:u w:val="single"/>
        </w:rPr>
      </w:pPr>
    </w:p>
    <w:p>
      <w:pPr>
        <w:pStyle w:val="24"/>
        <w:widowControl/>
        <w:rPr>
          <w:rFonts w:ascii="宋体" w:hAnsi="宋体" w:cs="宋体"/>
          <w:bCs/>
          <w:color w:val="auto"/>
          <w:kern w:val="0"/>
          <w:szCs w:val="21"/>
          <w:highlight w:val="none"/>
          <w:u w:val="single"/>
        </w:rPr>
      </w:pPr>
    </w:p>
    <w:p>
      <w:pPr>
        <w:pStyle w:val="24"/>
        <w:widowControl/>
        <w:rPr>
          <w:rFonts w:ascii="宋体" w:hAnsi="宋体" w:cs="宋体"/>
          <w:bCs/>
          <w:color w:val="auto"/>
          <w:kern w:val="0"/>
          <w:szCs w:val="21"/>
          <w:highlight w:val="none"/>
          <w:u w:val="single"/>
        </w:rPr>
      </w:pPr>
    </w:p>
    <w:p>
      <w:pPr>
        <w:pStyle w:val="24"/>
        <w:widowControl/>
        <w:rPr>
          <w:rFonts w:ascii="宋体" w:hAnsi="宋体" w:cs="宋体"/>
          <w:bCs/>
          <w:color w:val="auto"/>
          <w:kern w:val="0"/>
          <w:szCs w:val="21"/>
          <w:highlight w:val="none"/>
          <w:u w:val="single"/>
        </w:rPr>
      </w:pPr>
    </w:p>
    <w:p>
      <w:pPr>
        <w:pStyle w:val="24"/>
        <w:widowControl/>
        <w:rPr>
          <w:rFonts w:ascii="宋体" w:hAnsi="宋体" w:cs="宋体"/>
          <w:bCs/>
          <w:color w:val="auto"/>
          <w:kern w:val="0"/>
          <w:szCs w:val="21"/>
          <w:highlight w:val="none"/>
          <w:u w:val="single"/>
        </w:rPr>
      </w:pPr>
    </w:p>
    <w:p>
      <w:pPr>
        <w:spacing w:line="360" w:lineRule="auto"/>
        <w:rPr>
          <w:rFonts w:ascii="宋体" w:hAnsi="宋体" w:eastAsia="宋体" w:cs="宋体"/>
          <w:color w:val="auto"/>
          <w:kern w:val="1"/>
          <w:szCs w:val="21"/>
          <w:highlight w:val="none"/>
          <w:u w:val="single"/>
        </w:rPr>
      </w:pPr>
    </w:p>
    <w:p>
      <w:pPr>
        <w:spacing w:line="360" w:lineRule="auto"/>
        <w:rPr>
          <w:rFonts w:ascii="宋体" w:hAnsi="宋体" w:eastAsia="宋体" w:cs="宋体"/>
          <w:color w:val="auto"/>
          <w:kern w:val="1"/>
          <w:szCs w:val="21"/>
          <w:highlight w:val="none"/>
          <w:u w:val="single"/>
        </w:rPr>
      </w:pPr>
    </w:p>
    <w:p>
      <w:pPr>
        <w:spacing w:line="360" w:lineRule="auto"/>
        <w:rPr>
          <w:rFonts w:ascii="宋体" w:hAnsi="宋体" w:eastAsia="宋体" w:cs="宋体"/>
          <w:color w:val="auto"/>
          <w:kern w:val="1"/>
          <w:szCs w:val="21"/>
          <w:highlight w:val="none"/>
          <w:u w:val="single"/>
        </w:rPr>
      </w:pPr>
    </w:p>
    <w:p>
      <w:pPr>
        <w:spacing w:line="360" w:lineRule="auto"/>
        <w:rPr>
          <w:rFonts w:ascii="宋体" w:hAnsi="宋体" w:eastAsia="宋体" w:cs="宋体"/>
          <w:b/>
          <w:color w:val="auto"/>
          <w:kern w:val="1"/>
          <w:sz w:val="24"/>
          <w:szCs w:val="22"/>
          <w:highlight w:val="none"/>
        </w:rPr>
      </w:pPr>
      <w:r>
        <w:rPr>
          <w:rFonts w:hint="eastAsia" w:ascii="宋体" w:hAnsi="宋体" w:eastAsia="宋体" w:cs="宋体"/>
          <w:color w:val="auto"/>
          <w:kern w:val="1"/>
          <w:szCs w:val="21"/>
          <w:highlight w:val="none"/>
          <w:u w:val="single"/>
          <w:lang w:bidi="ar"/>
        </w:rPr>
        <w:t>注：若为联合体投标，由联合体牵头单位出具。</w:t>
      </w:r>
      <w:r>
        <w:rPr>
          <w:rFonts w:hint="eastAsia" w:ascii="宋体" w:hAnsi="宋体" w:eastAsia="宋体" w:cs="宋体"/>
          <w:b/>
          <w:color w:val="auto"/>
          <w:kern w:val="1"/>
          <w:sz w:val="24"/>
          <w:szCs w:val="22"/>
          <w:highlight w:val="none"/>
          <w:lang w:bidi="ar"/>
        </w:rPr>
        <w:br w:type="page"/>
      </w:r>
      <w:r>
        <w:rPr>
          <w:rFonts w:hint="eastAsia" w:ascii="宋体" w:hAnsi="宋体" w:eastAsia="宋体" w:cs="宋体"/>
          <w:b/>
          <w:color w:val="auto"/>
          <w:kern w:val="1"/>
          <w:sz w:val="24"/>
          <w:szCs w:val="22"/>
          <w:highlight w:val="none"/>
          <w:lang w:bidi="ar"/>
        </w:rPr>
        <w:t xml:space="preserve"> 格式5：</w:t>
      </w:r>
    </w:p>
    <w:p>
      <w:pPr>
        <w:spacing w:line="360" w:lineRule="auto"/>
        <w:jc w:val="center"/>
        <w:rPr>
          <w:rFonts w:ascii="宋体" w:hAnsi="宋体" w:eastAsia="宋体" w:cs="宋体"/>
          <w:b/>
          <w:color w:val="auto"/>
          <w:kern w:val="1"/>
          <w:sz w:val="28"/>
          <w:szCs w:val="28"/>
          <w:highlight w:val="none"/>
          <w:lang w:val="zh-CN" w:bidi="ar"/>
        </w:rPr>
      </w:pPr>
      <w:r>
        <w:rPr>
          <w:rFonts w:ascii="宋体" w:hAnsi="宋体" w:eastAsia="宋体" w:cs="宋体"/>
          <w:b/>
          <w:color w:val="auto"/>
          <w:kern w:val="1"/>
          <w:sz w:val="28"/>
          <w:szCs w:val="28"/>
          <w:highlight w:val="none"/>
          <w:lang w:val="zh-CN" w:bidi="ar"/>
        </w:rPr>
        <w:t>投标保证金</w:t>
      </w:r>
    </w:p>
    <w:p>
      <w:pPr>
        <w:pStyle w:val="12"/>
        <w:rPr>
          <w:rFonts w:hint="default"/>
          <w:color w:val="auto"/>
          <w:highlight w:val="none"/>
        </w:rPr>
      </w:pPr>
      <w:r>
        <w:rPr>
          <w:color w:val="auto"/>
          <w:highlight w:val="none"/>
        </w:rPr>
        <w:t>按投标须知前附表要求提供投标保证金缴纳凭证</w:t>
      </w:r>
    </w:p>
    <w:p>
      <w:pPr>
        <w:spacing w:line="360" w:lineRule="auto"/>
        <w:rPr>
          <w:color w:val="auto"/>
          <w:highlight w:val="none"/>
        </w:rPr>
      </w:pPr>
      <w:r>
        <w:rPr>
          <w:color w:val="auto"/>
          <w:szCs w:val="21"/>
          <w:highlight w:val="none"/>
          <w:lang w:val="zh-CN" w:bidi="ar"/>
        </w:rPr>
        <w:br w:type="page"/>
      </w:r>
      <w:r>
        <w:rPr>
          <w:rFonts w:ascii="宋体" w:hAnsi="宋体" w:eastAsia="宋体" w:cs="宋体"/>
          <w:b/>
          <w:color w:val="auto"/>
          <w:kern w:val="1"/>
          <w:sz w:val="24"/>
          <w:szCs w:val="22"/>
          <w:highlight w:val="none"/>
          <w:lang w:val="zh-CN" w:bidi="ar"/>
        </w:rPr>
        <w:t>格式6：</w:t>
      </w:r>
    </w:p>
    <w:p>
      <w:pPr>
        <w:spacing w:line="360" w:lineRule="auto"/>
        <w:jc w:val="center"/>
        <w:rPr>
          <w:rFonts w:ascii="宋体" w:hAnsi="宋体" w:eastAsia="宋体" w:cs="宋体"/>
          <w:b/>
          <w:color w:val="auto"/>
          <w:kern w:val="1"/>
          <w:sz w:val="28"/>
          <w:szCs w:val="28"/>
          <w:highlight w:val="none"/>
          <w:lang w:val="zh-CN"/>
        </w:rPr>
      </w:pPr>
      <w:bookmarkStart w:id="417" w:name="_Toc5620363"/>
      <w:r>
        <w:rPr>
          <w:rFonts w:hint="eastAsia" w:ascii="宋体" w:hAnsi="宋体" w:eastAsia="宋体" w:cs="宋体"/>
          <w:b/>
          <w:color w:val="auto"/>
          <w:kern w:val="1"/>
          <w:sz w:val="28"/>
          <w:szCs w:val="28"/>
          <w:highlight w:val="none"/>
          <w:lang w:val="zh-CN" w:bidi="ar"/>
        </w:rPr>
        <w:t>设计主要负责人配备</w:t>
      </w:r>
      <w:bookmarkEnd w:id="417"/>
      <w:r>
        <w:rPr>
          <w:rFonts w:hint="eastAsia" w:ascii="宋体" w:hAnsi="宋体" w:eastAsia="宋体" w:cs="宋体"/>
          <w:b/>
          <w:color w:val="auto"/>
          <w:kern w:val="1"/>
          <w:sz w:val="28"/>
          <w:szCs w:val="28"/>
          <w:highlight w:val="none"/>
          <w:lang w:val="zh-CN" w:bidi="ar"/>
        </w:rPr>
        <w:t>表</w:t>
      </w:r>
    </w:p>
    <w:tbl>
      <w:tblPr>
        <w:tblStyle w:val="26"/>
        <w:tblW w:w="9420" w:type="dxa"/>
        <w:jc w:val="center"/>
        <w:tblLayout w:type="fixed"/>
        <w:tblCellMar>
          <w:top w:w="0" w:type="dxa"/>
          <w:left w:w="108" w:type="dxa"/>
          <w:bottom w:w="0" w:type="dxa"/>
          <w:right w:w="108" w:type="dxa"/>
        </w:tblCellMar>
      </w:tblPr>
      <w:tblGrid>
        <w:gridCol w:w="1241"/>
        <w:gridCol w:w="1135"/>
        <w:gridCol w:w="1276"/>
        <w:gridCol w:w="1418"/>
        <w:gridCol w:w="1275"/>
        <w:gridCol w:w="3075"/>
      </w:tblGrid>
      <w:tr>
        <w:trPr>
          <w:trHeight w:val="1082" w:hRule="atLeast"/>
          <w:jc w:val="center"/>
        </w:trPr>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auto"/>
                <w:kern w:val="1"/>
                <w:highlight w:val="none"/>
              </w:rPr>
            </w:pPr>
            <w:r>
              <w:rPr>
                <w:rFonts w:hint="eastAsia" w:ascii="宋体" w:hAnsi="宋体" w:eastAsia="宋体" w:cs="宋体"/>
                <w:color w:val="auto"/>
                <w:kern w:val="1"/>
                <w:szCs w:val="22"/>
                <w:highlight w:val="none"/>
                <w:lang w:bidi="ar"/>
              </w:rPr>
              <w:t>姓名</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auto"/>
                <w:kern w:val="1"/>
                <w:highlight w:val="none"/>
              </w:rPr>
            </w:pPr>
            <w:r>
              <w:rPr>
                <w:rFonts w:hint="eastAsia" w:ascii="宋体" w:hAnsi="宋体" w:eastAsia="宋体" w:cs="宋体"/>
                <w:color w:val="auto"/>
                <w:kern w:val="1"/>
                <w:szCs w:val="22"/>
                <w:highlight w:val="none"/>
                <w:lang w:bidi="ar"/>
              </w:rPr>
              <w:t>专业分工</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auto"/>
                <w:kern w:val="1"/>
                <w:highlight w:val="none"/>
              </w:rPr>
            </w:pPr>
            <w:r>
              <w:rPr>
                <w:rFonts w:hint="eastAsia" w:ascii="宋体" w:hAnsi="宋体" w:eastAsia="宋体" w:cs="宋体"/>
                <w:color w:val="auto"/>
                <w:kern w:val="1"/>
                <w:szCs w:val="22"/>
                <w:highlight w:val="none"/>
                <w:lang w:bidi="ar"/>
              </w:rPr>
              <w:t>本项目拟任职务</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auto"/>
                <w:kern w:val="1"/>
                <w:highlight w:val="none"/>
              </w:rPr>
            </w:pPr>
            <w:r>
              <w:rPr>
                <w:rFonts w:hint="eastAsia" w:ascii="宋体" w:hAnsi="宋体" w:eastAsia="宋体" w:cs="宋体"/>
                <w:color w:val="auto"/>
                <w:kern w:val="1"/>
                <w:szCs w:val="22"/>
                <w:highlight w:val="none"/>
                <w:lang w:bidi="ar"/>
              </w:rPr>
              <w:t>专业职称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auto"/>
                <w:kern w:val="1"/>
                <w:highlight w:val="none"/>
              </w:rPr>
            </w:pPr>
            <w:r>
              <w:rPr>
                <w:rFonts w:hint="eastAsia" w:ascii="宋体" w:hAnsi="宋体" w:eastAsia="宋体" w:cs="宋体"/>
                <w:color w:val="auto"/>
                <w:kern w:val="1"/>
                <w:szCs w:val="22"/>
                <w:highlight w:val="none"/>
                <w:lang w:bidi="ar"/>
              </w:rPr>
              <w:t>执业资格</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auto"/>
                <w:kern w:val="1"/>
                <w:highlight w:val="none"/>
              </w:rPr>
            </w:pPr>
            <w:r>
              <w:rPr>
                <w:rFonts w:hint="eastAsia" w:ascii="宋体" w:hAnsi="宋体" w:eastAsia="宋体" w:cs="宋体"/>
                <w:color w:val="auto"/>
                <w:kern w:val="1"/>
                <w:szCs w:val="22"/>
                <w:highlight w:val="none"/>
                <w:lang w:bidi="ar"/>
              </w:rPr>
              <w:t>获奖奖项</w:t>
            </w:r>
          </w:p>
        </w:tc>
      </w:tr>
      <w:tr>
        <w:trPr>
          <w:trHeight w:val="824" w:hRule="atLeast"/>
          <w:jc w:val="center"/>
        </w:trPr>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auto"/>
                <w:kern w:val="1"/>
                <w:szCs w:val="21"/>
                <w:highlight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auto"/>
                <w:kern w:val="1"/>
                <w:highlight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auto"/>
                <w:kern w:val="1"/>
                <w:szCs w:val="21"/>
                <w:highlight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auto"/>
                <w:kern w:val="1"/>
                <w:szCs w:val="21"/>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auto"/>
                <w:kern w:val="1"/>
                <w:szCs w:val="21"/>
                <w:highlight w:val="none"/>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auto"/>
                <w:kern w:val="1"/>
                <w:szCs w:val="21"/>
                <w:highlight w:val="none"/>
              </w:rPr>
            </w:pPr>
          </w:p>
        </w:tc>
      </w:tr>
      <w:tr>
        <w:trPr>
          <w:trHeight w:val="824" w:hRule="atLeast"/>
          <w:jc w:val="center"/>
        </w:trPr>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auto"/>
                <w:kern w:val="1"/>
                <w:szCs w:val="21"/>
                <w:highlight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auto"/>
                <w:kern w:val="1"/>
                <w:highlight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auto"/>
                <w:kern w:val="1"/>
                <w:szCs w:val="21"/>
                <w:highlight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auto"/>
                <w:kern w:val="1"/>
                <w:szCs w:val="21"/>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auto"/>
                <w:kern w:val="1"/>
                <w:szCs w:val="21"/>
                <w:highlight w:val="none"/>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auto"/>
                <w:kern w:val="1"/>
                <w:szCs w:val="21"/>
                <w:highlight w:val="none"/>
              </w:rPr>
            </w:pPr>
          </w:p>
        </w:tc>
      </w:tr>
      <w:tr>
        <w:trPr>
          <w:trHeight w:val="824" w:hRule="atLeast"/>
          <w:jc w:val="center"/>
        </w:trPr>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auto"/>
                <w:kern w:val="1"/>
                <w:szCs w:val="21"/>
                <w:highlight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auto"/>
                <w:kern w:val="1"/>
                <w:highlight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auto"/>
                <w:kern w:val="1"/>
                <w:szCs w:val="21"/>
                <w:highlight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auto"/>
                <w:kern w:val="1"/>
                <w:szCs w:val="21"/>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auto"/>
                <w:kern w:val="1"/>
                <w:szCs w:val="21"/>
                <w:highlight w:val="none"/>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auto"/>
                <w:kern w:val="1"/>
                <w:szCs w:val="21"/>
                <w:highlight w:val="none"/>
              </w:rPr>
            </w:pPr>
          </w:p>
        </w:tc>
      </w:tr>
      <w:tr>
        <w:trPr>
          <w:trHeight w:val="824" w:hRule="atLeast"/>
          <w:jc w:val="center"/>
        </w:trPr>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auto"/>
                <w:kern w:val="1"/>
                <w:szCs w:val="21"/>
                <w:highlight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auto"/>
                <w:kern w:val="1"/>
                <w:highlight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auto"/>
                <w:kern w:val="1"/>
                <w:szCs w:val="21"/>
                <w:highlight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auto"/>
                <w:kern w:val="1"/>
                <w:szCs w:val="21"/>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auto"/>
                <w:kern w:val="1"/>
                <w:szCs w:val="21"/>
                <w:highlight w:val="none"/>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auto"/>
                <w:kern w:val="1"/>
                <w:szCs w:val="21"/>
                <w:highlight w:val="none"/>
              </w:rPr>
            </w:pPr>
          </w:p>
        </w:tc>
      </w:tr>
      <w:tr>
        <w:trPr>
          <w:trHeight w:val="824" w:hRule="atLeast"/>
          <w:jc w:val="center"/>
        </w:trPr>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auto"/>
                <w:kern w:val="1"/>
                <w:szCs w:val="21"/>
                <w:highlight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auto"/>
                <w:kern w:val="1"/>
                <w:highlight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auto"/>
                <w:kern w:val="1"/>
                <w:szCs w:val="21"/>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auto"/>
                <w:kern w:val="1"/>
                <w:szCs w:val="21"/>
                <w:highlight w:val="none"/>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auto"/>
                <w:kern w:val="1"/>
                <w:szCs w:val="21"/>
                <w:highlight w:val="none"/>
              </w:rPr>
            </w:pPr>
          </w:p>
        </w:tc>
      </w:tr>
    </w:tbl>
    <w:p>
      <w:pPr>
        <w:pStyle w:val="12"/>
        <w:widowControl/>
        <w:spacing w:line="360" w:lineRule="auto"/>
        <w:rPr>
          <w:rFonts w:hint="default" w:cs="宋体"/>
          <w:color w:val="auto"/>
          <w:kern w:val="1"/>
          <w:sz w:val="18"/>
          <w:szCs w:val="18"/>
          <w:highlight w:val="none"/>
        </w:rPr>
      </w:pPr>
      <w:r>
        <w:rPr>
          <w:rFonts w:cs="宋体"/>
          <w:color w:val="auto"/>
          <w:kern w:val="1"/>
          <w:sz w:val="18"/>
          <w:szCs w:val="18"/>
          <w:highlight w:val="none"/>
        </w:rPr>
        <w:t>注：表中人员为项目设计团队设计负责人及各专业设计负责人,投标人应根据招标文件第三章《评分办法》“工程总承包实施方案技术部分评分表”要求在本表后附对应的相关证明材料。</w:t>
      </w:r>
    </w:p>
    <w:p>
      <w:pPr>
        <w:spacing w:line="360" w:lineRule="auto"/>
        <w:ind w:firstLine="4725" w:firstLineChars="2250"/>
        <w:rPr>
          <w:rFonts w:ascii="宋体" w:hAnsi="宋体" w:eastAsia="宋体" w:cs="宋体"/>
          <w:color w:val="auto"/>
          <w:szCs w:val="21"/>
          <w:highlight w:val="none"/>
        </w:rPr>
      </w:pPr>
    </w:p>
    <w:p>
      <w:pPr>
        <w:spacing w:line="360" w:lineRule="auto"/>
        <w:ind w:firstLine="4725" w:firstLineChars="225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投标人：</w:t>
      </w:r>
      <w:r>
        <w:rPr>
          <w:rFonts w:hint="eastAsia" w:ascii="宋体" w:hAnsi="宋体" w:eastAsia="宋体" w:cs="宋体"/>
          <w:color w:val="auto"/>
          <w:kern w:val="1"/>
          <w:szCs w:val="21"/>
          <w:highlight w:val="none"/>
          <w:u w:val="single"/>
          <w:lang w:bidi="ar"/>
        </w:rPr>
        <w:t xml:space="preserve">         </w:t>
      </w:r>
      <w:r>
        <w:rPr>
          <w:rFonts w:hint="eastAsia" w:ascii="宋体" w:hAnsi="宋体" w:eastAsia="宋体" w:cs="宋体"/>
          <w:color w:val="auto"/>
          <w:kern w:val="0"/>
          <w:szCs w:val="21"/>
          <w:highlight w:val="none"/>
          <w:lang w:bidi="ar"/>
        </w:rPr>
        <w:t>（盖章）</w:t>
      </w:r>
    </w:p>
    <w:p>
      <w:pPr>
        <w:spacing w:line="360" w:lineRule="auto"/>
        <w:ind w:firstLine="4725" w:firstLineChars="2250"/>
        <w:rPr>
          <w:rFonts w:ascii="宋体" w:hAnsi="宋体" w:eastAsia="宋体" w:cs="宋体"/>
          <w:color w:val="auto"/>
          <w:kern w:val="1"/>
          <w:szCs w:val="21"/>
          <w:highlight w:val="none"/>
          <w:u w:val="single"/>
        </w:rPr>
      </w:pPr>
      <w:r>
        <w:rPr>
          <w:rFonts w:hint="eastAsia" w:ascii="宋体" w:hAnsi="宋体" w:eastAsia="宋体" w:cs="宋体"/>
          <w:color w:val="auto"/>
          <w:kern w:val="1"/>
          <w:szCs w:val="21"/>
          <w:highlight w:val="none"/>
          <w:lang w:bidi="ar"/>
        </w:rPr>
        <w:t>法定代表人或其授权代理人(</w:t>
      </w:r>
      <w:r>
        <w:rPr>
          <w:rFonts w:hint="eastAsia" w:ascii="宋体" w:hAnsi="宋体" w:eastAsia="宋体" w:cs="宋体"/>
          <w:color w:val="auto"/>
          <w:kern w:val="0"/>
          <w:szCs w:val="21"/>
          <w:highlight w:val="none"/>
          <w:lang w:bidi="ar"/>
        </w:rPr>
        <w:t>签字或盖章</w:t>
      </w:r>
      <w:r>
        <w:rPr>
          <w:rFonts w:hint="eastAsia" w:ascii="宋体" w:hAnsi="宋体" w:eastAsia="宋体" w:cs="宋体"/>
          <w:color w:val="auto"/>
          <w:kern w:val="1"/>
          <w:szCs w:val="21"/>
          <w:highlight w:val="none"/>
          <w:lang w:bidi="ar"/>
        </w:rPr>
        <w:t>)：</w:t>
      </w:r>
      <w:r>
        <w:rPr>
          <w:rFonts w:hint="eastAsia" w:ascii="宋体" w:hAnsi="宋体" w:eastAsia="宋体" w:cs="宋体"/>
          <w:color w:val="auto"/>
          <w:kern w:val="1"/>
          <w:szCs w:val="21"/>
          <w:highlight w:val="none"/>
          <w:u w:val="single"/>
          <w:lang w:bidi="ar"/>
        </w:rPr>
        <w:t xml:space="preserve">                 </w:t>
      </w:r>
    </w:p>
    <w:p>
      <w:pPr>
        <w:spacing w:line="360" w:lineRule="auto"/>
        <w:ind w:firstLine="4725" w:firstLineChars="225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日   期：    年    月    日</w:t>
      </w:r>
    </w:p>
    <w:p>
      <w:pPr>
        <w:widowControl/>
        <w:jc w:val="left"/>
        <w:rPr>
          <w:rFonts w:ascii="宋体" w:hAnsi="宋体" w:eastAsia="宋体" w:cs="Times New Roman"/>
          <w:color w:val="auto"/>
          <w:kern w:val="0"/>
          <w:sz w:val="20"/>
          <w:szCs w:val="20"/>
          <w:highlight w:val="none"/>
        </w:rPr>
      </w:pPr>
      <w:r>
        <w:rPr>
          <w:color w:val="auto"/>
          <w:highlight w:val="none"/>
        </w:rPr>
        <w:br w:type="page"/>
      </w:r>
    </w:p>
    <w:p>
      <w:pPr>
        <w:spacing w:line="360" w:lineRule="auto"/>
        <w:rPr>
          <w:rFonts w:ascii="宋体" w:hAnsi="宋体" w:eastAsia="宋体" w:cs="宋体"/>
          <w:b/>
          <w:color w:val="auto"/>
          <w:kern w:val="1"/>
          <w:sz w:val="24"/>
          <w:szCs w:val="22"/>
          <w:highlight w:val="none"/>
          <w:lang w:val="zh-CN"/>
        </w:rPr>
      </w:pPr>
      <w:r>
        <w:rPr>
          <w:rFonts w:hint="eastAsia" w:ascii="宋体" w:hAnsi="宋体" w:eastAsia="宋体" w:cs="宋体"/>
          <w:b/>
          <w:color w:val="auto"/>
          <w:kern w:val="1"/>
          <w:sz w:val="24"/>
          <w:szCs w:val="22"/>
          <w:highlight w:val="none"/>
          <w:lang w:val="zh-CN" w:bidi="ar"/>
        </w:rPr>
        <w:t>格式</w:t>
      </w:r>
      <w:r>
        <w:rPr>
          <w:rFonts w:hint="eastAsia" w:ascii="宋体" w:hAnsi="宋体" w:eastAsia="宋体" w:cs="宋体"/>
          <w:b/>
          <w:color w:val="auto"/>
          <w:kern w:val="1"/>
          <w:sz w:val="24"/>
          <w:szCs w:val="22"/>
          <w:highlight w:val="none"/>
          <w:lang w:bidi="ar"/>
        </w:rPr>
        <w:t>7</w:t>
      </w:r>
      <w:r>
        <w:rPr>
          <w:rFonts w:hint="eastAsia" w:ascii="宋体" w:hAnsi="宋体" w:eastAsia="宋体" w:cs="宋体"/>
          <w:b/>
          <w:color w:val="auto"/>
          <w:kern w:val="1"/>
          <w:sz w:val="24"/>
          <w:szCs w:val="22"/>
          <w:highlight w:val="none"/>
          <w:lang w:val="zh-CN" w:bidi="ar"/>
        </w:rPr>
        <w:t>：</w:t>
      </w:r>
    </w:p>
    <w:p>
      <w:pPr>
        <w:tabs>
          <w:tab w:val="left" w:pos="7655"/>
        </w:tabs>
        <w:spacing w:line="360" w:lineRule="auto"/>
        <w:jc w:val="center"/>
        <w:rPr>
          <w:rFonts w:ascii="宋体" w:hAnsi="宋体" w:eastAsia="宋体" w:cs="宋体"/>
          <w:b/>
          <w:color w:val="auto"/>
          <w:spacing w:val="20"/>
          <w:kern w:val="1"/>
          <w:sz w:val="36"/>
          <w:szCs w:val="36"/>
          <w:highlight w:val="none"/>
        </w:rPr>
      </w:pPr>
      <w:r>
        <w:rPr>
          <w:rFonts w:hint="eastAsia" w:ascii="宋体" w:hAnsi="宋体" w:eastAsia="宋体" w:cs="宋体"/>
          <w:b/>
          <w:bCs/>
          <w:color w:val="auto"/>
          <w:spacing w:val="4"/>
          <w:kern w:val="0"/>
          <w:sz w:val="32"/>
          <w:szCs w:val="32"/>
          <w:highlight w:val="none"/>
          <w:lang w:val="zh-CN" w:bidi="ar"/>
        </w:rPr>
        <w:t>拟投入本项目施工主要负责人员简历表</w:t>
      </w:r>
    </w:p>
    <w:tbl>
      <w:tblPr>
        <w:tblStyle w:val="26"/>
        <w:tblW w:w="9660" w:type="dxa"/>
        <w:tblInd w:w="0" w:type="dxa"/>
        <w:tblLayout w:type="fixed"/>
        <w:tblCellMar>
          <w:top w:w="0" w:type="dxa"/>
          <w:left w:w="108" w:type="dxa"/>
          <w:bottom w:w="0" w:type="dxa"/>
          <w:right w:w="108" w:type="dxa"/>
        </w:tblCellMar>
      </w:tblPr>
      <w:tblGrid>
        <w:gridCol w:w="1574"/>
        <w:gridCol w:w="1468"/>
        <w:gridCol w:w="1315"/>
        <w:gridCol w:w="869"/>
        <w:gridCol w:w="19"/>
        <w:gridCol w:w="832"/>
        <w:gridCol w:w="708"/>
        <w:gridCol w:w="1135"/>
        <w:gridCol w:w="900"/>
        <w:gridCol w:w="840"/>
      </w:tblGrid>
      <w:tr>
        <w:trPr>
          <w:trHeight w:val="749" w:hRule="exact"/>
        </w:trPr>
        <w:tc>
          <w:tcPr>
            <w:tcW w:w="1576" w:type="dxa"/>
            <w:tcBorders>
              <w:top w:val="single" w:color="000000" w:sz="12" w:space="0"/>
              <w:left w:val="single" w:color="000000" w:sz="12" w:space="0"/>
              <w:bottom w:val="single" w:color="000000" w:sz="6" w:space="0"/>
              <w:right w:val="single" w:color="000000" w:sz="6" w:space="0"/>
            </w:tcBorders>
            <w:shd w:val="clear" w:color="auto" w:fill="auto"/>
            <w:vAlign w:val="center"/>
          </w:tcPr>
          <w:p>
            <w:pPr>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val="zh-CN" w:bidi="ar"/>
              </w:rPr>
              <w:t>姓名</w:t>
            </w:r>
          </w:p>
        </w:tc>
        <w:tc>
          <w:tcPr>
            <w:tcW w:w="1469" w:type="dxa"/>
            <w:tcBorders>
              <w:top w:val="single" w:color="000000" w:sz="12" w:space="0"/>
              <w:left w:val="single" w:color="000000" w:sz="6" w:space="0"/>
              <w:bottom w:val="single" w:color="000000" w:sz="6" w:space="0"/>
              <w:right w:val="single" w:color="000000" w:sz="6" w:space="0"/>
            </w:tcBorders>
            <w:shd w:val="clear" w:color="auto" w:fill="auto"/>
            <w:vAlign w:val="center"/>
          </w:tcPr>
          <w:p>
            <w:pPr>
              <w:jc w:val="center"/>
              <w:rPr>
                <w:rFonts w:ascii="宋体" w:hAnsi="宋体" w:eastAsia="宋体" w:cs="宋体"/>
                <w:color w:val="auto"/>
                <w:kern w:val="1"/>
                <w:szCs w:val="21"/>
                <w:highlight w:val="none"/>
              </w:rPr>
            </w:pPr>
          </w:p>
        </w:tc>
        <w:tc>
          <w:tcPr>
            <w:tcW w:w="1316" w:type="dxa"/>
            <w:tcBorders>
              <w:top w:val="single" w:color="000000" w:sz="12" w:space="0"/>
              <w:left w:val="single" w:color="000000" w:sz="6" w:space="0"/>
              <w:bottom w:val="single" w:color="000000" w:sz="6" w:space="0"/>
              <w:right w:val="single" w:color="000000" w:sz="6" w:space="0"/>
            </w:tcBorders>
            <w:shd w:val="clear" w:color="auto" w:fill="auto"/>
            <w:vAlign w:val="center"/>
          </w:tcPr>
          <w:p>
            <w:pPr>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val="zh-CN" w:bidi="ar"/>
              </w:rPr>
              <w:t>性别</w:t>
            </w:r>
          </w:p>
        </w:tc>
        <w:tc>
          <w:tcPr>
            <w:tcW w:w="888" w:type="dxa"/>
            <w:gridSpan w:val="2"/>
            <w:tcBorders>
              <w:top w:val="single" w:color="000000" w:sz="12" w:space="0"/>
              <w:left w:val="single" w:color="000000" w:sz="6" w:space="0"/>
              <w:bottom w:val="single" w:color="000000" w:sz="6" w:space="0"/>
              <w:right w:val="single" w:color="000000" w:sz="6" w:space="0"/>
            </w:tcBorders>
            <w:shd w:val="clear" w:color="auto" w:fill="auto"/>
            <w:vAlign w:val="center"/>
          </w:tcPr>
          <w:p>
            <w:pPr>
              <w:jc w:val="center"/>
              <w:rPr>
                <w:rFonts w:ascii="宋体" w:hAnsi="宋体" w:eastAsia="宋体" w:cs="宋体"/>
                <w:color w:val="auto"/>
                <w:kern w:val="1"/>
                <w:szCs w:val="21"/>
                <w:highlight w:val="none"/>
              </w:rPr>
            </w:pPr>
          </w:p>
        </w:tc>
        <w:tc>
          <w:tcPr>
            <w:tcW w:w="832" w:type="dxa"/>
            <w:tcBorders>
              <w:top w:val="single" w:color="000000" w:sz="12" w:space="0"/>
              <w:left w:val="single" w:color="000000" w:sz="6" w:space="0"/>
              <w:bottom w:val="single" w:color="000000" w:sz="6" w:space="0"/>
              <w:right w:val="single" w:color="000000" w:sz="6" w:space="0"/>
            </w:tcBorders>
            <w:shd w:val="clear" w:color="auto" w:fill="auto"/>
            <w:vAlign w:val="center"/>
          </w:tcPr>
          <w:p>
            <w:pPr>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val="zh-CN" w:bidi="ar"/>
              </w:rPr>
              <w:t>出生年月</w:t>
            </w:r>
          </w:p>
        </w:tc>
        <w:tc>
          <w:tcPr>
            <w:tcW w:w="1842" w:type="dxa"/>
            <w:gridSpan w:val="2"/>
            <w:tcBorders>
              <w:top w:val="single" w:color="000000" w:sz="12" w:space="0"/>
              <w:left w:val="single" w:color="000000" w:sz="6" w:space="0"/>
              <w:bottom w:val="single" w:color="000000" w:sz="6"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900" w:type="dxa"/>
            <w:tcBorders>
              <w:top w:val="single" w:color="000000" w:sz="12" w:space="0"/>
              <w:left w:val="single" w:color="000000" w:sz="4" w:space="0"/>
              <w:bottom w:val="single" w:color="000000" w:sz="6" w:space="0"/>
              <w:right w:val="single" w:color="000000" w:sz="4" w:space="0"/>
            </w:tcBorders>
            <w:shd w:val="clear" w:color="auto" w:fill="auto"/>
            <w:vAlign w:val="center"/>
          </w:tcPr>
          <w:p>
            <w:pPr>
              <w:jc w:val="center"/>
              <w:rPr>
                <w:rFonts w:ascii="宋体" w:hAnsi="宋体" w:eastAsia="宋体" w:cs="宋体"/>
                <w:color w:val="auto"/>
                <w:kern w:val="1"/>
                <w:szCs w:val="21"/>
                <w:highlight w:val="none"/>
                <w:lang w:val="zh-CN"/>
              </w:rPr>
            </w:pPr>
            <w:r>
              <w:rPr>
                <w:rFonts w:hint="eastAsia" w:ascii="宋体" w:hAnsi="宋体" w:eastAsia="宋体" w:cs="宋体"/>
                <w:color w:val="auto"/>
                <w:kern w:val="1"/>
                <w:szCs w:val="21"/>
                <w:highlight w:val="none"/>
                <w:lang w:val="zh-CN" w:bidi="ar"/>
              </w:rPr>
              <w:t>文化</w:t>
            </w:r>
          </w:p>
          <w:p>
            <w:pPr>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val="zh-CN" w:bidi="ar"/>
              </w:rPr>
              <w:t>程度</w:t>
            </w:r>
          </w:p>
        </w:tc>
        <w:tc>
          <w:tcPr>
            <w:tcW w:w="840" w:type="dxa"/>
            <w:tcBorders>
              <w:top w:val="single" w:color="000000" w:sz="12" w:space="0"/>
              <w:left w:val="single" w:color="000000" w:sz="4" w:space="0"/>
              <w:bottom w:val="single" w:color="000000" w:sz="6" w:space="0"/>
              <w:right w:val="single" w:color="000000" w:sz="12" w:space="0"/>
            </w:tcBorders>
            <w:shd w:val="clear" w:color="auto" w:fill="auto"/>
            <w:vAlign w:val="center"/>
          </w:tcPr>
          <w:p>
            <w:pPr>
              <w:jc w:val="center"/>
              <w:rPr>
                <w:rFonts w:ascii="宋体" w:hAnsi="宋体" w:eastAsia="宋体" w:cs="宋体"/>
                <w:color w:val="auto"/>
                <w:kern w:val="1"/>
                <w:szCs w:val="21"/>
                <w:highlight w:val="none"/>
              </w:rPr>
            </w:pPr>
          </w:p>
        </w:tc>
      </w:tr>
      <w:tr>
        <w:trPr>
          <w:trHeight w:val="757" w:hRule="exact"/>
        </w:trPr>
        <w:tc>
          <w:tcPr>
            <w:tcW w:w="1576" w:type="dxa"/>
            <w:tcBorders>
              <w:top w:val="single" w:color="000000" w:sz="6" w:space="0"/>
              <w:left w:val="single" w:color="000000" w:sz="12" w:space="0"/>
              <w:bottom w:val="single" w:color="000000" w:sz="6" w:space="0"/>
              <w:right w:val="single" w:color="000000" w:sz="6" w:space="0"/>
            </w:tcBorders>
            <w:shd w:val="clear" w:color="auto" w:fill="auto"/>
            <w:vAlign w:val="center"/>
          </w:tcPr>
          <w:p>
            <w:pPr>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val="zh-CN" w:bidi="ar"/>
              </w:rPr>
              <w:t>毕业院校</w:t>
            </w:r>
          </w:p>
        </w:tc>
        <w:tc>
          <w:tcPr>
            <w:tcW w:w="1469"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宋体" w:hAnsi="宋体" w:eastAsia="宋体" w:cs="宋体"/>
                <w:color w:val="auto"/>
                <w:kern w:val="1"/>
                <w:szCs w:val="21"/>
                <w:highlight w:val="none"/>
              </w:rPr>
            </w:pPr>
          </w:p>
        </w:tc>
        <w:tc>
          <w:tcPr>
            <w:tcW w:w="1316"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val="zh-CN" w:bidi="ar"/>
              </w:rPr>
              <w:t>专业</w:t>
            </w:r>
          </w:p>
        </w:tc>
        <w:tc>
          <w:tcPr>
            <w:tcW w:w="1720" w:type="dxa"/>
            <w:gridSpan w:val="3"/>
            <w:tcBorders>
              <w:top w:val="single" w:color="000000" w:sz="6" w:space="0"/>
              <w:left w:val="single" w:color="000000" w:sz="6" w:space="0"/>
              <w:bottom w:val="single" w:color="000000" w:sz="6" w:space="0"/>
              <w:right w:val="single" w:color="000000" w:sz="4" w:space="0"/>
            </w:tcBorders>
            <w:shd w:val="clear" w:color="auto" w:fill="auto"/>
            <w:vAlign w:val="center"/>
          </w:tcPr>
          <w:p>
            <w:pPr>
              <w:rPr>
                <w:rFonts w:ascii="宋体" w:hAnsi="宋体" w:eastAsia="宋体" w:cs="宋体"/>
                <w:color w:val="auto"/>
                <w:kern w:val="1"/>
                <w:szCs w:val="21"/>
                <w:highlight w:val="none"/>
              </w:rPr>
            </w:pPr>
          </w:p>
        </w:tc>
        <w:tc>
          <w:tcPr>
            <w:tcW w:w="708" w:type="dxa"/>
            <w:tcBorders>
              <w:top w:val="single" w:color="000000" w:sz="6" w:space="0"/>
              <w:left w:val="single" w:color="000000" w:sz="4" w:space="0"/>
              <w:bottom w:val="single" w:color="000000" w:sz="6" w:space="0"/>
              <w:right w:val="single" w:color="000000" w:sz="4" w:space="0"/>
            </w:tcBorders>
            <w:shd w:val="clear" w:color="auto" w:fill="auto"/>
            <w:vAlign w:val="center"/>
          </w:tcPr>
          <w:p>
            <w:pP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val="zh-CN" w:bidi="ar"/>
              </w:rPr>
              <w:t>毕业</w:t>
            </w:r>
          </w:p>
          <w:p>
            <w:pP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val="zh-CN" w:bidi="ar"/>
              </w:rPr>
              <w:t>时间</w:t>
            </w:r>
          </w:p>
        </w:tc>
        <w:tc>
          <w:tcPr>
            <w:tcW w:w="1135" w:type="dxa"/>
            <w:tcBorders>
              <w:top w:val="single" w:color="000000" w:sz="6" w:space="0"/>
              <w:left w:val="single" w:color="000000" w:sz="4" w:space="0"/>
              <w:bottom w:val="single" w:color="000000" w:sz="6" w:space="0"/>
              <w:right w:val="single" w:color="000000" w:sz="6" w:space="0"/>
            </w:tcBorders>
            <w:shd w:val="clear" w:color="auto" w:fill="auto"/>
            <w:vAlign w:val="center"/>
          </w:tcPr>
          <w:p>
            <w:pPr>
              <w:rPr>
                <w:rFonts w:ascii="宋体" w:hAnsi="宋体" w:eastAsia="宋体" w:cs="宋体"/>
                <w:color w:val="auto"/>
                <w:kern w:val="1"/>
                <w:szCs w:val="21"/>
                <w:highlight w:val="none"/>
              </w:rPr>
            </w:pPr>
          </w:p>
        </w:tc>
        <w:tc>
          <w:tcPr>
            <w:tcW w:w="900" w:type="dxa"/>
            <w:tcBorders>
              <w:top w:val="single" w:color="000000" w:sz="6" w:space="0"/>
              <w:left w:val="single" w:color="000000" w:sz="6" w:space="0"/>
              <w:bottom w:val="single" w:color="000000" w:sz="6"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val="zh-CN" w:bidi="ar"/>
              </w:rPr>
              <w:t>技术</w:t>
            </w:r>
          </w:p>
          <w:p>
            <w:pPr>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val="zh-CN" w:bidi="ar"/>
              </w:rPr>
              <w:t>职称</w:t>
            </w:r>
          </w:p>
        </w:tc>
        <w:tc>
          <w:tcPr>
            <w:tcW w:w="840" w:type="dxa"/>
            <w:tcBorders>
              <w:top w:val="single" w:color="000000" w:sz="6" w:space="0"/>
              <w:left w:val="single" w:color="000000" w:sz="4" w:space="0"/>
              <w:bottom w:val="single" w:color="000000" w:sz="6" w:space="0"/>
              <w:right w:val="single" w:color="000000" w:sz="12" w:space="0"/>
            </w:tcBorders>
            <w:shd w:val="clear" w:color="auto" w:fill="auto"/>
            <w:vAlign w:val="center"/>
          </w:tcPr>
          <w:p>
            <w:pPr>
              <w:rPr>
                <w:rFonts w:ascii="宋体" w:hAnsi="宋体" w:eastAsia="宋体" w:cs="宋体"/>
                <w:color w:val="auto"/>
                <w:kern w:val="1"/>
                <w:szCs w:val="21"/>
                <w:highlight w:val="none"/>
              </w:rPr>
            </w:pPr>
          </w:p>
        </w:tc>
      </w:tr>
      <w:tr>
        <w:trPr>
          <w:trHeight w:val="2324" w:hRule="exact"/>
        </w:trPr>
        <w:tc>
          <w:tcPr>
            <w:tcW w:w="1576" w:type="dxa"/>
            <w:tcBorders>
              <w:top w:val="single" w:color="000000" w:sz="6" w:space="0"/>
              <w:left w:val="single" w:color="000000" w:sz="12" w:space="0"/>
              <w:bottom w:val="single" w:color="000000" w:sz="6" w:space="0"/>
              <w:right w:val="single" w:color="000000" w:sz="6" w:space="0"/>
            </w:tcBorders>
            <w:shd w:val="clear" w:color="auto" w:fill="auto"/>
            <w:vAlign w:val="center"/>
          </w:tcPr>
          <w:p>
            <w:pPr>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val="zh-CN" w:bidi="ar"/>
              </w:rPr>
              <w:t>拟在本项目担任的职务</w:t>
            </w:r>
          </w:p>
        </w:tc>
        <w:tc>
          <w:tcPr>
            <w:tcW w:w="1469"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宋体" w:hAnsi="宋体" w:eastAsia="宋体" w:cs="宋体"/>
                <w:color w:val="auto"/>
                <w:kern w:val="1"/>
                <w:szCs w:val="21"/>
                <w:highlight w:val="none"/>
              </w:rPr>
            </w:pPr>
          </w:p>
        </w:tc>
        <w:tc>
          <w:tcPr>
            <w:tcW w:w="1316"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80" w:right="-116"/>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val="zh-CN" w:bidi="ar"/>
              </w:rPr>
              <w:t>取得职称或资格证年限</w:t>
            </w:r>
          </w:p>
        </w:tc>
        <w:tc>
          <w:tcPr>
            <w:tcW w:w="869"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宋体" w:hAnsi="宋体" w:eastAsia="宋体" w:cs="宋体"/>
                <w:color w:val="auto"/>
                <w:kern w:val="1"/>
                <w:szCs w:val="21"/>
                <w:highlight w:val="none"/>
              </w:rPr>
            </w:pPr>
          </w:p>
        </w:tc>
        <w:tc>
          <w:tcPr>
            <w:tcW w:w="851" w:type="dxa"/>
            <w:gridSpan w:val="2"/>
            <w:tcBorders>
              <w:top w:val="single" w:color="000000" w:sz="6" w:space="0"/>
              <w:left w:val="single" w:color="000000" w:sz="6" w:space="0"/>
              <w:bottom w:val="single" w:color="000000" w:sz="6"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val="zh-CN" w:bidi="ar"/>
              </w:rPr>
              <w:t>现任</w:t>
            </w:r>
          </w:p>
          <w:p>
            <w:pPr>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val="zh-CN" w:bidi="ar"/>
              </w:rPr>
              <w:t>职务</w:t>
            </w:r>
          </w:p>
        </w:tc>
        <w:tc>
          <w:tcPr>
            <w:tcW w:w="1842" w:type="dxa"/>
            <w:gridSpan w:val="2"/>
            <w:tcBorders>
              <w:top w:val="single" w:color="000000" w:sz="6" w:space="0"/>
              <w:left w:val="single" w:color="000000" w:sz="4" w:space="0"/>
              <w:bottom w:val="single" w:color="000000" w:sz="6"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900" w:type="dxa"/>
            <w:tcBorders>
              <w:top w:val="single" w:color="000000" w:sz="6" w:space="0"/>
              <w:left w:val="single" w:color="000000" w:sz="4" w:space="0"/>
              <w:bottom w:val="single" w:color="000000" w:sz="6"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联系</w:t>
            </w:r>
          </w:p>
          <w:p>
            <w:pPr>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电话</w:t>
            </w:r>
          </w:p>
        </w:tc>
        <w:tc>
          <w:tcPr>
            <w:tcW w:w="840" w:type="dxa"/>
            <w:tcBorders>
              <w:top w:val="single" w:color="000000" w:sz="6" w:space="0"/>
              <w:left w:val="single" w:color="000000" w:sz="4" w:space="0"/>
              <w:bottom w:val="single" w:color="000000" w:sz="6" w:space="0"/>
              <w:right w:val="single" w:color="000000" w:sz="12" w:space="0"/>
            </w:tcBorders>
            <w:shd w:val="clear" w:color="auto" w:fill="auto"/>
            <w:vAlign w:val="center"/>
          </w:tcPr>
          <w:p>
            <w:pPr>
              <w:jc w:val="center"/>
              <w:rPr>
                <w:rFonts w:ascii="宋体" w:hAnsi="宋体" w:eastAsia="宋体" w:cs="宋体"/>
                <w:color w:val="auto"/>
                <w:kern w:val="1"/>
                <w:szCs w:val="21"/>
                <w:highlight w:val="none"/>
              </w:rPr>
            </w:pPr>
          </w:p>
        </w:tc>
      </w:tr>
      <w:tr>
        <w:trPr>
          <w:trHeight w:val="1289" w:hRule="exact"/>
        </w:trPr>
        <w:tc>
          <w:tcPr>
            <w:tcW w:w="1576" w:type="dxa"/>
            <w:tcBorders>
              <w:top w:val="single" w:color="000000" w:sz="6" w:space="0"/>
              <w:left w:val="single" w:color="000000" w:sz="12" w:space="0"/>
              <w:bottom w:val="single" w:color="000000" w:sz="6" w:space="0"/>
              <w:right w:val="single" w:color="000000" w:sz="6" w:space="0"/>
            </w:tcBorders>
            <w:shd w:val="clear" w:color="auto" w:fill="auto"/>
            <w:vAlign w:val="center"/>
          </w:tcPr>
          <w:p>
            <w:pPr>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val="zh-CN" w:bidi="ar"/>
              </w:rPr>
              <w:t>资格证号</w:t>
            </w:r>
          </w:p>
        </w:tc>
        <w:tc>
          <w:tcPr>
            <w:tcW w:w="6347" w:type="dxa"/>
            <w:gridSpan w:val="7"/>
            <w:tcBorders>
              <w:top w:val="single" w:color="000000" w:sz="6" w:space="0"/>
              <w:left w:val="single" w:color="000000" w:sz="6" w:space="0"/>
              <w:bottom w:val="single" w:color="000000" w:sz="6"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900" w:type="dxa"/>
            <w:tcBorders>
              <w:top w:val="single" w:color="000000" w:sz="6" w:space="0"/>
              <w:left w:val="single" w:color="000000" w:sz="4" w:space="0"/>
              <w:bottom w:val="single" w:color="000000" w:sz="6"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val="zh-CN" w:bidi="ar"/>
              </w:rPr>
              <w:t>在册/外聘</w:t>
            </w:r>
          </w:p>
        </w:tc>
        <w:tc>
          <w:tcPr>
            <w:tcW w:w="840" w:type="dxa"/>
            <w:tcBorders>
              <w:top w:val="single" w:color="000000" w:sz="6" w:space="0"/>
              <w:left w:val="single" w:color="000000" w:sz="4" w:space="0"/>
              <w:bottom w:val="single" w:color="000000" w:sz="6" w:space="0"/>
              <w:right w:val="single" w:color="000000" w:sz="12" w:space="0"/>
            </w:tcBorders>
            <w:shd w:val="clear" w:color="auto" w:fill="auto"/>
            <w:vAlign w:val="center"/>
          </w:tcPr>
          <w:p>
            <w:pPr>
              <w:jc w:val="center"/>
              <w:rPr>
                <w:rFonts w:ascii="宋体" w:hAnsi="宋体" w:eastAsia="宋体" w:cs="宋体"/>
                <w:color w:val="auto"/>
                <w:kern w:val="1"/>
                <w:szCs w:val="21"/>
                <w:highlight w:val="none"/>
              </w:rPr>
            </w:pPr>
          </w:p>
        </w:tc>
      </w:tr>
      <w:tr>
        <w:trPr>
          <w:trHeight w:val="618" w:hRule="exact"/>
        </w:trPr>
        <w:tc>
          <w:tcPr>
            <w:tcW w:w="1576" w:type="dxa"/>
            <w:vMerge w:val="restart"/>
            <w:tcBorders>
              <w:top w:val="single" w:color="000000" w:sz="6" w:space="0"/>
              <w:left w:val="single" w:color="000000" w:sz="12" w:space="0"/>
              <w:bottom w:val="single" w:color="000000" w:sz="12" w:space="0"/>
              <w:right w:val="single" w:color="000000" w:sz="6" w:space="0"/>
            </w:tcBorders>
            <w:shd w:val="clear" w:color="auto" w:fill="auto"/>
            <w:vAlign w:val="center"/>
          </w:tcPr>
          <w:p>
            <w:pPr>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val="zh-CN" w:bidi="ar"/>
              </w:rPr>
              <w:t>主要</w:t>
            </w:r>
          </w:p>
          <w:p>
            <w:pPr>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获奖</w:t>
            </w:r>
          </w:p>
        </w:tc>
        <w:tc>
          <w:tcPr>
            <w:tcW w:w="1469" w:type="dxa"/>
            <w:tcBorders>
              <w:top w:val="single" w:color="000000" w:sz="6" w:space="0"/>
              <w:left w:val="single" w:color="000000" w:sz="6"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val="zh-CN" w:bidi="ar"/>
              </w:rPr>
              <w:t>时间</w:t>
            </w:r>
          </w:p>
        </w:tc>
        <w:tc>
          <w:tcPr>
            <w:tcW w:w="3744" w:type="dxa"/>
            <w:gridSpan w:val="5"/>
            <w:tcBorders>
              <w:top w:val="single" w:color="000000" w:sz="6"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val="zh-CN" w:bidi="ar"/>
              </w:rPr>
              <w:t>工程名称</w:t>
            </w:r>
          </w:p>
        </w:tc>
        <w:tc>
          <w:tcPr>
            <w:tcW w:w="1135" w:type="dxa"/>
            <w:tcBorders>
              <w:top w:val="single" w:color="000000" w:sz="6"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val="zh-CN" w:bidi="ar"/>
              </w:rPr>
              <w:t>任职</w:t>
            </w:r>
          </w:p>
        </w:tc>
        <w:tc>
          <w:tcPr>
            <w:tcW w:w="1740" w:type="dxa"/>
            <w:gridSpan w:val="2"/>
            <w:tcBorders>
              <w:top w:val="single" w:color="000000" w:sz="6"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奖项类型</w:t>
            </w:r>
          </w:p>
        </w:tc>
      </w:tr>
      <w:tr>
        <w:trPr>
          <w:trHeight w:val="1913" w:hRule="atLeast"/>
        </w:trPr>
        <w:tc>
          <w:tcPr>
            <w:tcW w:w="1576" w:type="dxa"/>
            <w:vMerge w:val="continue"/>
            <w:tcBorders>
              <w:top w:val="single" w:color="000000" w:sz="6" w:space="0"/>
              <w:left w:val="single" w:color="000000" w:sz="12" w:space="0"/>
              <w:bottom w:val="single" w:color="000000" w:sz="12" w:space="0"/>
              <w:right w:val="single" w:color="000000" w:sz="6" w:space="0"/>
            </w:tcBorders>
            <w:shd w:val="clear" w:color="auto" w:fill="auto"/>
            <w:vAlign w:val="center"/>
          </w:tcPr>
          <w:p>
            <w:pPr>
              <w:rPr>
                <w:rFonts w:ascii="Times New Roman" w:hAnsi="Times New Roman" w:cs="Times New Roman"/>
                <w:color w:val="auto"/>
                <w:sz w:val="20"/>
                <w:szCs w:val="20"/>
                <w:highlight w:val="none"/>
              </w:rPr>
            </w:pPr>
          </w:p>
        </w:tc>
        <w:tc>
          <w:tcPr>
            <w:tcW w:w="1469" w:type="dxa"/>
            <w:tcBorders>
              <w:top w:val="single" w:color="000000" w:sz="6" w:space="0"/>
              <w:left w:val="single" w:color="000000" w:sz="6" w:space="0"/>
              <w:bottom w:val="single" w:color="000000" w:sz="12"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3744" w:type="dxa"/>
            <w:gridSpan w:val="5"/>
            <w:tcBorders>
              <w:top w:val="single" w:color="000000" w:sz="6" w:space="0"/>
              <w:left w:val="nil"/>
              <w:bottom w:val="single" w:color="000000" w:sz="12"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1135" w:type="dxa"/>
            <w:tcBorders>
              <w:top w:val="single" w:color="000000" w:sz="6" w:space="0"/>
              <w:left w:val="nil"/>
              <w:bottom w:val="single" w:color="000000" w:sz="12"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1740" w:type="dxa"/>
            <w:gridSpan w:val="2"/>
            <w:tcBorders>
              <w:top w:val="single" w:color="000000" w:sz="6" w:space="0"/>
              <w:left w:val="single" w:color="000000" w:sz="4" w:space="0"/>
              <w:bottom w:val="single" w:color="000000" w:sz="12" w:space="0"/>
              <w:right w:val="single" w:color="000000" w:sz="12" w:space="0"/>
            </w:tcBorders>
            <w:shd w:val="clear" w:color="auto" w:fill="auto"/>
            <w:vAlign w:val="center"/>
          </w:tcPr>
          <w:p>
            <w:pPr>
              <w:jc w:val="center"/>
              <w:rPr>
                <w:rFonts w:ascii="宋体" w:hAnsi="宋体" w:eastAsia="宋体" w:cs="宋体"/>
                <w:color w:val="auto"/>
                <w:kern w:val="1"/>
                <w:szCs w:val="21"/>
                <w:highlight w:val="none"/>
              </w:rPr>
            </w:pPr>
          </w:p>
        </w:tc>
      </w:tr>
    </w:tbl>
    <w:p>
      <w:pPr>
        <w:spacing w:line="360" w:lineRule="auto"/>
        <w:rPr>
          <w:rFonts w:ascii="宋体" w:hAnsi="宋体" w:eastAsia="宋体" w:cs="宋体"/>
          <w:color w:val="auto"/>
          <w:kern w:val="1"/>
          <w:sz w:val="18"/>
          <w:szCs w:val="18"/>
          <w:highlight w:val="none"/>
        </w:rPr>
      </w:pPr>
      <w:r>
        <w:rPr>
          <w:rFonts w:hint="eastAsia" w:ascii="宋体" w:hAnsi="宋体" w:eastAsia="宋体" w:cs="宋体"/>
          <w:color w:val="auto"/>
          <w:kern w:val="1"/>
          <w:sz w:val="18"/>
          <w:szCs w:val="18"/>
          <w:highlight w:val="none"/>
          <w:lang w:val="zh-CN" w:bidi="ar"/>
        </w:rPr>
        <w:t>备注：</w:t>
      </w:r>
    </w:p>
    <w:p>
      <w:pPr>
        <w:spacing w:line="360" w:lineRule="auto"/>
        <w:rPr>
          <w:rFonts w:ascii="宋体" w:hAnsi="宋体" w:eastAsia="宋体" w:cs="宋体"/>
          <w:color w:val="auto"/>
          <w:kern w:val="1"/>
          <w:sz w:val="18"/>
          <w:szCs w:val="18"/>
          <w:highlight w:val="none"/>
        </w:rPr>
      </w:pPr>
      <w:r>
        <w:rPr>
          <w:rFonts w:hint="eastAsia" w:ascii="宋体" w:hAnsi="宋体" w:eastAsia="宋体" w:cs="宋体"/>
          <w:color w:val="auto"/>
          <w:kern w:val="1"/>
          <w:sz w:val="18"/>
          <w:szCs w:val="18"/>
          <w:highlight w:val="none"/>
          <w:lang w:val="zh-CN" w:bidi="ar"/>
        </w:rPr>
        <w:t>1、项目负责人、技术负责人、造价负责人、安全负责人、质量负责人应附本简历表，其余人员无需本表。</w:t>
      </w:r>
    </w:p>
    <w:p>
      <w:pPr>
        <w:spacing w:line="360" w:lineRule="auto"/>
        <w:rPr>
          <w:rFonts w:ascii="宋体" w:hAnsi="宋体" w:eastAsia="宋体" w:cs="宋体"/>
          <w:color w:val="auto"/>
          <w:kern w:val="1"/>
          <w:sz w:val="18"/>
          <w:szCs w:val="18"/>
          <w:highlight w:val="none"/>
        </w:rPr>
      </w:pPr>
      <w:r>
        <w:rPr>
          <w:rFonts w:hint="eastAsia" w:ascii="宋体" w:hAnsi="宋体" w:eastAsia="宋体" w:cs="宋体"/>
          <w:color w:val="auto"/>
          <w:kern w:val="1"/>
          <w:sz w:val="18"/>
          <w:szCs w:val="18"/>
          <w:highlight w:val="none"/>
          <w:lang w:val="zh-CN" w:bidi="ar"/>
        </w:rPr>
        <w:t>2、投标人应根据招标文件第三章《评分办法》“工程总承包实施方案技术部分评分表”要求在本表后附对应的相关证明材料。</w:t>
      </w:r>
    </w:p>
    <w:p>
      <w:pPr>
        <w:spacing w:line="360" w:lineRule="auto"/>
        <w:ind w:firstLine="4725" w:firstLineChars="2250"/>
        <w:rPr>
          <w:rFonts w:ascii="宋体" w:hAnsi="宋体" w:eastAsia="宋体" w:cs="宋体"/>
          <w:color w:val="auto"/>
          <w:szCs w:val="21"/>
          <w:highlight w:val="none"/>
        </w:rPr>
      </w:pPr>
    </w:p>
    <w:p>
      <w:pPr>
        <w:spacing w:line="360" w:lineRule="auto"/>
        <w:ind w:firstLine="4725" w:firstLineChars="225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投标人：</w:t>
      </w:r>
      <w:r>
        <w:rPr>
          <w:rFonts w:hint="eastAsia" w:ascii="宋体" w:hAnsi="宋体" w:eastAsia="宋体" w:cs="宋体"/>
          <w:color w:val="auto"/>
          <w:kern w:val="1"/>
          <w:szCs w:val="21"/>
          <w:highlight w:val="none"/>
          <w:u w:val="single"/>
          <w:lang w:bidi="ar"/>
        </w:rPr>
        <w:t xml:space="preserve">         </w:t>
      </w:r>
      <w:r>
        <w:rPr>
          <w:rFonts w:hint="eastAsia" w:ascii="宋体" w:hAnsi="宋体" w:eastAsia="宋体" w:cs="宋体"/>
          <w:color w:val="auto"/>
          <w:kern w:val="0"/>
          <w:szCs w:val="21"/>
          <w:highlight w:val="none"/>
          <w:lang w:bidi="ar"/>
        </w:rPr>
        <w:t>（盖章）</w:t>
      </w:r>
    </w:p>
    <w:p>
      <w:pPr>
        <w:spacing w:line="360" w:lineRule="auto"/>
        <w:ind w:firstLine="4725" w:firstLineChars="2250"/>
        <w:rPr>
          <w:rFonts w:ascii="宋体" w:hAnsi="宋体" w:eastAsia="宋体" w:cs="宋体"/>
          <w:color w:val="auto"/>
          <w:kern w:val="1"/>
          <w:szCs w:val="21"/>
          <w:highlight w:val="none"/>
          <w:u w:val="single"/>
        </w:rPr>
      </w:pPr>
      <w:r>
        <w:rPr>
          <w:rFonts w:hint="eastAsia" w:ascii="宋体" w:hAnsi="宋体" w:eastAsia="宋体" w:cs="宋体"/>
          <w:color w:val="auto"/>
          <w:kern w:val="1"/>
          <w:szCs w:val="21"/>
          <w:highlight w:val="none"/>
          <w:lang w:bidi="ar"/>
        </w:rPr>
        <w:t>法定代表人或其授权代理人(</w:t>
      </w:r>
      <w:r>
        <w:rPr>
          <w:rFonts w:hint="eastAsia" w:ascii="宋体" w:hAnsi="宋体" w:eastAsia="宋体" w:cs="宋体"/>
          <w:color w:val="auto"/>
          <w:kern w:val="0"/>
          <w:szCs w:val="21"/>
          <w:highlight w:val="none"/>
          <w:lang w:bidi="ar"/>
        </w:rPr>
        <w:t>签字或盖章</w:t>
      </w:r>
      <w:r>
        <w:rPr>
          <w:rFonts w:hint="eastAsia" w:ascii="宋体" w:hAnsi="宋体" w:eastAsia="宋体" w:cs="宋体"/>
          <w:color w:val="auto"/>
          <w:kern w:val="1"/>
          <w:szCs w:val="21"/>
          <w:highlight w:val="none"/>
          <w:lang w:bidi="ar"/>
        </w:rPr>
        <w:t>)：</w:t>
      </w:r>
      <w:r>
        <w:rPr>
          <w:rFonts w:hint="eastAsia" w:ascii="宋体" w:hAnsi="宋体" w:eastAsia="宋体" w:cs="宋体"/>
          <w:color w:val="auto"/>
          <w:kern w:val="1"/>
          <w:szCs w:val="21"/>
          <w:highlight w:val="none"/>
          <w:u w:val="single"/>
          <w:lang w:bidi="ar"/>
        </w:rPr>
        <w:t xml:space="preserve">                 </w:t>
      </w:r>
    </w:p>
    <w:p>
      <w:pPr>
        <w:spacing w:line="360" w:lineRule="auto"/>
        <w:ind w:firstLine="4725" w:firstLineChars="2250"/>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日   期：    年    月    日</w:t>
      </w:r>
    </w:p>
    <w:p>
      <w:pPr>
        <w:widowControl/>
        <w:jc w:val="left"/>
        <w:rPr>
          <w:rFonts w:ascii="宋体" w:hAnsi="宋体" w:eastAsia="宋体" w:cs="宋体"/>
          <w:color w:val="auto"/>
          <w:kern w:val="0"/>
          <w:szCs w:val="21"/>
          <w:highlight w:val="none"/>
          <w:lang w:bidi="ar"/>
        </w:rPr>
      </w:pPr>
      <w:r>
        <w:rPr>
          <w:rFonts w:ascii="宋体" w:hAnsi="宋体" w:eastAsia="宋体" w:cs="宋体"/>
          <w:color w:val="auto"/>
          <w:kern w:val="0"/>
          <w:szCs w:val="21"/>
          <w:highlight w:val="none"/>
          <w:lang w:bidi="ar"/>
        </w:rPr>
        <w:br w:type="page"/>
      </w:r>
    </w:p>
    <w:p>
      <w:pPr>
        <w:pStyle w:val="67"/>
        <w:widowControl/>
        <w:ind w:firstLine="0"/>
        <w:rPr>
          <w:rFonts w:ascii="宋体" w:hAnsi="宋体" w:cs="宋体"/>
          <w:b/>
          <w:color w:val="auto"/>
          <w:kern w:val="1"/>
          <w:highlight w:val="none"/>
        </w:rPr>
      </w:pPr>
      <w:r>
        <w:rPr>
          <w:rFonts w:hint="eastAsia" w:ascii="宋体" w:hAnsi="宋体" w:cs="宋体"/>
          <w:b/>
          <w:color w:val="auto"/>
          <w:kern w:val="1"/>
          <w:highlight w:val="none"/>
        </w:rPr>
        <w:t>格式8：</w:t>
      </w:r>
    </w:p>
    <w:p>
      <w:pPr>
        <w:pStyle w:val="67"/>
        <w:widowControl/>
        <w:ind w:firstLine="198"/>
        <w:jc w:val="center"/>
        <w:rPr>
          <w:rFonts w:ascii="宋体" w:hAnsi="宋体" w:cs="宋体"/>
          <w:b/>
          <w:bCs/>
          <w:color w:val="auto"/>
          <w:highlight w:val="none"/>
        </w:rPr>
      </w:pPr>
      <w:bookmarkStart w:id="418" w:name="_Hlk55921181"/>
      <w:r>
        <w:rPr>
          <w:rFonts w:hint="eastAsia" w:ascii="宋体" w:hAnsi="宋体" w:cs="宋体"/>
          <w:b/>
          <w:bCs/>
          <w:color w:val="auto"/>
          <w:sz w:val="32"/>
          <w:szCs w:val="32"/>
          <w:highlight w:val="none"/>
          <w:lang w:val="zh-CN"/>
        </w:rPr>
        <w:t>拟投入本项目施工人员一览表</w:t>
      </w:r>
      <w:bookmarkEnd w:id="418"/>
    </w:p>
    <w:tbl>
      <w:tblPr>
        <w:tblStyle w:val="26"/>
        <w:tblW w:w="9510" w:type="dxa"/>
        <w:tblInd w:w="0" w:type="dxa"/>
        <w:tblLayout w:type="fixed"/>
        <w:tblCellMar>
          <w:top w:w="0" w:type="dxa"/>
          <w:left w:w="108" w:type="dxa"/>
          <w:bottom w:w="0" w:type="dxa"/>
          <w:right w:w="108" w:type="dxa"/>
        </w:tblCellMar>
      </w:tblPr>
      <w:tblGrid>
        <w:gridCol w:w="598"/>
        <w:gridCol w:w="599"/>
        <w:gridCol w:w="600"/>
        <w:gridCol w:w="600"/>
        <w:gridCol w:w="801"/>
        <w:gridCol w:w="717"/>
        <w:gridCol w:w="684"/>
        <w:gridCol w:w="600"/>
        <w:gridCol w:w="1102"/>
        <w:gridCol w:w="1003"/>
        <w:gridCol w:w="1606"/>
        <w:gridCol w:w="600"/>
      </w:tblGrid>
      <w:tr>
        <w:trPr>
          <w:trHeight w:val="764" w:hRule="atLeast"/>
        </w:trPr>
        <w:tc>
          <w:tcPr>
            <w:tcW w:w="599"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jc w:val="center"/>
              <w:rPr>
                <w:rFonts w:ascii="宋体" w:hAnsi="宋体" w:eastAsia="宋体" w:cs="宋体"/>
                <w:color w:val="auto"/>
                <w:kern w:val="1"/>
                <w:szCs w:val="21"/>
                <w:highlight w:val="none"/>
              </w:rPr>
            </w:pPr>
            <w:r>
              <w:rPr>
                <w:rFonts w:hint="eastAsia" w:ascii="宋体" w:hAnsi="宋体" w:eastAsia="宋体" w:cs="宋体"/>
                <w:color w:val="auto"/>
                <w:spacing w:val="1"/>
                <w:kern w:val="1"/>
                <w:szCs w:val="21"/>
                <w:highlight w:val="none"/>
                <w:lang w:val="zh-CN" w:bidi="ar"/>
              </w:rPr>
              <w:t>序号</w:t>
            </w: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jc w:val="center"/>
              <w:rPr>
                <w:rFonts w:ascii="宋体" w:hAnsi="宋体" w:eastAsia="宋体" w:cs="宋体"/>
                <w:color w:val="auto"/>
                <w:kern w:val="1"/>
                <w:szCs w:val="21"/>
                <w:highlight w:val="none"/>
              </w:rPr>
            </w:pPr>
            <w:r>
              <w:rPr>
                <w:rFonts w:hint="eastAsia" w:ascii="宋体" w:hAnsi="宋体" w:eastAsia="宋体" w:cs="宋体"/>
                <w:color w:val="auto"/>
                <w:spacing w:val="1"/>
                <w:kern w:val="1"/>
                <w:szCs w:val="21"/>
                <w:highlight w:val="none"/>
                <w:lang w:val="zh-CN" w:bidi="ar"/>
              </w:rPr>
              <w:t>姓名</w:t>
            </w: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jc w:val="center"/>
              <w:rPr>
                <w:rFonts w:ascii="宋体" w:hAnsi="宋体" w:eastAsia="宋体" w:cs="宋体"/>
                <w:color w:val="auto"/>
                <w:kern w:val="1"/>
                <w:szCs w:val="21"/>
                <w:highlight w:val="none"/>
              </w:rPr>
            </w:pPr>
            <w:r>
              <w:rPr>
                <w:rFonts w:hint="eastAsia" w:ascii="宋体" w:hAnsi="宋体" w:eastAsia="宋体" w:cs="宋体"/>
                <w:color w:val="auto"/>
                <w:spacing w:val="1"/>
                <w:kern w:val="1"/>
                <w:szCs w:val="21"/>
                <w:highlight w:val="none"/>
                <w:lang w:val="zh-CN" w:bidi="ar"/>
              </w:rPr>
              <w:t>性别</w:t>
            </w: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jc w:val="center"/>
              <w:rPr>
                <w:rFonts w:ascii="宋体" w:hAnsi="宋体" w:eastAsia="宋体" w:cs="宋体"/>
                <w:color w:val="auto"/>
                <w:kern w:val="1"/>
                <w:szCs w:val="21"/>
                <w:highlight w:val="none"/>
              </w:rPr>
            </w:pPr>
            <w:r>
              <w:rPr>
                <w:rFonts w:hint="eastAsia" w:ascii="宋体" w:hAnsi="宋体" w:eastAsia="宋体" w:cs="宋体"/>
                <w:color w:val="auto"/>
                <w:spacing w:val="1"/>
                <w:kern w:val="1"/>
                <w:szCs w:val="21"/>
                <w:highlight w:val="none"/>
                <w:lang w:val="zh-CN" w:bidi="ar"/>
              </w:rPr>
              <w:t>年龄</w:t>
            </w:r>
          </w:p>
        </w:tc>
        <w:tc>
          <w:tcPr>
            <w:tcW w:w="801"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jc w:val="center"/>
              <w:rPr>
                <w:rFonts w:ascii="宋体" w:hAnsi="宋体" w:eastAsia="宋体" w:cs="宋体"/>
                <w:color w:val="auto"/>
                <w:kern w:val="1"/>
                <w:szCs w:val="21"/>
                <w:highlight w:val="none"/>
              </w:rPr>
            </w:pPr>
            <w:r>
              <w:rPr>
                <w:rFonts w:hint="eastAsia" w:ascii="宋体" w:hAnsi="宋体" w:eastAsia="宋体" w:cs="宋体"/>
                <w:color w:val="auto"/>
                <w:spacing w:val="1"/>
                <w:kern w:val="1"/>
                <w:szCs w:val="21"/>
                <w:highlight w:val="none"/>
                <w:lang w:val="zh-CN" w:bidi="ar"/>
              </w:rPr>
              <w:t>技术职称</w:t>
            </w:r>
          </w:p>
        </w:tc>
        <w:tc>
          <w:tcPr>
            <w:tcW w:w="717"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jc w:val="center"/>
              <w:rPr>
                <w:rFonts w:ascii="宋体" w:hAnsi="宋体" w:eastAsia="宋体" w:cs="宋体"/>
                <w:color w:val="auto"/>
                <w:spacing w:val="1"/>
                <w:kern w:val="1"/>
                <w:szCs w:val="21"/>
                <w:highlight w:val="none"/>
              </w:rPr>
            </w:pPr>
            <w:r>
              <w:rPr>
                <w:rFonts w:hint="eastAsia" w:ascii="宋体" w:hAnsi="宋体" w:eastAsia="宋体" w:cs="宋体"/>
                <w:color w:val="auto"/>
                <w:spacing w:val="1"/>
                <w:kern w:val="1"/>
                <w:szCs w:val="21"/>
                <w:highlight w:val="none"/>
                <w:lang w:val="zh-CN" w:bidi="ar"/>
              </w:rPr>
              <w:t>所在</w:t>
            </w:r>
          </w:p>
          <w:p>
            <w:pPr>
              <w:tabs>
                <w:tab w:val="left" w:pos="9297"/>
              </w:tabs>
              <w:spacing w:line="360" w:lineRule="auto"/>
              <w:jc w:val="center"/>
              <w:rPr>
                <w:rFonts w:ascii="宋体" w:hAnsi="宋体" w:eastAsia="宋体" w:cs="宋体"/>
                <w:color w:val="auto"/>
                <w:kern w:val="1"/>
                <w:szCs w:val="21"/>
                <w:highlight w:val="none"/>
              </w:rPr>
            </w:pPr>
            <w:r>
              <w:rPr>
                <w:rFonts w:hint="eastAsia" w:ascii="宋体" w:hAnsi="宋体" w:eastAsia="宋体" w:cs="宋体"/>
                <w:color w:val="auto"/>
                <w:spacing w:val="1"/>
                <w:kern w:val="1"/>
                <w:szCs w:val="21"/>
                <w:highlight w:val="none"/>
                <w:lang w:val="zh-CN" w:bidi="ar"/>
              </w:rPr>
              <w:t>单位</w:t>
            </w: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jc w:val="center"/>
              <w:rPr>
                <w:rFonts w:ascii="宋体" w:hAnsi="宋体" w:eastAsia="宋体" w:cs="宋体"/>
                <w:color w:val="auto"/>
                <w:kern w:val="1"/>
                <w:szCs w:val="21"/>
                <w:highlight w:val="none"/>
              </w:rPr>
            </w:pPr>
            <w:r>
              <w:rPr>
                <w:rFonts w:hint="eastAsia" w:ascii="宋体" w:hAnsi="宋体" w:eastAsia="宋体" w:cs="宋体"/>
                <w:color w:val="auto"/>
                <w:spacing w:val="1"/>
                <w:kern w:val="1"/>
                <w:szCs w:val="21"/>
                <w:highlight w:val="none"/>
                <w:lang w:val="zh-CN" w:bidi="ar"/>
              </w:rPr>
              <w:t>单位职务</w:t>
            </w: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jc w:val="center"/>
              <w:rPr>
                <w:rFonts w:ascii="宋体" w:hAnsi="宋体" w:eastAsia="宋体" w:cs="宋体"/>
                <w:color w:val="auto"/>
                <w:kern w:val="1"/>
                <w:szCs w:val="21"/>
                <w:highlight w:val="none"/>
              </w:rPr>
            </w:pPr>
            <w:r>
              <w:rPr>
                <w:rFonts w:hint="eastAsia" w:ascii="宋体" w:hAnsi="宋体" w:eastAsia="宋体" w:cs="宋体"/>
                <w:color w:val="auto"/>
                <w:spacing w:val="1"/>
                <w:kern w:val="1"/>
                <w:szCs w:val="21"/>
                <w:highlight w:val="none"/>
                <w:lang w:val="zh-CN" w:bidi="ar"/>
              </w:rPr>
              <w:t>专业</w:t>
            </w:r>
          </w:p>
        </w:tc>
        <w:tc>
          <w:tcPr>
            <w:tcW w:w="1103"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jc w:val="center"/>
              <w:rPr>
                <w:rFonts w:ascii="宋体" w:hAnsi="宋体" w:eastAsia="宋体" w:cs="宋体"/>
                <w:color w:val="auto"/>
                <w:kern w:val="1"/>
                <w:szCs w:val="21"/>
                <w:highlight w:val="none"/>
              </w:rPr>
            </w:pPr>
            <w:r>
              <w:rPr>
                <w:rFonts w:hint="eastAsia" w:ascii="宋体" w:hAnsi="宋体" w:eastAsia="宋体" w:cs="宋体"/>
                <w:color w:val="auto"/>
                <w:spacing w:val="1"/>
                <w:kern w:val="1"/>
                <w:szCs w:val="21"/>
                <w:highlight w:val="none"/>
                <w:lang w:val="zh-CN" w:bidi="ar"/>
              </w:rPr>
              <w:t>本项目拟任职务</w:t>
            </w:r>
          </w:p>
        </w:tc>
        <w:tc>
          <w:tcPr>
            <w:tcW w:w="1003"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jc w:val="center"/>
              <w:rPr>
                <w:rFonts w:ascii="宋体" w:hAnsi="宋体" w:eastAsia="宋体" w:cs="宋体"/>
                <w:color w:val="auto"/>
                <w:spacing w:val="1"/>
                <w:kern w:val="1"/>
                <w:szCs w:val="21"/>
                <w:highlight w:val="none"/>
              </w:rPr>
            </w:pPr>
            <w:r>
              <w:rPr>
                <w:rFonts w:hint="eastAsia" w:ascii="宋体" w:hAnsi="宋体" w:eastAsia="宋体" w:cs="宋体"/>
                <w:color w:val="auto"/>
                <w:spacing w:val="1"/>
                <w:kern w:val="1"/>
                <w:szCs w:val="21"/>
                <w:highlight w:val="none"/>
                <w:lang w:val="zh-CN" w:bidi="ar"/>
              </w:rPr>
              <w:t>资格证书证号</w:t>
            </w:r>
          </w:p>
        </w:tc>
        <w:tc>
          <w:tcPr>
            <w:tcW w:w="1607"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jc w:val="center"/>
              <w:rPr>
                <w:rFonts w:ascii="宋体" w:hAnsi="宋体" w:eastAsia="宋体" w:cs="宋体"/>
                <w:color w:val="auto"/>
                <w:spacing w:val="1"/>
                <w:kern w:val="1"/>
                <w:szCs w:val="21"/>
                <w:highlight w:val="none"/>
              </w:rPr>
            </w:pPr>
            <w:r>
              <w:rPr>
                <w:rFonts w:hint="eastAsia" w:ascii="宋体" w:hAnsi="宋体" w:eastAsia="宋体" w:cs="宋体"/>
                <w:color w:val="auto"/>
                <w:spacing w:val="1"/>
                <w:kern w:val="1"/>
                <w:szCs w:val="21"/>
                <w:highlight w:val="none"/>
                <w:lang w:val="zh-CN" w:bidi="ar"/>
              </w:rPr>
              <w:t>目前正承担的其它项目情况</w:t>
            </w: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jc w:val="center"/>
              <w:rPr>
                <w:rFonts w:ascii="宋体" w:hAnsi="宋体" w:eastAsia="宋体" w:cs="宋体"/>
                <w:color w:val="auto"/>
                <w:kern w:val="1"/>
                <w:szCs w:val="21"/>
                <w:highlight w:val="none"/>
              </w:rPr>
            </w:pPr>
            <w:r>
              <w:rPr>
                <w:rFonts w:hint="eastAsia" w:ascii="宋体" w:hAnsi="宋体" w:eastAsia="宋体" w:cs="宋体"/>
                <w:color w:val="auto"/>
                <w:spacing w:val="1"/>
                <w:kern w:val="1"/>
                <w:szCs w:val="21"/>
                <w:highlight w:val="none"/>
                <w:lang w:val="zh-CN" w:bidi="ar"/>
              </w:rPr>
              <w:t>备注</w:t>
            </w:r>
          </w:p>
        </w:tc>
      </w:tr>
      <w:tr>
        <w:trPr>
          <w:trHeight w:val="434" w:hRule="atLeast"/>
        </w:trPr>
        <w:tc>
          <w:tcPr>
            <w:tcW w:w="599"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val="zh-CN" w:bidi="ar"/>
              </w:rPr>
              <w:t>1</w:t>
            </w: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r>
      <w:tr>
        <w:trPr>
          <w:trHeight w:val="453" w:hRule="atLeast"/>
        </w:trPr>
        <w:tc>
          <w:tcPr>
            <w:tcW w:w="599"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val="zh-CN" w:bidi="ar"/>
              </w:rPr>
              <w:t>2</w:t>
            </w: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r>
      <w:tr>
        <w:trPr>
          <w:trHeight w:val="458" w:hRule="atLeast"/>
        </w:trPr>
        <w:tc>
          <w:tcPr>
            <w:tcW w:w="599"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val="zh-CN" w:bidi="ar"/>
              </w:rPr>
              <w:t>3</w:t>
            </w: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r>
      <w:tr>
        <w:trPr>
          <w:trHeight w:val="450" w:hRule="atLeast"/>
        </w:trPr>
        <w:tc>
          <w:tcPr>
            <w:tcW w:w="599"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val="zh-CN" w:bidi="ar"/>
              </w:rPr>
              <w:t>4</w:t>
            </w: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r>
      <w:tr>
        <w:trPr>
          <w:trHeight w:val="442" w:hRule="atLeast"/>
        </w:trPr>
        <w:tc>
          <w:tcPr>
            <w:tcW w:w="599"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val="zh-CN" w:bidi="ar"/>
              </w:rPr>
              <w:t>5</w:t>
            </w: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r>
      <w:tr>
        <w:trPr>
          <w:trHeight w:val="462" w:hRule="atLeast"/>
        </w:trPr>
        <w:tc>
          <w:tcPr>
            <w:tcW w:w="599"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val="zh-CN" w:bidi="ar"/>
              </w:rPr>
              <w:t>6</w:t>
            </w: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r>
      <w:tr>
        <w:trPr>
          <w:trHeight w:val="454" w:hRule="atLeast"/>
        </w:trPr>
        <w:tc>
          <w:tcPr>
            <w:tcW w:w="599"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val="zh-CN" w:bidi="ar"/>
              </w:rPr>
              <w:t>7</w:t>
            </w: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r>
      <w:tr>
        <w:trPr>
          <w:trHeight w:val="446" w:hRule="atLeast"/>
        </w:trPr>
        <w:tc>
          <w:tcPr>
            <w:tcW w:w="599"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val="zh-CN" w:bidi="ar"/>
              </w:rPr>
              <w:t>8</w:t>
            </w: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r>
      <w:tr>
        <w:trPr>
          <w:trHeight w:val="452" w:hRule="atLeast"/>
        </w:trPr>
        <w:tc>
          <w:tcPr>
            <w:tcW w:w="599"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val="zh-CN" w:bidi="ar"/>
              </w:rPr>
              <w:t>9</w:t>
            </w: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r>
      <w:tr>
        <w:trPr>
          <w:trHeight w:val="444" w:hRule="atLeast"/>
        </w:trPr>
        <w:tc>
          <w:tcPr>
            <w:tcW w:w="599"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val="zh-CN" w:bidi="ar"/>
              </w:rPr>
              <w:t>10</w:t>
            </w: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r>
      <w:tr>
        <w:trPr>
          <w:trHeight w:val="444" w:hRule="atLeast"/>
        </w:trPr>
        <w:tc>
          <w:tcPr>
            <w:tcW w:w="599"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lang w:val="zh-CN"/>
              </w:rPr>
            </w:pPr>
            <w:r>
              <w:rPr>
                <w:rFonts w:hint="eastAsia" w:ascii="宋体" w:hAnsi="宋体" w:eastAsia="宋体" w:cs="宋体"/>
                <w:color w:val="auto"/>
                <w:kern w:val="1"/>
                <w:szCs w:val="21"/>
                <w:highlight w:val="none"/>
                <w:lang w:val="zh-CN" w:bidi="ar"/>
              </w:rP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r>
    </w:tbl>
    <w:p>
      <w:pPr>
        <w:spacing w:line="360" w:lineRule="auto"/>
        <w:rPr>
          <w:rFonts w:ascii="宋体" w:hAnsi="宋体" w:eastAsia="宋体" w:cs="宋体"/>
          <w:color w:val="auto"/>
          <w:kern w:val="1"/>
          <w:sz w:val="28"/>
          <w:szCs w:val="28"/>
          <w:highlight w:val="none"/>
        </w:rPr>
      </w:pPr>
      <w:r>
        <w:rPr>
          <w:rFonts w:hint="eastAsia" w:ascii="宋体" w:hAnsi="宋体" w:eastAsia="宋体" w:cs="宋体"/>
          <w:color w:val="auto"/>
          <w:kern w:val="1"/>
          <w:sz w:val="18"/>
          <w:szCs w:val="18"/>
          <w:highlight w:val="none"/>
          <w:lang w:bidi="ar"/>
        </w:rPr>
        <w:t>注：表中人员为项目施工团队所有人员,除项目负责人、技术负责人、造价负责人、安全负责人、质量负责人外的其他人员应根据招标文件第三章《评分办法》“工程总承包实施方案技术部分评分表”要求在本表后附对应的相关证明材料。</w:t>
      </w:r>
    </w:p>
    <w:p>
      <w:pPr>
        <w:spacing w:line="360" w:lineRule="auto"/>
        <w:ind w:firstLine="3600"/>
        <w:rPr>
          <w:rFonts w:ascii="宋体" w:hAnsi="宋体" w:eastAsia="宋体" w:cs="宋体"/>
          <w:color w:val="auto"/>
          <w:kern w:val="1"/>
          <w:sz w:val="28"/>
          <w:szCs w:val="28"/>
          <w:highlight w:val="none"/>
        </w:rPr>
      </w:pPr>
    </w:p>
    <w:p>
      <w:pPr>
        <w:spacing w:line="360" w:lineRule="auto"/>
        <w:ind w:firstLine="4725" w:firstLineChars="225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投标人：</w:t>
      </w:r>
      <w:r>
        <w:rPr>
          <w:rFonts w:hint="eastAsia" w:ascii="宋体" w:hAnsi="宋体" w:eastAsia="宋体" w:cs="宋体"/>
          <w:color w:val="auto"/>
          <w:kern w:val="1"/>
          <w:szCs w:val="21"/>
          <w:highlight w:val="none"/>
          <w:u w:val="single"/>
          <w:lang w:bidi="ar"/>
        </w:rPr>
        <w:t xml:space="preserve">         </w:t>
      </w:r>
      <w:r>
        <w:rPr>
          <w:rFonts w:hint="eastAsia" w:ascii="宋体" w:hAnsi="宋体" w:eastAsia="宋体" w:cs="宋体"/>
          <w:color w:val="auto"/>
          <w:kern w:val="0"/>
          <w:szCs w:val="21"/>
          <w:highlight w:val="none"/>
          <w:lang w:bidi="ar"/>
        </w:rPr>
        <w:t>（盖章）</w:t>
      </w:r>
    </w:p>
    <w:p>
      <w:pPr>
        <w:spacing w:line="360" w:lineRule="auto"/>
        <w:ind w:firstLine="4725" w:firstLineChars="2250"/>
        <w:rPr>
          <w:rFonts w:ascii="宋体" w:hAnsi="宋体" w:eastAsia="宋体" w:cs="宋体"/>
          <w:color w:val="auto"/>
          <w:kern w:val="1"/>
          <w:szCs w:val="21"/>
          <w:highlight w:val="none"/>
          <w:u w:val="single"/>
        </w:rPr>
      </w:pPr>
      <w:r>
        <w:rPr>
          <w:rFonts w:hint="eastAsia" w:ascii="宋体" w:hAnsi="宋体" w:eastAsia="宋体" w:cs="宋体"/>
          <w:color w:val="auto"/>
          <w:kern w:val="1"/>
          <w:szCs w:val="21"/>
          <w:highlight w:val="none"/>
          <w:lang w:bidi="ar"/>
        </w:rPr>
        <w:t>法定代表人或其授权代理人(</w:t>
      </w:r>
      <w:r>
        <w:rPr>
          <w:rFonts w:hint="eastAsia" w:ascii="宋体" w:hAnsi="宋体" w:eastAsia="宋体" w:cs="宋体"/>
          <w:color w:val="auto"/>
          <w:kern w:val="0"/>
          <w:szCs w:val="21"/>
          <w:highlight w:val="none"/>
          <w:lang w:bidi="ar"/>
        </w:rPr>
        <w:t>签字或盖章</w:t>
      </w:r>
      <w:r>
        <w:rPr>
          <w:rFonts w:hint="eastAsia" w:ascii="宋体" w:hAnsi="宋体" w:eastAsia="宋体" w:cs="宋体"/>
          <w:color w:val="auto"/>
          <w:kern w:val="1"/>
          <w:szCs w:val="21"/>
          <w:highlight w:val="none"/>
          <w:lang w:bidi="ar"/>
        </w:rPr>
        <w:t>)：</w:t>
      </w:r>
      <w:r>
        <w:rPr>
          <w:rFonts w:hint="eastAsia" w:ascii="宋体" w:hAnsi="宋体" w:eastAsia="宋体" w:cs="宋体"/>
          <w:color w:val="auto"/>
          <w:kern w:val="1"/>
          <w:szCs w:val="21"/>
          <w:highlight w:val="none"/>
          <w:u w:val="single"/>
          <w:lang w:bidi="ar"/>
        </w:rPr>
        <w:t xml:space="preserve">                 </w:t>
      </w:r>
    </w:p>
    <w:p>
      <w:pPr>
        <w:spacing w:line="360" w:lineRule="auto"/>
        <w:ind w:firstLine="4725" w:firstLineChars="2250"/>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日   期：    年    月    日</w:t>
      </w:r>
    </w:p>
    <w:p>
      <w:pPr>
        <w:widowControl/>
        <w:jc w:val="left"/>
        <w:rPr>
          <w:rFonts w:ascii="宋体" w:hAnsi="宋体" w:eastAsia="宋体" w:cs="宋体"/>
          <w:color w:val="auto"/>
          <w:kern w:val="0"/>
          <w:szCs w:val="21"/>
          <w:highlight w:val="none"/>
          <w:lang w:bidi="ar"/>
        </w:rPr>
      </w:pPr>
      <w:r>
        <w:rPr>
          <w:rFonts w:ascii="宋体" w:hAnsi="宋体" w:eastAsia="宋体" w:cs="宋体"/>
          <w:color w:val="auto"/>
          <w:kern w:val="0"/>
          <w:szCs w:val="21"/>
          <w:highlight w:val="none"/>
          <w:lang w:bidi="ar"/>
        </w:rPr>
        <w:br w:type="page"/>
      </w:r>
    </w:p>
    <w:p>
      <w:pPr>
        <w:pStyle w:val="12"/>
        <w:widowControl/>
        <w:spacing w:line="360" w:lineRule="auto"/>
        <w:rPr>
          <w:rFonts w:hint="default" w:cs="宋体"/>
          <w:b/>
          <w:color w:val="auto"/>
          <w:kern w:val="1"/>
          <w:sz w:val="24"/>
          <w:highlight w:val="none"/>
        </w:rPr>
      </w:pPr>
      <w:r>
        <w:rPr>
          <w:rFonts w:cs="宋体"/>
          <w:b/>
          <w:color w:val="auto"/>
          <w:kern w:val="1"/>
          <w:sz w:val="24"/>
          <w:highlight w:val="none"/>
        </w:rPr>
        <w:t>格式9：</w:t>
      </w:r>
    </w:p>
    <w:p>
      <w:pPr>
        <w:pStyle w:val="12"/>
        <w:widowControl/>
        <w:spacing w:line="360" w:lineRule="auto"/>
        <w:jc w:val="center"/>
        <w:rPr>
          <w:rFonts w:hint="default" w:cs="宋体"/>
          <w:b/>
          <w:color w:val="auto"/>
          <w:spacing w:val="4"/>
          <w:sz w:val="32"/>
          <w:szCs w:val="32"/>
          <w:highlight w:val="none"/>
        </w:rPr>
      </w:pPr>
      <w:r>
        <w:rPr>
          <w:rFonts w:cs="宋体"/>
          <w:b/>
          <w:color w:val="auto"/>
          <w:spacing w:val="4"/>
          <w:sz w:val="32"/>
          <w:szCs w:val="32"/>
          <w:highlight w:val="none"/>
        </w:rPr>
        <w:t>工程实施方案</w:t>
      </w:r>
    </w:p>
    <w:p>
      <w:pPr>
        <w:pStyle w:val="12"/>
        <w:widowControl/>
        <w:spacing w:line="360" w:lineRule="auto"/>
        <w:jc w:val="center"/>
        <w:rPr>
          <w:rFonts w:hint="default"/>
          <w:color w:val="auto"/>
          <w:highlight w:val="none"/>
        </w:rPr>
      </w:pPr>
      <w:r>
        <w:rPr>
          <w:color w:val="auto"/>
          <w:sz w:val="24"/>
          <w:szCs w:val="24"/>
          <w:highlight w:val="none"/>
        </w:rPr>
        <w:t>注：按照《工程总承包实施方案评分标准》评审内容提交，格式自拟。</w:t>
      </w:r>
    </w:p>
    <w:p>
      <w:pPr>
        <w:spacing w:line="360" w:lineRule="auto"/>
        <w:ind w:firstLine="4725" w:firstLineChars="2250"/>
        <w:rPr>
          <w:rFonts w:ascii="宋体" w:hAnsi="宋体" w:eastAsia="宋体" w:cs="宋体"/>
          <w:color w:val="auto"/>
          <w:szCs w:val="21"/>
          <w:highlight w:val="none"/>
        </w:rPr>
      </w:pPr>
    </w:p>
    <w:p>
      <w:pPr>
        <w:spacing w:line="360" w:lineRule="auto"/>
        <w:ind w:firstLine="4725" w:firstLineChars="2250"/>
        <w:rPr>
          <w:rFonts w:ascii="宋体" w:hAnsi="宋体" w:eastAsia="宋体" w:cs="宋体"/>
          <w:color w:val="auto"/>
          <w:szCs w:val="21"/>
          <w:highlight w:val="none"/>
        </w:rPr>
      </w:pPr>
    </w:p>
    <w:p>
      <w:pPr>
        <w:widowControl/>
        <w:jc w:val="left"/>
        <w:rPr>
          <w:rFonts w:ascii="宋体" w:hAnsi="宋体" w:eastAsia="宋体" w:cs="宋体"/>
          <w:b/>
          <w:bCs/>
          <w:color w:val="auto"/>
          <w:kern w:val="1"/>
          <w:sz w:val="28"/>
          <w:szCs w:val="28"/>
          <w:highlight w:val="none"/>
        </w:rPr>
      </w:pPr>
      <w:r>
        <w:rPr>
          <w:rFonts w:ascii="宋体" w:hAnsi="宋体" w:cs="宋体"/>
          <w:b/>
          <w:bCs/>
          <w:color w:val="auto"/>
          <w:sz w:val="28"/>
          <w:szCs w:val="28"/>
          <w:highlight w:val="none"/>
        </w:rPr>
        <w:br w:type="page"/>
      </w:r>
    </w:p>
    <w:p>
      <w:pPr>
        <w:spacing w:line="360" w:lineRule="auto"/>
        <w:rPr>
          <w:rFonts w:ascii="宋体" w:hAnsi="宋体" w:eastAsia="宋体" w:cs="宋体"/>
          <w:b/>
          <w:color w:val="auto"/>
          <w:kern w:val="1"/>
          <w:sz w:val="24"/>
          <w:szCs w:val="22"/>
          <w:highlight w:val="none"/>
          <w:lang w:val="zh-CN"/>
        </w:rPr>
      </w:pPr>
      <w:bookmarkStart w:id="419" w:name="_Hlk158296470"/>
      <w:r>
        <w:rPr>
          <w:rFonts w:hint="eastAsia" w:ascii="宋体" w:hAnsi="宋体" w:eastAsia="宋体" w:cs="宋体"/>
          <w:b/>
          <w:color w:val="auto"/>
          <w:kern w:val="1"/>
          <w:sz w:val="24"/>
          <w:szCs w:val="22"/>
          <w:highlight w:val="none"/>
          <w:lang w:val="zh-CN" w:bidi="ar"/>
        </w:rPr>
        <w:t>格式10：</w:t>
      </w:r>
    </w:p>
    <w:bookmarkEnd w:id="419"/>
    <w:p>
      <w:pPr>
        <w:pStyle w:val="24"/>
        <w:widowControl/>
        <w:spacing w:line="360" w:lineRule="auto"/>
        <w:ind w:left="-2" w:firstLine="632"/>
        <w:jc w:val="center"/>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参与编制工程总承包实施方案技术投标文件人员名单</w:t>
      </w:r>
    </w:p>
    <w:tbl>
      <w:tblPr>
        <w:tblStyle w:val="26"/>
        <w:tblW w:w="0" w:type="auto"/>
        <w:tblInd w:w="0" w:type="dxa"/>
        <w:tblLayout w:type="fixed"/>
        <w:tblCellMar>
          <w:top w:w="0" w:type="dxa"/>
          <w:left w:w="108" w:type="dxa"/>
          <w:bottom w:w="0" w:type="dxa"/>
          <w:right w:w="108" w:type="dxa"/>
        </w:tblCellMar>
      </w:tblPr>
      <w:tblGrid>
        <w:gridCol w:w="1621"/>
        <w:gridCol w:w="1311"/>
        <w:gridCol w:w="2320"/>
        <w:gridCol w:w="2449"/>
        <w:gridCol w:w="1684"/>
      </w:tblGrid>
      <w:tr>
        <w:trPr>
          <w:trHeight w:val="462" w:hRule="atLeast"/>
        </w:trPr>
        <w:tc>
          <w:tcPr>
            <w:tcW w:w="1621" w:type="dxa"/>
            <w:tcBorders>
              <w:top w:val="single" w:color="000000" w:sz="4" w:space="0"/>
              <w:left w:val="single" w:color="000000" w:sz="4"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姓名</w:t>
            </w:r>
          </w:p>
        </w:tc>
        <w:tc>
          <w:tcPr>
            <w:tcW w:w="1311" w:type="dxa"/>
            <w:tcBorders>
              <w:top w:val="single" w:color="000000" w:sz="4" w:space="0"/>
              <w:left w:val="single" w:color="000000" w:sz="6"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职务</w:t>
            </w:r>
          </w:p>
        </w:tc>
        <w:tc>
          <w:tcPr>
            <w:tcW w:w="2320" w:type="dxa"/>
            <w:tcBorders>
              <w:top w:val="single" w:color="000000" w:sz="4" w:space="0"/>
              <w:left w:val="single" w:color="000000" w:sz="6"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所承担工作</w:t>
            </w:r>
          </w:p>
        </w:tc>
        <w:tc>
          <w:tcPr>
            <w:tcW w:w="2449" w:type="dxa"/>
            <w:tcBorders>
              <w:top w:val="single" w:color="000000" w:sz="4" w:space="0"/>
              <w:left w:val="single" w:color="000000" w:sz="6"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身份证号码</w:t>
            </w:r>
          </w:p>
        </w:tc>
        <w:tc>
          <w:tcPr>
            <w:tcW w:w="1684" w:type="dxa"/>
            <w:tcBorders>
              <w:top w:val="single" w:color="000000" w:sz="4" w:space="0"/>
              <w:left w:val="single" w:color="000000" w:sz="6" w:space="0"/>
              <w:bottom w:val="single" w:color="000000" w:sz="6" w:space="0"/>
              <w:right w:val="single" w:color="000000" w:sz="4"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本人签名栏</w:t>
            </w:r>
          </w:p>
        </w:tc>
      </w:tr>
      <w:tr>
        <w:trPr>
          <w:trHeight w:val="468" w:hRule="atLeast"/>
        </w:trPr>
        <w:tc>
          <w:tcPr>
            <w:tcW w:w="1621" w:type="dxa"/>
            <w:tcBorders>
              <w:top w:val="single" w:color="000000" w:sz="6" w:space="0"/>
              <w:left w:val="single" w:color="000000" w:sz="4"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r>
      <w:tr>
        <w:trPr>
          <w:trHeight w:val="446" w:hRule="atLeast"/>
        </w:trPr>
        <w:tc>
          <w:tcPr>
            <w:tcW w:w="1621" w:type="dxa"/>
            <w:tcBorders>
              <w:top w:val="single" w:color="000000" w:sz="6" w:space="0"/>
              <w:left w:val="single" w:color="000000" w:sz="4"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r>
      <w:tr>
        <w:trPr>
          <w:trHeight w:val="446" w:hRule="atLeast"/>
        </w:trPr>
        <w:tc>
          <w:tcPr>
            <w:tcW w:w="1621" w:type="dxa"/>
            <w:tcBorders>
              <w:top w:val="single" w:color="000000" w:sz="6" w:space="0"/>
              <w:left w:val="single" w:color="000000" w:sz="4"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r>
      <w:tr>
        <w:trPr>
          <w:trHeight w:val="446" w:hRule="atLeast"/>
        </w:trPr>
        <w:tc>
          <w:tcPr>
            <w:tcW w:w="1621" w:type="dxa"/>
            <w:tcBorders>
              <w:top w:val="single" w:color="000000" w:sz="6" w:space="0"/>
              <w:left w:val="single" w:color="000000" w:sz="4"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r>
      <w:tr>
        <w:trPr>
          <w:trHeight w:val="446" w:hRule="atLeast"/>
        </w:trPr>
        <w:tc>
          <w:tcPr>
            <w:tcW w:w="1621" w:type="dxa"/>
            <w:tcBorders>
              <w:top w:val="single" w:color="000000" w:sz="6" w:space="0"/>
              <w:left w:val="single" w:color="000000" w:sz="4"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r>
      <w:tr>
        <w:trPr>
          <w:trHeight w:val="446" w:hRule="atLeast"/>
        </w:trPr>
        <w:tc>
          <w:tcPr>
            <w:tcW w:w="1621" w:type="dxa"/>
            <w:tcBorders>
              <w:top w:val="single" w:color="000000" w:sz="6" w:space="0"/>
              <w:left w:val="single" w:color="000000" w:sz="4"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r>
      <w:tr>
        <w:trPr>
          <w:trHeight w:val="446" w:hRule="atLeast"/>
        </w:trPr>
        <w:tc>
          <w:tcPr>
            <w:tcW w:w="1621" w:type="dxa"/>
            <w:tcBorders>
              <w:top w:val="single" w:color="000000" w:sz="6" w:space="0"/>
              <w:left w:val="single" w:color="000000" w:sz="4"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r>
      <w:tr>
        <w:trPr>
          <w:trHeight w:val="446" w:hRule="atLeast"/>
        </w:trPr>
        <w:tc>
          <w:tcPr>
            <w:tcW w:w="1621" w:type="dxa"/>
            <w:tcBorders>
              <w:top w:val="single" w:color="000000" w:sz="6" w:space="0"/>
              <w:left w:val="single" w:color="000000" w:sz="4"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r>
      <w:tr>
        <w:trPr>
          <w:trHeight w:val="446" w:hRule="atLeast"/>
        </w:trPr>
        <w:tc>
          <w:tcPr>
            <w:tcW w:w="1621" w:type="dxa"/>
            <w:tcBorders>
              <w:top w:val="single" w:color="000000" w:sz="6" w:space="0"/>
              <w:left w:val="single" w:color="000000" w:sz="4"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r>
      <w:tr>
        <w:trPr>
          <w:trHeight w:val="446" w:hRule="atLeast"/>
        </w:trPr>
        <w:tc>
          <w:tcPr>
            <w:tcW w:w="1621" w:type="dxa"/>
            <w:tcBorders>
              <w:top w:val="single" w:color="000000" w:sz="6" w:space="0"/>
              <w:left w:val="single" w:color="000000" w:sz="4"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r>
      <w:tr>
        <w:trPr>
          <w:trHeight w:val="446" w:hRule="atLeast"/>
        </w:trPr>
        <w:tc>
          <w:tcPr>
            <w:tcW w:w="1621" w:type="dxa"/>
            <w:tcBorders>
              <w:top w:val="single" w:color="000000" w:sz="6" w:space="0"/>
              <w:left w:val="single" w:color="000000" w:sz="4"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r>
    </w:tbl>
    <w:p>
      <w:pPr>
        <w:spacing w:line="360" w:lineRule="auto"/>
        <w:ind w:left="1" w:right="-191"/>
        <w:rPr>
          <w:rFonts w:ascii="宋体" w:hAnsi="宋体" w:eastAsia="宋体" w:cs="宋体"/>
          <w:color w:val="auto"/>
          <w:kern w:val="1"/>
          <w:szCs w:val="18"/>
          <w:highlight w:val="none"/>
          <w:lang w:bidi="ar"/>
        </w:rPr>
      </w:pPr>
      <w:r>
        <w:rPr>
          <w:rFonts w:hint="eastAsia" w:ascii="宋体" w:hAnsi="宋体" w:eastAsia="宋体" w:cs="宋体"/>
          <w:color w:val="auto"/>
          <w:kern w:val="1"/>
          <w:szCs w:val="18"/>
          <w:highlight w:val="none"/>
          <w:lang w:bidi="ar"/>
        </w:rPr>
        <w:t>注：参与编制文件人员名单应包括如编制工程总承包实施方案技术投标文件、负责清样校对、负责打印及复印等所有人员在内的人员名单。</w:t>
      </w:r>
    </w:p>
    <w:p>
      <w:pPr>
        <w:widowControl/>
        <w:jc w:val="left"/>
        <w:rPr>
          <w:rFonts w:ascii="宋体" w:hAnsi="宋体" w:eastAsia="宋体" w:cs="宋体"/>
          <w:color w:val="auto"/>
          <w:kern w:val="1"/>
          <w:szCs w:val="18"/>
          <w:highlight w:val="none"/>
          <w:lang w:bidi="ar"/>
        </w:rPr>
      </w:pPr>
      <w:r>
        <w:rPr>
          <w:rFonts w:ascii="宋体" w:hAnsi="宋体" w:eastAsia="宋体" w:cs="宋体"/>
          <w:color w:val="auto"/>
          <w:kern w:val="1"/>
          <w:szCs w:val="18"/>
          <w:highlight w:val="none"/>
          <w:lang w:bidi="ar"/>
        </w:rPr>
        <w:br w:type="page"/>
      </w:r>
    </w:p>
    <w:p>
      <w:pPr>
        <w:pStyle w:val="12"/>
        <w:widowControl/>
        <w:rPr>
          <w:rFonts w:hint="default"/>
          <w:color w:val="auto"/>
          <w:spacing w:val="2"/>
          <w:position w:val="-1"/>
          <w:sz w:val="32"/>
          <w:szCs w:val="32"/>
          <w:highlight w:val="none"/>
        </w:rPr>
      </w:pPr>
      <w:bookmarkStart w:id="420" w:name="_Toc10571"/>
      <w:bookmarkStart w:id="421" w:name="_Toc50480839"/>
      <w:r>
        <w:rPr>
          <w:rFonts w:cs="宋体"/>
          <w:b/>
          <w:color w:val="auto"/>
          <w:kern w:val="1"/>
          <w:sz w:val="24"/>
          <w:highlight w:val="none"/>
        </w:rPr>
        <w:t>格式11：合作设计协议书</w:t>
      </w:r>
      <w:bookmarkEnd w:id="420"/>
      <w:bookmarkEnd w:id="421"/>
      <w:r>
        <w:rPr>
          <w:rFonts w:cs="宋体"/>
          <w:b/>
          <w:color w:val="auto"/>
          <w:kern w:val="1"/>
          <w:sz w:val="24"/>
          <w:highlight w:val="none"/>
        </w:rPr>
        <w:t>（适用于合作设计，非合作设计无需提供）</w:t>
      </w:r>
    </w:p>
    <w:p>
      <w:pPr>
        <w:jc w:val="center"/>
        <w:rPr>
          <w:rFonts w:ascii="宋体" w:hAnsi="Calibri" w:eastAsia="宋体" w:cs="宋体"/>
          <w:b/>
          <w:bCs/>
          <w:color w:val="auto"/>
          <w:sz w:val="32"/>
          <w:szCs w:val="32"/>
          <w:highlight w:val="none"/>
        </w:rPr>
      </w:pPr>
    </w:p>
    <w:p>
      <w:pPr>
        <w:jc w:val="center"/>
        <w:rPr>
          <w:rFonts w:ascii="宋体" w:hAnsi="Calibri" w:eastAsia="宋体" w:cs="宋体"/>
          <w:b/>
          <w:bCs/>
          <w:color w:val="auto"/>
          <w:sz w:val="32"/>
          <w:szCs w:val="32"/>
          <w:highlight w:val="none"/>
        </w:rPr>
      </w:pPr>
      <w:r>
        <w:rPr>
          <w:rFonts w:hint="eastAsia" w:ascii="宋体" w:hAnsi="宋体" w:eastAsia="宋体" w:cs="宋体"/>
          <w:b/>
          <w:bCs/>
          <w:color w:val="auto"/>
          <w:kern w:val="0"/>
          <w:sz w:val="32"/>
          <w:szCs w:val="32"/>
          <w:highlight w:val="none"/>
          <w:lang w:bidi="ar"/>
        </w:rPr>
        <w:t>合作设计协议书</w:t>
      </w:r>
    </w:p>
    <w:p>
      <w:pPr>
        <w:rPr>
          <w:rFonts w:ascii="宋体" w:hAnsi="Calibri" w:eastAsia="宋体" w:cs="宋体"/>
          <w:b/>
          <w:bCs/>
          <w:color w:val="auto"/>
          <w:szCs w:val="21"/>
          <w:highlight w:val="none"/>
        </w:rPr>
      </w:pPr>
      <w:r>
        <w:rPr>
          <w:rFonts w:hint="eastAsia" w:ascii="宋体" w:hAnsi="宋体" w:eastAsia="宋体" w:cs="宋体"/>
          <w:color w:val="auto"/>
          <w:kern w:val="0"/>
          <w:szCs w:val="22"/>
          <w:highlight w:val="none"/>
          <w:lang w:bidi="ar"/>
        </w:rPr>
        <w:t xml:space="preserve">                             </w:t>
      </w:r>
    </w:p>
    <w:p>
      <w:pPr>
        <w:rPr>
          <w:rFonts w:ascii="宋体" w:hAnsi="宋体" w:eastAsia="宋体" w:cs="宋体"/>
          <w:color w:val="auto"/>
          <w:sz w:val="24"/>
          <w:szCs w:val="22"/>
          <w:highlight w:val="none"/>
        </w:rPr>
      </w:pPr>
      <w:r>
        <w:rPr>
          <w:rFonts w:hint="eastAsia" w:ascii="宋体" w:hAnsi="宋体" w:eastAsia="宋体" w:cs="宋体"/>
          <w:color w:val="auto"/>
          <w:kern w:val="0"/>
          <w:sz w:val="24"/>
          <w:szCs w:val="22"/>
          <w:highlight w:val="none"/>
          <w:lang w:bidi="ar"/>
        </w:rPr>
        <w:t xml:space="preserve"> </w:t>
      </w:r>
    </w:p>
    <w:p>
      <w:pPr>
        <w:jc w:val="left"/>
        <w:rPr>
          <w:rFonts w:ascii="宋体" w:hAnsi="Calibri" w:eastAsia="宋体" w:cs="宋体"/>
          <w:color w:val="auto"/>
          <w:szCs w:val="21"/>
          <w:highlight w:val="none"/>
        </w:rPr>
      </w:pPr>
      <w:r>
        <w:rPr>
          <w:rFonts w:hint="eastAsia" w:ascii="宋体" w:hAnsi="宋体" w:eastAsia="宋体" w:cs="宋体"/>
          <w:color w:val="auto"/>
          <w:kern w:val="0"/>
          <w:szCs w:val="22"/>
          <w:highlight w:val="none"/>
          <w:lang w:bidi="ar"/>
        </w:rPr>
        <w:t>投标项目名称：</w:t>
      </w:r>
      <w:r>
        <w:rPr>
          <w:rFonts w:hint="eastAsia" w:ascii="宋体" w:hAnsi="宋体" w:eastAsia="宋体" w:cs="宋体"/>
          <w:color w:val="auto"/>
          <w:kern w:val="0"/>
          <w:szCs w:val="22"/>
          <w:highlight w:val="none"/>
          <w:u w:val="single"/>
          <w:lang w:bidi="ar"/>
        </w:rPr>
        <w:t xml:space="preserve">                                           </w:t>
      </w:r>
      <w:r>
        <w:rPr>
          <w:rFonts w:hint="eastAsia" w:ascii="宋体" w:hAnsi="宋体" w:eastAsia="宋体" w:cs="宋体"/>
          <w:color w:val="auto"/>
          <w:kern w:val="0"/>
          <w:szCs w:val="22"/>
          <w:highlight w:val="none"/>
          <w:lang w:bidi="ar"/>
        </w:rPr>
        <w:t>。</w:t>
      </w:r>
    </w:p>
    <w:p>
      <w:pPr>
        <w:pStyle w:val="12"/>
        <w:widowControl/>
        <w:rPr>
          <w:rFonts w:hint="default"/>
          <w:color w:val="auto"/>
          <w:highlight w:val="none"/>
        </w:rPr>
      </w:pPr>
      <w:r>
        <w:rPr>
          <w:color w:val="auto"/>
          <w:highlight w:val="none"/>
        </w:rPr>
        <w:t xml:space="preserve"> </w:t>
      </w:r>
    </w:p>
    <w:p>
      <w:pPr>
        <w:pStyle w:val="12"/>
        <w:widowControl/>
        <w:rPr>
          <w:rFonts w:hint="default"/>
          <w:color w:val="auto"/>
          <w:highlight w:val="none"/>
        </w:rPr>
      </w:pPr>
      <w:r>
        <w:rPr>
          <w:color w:val="auto"/>
          <w:highlight w:val="none"/>
        </w:rPr>
        <w:t>致：</w:t>
      </w:r>
      <w:r>
        <w:rPr>
          <w:color w:val="auto"/>
          <w:highlight w:val="none"/>
          <w:u w:val="single"/>
        </w:rPr>
        <w:t xml:space="preserve">                                    </w:t>
      </w:r>
      <w:r>
        <w:rPr>
          <w:color w:val="auto"/>
          <w:highlight w:val="none"/>
        </w:rPr>
        <w:t>（招标人）</w:t>
      </w:r>
    </w:p>
    <w:p>
      <w:pPr>
        <w:jc w:val="left"/>
        <w:rPr>
          <w:rFonts w:ascii="宋体" w:hAnsi="宋体" w:eastAsia="宋体" w:cs="宋体"/>
          <w:color w:val="auto"/>
          <w:sz w:val="24"/>
          <w:szCs w:val="22"/>
          <w:highlight w:val="none"/>
        </w:rPr>
      </w:pPr>
      <w:r>
        <w:rPr>
          <w:rFonts w:hint="eastAsia" w:ascii="宋体" w:hAnsi="宋体" w:eastAsia="宋体" w:cs="宋体"/>
          <w:color w:val="auto"/>
          <w:kern w:val="0"/>
          <w:sz w:val="24"/>
          <w:szCs w:val="22"/>
          <w:highlight w:val="none"/>
          <w:lang w:bidi="ar"/>
        </w:rPr>
        <w:t xml:space="preserve"> </w:t>
      </w:r>
    </w:p>
    <w:p>
      <w:pPr>
        <w:pStyle w:val="12"/>
        <w:widowControl/>
        <w:ind w:firstLine="420"/>
        <w:rPr>
          <w:rFonts w:hint="default"/>
          <w:color w:val="auto"/>
          <w:highlight w:val="none"/>
        </w:rPr>
      </w:pPr>
      <w:r>
        <w:rPr>
          <w:rFonts w:cs="宋体"/>
          <w:color w:val="auto"/>
          <w:highlight w:val="none"/>
        </w:rPr>
        <w:t>按照招标公告的规定，</w:t>
      </w:r>
      <w:r>
        <w:rPr>
          <w:rFonts w:cs="宋体"/>
          <w:color w:val="auto"/>
          <w:highlight w:val="none"/>
          <w:u w:val="single"/>
        </w:rPr>
        <w:t xml:space="preserve">                         </w:t>
      </w:r>
      <w:r>
        <w:rPr>
          <w:rFonts w:cs="宋体"/>
          <w:color w:val="auto"/>
          <w:highlight w:val="none"/>
        </w:rPr>
        <w:t>（外国或澳门、台湾的设计企业</w:t>
      </w:r>
      <w:r>
        <w:rPr>
          <w:rFonts w:cs="宋体"/>
          <w:color w:val="auto"/>
          <w:highlight w:val="none"/>
          <w:u w:val="single"/>
        </w:rPr>
        <w:t>和香港不单独作为承担设计任务的单位参加投标的设计单位</w:t>
      </w:r>
      <w:r>
        <w:rPr>
          <w:rFonts w:cs="宋体"/>
          <w:color w:val="auto"/>
          <w:highlight w:val="none"/>
        </w:rPr>
        <w:t>）作为投标人（即“申请人”，下同）</w:t>
      </w:r>
      <w:r>
        <w:rPr>
          <w:rFonts w:cs="宋体"/>
          <w:color w:val="auto"/>
          <w:highlight w:val="none"/>
          <w:u w:val="single"/>
        </w:rPr>
        <w:t xml:space="preserve">          </w:t>
      </w:r>
      <w:r>
        <w:rPr>
          <w:rFonts w:cs="宋体"/>
          <w:color w:val="auto"/>
          <w:highlight w:val="none"/>
        </w:rPr>
        <w:t>（符合招标公告第3.1条投标人合格条件的设计企业）的合作设计方，参与本项目进行合作设计。若中标，各成员向招标人承担连带责任。合作设计方授权委托</w:t>
      </w:r>
      <w:r>
        <w:rPr>
          <w:rFonts w:cs="宋体"/>
          <w:color w:val="auto"/>
          <w:highlight w:val="none"/>
          <w:u w:val="single"/>
        </w:rPr>
        <w:t xml:space="preserve">                   </w:t>
      </w:r>
      <w:r>
        <w:rPr>
          <w:rFonts w:cs="宋体"/>
          <w:color w:val="auto"/>
          <w:highlight w:val="none"/>
        </w:rPr>
        <w:t>（符合招标公告第3.1条投标人合格条件的设计企业）代表所有合作成员参加投标、提交投标文件，以及与招标人签订合同，负责整个合同实施阶段的协调工作。</w:t>
      </w:r>
    </w:p>
    <w:p>
      <w:pPr>
        <w:rPr>
          <w:rFonts w:ascii="宋体" w:hAnsi="宋体" w:eastAsia="宋体" w:cs="宋体"/>
          <w:color w:val="auto"/>
          <w:highlight w:val="none"/>
        </w:rPr>
      </w:pPr>
      <w:r>
        <w:rPr>
          <w:rFonts w:hint="eastAsia" w:ascii="宋体" w:hAnsi="宋体" w:eastAsia="宋体" w:cs="宋体"/>
          <w:color w:val="auto"/>
          <w:kern w:val="0"/>
          <w:szCs w:val="22"/>
          <w:highlight w:val="none"/>
          <w:lang w:bidi="ar"/>
        </w:rPr>
        <w:t xml:space="preserve"> </w:t>
      </w:r>
    </w:p>
    <w:p>
      <w:pPr>
        <w:pStyle w:val="12"/>
        <w:widowControl/>
        <w:rPr>
          <w:rFonts w:hint="default"/>
          <w:color w:val="auto"/>
          <w:highlight w:val="none"/>
        </w:rPr>
      </w:pPr>
      <w:r>
        <w:rPr>
          <w:color w:val="auto"/>
          <w:highlight w:val="none"/>
        </w:rPr>
        <w:t xml:space="preserve"> </w:t>
      </w:r>
    </w:p>
    <w:p>
      <w:pPr>
        <w:pStyle w:val="12"/>
        <w:widowControl/>
        <w:spacing w:line="360" w:lineRule="auto"/>
        <w:ind w:firstLine="200" w:firstLineChars="100"/>
        <w:rPr>
          <w:rFonts w:hint="default"/>
          <w:color w:val="auto"/>
          <w:highlight w:val="none"/>
        </w:rPr>
      </w:pPr>
      <w:r>
        <w:rPr>
          <w:color w:val="auto"/>
          <w:highlight w:val="none"/>
        </w:rPr>
        <w:t xml:space="preserve">  合作设计方：（盖章）</w:t>
      </w:r>
      <w:r>
        <w:rPr>
          <w:color w:val="auto"/>
          <w:highlight w:val="none"/>
          <w:u w:val="single"/>
        </w:rPr>
        <w:t xml:space="preserve">                                         </w:t>
      </w:r>
    </w:p>
    <w:p>
      <w:pPr>
        <w:pStyle w:val="12"/>
        <w:widowControl/>
        <w:spacing w:line="360" w:lineRule="auto"/>
        <w:ind w:firstLine="400" w:firstLineChars="200"/>
        <w:rPr>
          <w:rFonts w:hint="default"/>
          <w:color w:val="auto"/>
          <w:highlight w:val="none"/>
          <w:u w:val="single"/>
        </w:rPr>
      </w:pPr>
      <w:r>
        <w:rPr>
          <w:color w:val="auto"/>
          <w:highlight w:val="none"/>
        </w:rPr>
        <w:t>代表人：（签字或盖章）</w:t>
      </w:r>
      <w:r>
        <w:rPr>
          <w:color w:val="auto"/>
          <w:highlight w:val="none"/>
          <w:u w:val="single"/>
        </w:rPr>
        <w:t xml:space="preserve">                                       </w:t>
      </w:r>
    </w:p>
    <w:p>
      <w:pPr>
        <w:pStyle w:val="12"/>
        <w:widowControl/>
        <w:spacing w:line="360" w:lineRule="auto"/>
        <w:rPr>
          <w:rFonts w:hint="default"/>
          <w:color w:val="auto"/>
          <w:highlight w:val="none"/>
        </w:rPr>
      </w:pPr>
      <w:r>
        <w:rPr>
          <w:color w:val="auto"/>
          <w:highlight w:val="none"/>
        </w:rPr>
        <w:t xml:space="preserve">    分工内容：</w:t>
      </w:r>
      <w:r>
        <w:rPr>
          <w:color w:val="auto"/>
          <w:highlight w:val="none"/>
          <w:u w:val="single"/>
        </w:rPr>
        <w:t xml:space="preserve">                                                  </w:t>
      </w:r>
    </w:p>
    <w:p>
      <w:pPr>
        <w:pStyle w:val="12"/>
        <w:widowControl/>
        <w:spacing w:line="360" w:lineRule="auto"/>
        <w:rPr>
          <w:rFonts w:hint="default"/>
          <w:color w:val="auto"/>
          <w:highlight w:val="none"/>
        </w:rPr>
      </w:pPr>
      <w:r>
        <w:rPr>
          <w:color w:val="auto"/>
          <w:highlight w:val="none"/>
        </w:rPr>
        <w:t xml:space="preserve"> </w:t>
      </w:r>
    </w:p>
    <w:p>
      <w:pPr>
        <w:pStyle w:val="12"/>
        <w:widowControl/>
        <w:spacing w:line="360" w:lineRule="auto"/>
        <w:rPr>
          <w:rFonts w:hint="default"/>
          <w:color w:val="auto"/>
          <w:highlight w:val="none"/>
        </w:rPr>
      </w:pPr>
      <w:r>
        <w:rPr>
          <w:color w:val="auto"/>
          <w:highlight w:val="none"/>
        </w:rPr>
        <w:t xml:space="preserve">    投标人：（盖章）</w:t>
      </w:r>
      <w:r>
        <w:rPr>
          <w:color w:val="auto"/>
          <w:highlight w:val="none"/>
          <w:u w:val="single"/>
        </w:rPr>
        <w:t xml:space="preserve">                                             </w:t>
      </w:r>
    </w:p>
    <w:p>
      <w:pPr>
        <w:pStyle w:val="12"/>
        <w:widowControl/>
        <w:spacing w:line="360" w:lineRule="auto"/>
        <w:ind w:firstLine="400" w:firstLineChars="200"/>
        <w:rPr>
          <w:rFonts w:hint="default"/>
          <w:color w:val="auto"/>
          <w:highlight w:val="none"/>
          <w:u w:val="single"/>
        </w:rPr>
      </w:pPr>
      <w:r>
        <w:rPr>
          <w:color w:val="auto"/>
          <w:highlight w:val="none"/>
        </w:rPr>
        <w:t>法定代表人：（签字或盖章）</w:t>
      </w:r>
      <w:r>
        <w:rPr>
          <w:color w:val="auto"/>
          <w:highlight w:val="none"/>
          <w:u w:val="single"/>
        </w:rPr>
        <w:t xml:space="preserve">                                   </w:t>
      </w:r>
    </w:p>
    <w:p>
      <w:pPr>
        <w:pStyle w:val="12"/>
        <w:widowControl/>
        <w:rPr>
          <w:rFonts w:hint="default"/>
          <w:color w:val="auto"/>
          <w:highlight w:val="none"/>
          <w:u w:val="single"/>
        </w:rPr>
      </w:pPr>
      <w:r>
        <w:rPr>
          <w:color w:val="auto"/>
          <w:highlight w:val="none"/>
        </w:rPr>
        <w:t xml:space="preserve">    分工内容：</w:t>
      </w:r>
      <w:r>
        <w:rPr>
          <w:color w:val="auto"/>
          <w:highlight w:val="none"/>
          <w:u w:val="single"/>
        </w:rPr>
        <w:t xml:space="preserve">                                                  </w:t>
      </w:r>
    </w:p>
    <w:p>
      <w:pPr>
        <w:pStyle w:val="12"/>
        <w:widowControl/>
        <w:rPr>
          <w:rFonts w:hint="default"/>
          <w:color w:val="auto"/>
          <w:highlight w:val="none"/>
        </w:rPr>
      </w:pPr>
    </w:p>
    <w:p>
      <w:pPr>
        <w:widowControl/>
        <w:jc w:val="left"/>
        <w:rPr>
          <w:color w:val="auto"/>
          <w:highlight w:val="none"/>
        </w:rPr>
      </w:pPr>
      <w:r>
        <w:rPr>
          <w:color w:val="auto"/>
          <w:highlight w:val="none"/>
        </w:rPr>
        <w:br w:type="page"/>
      </w:r>
    </w:p>
    <w:p>
      <w:pPr>
        <w:pStyle w:val="12"/>
        <w:widowControl/>
        <w:spacing w:line="360" w:lineRule="auto"/>
        <w:jc w:val="left"/>
        <w:rPr>
          <w:rFonts w:hint="default"/>
          <w:color w:val="auto"/>
          <w:sz w:val="24"/>
          <w:szCs w:val="24"/>
          <w:highlight w:val="none"/>
        </w:rPr>
      </w:pPr>
      <w:r>
        <w:rPr>
          <w:rFonts w:cs="宋体"/>
          <w:b/>
          <w:color w:val="auto"/>
          <w:kern w:val="1"/>
          <w:sz w:val="24"/>
          <w:highlight w:val="none"/>
        </w:rPr>
        <w:t>格式12：</w:t>
      </w:r>
    </w:p>
    <w:p>
      <w:pPr>
        <w:pStyle w:val="12"/>
        <w:widowControl/>
        <w:spacing w:line="360" w:lineRule="auto"/>
        <w:jc w:val="center"/>
        <w:rPr>
          <w:rFonts w:hint="default" w:cs="宋体"/>
          <w:b/>
          <w:bCs/>
          <w:color w:val="auto"/>
          <w:sz w:val="28"/>
          <w:szCs w:val="28"/>
          <w:highlight w:val="none"/>
        </w:rPr>
      </w:pPr>
      <w:r>
        <w:rPr>
          <w:rFonts w:cs="宋体"/>
          <w:b/>
          <w:bCs/>
          <w:color w:val="auto"/>
          <w:sz w:val="28"/>
          <w:szCs w:val="28"/>
          <w:highlight w:val="none"/>
        </w:rPr>
        <w:t>投标人认为应该提供的其他资料</w:t>
      </w:r>
    </w:p>
    <w:p>
      <w:pPr>
        <w:rPr>
          <w:color w:val="auto"/>
          <w:highlight w:val="none"/>
        </w:rPr>
      </w:pPr>
      <w:r>
        <w:rPr>
          <w:rFonts w:cs="宋体"/>
          <w:b/>
          <w:bCs/>
          <w:color w:val="auto"/>
          <w:sz w:val="28"/>
          <w:szCs w:val="28"/>
          <w:highlight w:val="none"/>
        </w:rPr>
        <w:t>（包括招标文件评审或评分要求需要提供的相关资料）</w:t>
      </w:r>
    </w:p>
    <w:p>
      <w:pPr>
        <w:spacing w:line="360" w:lineRule="auto"/>
        <w:ind w:left="1" w:right="-191"/>
        <w:rPr>
          <w:rFonts w:ascii="宋体" w:hAnsi="宋体" w:eastAsia="宋体" w:cs="宋体"/>
          <w:color w:val="auto"/>
          <w:kern w:val="1"/>
          <w:szCs w:val="18"/>
          <w:highlight w:val="none"/>
          <w:lang w:bidi="ar"/>
        </w:rPr>
      </w:pPr>
    </w:p>
    <w:p>
      <w:pPr>
        <w:widowControl/>
        <w:jc w:val="left"/>
        <w:rPr>
          <w:rFonts w:ascii="宋体" w:hAnsi="宋体" w:eastAsia="宋体" w:cs="宋体"/>
          <w:color w:val="auto"/>
          <w:kern w:val="1"/>
          <w:szCs w:val="18"/>
          <w:highlight w:val="none"/>
          <w:lang w:bidi="ar"/>
        </w:rPr>
      </w:pPr>
      <w:r>
        <w:rPr>
          <w:rFonts w:ascii="宋体" w:hAnsi="宋体" w:eastAsia="宋体" w:cs="宋体"/>
          <w:color w:val="auto"/>
          <w:kern w:val="1"/>
          <w:szCs w:val="18"/>
          <w:highlight w:val="none"/>
          <w:lang w:bidi="ar"/>
        </w:rPr>
        <w:br w:type="page"/>
      </w:r>
    </w:p>
    <w:p>
      <w:pPr>
        <w:spacing w:line="360" w:lineRule="auto"/>
        <w:ind w:left="1" w:right="-191"/>
        <w:rPr>
          <w:rFonts w:ascii="宋体" w:hAnsi="宋体" w:eastAsia="宋体" w:cs="宋体"/>
          <w:color w:val="auto"/>
          <w:kern w:val="1"/>
          <w:szCs w:val="18"/>
          <w:highlight w:val="none"/>
        </w:rPr>
      </w:pPr>
    </w:p>
    <w:p>
      <w:pPr>
        <w:pStyle w:val="12"/>
        <w:rPr>
          <w:rFonts w:hint="default"/>
          <w:color w:val="auto"/>
          <w:highlight w:val="none"/>
        </w:rPr>
      </w:pPr>
    </w:p>
    <w:p>
      <w:pPr>
        <w:pStyle w:val="12"/>
        <w:rPr>
          <w:rFonts w:hint="default"/>
          <w:color w:val="auto"/>
          <w:highlight w:val="none"/>
        </w:rPr>
      </w:pPr>
    </w:p>
    <w:p>
      <w:pPr>
        <w:pStyle w:val="12"/>
        <w:rPr>
          <w:rFonts w:hint="default"/>
          <w:color w:val="auto"/>
          <w:highlight w:val="none"/>
        </w:rPr>
      </w:pPr>
    </w:p>
    <w:p>
      <w:pPr>
        <w:pStyle w:val="12"/>
        <w:rPr>
          <w:rFonts w:hint="default"/>
          <w:color w:val="auto"/>
          <w:highlight w:val="none"/>
        </w:rPr>
      </w:pPr>
    </w:p>
    <w:p>
      <w:pPr>
        <w:pStyle w:val="12"/>
        <w:rPr>
          <w:rFonts w:hint="default"/>
          <w:color w:val="auto"/>
          <w:highlight w:val="none"/>
        </w:rPr>
      </w:pPr>
    </w:p>
    <w:p>
      <w:pPr>
        <w:pStyle w:val="12"/>
        <w:rPr>
          <w:rFonts w:hint="default"/>
          <w:color w:val="auto"/>
          <w:highlight w:val="none"/>
        </w:rPr>
      </w:pPr>
    </w:p>
    <w:p>
      <w:pPr>
        <w:pStyle w:val="12"/>
        <w:rPr>
          <w:rFonts w:hint="default"/>
          <w:color w:val="auto"/>
          <w:highlight w:val="none"/>
        </w:rPr>
      </w:pPr>
    </w:p>
    <w:p>
      <w:pPr>
        <w:pStyle w:val="12"/>
        <w:rPr>
          <w:rFonts w:hint="default"/>
          <w:color w:val="auto"/>
          <w:highlight w:val="none"/>
        </w:rPr>
      </w:pPr>
    </w:p>
    <w:p>
      <w:pPr>
        <w:pStyle w:val="12"/>
        <w:rPr>
          <w:rFonts w:hint="default"/>
          <w:color w:val="auto"/>
          <w:highlight w:val="none"/>
        </w:rPr>
      </w:pPr>
    </w:p>
    <w:p>
      <w:pPr>
        <w:pStyle w:val="12"/>
        <w:rPr>
          <w:rFonts w:hint="default"/>
          <w:color w:val="auto"/>
          <w:highlight w:val="none"/>
        </w:rPr>
      </w:pPr>
    </w:p>
    <w:p>
      <w:pPr>
        <w:pStyle w:val="12"/>
        <w:rPr>
          <w:rFonts w:hint="default"/>
          <w:color w:val="auto"/>
          <w:highlight w:val="none"/>
        </w:rPr>
      </w:pPr>
    </w:p>
    <w:p>
      <w:pPr>
        <w:pStyle w:val="12"/>
        <w:rPr>
          <w:rFonts w:hint="default"/>
          <w:color w:val="auto"/>
          <w:highlight w:val="none"/>
        </w:rPr>
      </w:pPr>
    </w:p>
    <w:p>
      <w:pPr>
        <w:pStyle w:val="12"/>
        <w:rPr>
          <w:rFonts w:hint="default"/>
          <w:color w:val="auto"/>
          <w:highlight w:val="none"/>
        </w:rPr>
      </w:pPr>
    </w:p>
    <w:p>
      <w:pPr>
        <w:pStyle w:val="12"/>
        <w:rPr>
          <w:rFonts w:hint="default"/>
          <w:color w:val="auto"/>
          <w:highlight w:val="none"/>
        </w:rPr>
      </w:pPr>
    </w:p>
    <w:p>
      <w:pPr>
        <w:pStyle w:val="12"/>
        <w:rPr>
          <w:rFonts w:hint="default"/>
          <w:color w:val="auto"/>
          <w:highlight w:val="none"/>
        </w:rPr>
      </w:pPr>
    </w:p>
    <w:p>
      <w:pPr>
        <w:pStyle w:val="12"/>
        <w:rPr>
          <w:rFonts w:hint="default"/>
          <w:color w:val="auto"/>
          <w:highlight w:val="none"/>
        </w:rPr>
      </w:pPr>
    </w:p>
    <w:p>
      <w:pPr>
        <w:spacing w:line="360" w:lineRule="auto"/>
        <w:jc w:val="center"/>
        <w:rPr>
          <w:rFonts w:ascii="宋体" w:hAnsi="宋体" w:eastAsia="宋体" w:cs="宋体"/>
          <w:b/>
          <w:color w:val="auto"/>
          <w:kern w:val="1"/>
          <w:sz w:val="36"/>
          <w:szCs w:val="36"/>
          <w:highlight w:val="none"/>
          <w:lang w:bidi="ar"/>
        </w:rPr>
      </w:pPr>
      <w:r>
        <w:rPr>
          <w:rFonts w:ascii="宋体" w:hAnsi="宋体" w:eastAsia="宋体" w:cs="宋体"/>
          <w:b/>
          <w:color w:val="auto"/>
          <w:kern w:val="1"/>
          <w:sz w:val="36"/>
          <w:szCs w:val="36"/>
          <w:highlight w:val="none"/>
          <w:lang w:bidi="ar"/>
        </w:rPr>
        <w:t xml:space="preserve">第二部分  </w:t>
      </w:r>
      <w:bookmarkStart w:id="422" w:name="_Hlk69828514"/>
      <w:r>
        <w:rPr>
          <w:rFonts w:ascii="宋体" w:hAnsi="宋体" w:eastAsia="宋体" w:cs="宋体"/>
          <w:b/>
          <w:color w:val="auto"/>
          <w:kern w:val="1"/>
          <w:sz w:val="36"/>
          <w:szCs w:val="36"/>
          <w:highlight w:val="none"/>
          <w:lang w:bidi="ar"/>
        </w:rPr>
        <w:t>工程总承包实施方案经济投标文件格式</w:t>
      </w:r>
      <w:bookmarkEnd w:id="422"/>
    </w:p>
    <w:p>
      <w:pPr>
        <w:spacing w:line="360" w:lineRule="auto"/>
        <w:jc w:val="center"/>
        <w:rPr>
          <w:rFonts w:ascii="宋体" w:hAnsi="宋体" w:eastAsia="宋体" w:cs="宋体"/>
          <w:b/>
          <w:color w:val="auto"/>
          <w:kern w:val="1"/>
          <w:sz w:val="30"/>
          <w:szCs w:val="30"/>
          <w:highlight w:val="none"/>
        </w:rPr>
      </w:pPr>
    </w:p>
    <w:p>
      <w:pPr>
        <w:spacing w:line="360" w:lineRule="auto"/>
        <w:rPr>
          <w:rFonts w:ascii="宋体" w:hAnsi="宋体" w:eastAsia="宋体" w:cs="宋体"/>
          <w:b/>
          <w:color w:val="auto"/>
          <w:kern w:val="1"/>
          <w:sz w:val="24"/>
          <w:szCs w:val="22"/>
          <w:highlight w:val="none"/>
          <w:lang w:val="zh-CN"/>
        </w:rPr>
      </w:pPr>
      <w:r>
        <w:rPr>
          <w:rFonts w:hint="eastAsia" w:ascii="宋体" w:hAnsi="宋体" w:eastAsia="宋体" w:cs="Courier New"/>
          <w:color w:val="auto"/>
          <w:sz w:val="20"/>
          <w:szCs w:val="20"/>
          <w:highlight w:val="none"/>
          <w:lang w:val="zh-CN" w:bidi="ar"/>
        </w:rPr>
        <w:br w:type="page"/>
      </w:r>
      <w:r>
        <w:rPr>
          <w:rFonts w:hint="eastAsia" w:ascii="宋体" w:hAnsi="宋体" w:eastAsia="宋体" w:cs="宋体"/>
          <w:b/>
          <w:color w:val="auto"/>
          <w:kern w:val="1"/>
          <w:sz w:val="24"/>
          <w:szCs w:val="22"/>
          <w:highlight w:val="none"/>
          <w:lang w:val="zh-CN" w:bidi="ar"/>
        </w:rPr>
        <w:t>格式1：</w:t>
      </w:r>
    </w:p>
    <w:p>
      <w:pPr>
        <w:pStyle w:val="24"/>
        <w:widowControl/>
        <w:spacing w:line="360" w:lineRule="auto"/>
        <w:ind w:left="-2" w:firstLine="3830"/>
        <w:outlineLvl w:val="0"/>
        <w:rPr>
          <w:rFonts w:ascii="宋体" w:hAnsi="宋体" w:cs="宋体"/>
          <w:b/>
          <w:bCs/>
          <w:color w:val="auto"/>
          <w:sz w:val="28"/>
          <w:szCs w:val="28"/>
          <w:highlight w:val="none"/>
          <w:lang w:val="zh-CN"/>
        </w:rPr>
      </w:pPr>
      <w:bookmarkStart w:id="423" w:name="_Toc23387"/>
      <w:r>
        <w:rPr>
          <w:rFonts w:hint="eastAsia" w:ascii="宋体" w:hAnsi="宋体" w:cs="宋体"/>
          <w:b/>
          <w:bCs/>
          <w:color w:val="auto"/>
          <w:sz w:val="28"/>
          <w:szCs w:val="28"/>
          <w:highlight w:val="none"/>
          <w:lang w:val="zh-CN"/>
        </w:rPr>
        <w:t>经济标投标书</w:t>
      </w:r>
      <w:bookmarkEnd w:id="423"/>
    </w:p>
    <w:p>
      <w:pPr>
        <w:spacing w:line="360" w:lineRule="auto"/>
        <w:jc w:val="right"/>
        <w:rPr>
          <w:rFonts w:ascii="宋体" w:hAnsi="宋体" w:eastAsia="宋体" w:cs="宋体"/>
          <w:b/>
          <w:color w:val="auto"/>
          <w:kern w:val="1"/>
          <w:szCs w:val="21"/>
          <w:highlight w:val="none"/>
          <w:lang w:val="zh-CN"/>
        </w:rPr>
      </w:pPr>
      <w:r>
        <w:rPr>
          <w:rFonts w:hint="eastAsia" w:ascii="宋体" w:hAnsi="宋体" w:eastAsia="宋体" w:cs="宋体"/>
          <w:b/>
          <w:color w:val="auto"/>
          <w:kern w:val="1"/>
          <w:szCs w:val="21"/>
          <w:highlight w:val="none"/>
          <w:lang w:val="zh-CN" w:bidi="ar"/>
        </w:rPr>
        <w:t xml:space="preserve"> 投标日期：   年  月  日</w:t>
      </w:r>
    </w:p>
    <w:tbl>
      <w:tblPr>
        <w:tblStyle w:val="26"/>
        <w:tblW w:w="0" w:type="auto"/>
        <w:tblInd w:w="0" w:type="dxa"/>
        <w:tblLayout w:type="fixed"/>
        <w:tblCellMar>
          <w:top w:w="0" w:type="dxa"/>
          <w:left w:w="108" w:type="dxa"/>
          <w:bottom w:w="0" w:type="dxa"/>
          <w:right w:w="108" w:type="dxa"/>
        </w:tblCellMar>
      </w:tblPr>
      <w:tblGrid>
        <w:gridCol w:w="2457"/>
        <w:gridCol w:w="6800"/>
      </w:tblGrid>
      <w:tr>
        <w:trPr>
          <w:trHeight w:val="567" w:hRule="atLeast"/>
        </w:trPr>
        <w:tc>
          <w:tcPr>
            <w:tcW w:w="2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宋体" w:hAnsi="Calibri" w:eastAsia="宋体" w:cs="宋体"/>
                <w:b/>
                <w:color w:val="auto"/>
                <w:kern w:val="1"/>
                <w:szCs w:val="21"/>
                <w:highlight w:val="none"/>
              </w:rPr>
            </w:pPr>
            <w:r>
              <w:rPr>
                <w:rFonts w:hint="eastAsia" w:ascii="宋体" w:hAnsi="宋体" w:eastAsia="宋体" w:cs="宋体"/>
                <w:b/>
                <w:color w:val="auto"/>
                <w:kern w:val="1"/>
                <w:szCs w:val="21"/>
                <w:highlight w:val="none"/>
                <w:lang w:val="zh-CN" w:bidi="ar"/>
              </w:rPr>
              <w:t>项 目 名 称</w:t>
            </w:r>
          </w:p>
        </w:tc>
        <w:tc>
          <w:tcPr>
            <w:tcW w:w="6800" w:type="dxa"/>
            <w:tcBorders>
              <w:top w:val="single" w:color="000000" w:sz="4" w:space="0"/>
              <w:left w:val="single" w:color="000000" w:sz="4" w:space="0"/>
              <w:bottom w:val="single" w:color="000000" w:sz="4" w:space="0"/>
              <w:right w:val="single" w:color="000000" w:sz="4" w:space="0"/>
            </w:tcBorders>
            <w:shd w:val="clear" w:color="auto" w:fill="auto"/>
          </w:tcPr>
          <w:p>
            <w:pPr>
              <w:spacing w:line="300" w:lineRule="exact"/>
              <w:rPr>
                <w:rFonts w:ascii="宋体" w:hAnsi="Calibri" w:eastAsia="宋体" w:cs="宋体"/>
                <w:b/>
                <w:color w:val="auto"/>
                <w:kern w:val="1"/>
                <w:szCs w:val="21"/>
                <w:highlight w:val="none"/>
              </w:rPr>
            </w:pPr>
          </w:p>
        </w:tc>
      </w:tr>
      <w:tr>
        <w:trPr>
          <w:trHeight w:val="796" w:hRule="atLeast"/>
        </w:trPr>
        <w:tc>
          <w:tcPr>
            <w:tcW w:w="2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宋体" w:hAnsi="Calibri" w:eastAsia="宋体" w:cs="宋体"/>
                <w:b/>
                <w:color w:val="auto"/>
                <w:kern w:val="1"/>
                <w:szCs w:val="21"/>
                <w:highlight w:val="none"/>
              </w:rPr>
            </w:pPr>
            <w:r>
              <w:rPr>
                <w:rFonts w:hint="eastAsia" w:ascii="宋体" w:hAnsi="宋体" w:eastAsia="宋体" w:cs="宋体"/>
                <w:b/>
                <w:color w:val="auto"/>
                <w:kern w:val="1"/>
                <w:szCs w:val="21"/>
                <w:highlight w:val="none"/>
                <w:lang w:val="zh-CN" w:bidi="ar"/>
              </w:rPr>
              <w:t>投标总报价</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ascii="宋体" w:hAnsi="Calibri" w:eastAsia="宋体" w:cs="宋体"/>
                <w:b/>
                <w:color w:val="auto"/>
                <w:kern w:val="1"/>
                <w:szCs w:val="21"/>
                <w:highlight w:val="none"/>
                <w:u w:val="single"/>
              </w:rPr>
            </w:pPr>
            <w:r>
              <w:rPr>
                <w:rFonts w:hint="eastAsia" w:ascii="宋体" w:hAnsi="宋体" w:eastAsia="宋体" w:cs="宋体"/>
                <w:b/>
                <w:color w:val="auto"/>
                <w:kern w:val="1"/>
                <w:szCs w:val="21"/>
                <w:highlight w:val="none"/>
                <w:lang w:bidi="ar"/>
              </w:rPr>
              <w:t>大写：</w:t>
            </w:r>
            <w:r>
              <w:rPr>
                <w:rFonts w:hint="eastAsia" w:ascii="宋体" w:hAnsi="宋体" w:eastAsia="宋体" w:cs="宋体"/>
                <w:b/>
                <w:color w:val="auto"/>
                <w:kern w:val="1"/>
                <w:szCs w:val="21"/>
                <w:highlight w:val="none"/>
                <w:u w:val="single"/>
                <w:lang w:bidi="ar"/>
              </w:rPr>
              <w:t xml:space="preserve">                     </w:t>
            </w:r>
          </w:p>
          <w:p>
            <w:pPr>
              <w:spacing w:line="300" w:lineRule="exact"/>
              <w:jc w:val="left"/>
              <w:rPr>
                <w:rFonts w:ascii="宋体" w:hAnsi="Calibri" w:eastAsia="宋体" w:cs="宋体"/>
                <w:b/>
                <w:color w:val="auto"/>
                <w:kern w:val="1"/>
                <w:szCs w:val="21"/>
                <w:highlight w:val="none"/>
              </w:rPr>
            </w:pPr>
          </w:p>
          <w:p>
            <w:pPr>
              <w:spacing w:line="300" w:lineRule="exact"/>
              <w:jc w:val="left"/>
              <w:rPr>
                <w:rFonts w:ascii="宋体" w:hAnsi="Calibri" w:eastAsia="宋体" w:cs="宋体"/>
                <w:b/>
                <w:color w:val="auto"/>
                <w:kern w:val="1"/>
                <w:szCs w:val="21"/>
                <w:highlight w:val="none"/>
              </w:rPr>
            </w:pPr>
            <w:r>
              <w:rPr>
                <w:rFonts w:hint="eastAsia" w:ascii="宋体" w:hAnsi="宋体" w:eastAsia="宋体" w:cs="宋体"/>
                <w:b/>
                <w:color w:val="auto"/>
                <w:kern w:val="1"/>
                <w:szCs w:val="21"/>
                <w:highlight w:val="none"/>
                <w:lang w:bidi="ar"/>
              </w:rPr>
              <w:t>小写：</w:t>
            </w:r>
            <w:r>
              <w:rPr>
                <w:rFonts w:hint="eastAsia" w:ascii="宋体" w:hAnsi="宋体" w:eastAsia="宋体" w:cs="宋体"/>
                <w:b/>
                <w:color w:val="auto"/>
                <w:kern w:val="1"/>
                <w:szCs w:val="21"/>
                <w:highlight w:val="none"/>
                <w:u w:val="single"/>
                <w:lang w:bidi="ar"/>
              </w:rPr>
              <w:t xml:space="preserve">     </w:t>
            </w:r>
            <w:r>
              <w:rPr>
                <w:rFonts w:hint="eastAsia" w:ascii="宋体" w:hAnsi="宋体" w:eastAsia="宋体" w:cs="宋体"/>
                <w:b/>
                <w:color w:val="auto"/>
                <w:kern w:val="1"/>
                <w:szCs w:val="21"/>
                <w:highlight w:val="none"/>
                <w:lang w:bidi="ar"/>
              </w:rPr>
              <w:t>万</w:t>
            </w:r>
            <w:r>
              <w:rPr>
                <w:rFonts w:hint="eastAsia" w:ascii="宋体" w:hAnsi="宋体" w:eastAsia="宋体" w:cs="宋体"/>
                <w:b/>
                <w:color w:val="auto"/>
                <w:kern w:val="1"/>
                <w:szCs w:val="21"/>
                <w:highlight w:val="none"/>
                <w:lang w:val="zh-CN" w:bidi="ar"/>
              </w:rPr>
              <w:t>元</w:t>
            </w:r>
            <w:r>
              <w:rPr>
                <w:rFonts w:hint="eastAsia" w:ascii="宋体" w:hAnsi="宋体" w:eastAsia="宋体" w:cs="宋体"/>
                <w:b/>
                <w:color w:val="auto"/>
                <w:kern w:val="1"/>
                <w:szCs w:val="21"/>
                <w:highlight w:val="none"/>
                <w:lang w:bidi="ar"/>
              </w:rPr>
              <w:t xml:space="preserve">                </w:t>
            </w:r>
          </w:p>
          <w:p>
            <w:pPr>
              <w:spacing w:line="300" w:lineRule="exact"/>
              <w:jc w:val="left"/>
              <w:rPr>
                <w:rFonts w:ascii="宋体" w:hAnsi="Calibri" w:eastAsia="宋体" w:cs="宋体"/>
                <w:b/>
                <w:color w:val="auto"/>
                <w:kern w:val="1"/>
                <w:szCs w:val="21"/>
                <w:highlight w:val="none"/>
              </w:rPr>
            </w:pPr>
          </w:p>
        </w:tc>
      </w:tr>
      <w:tr>
        <w:trPr>
          <w:trHeight w:val="499" w:hRule="atLeast"/>
        </w:trPr>
        <w:tc>
          <w:tcPr>
            <w:tcW w:w="2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宋体" w:hAnsi="宋体" w:eastAsia="宋体" w:cs="宋体"/>
                <w:b/>
                <w:color w:val="auto"/>
                <w:kern w:val="1"/>
                <w:szCs w:val="21"/>
                <w:highlight w:val="none"/>
                <w:lang w:val="zh-CN"/>
              </w:rPr>
            </w:pPr>
            <w:r>
              <w:rPr>
                <w:rFonts w:hint="eastAsia" w:ascii="宋体" w:hAnsi="宋体" w:eastAsia="宋体" w:cs="宋体"/>
                <w:b/>
                <w:color w:val="auto"/>
                <w:kern w:val="1"/>
                <w:szCs w:val="21"/>
                <w:highlight w:val="none"/>
                <w:lang w:val="zh-CN" w:bidi="ar"/>
              </w:rPr>
              <w:t>其中：设计费</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ascii="宋体" w:hAnsi="宋体" w:eastAsia="宋体" w:cs="宋体"/>
                <w:b/>
                <w:color w:val="auto"/>
                <w:kern w:val="1"/>
                <w:szCs w:val="21"/>
                <w:highlight w:val="none"/>
                <w:lang w:bidi="ar"/>
              </w:rPr>
            </w:pPr>
            <w:r>
              <w:rPr>
                <w:rFonts w:hint="eastAsia" w:ascii="宋体" w:hAnsi="宋体" w:eastAsia="宋体" w:cs="宋体"/>
                <w:b/>
                <w:color w:val="auto"/>
                <w:kern w:val="1"/>
                <w:szCs w:val="21"/>
                <w:highlight w:val="none"/>
                <w:u w:val="single"/>
                <w:lang w:bidi="ar"/>
              </w:rPr>
              <w:t xml:space="preserve">   </w:t>
            </w:r>
            <w:r>
              <w:rPr>
                <w:rFonts w:ascii="宋体" w:hAnsi="宋体" w:eastAsia="宋体" w:cs="宋体"/>
                <w:b/>
                <w:color w:val="auto"/>
                <w:kern w:val="1"/>
                <w:szCs w:val="21"/>
                <w:highlight w:val="none"/>
                <w:u w:val="single"/>
                <w:lang w:bidi="ar"/>
              </w:rPr>
              <w:t xml:space="preserve">      </w:t>
            </w:r>
            <w:r>
              <w:rPr>
                <w:rFonts w:hint="eastAsia" w:ascii="宋体" w:hAnsi="宋体" w:eastAsia="宋体" w:cs="宋体"/>
                <w:b/>
                <w:color w:val="auto"/>
                <w:kern w:val="1"/>
                <w:szCs w:val="21"/>
                <w:highlight w:val="none"/>
                <w:u w:val="single"/>
                <w:lang w:bidi="ar"/>
              </w:rPr>
              <w:t xml:space="preserve">  </w:t>
            </w:r>
            <w:r>
              <w:rPr>
                <w:rFonts w:hint="eastAsia" w:ascii="宋体" w:hAnsi="宋体" w:eastAsia="宋体" w:cs="宋体"/>
                <w:b/>
                <w:color w:val="auto"/>
                <w:kern w:val="1"/>
                <w:szCs w:val="21"/>
                <w:highlight w:val="none"/>
                <w:lang w:bidi="ar"/>
              </w:rPr>
              <w:t>万元</w:t>
            </w:r>
          </w:p>
          <w:p>
            <w:pPr>
              <w:spacing w:line="300" w:lineRule="exact"/>
              <w:jc w:val="left"/>
              <w:rPr>
                <w:rFonts w:ascii="宋体" w:hAnsi="Calibri" w:eastAsia="宋体" w:cs="宋体"/>
                <w:b/>
                <w:color w:val="auto"/>
                <w:kern w:val="1"/>
                <w:szCs w:val="21"/>
                <w:highlight w:val="none"/>
              </w:rPr>
            </w:pPr>
          </w:p>
          <w:p>
            <w:pPr>
              <w:spacing w:line="240" w:lineRule="exact"/>
              <w:ind w:left="207" w:hanging="207"/>
              <w:rPr>
                <w:rFonts w:ascii="宋体" w:hAnsi="宋体" w:eastAsia="宋体" w:cs="宋体"/>
                <w:b/>
                <w:color w:val="auto"/>
                <w:kern w:val="1"/>
                <w:szCs w:val="21"/>
                <w:highlight w:val="none"/>
                <w:lang w:val="zh-CN" w:bidi="ar"/>
              </w:rPr>
            </w:pPr>
            <w:r>
              <w:rPr>
                <w:rFonts w:hint="eastAsia" w:ascii="宋体" w:hAnsi="宋体" w:eastAsia="宋体" w:cs="宋体"/>
                <w:b/>
                <w:color w:val="auto"/>
                <w:kern w:val="1"/>
                <w:szCs w:val="21"/>
                <w:highlight w:val="none"/>
                <w:lang w:val="zh-CN" w:bidi="ar"/>
              </w:rPr>
              <w:t>下浮率</w:t>
            </w:r>
            <w:r>
              <w:rPr>
                <w:rFonts w:hint="eastAsia" w:ascii="宋体" w:hAnsi="宋体" w:eastAsia="宋体" w:cs="宋体"/>
                <w:b/>
                <w:color w:val="auto"/>
                <w:kern w:val="1"/>
                <w:szCs w:val="21"/>
                <w:highlight w:val="none"/>
                <w:u w:val="single"/>
                <w:lang w:val="zh-CN" w:bidi="ar"/>
              </w:rPr>
              <w:t xml:space="preserve">     </w:t>
            </w:r>
            <w:r>
              <w:rPr>
                <w:rFonts w:hint="eastAsia" w:ascii="宋体" w:hAnsi="宋体" w:eastAsia="宋体" w:cs="宋体"/>
                <w:b/>
                <w:color w:val="auto"/>
                <w:kern w:val="1"/>
                <w:szCs w:val="21"/>
                <w:highlight w:val="none"/>
                <w:lang w:val="zh-CN" w:bidi="ar"/>
              </w:rPr>
              <w:t>%，</w:t>
            </w:r>
          </w:p>
          <w:p>
            <w:pPr>
              <w:spacing w:line="240" w:lineRule="exact"/>
              <w:ind w:left="207" w:hanging="207"/>
              <w:rPr>
                <w:rFonts w:ascii="宋体" w:hAnsi="Calibri" w:eastAsia="宋体" w:cs="宋体"/>
                <w:b/>
                <w:color w:val="auto"/>
                <w:kern w:val="1"/>
                <w:szCs w:val="21"/>
                <w:highlight w:val="none"/>
                <w:lang w:val="zh-CN"/>
              </w:rPr>
            </w:pPr>
          </w:p>
          <w:p>
            <w:pPr>
              <w:spacing w:line="300" w:lineRule="exact"/>
              <w:jc w:val="left"/>
              <w:rPr>
                <w:rFonts w:ascii="宋体" w:hAnsi="宋体" w:eastAsia="宋体" w:cs="宋体"/>
                <w:b/>
                <w:color w:val="auto"/>
                <w:kern w:val="1"/>
                <w:szCs w:val="21"/>
                <w:highlight w:val="none"/>
                <w:u w:val="single"/>
              </w:rPr>
            </w:pPr>
            <w:r>
              <w:rPr>
                <w:rFonts w:hint="eastAsia" w:ascii="宋体" w:hAnsi="宋体" w:eastAsia="宋体" w:cs="宋体"/>
                <w:b/>
                <w:bCs/>
                <w:color w:val="auto"/>
                <w:kern w:val="1"/>
                <w:szCs w:val="21"/>
                <w:highlight w:val="none"/>
                <w:lang w:val="zh-CN" w:bidi="ar"/>
              </w:rPr>
              <w:t>注：下浮率=【1-（设计费投标报价/设计投标最高限价）】</w:t>
            </w:r>
            <w:r>
              <w:rPr>
                <w:rFonts w:hint="eastAsia" w:ascii="宋体" w:hAnsi="宋体" w:eastAsia="宋体" w:cs="宋体"/>
                <w:color w:val="auto"/>
                <w:kern w:val="0"/>
                <w:sz w:val="24"/>
                <w:highlight w:val="none"/>
                <w:lang w:bidi="ar"/>
              </w:rPr>
              <w:t>×</w:t>
            </w:r>
            <w:r>
              <w:rPr>
                <w:rFonts w:hint="eastAsia" w:ascii="宋体" w:hAnsi="宋体" w:eastAsia="宋体" w:cs="宋体"/>
                <w:b/>
                <w:bCs/>
                <w:color w:val="auto"/>
                <w:kern w:val="1"/>
                <w:szCs w:val="21"/>
                <w:highlight w:val="none"/>
                <w:lang w:val="zh-CN" w:bidi="ar"/>
              </w:rPr>
              <w:t>100%。</w:t>
            </w:r>
          </w:p>
        </w:tc>
      </w:tr>
      <w:tr>
        <w:trPr>
          <w:trHeight w:val="1055" w:hRule="atLeast"/>
        </w:trPr>
        <w:tc>
          <w:tcPr>
            <w:tcW w:w="2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宋体" w:hAnsi="Calibri" w:eastAsia="宋体" w:cs="宋体"/>
                <w:b/>
                <w:color w:val="auto"/>
                <w:kern w:val="1"/>
                <w:szCs w:val="21"/>
                <w:highlight w:val="none"/>
                <w:lang w:val="zh-CN"/>
              </w:rPr>
            </w:pPr>
            <w:r>
              <w:rPr>
                <w:rFonts w:hint="eastAsia" w:ascii="宋体" w:hAnsi="宋体" w:eastAsia="宋体" w:cs="宋体"/>
                <w:b/>
                <w:color w:val="auto"/>
                <w:kern w:val="1"/>
                <w:szCs w:val="21"/>
                <w:highlight w:val="none"/>
                <w:lang w:val="zh-CN" w:bidi="ar"/>
              </w:rPr>
              <w:t>其中：</w:t>
            </w:r>
            <w:r>
              <w:rPr>
                <w:rFonts w:hint="eastAsia" w:ascii="宋体" w:hAnsi="宋体" w:eastAsia="宋体" w:cs="宋体"/>
                <w:b/>
                <w:bCs/>
                <w:color w:val="auto"/>
                <w:kern w:val="1"/>
                <w:szCs w:val="21"/>
                <w:highlight w:val="none"/>
                <w:lang w:bidi="ar"/>
              </w:rPr>
              <w:t>建安工程费</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ascii="宋体" w:hAnsi="宋体" w:eastAsia="宋体" w:cs="宋体"/>
                <w:b/>
                <w:color w:val="auto"/>
                <w:kern w:val="1"/>
                <w:szCs w:val="21"/>
                <w:highlight w:val="none"/>
                <w:lang w:bidi="ar"/>
              </w:rPr>
            </w:pPr>
            <w:r>
              <w:rPr>
                <w:rFonts w:hint="eastAsia" w:ascii="宋体" w:hAnsi="宋体" w:eastAsia="宋体" w:cs="宋体"/>
                <w:b/>
                <w:color w:val="auto"/>
                <w:kern w:val="1"/>
                <w:szCs w:val="21"/>
                <w:highlight w:val="none"/>
                <w:u w:val="single"/>
                <w:lang w:bidi="ar"/>
              </w:rPr>
              <w:t xml:space="preserve">   </w:t>
            </w:r>
            <w:r>
              <w:rPr>
                <w:rFonts w:ascii="宋体" w:hAnsi="宋体" w:eastAsia="宋体" w:cs="宋体"/>
                <w:b/>
                <w:color w:val="auto"/>
                <w:kern w:val="1"/>
                <w:szCs w:val="21"/>
                <w:highlight w:val="none"/>
                <w:u w:val="single"/>
                <w:lang w:bidi="ar"/>
              </w:rPr>
              <w:t xml:space="preserve">     </w:t>
            </w:r>
            <w:r>
              <w:rPr>
                <w:rFonts w:hint="eastAsia" w:ascii="宋体" w:hAnsi="宋体" w:eastAsia="宋体" w:cs="宋体"/>
                <w:b/>
                <w:color w:val="auto"/>
                <w:kern w:val="1"/>
                <w:szCs w:val="21"/>
                <w:highlight w:val="none"/>
                <w:u w:val="single"/>
                <w:lang w:bidi="ar"/>
              </w:rPr>
              <w:t xml:space="preserve">   </w:t>
            </w:r>
            <w:r>
              <w:rPr>
                <w:rFonts w:hint="eastAsia" w:ascii="宋体" w:hAnsi="宋体" w:eastAsia="宋体" w:cs="宋体"/>
                <w:b/>
                <w:color w:val="auto"/>
                <w:kern w:val="1"/>
                <w:szCs w:val="21"/>
                <w:highlight w:val="none"/>
                <w:lang w:bidi="ar"/>
              </w:rPr>
              <w:t>万元</w:t>
            </w:r>
          </w:p>
          <w:p>
            <w:pPr>
              <w:spacing w:line="300" w:lineRule="exact"/>
              <w:jc w:val="left"/>
              <w:rPr>
                <w:rFonts w:ascii="宋体" w:hAnsi="Calibri" w:eastAsia="宋体" w:cs="宋体"/>
                <w:b/>
                <w:color w:val="auto"/>
                <w:kern w:val="1"/>
                <w:szCs w:val="21"/>
                <w:highlight w:val="none"/>
              </w:rPr>
            </w:pPr>
          </w:p>
          <w:p>
            <w:pPr>
              <w:spacing w:line="240" w:lineRule="exact"/>
              <w:ind w:left="207" w:hanging="207"/>
              <w:rPr>
                <w:rFonts w:ascii="宋体" w:hAnsi="宋体" w:eastAsia="宋体" w:cs="宋体"/>
                <w:b/>
                <w:color w:val="auto"/>
                <w:kern w:val="1"/>
                <w:szCs w:val="21"/>
                <w:highlight w:val="none"/>
                <w:lang w:val="zh-CN" w:bidi="ar"/>
              </w:rPr>
            </w:pPr>
            <w:r>
              <w:rPr>
                <w:rFonts w:hint="eastAsia" w:ascii="宋体" w:hAnsi="宋体" w:eastAsia="宋体" w:cs="宋体"/>
                <w:b/>
                <w:color w:val="auto"/>
                <w:kern w:val="1"/>
                <w:szCs w:val="21"/>
                <w:highlight w:val="none"/>
                <w:lang w:val="zh-CN" w:bidi="ar"/>
              </w:rPr>
              <w:t>下浮率</w:t>
            </w:r>
            <w:r>
              <w:rPr>
                <w:rFonts w:hint="eastAsia" w:ascii="宋体" w:hAnsi="宋体" w:eastAsia="宋体" w:cs="宋体"/>
                <w:b/>
                <w:color w:val="auto"/>
                <w:kern w:val="1"/>
                <w:szCs w:val="21"/>
                <w:highlight w:val="none"/>
                <w:u w:val="single"/>
                <w:lang w:val="zh-CN" w:bidi="ar"/>
              </w:rPr>
              <w:t xml:space="preserve">  </w:t>
            </w:r>
            <w:r>
              <w:rPr>
                <w:rFonts w:ascii="宋体" w:hAnsi="宋体" w:eastAsia="宋体" w:cs="宋体"/>
                <w:b/>
                <w:color w:val="auto"/>
                <w:kern w:val="1"/>
                <w:szCs w:val="21"/>
                <w:highlight w:val="none"/>
                <w:u w:val="single"/>
                <w:lang w:val="zh-CN" w:bidi="ar"/>
              </w:rPr>
              <w:t xml:space="preserve">   </w:t>
            </w:r>
            <w:r>
              <w:rPr>
                <w:rFonts w:hint="eastAsia" w:ascii="宋体" w:hAnsi="宋体" w:eastAsia="宋体" w:cs="宋体"/>
                <w:b/>
                <w:color w:val="auto"/>
                <w:kern w:val="1"/>
                <w:szCs w:val="21"/>
                <w:highlight w:val="none"/>
                <w:u w:val="single"/>
                <w:lang w:val="zh-CN" w:bidi="ar"/>
              </w:rPr>
              <w:t xml:space="preserve">   </w:t>
            </w:r>
            <w:r>
              <w:rPr>
                <w:rFonts w:hint="eastAsia" w:ascii="宋体" w:hAnsi="宋体" w:eastAsia="宋体" w:cs="宋体"/>
                <w:b/>
                <w:color w:val="auto"/>
                <w:kern w:val="1"/>
                <w:szCs w:val="21"/>
                <w:highlight w:val="none"/>
                <w:lang w:val="zh-CN" w:bidi="ar"/>
              </w:rPr>
              <w:t>%，</w:t>
            </w:r>
          </w:p>
          <w:p>
            <w:pPr>
              <w:spacing w:line="240" w:lineRule="exact"/>
              <w:ind w:left="207" w:hanging="207"/>
              <w:rPr>
                <w:rFonts w:ascii="宋体" w:hAnsi="Calibri" w:eastAsia="宋体" w:cs="宋体"/>
                <w:b/>
                <w:color w:val="auto"/>
                <w:kern w:val="1"/>
                <w:szCs w:val="21"/>
                <w:highlight w:val="none"/>
                <w:lang w:val="zh-CN"/>
              </w:rPr>
            </w:pPr>
          </w:p>
          <w:p>
            <w:pPr>
              <w:spacing w:line="300" w:lineRule="exact"/>
              <w:jc w:val="left"/>
              <w:rPr>
                <w:rFonts w:ascii="宋体" w:hAnsi="Calibri" w:eastAsia="宋体" w:cs="宋体"/>
                <w:b/>
                <w:color w:val="auto"/>
                <w:kern w:val="1"/>
                <w:szCs w:val="21"/>
                <w:highlight w:val="none"/>
              </w:rPr>
            </w:pPr>
            <w:r>
              <w:rPr>
                <w:rFonts w:hint="eastAsia" w:ascii="宋体" w:hAnsi="宋体" w:eastAsia="宋体" w:cs="宋体"/>
                <w:b/>
                <w:bCs/>
                <w:color w:val="auto"/>
                <w:kern w:val="1"/>
                <w:szCs w:val="21"/>
                <w:highlight w:val="none"/>
                <w:lang w:val="zh-CN" w:bidi="ar"/>
              </w:rPr>
              <w:t>注：下浮率=【1-（</w:t>
            </w:r>
            <w:r>
              <w:rPr>
                <w:rFonts w:hint="eastAsia" w:ascii="宋体" w:hAnsi="宋体" w:eastAsia="宋体" w:cs="宋体"/>
                <w:b/>
                <w:bCs/>
                <w:color w:val="auto"/>
                <w:kern w:val="1"/>
                <w:szCs w:val="21"/>
                <w:highlight w:val="none"/>
                <w:lang w:bidi="ar"/>
              </w:rPr>
              <w:t>建安工程费</w:t>
            </w:r>
            <w:r>
              <w:rPr>
                <w:rFonts w:hint="eastAsia" w:ascii="宋体" w:hAnsi="宋体" w:eastAsia="宋体" w:cs="宋体"/>
                <w:b/>
                <w:bCs/>
                <w:color w:val="auto"/>
                <w:kern w:val="1"/>
                <w:szCs w:val="21"/>
                <w:highlight w:val="none"/>
                <w:lang w:val="zh-CN" w:bidi="ar"/>
              </w:rPr>
              <w:t>投标报价/</w:t>
            </w:r>
            <w:r>
              <w:rPr>
                <w:rFonts w:hint="eastAsia" w:ascii="宋体" w:hAnsi="宋体" w:eastAsia="宋体" w:cs="宋体"/>
                <w:b/>
                <w:bCs/>
                <w:color w:val="auto"/>
                <w:kern w:val="1"/>
                <w:szCs w:val="21"/>
                <w:highlight w:val="none"/>
                <w:lang w:bidi="ar"/>
              </w:rPr>
              <w:t>建安工程费</w:t>
            </w:r>
            <w:r>
              <w:rPr>
                <w:rFonts w:hint="eastAsia" w:ascii="宋体" w:hAnsi="宋体" w:eastAsia="宋体" w:cs="宋体"/>
                <w:b/>
                <w:bCs/>
                <w:color w:val="auto"/>
                <w:kern w:val="1"/>
                <w:szCs w:val="21"/>
                <w:highlight w:val="none"/>
                <w:lang w:val="zh-CN" w:bidi="ar"/>
              </w:rPr>
              <w:t>投标最高限价）】</w:t>
            </w:r>
            <w:r>
              <w:rPr>
                <w:rFonts w:hint="eastAsia" w:ascii="宋体" w:hAnsi="宋体" w:eastAsia="宋体" w:cs="宋体"/>
                <w:color w:val="auto"/>
                <w:kern w:val="0"/>
                <w:sz w:val="24"/>
                <w:highlight w:val="none"/>
                <w:lang w:bidi="ar"/>
              </w:rPr>
              <w:t>×</w:t>
            </w:r>
            <w:r>
              <w:rPr>
                <w:rFonts w:hint="eastAsia" w:ascii="宋体" w:hAnsi="宋体" w:eastAsia="宋体" w:cs="宋体"/>
                <w:b/>
                <w:bCs/>
                <w:color w:val="auto"/>
                <w:kern w:val="1"/>
                <w:szCs w:val="21"/>
                <w:highlight w:val="none"/>
                <w:lang w:val="zh-CN" w:bidi="ar"/>
              </w:rPr>
              <w:t>100%</w:t>
            </w:r>
            <w:r>
              <w:rPr>
                <w:rFonts w:hint="eastAsia" w:ascii="宋体" w:hAnsi="宋体" w:eastAsia="宋体" w:cs="宋体"/>
                <w:b/>
                <w:color w:val="auto"/>
                <w:kern w:val="1"/>
                <w:szCs w:val="21"/>
                <w:highlight w:val="none"/>
                <w:lang w:bidi="ar"/>
              </w:rPr>
              <w:t>。</w:t>
            </w:r>
          </w:p>
        </w:tc>
      </w:tr>
      <w:tr>
        <w:trPr>
          <w:trHeight w:val="756" w:hRule="atLeast"/>
        </w:trPr>
        <w:tc>
          <w:tcPr>
            <w:tcW w:w="2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宋体" w:hAnsi="Calibri" w:eastAsia="宋体" w:cs="宋体"/>
                <w:b/>
                <w:color w:val="auto"/>
                <w:kern w:val="1"/>
                <w:szCs w:val="21"/>
                <w:highlight w:val="none"/>
              </w:rPr>
            </w:pPr>
            <w:r>
              <w:rPr>
                <w:rFonts w:hint="eastAsia" w:ascii="宋体" w:hAnsi="宋体" w:eastAsia="宋体" w:cs="宋体"/>
                <w:b/>
                <w:color w:val="auto"/>
                <w:kern w:val="1"/>
                <w:szCs w:val="21"/>
                <w:highlight w:val="none"/>
                <w:lang w:bidi="ar"/>
              </w:rPr>
              <w:t>法 定 代 表 人</w:t>
            </w:r>
          </w:p>
          <w:p>
            <w:pPr>
              <w:spacing w:line="300" w:lineRule="exact"/>
              <w:jc w:val="center"/>
              <w:rPr>
                <w:rFonts w:ascii="宋体" w:hAnsi="Calibri" w:eastAsia="宋体" w:cs="宋体"/>
                <w:b/>
                <w:color w:val="auto"/>
                <w:kern w:val="1"/>
                <w:szCs w:val="21"/>
                <w:highlight w:val="none"/>
                <w:lang w:val="zh-CN"/>
              </w:rPr>
            </w:pPr>
            <w:r>
              <w:rPr>
                <w:rFonts w:hint="eastAsia" w:ascii="宋体" w:hAnsi="宋体" w:eastAsia="宋体" w:cs="宋体"/>
                <w:b/>
                <w:color w:val="auto"/>
                <w:kern w:val="1"/>
                <w:szCs w:val="21"/>
                <w:highlight w:val="none"/>
                <w:lang w:bidi="ar"/>
              </w:rPr>
              <w:t>（签名或盖章）</w:t>
            </w:r>
          </w:p>
        </w:tc>
        <w:tc>
          <w:tcPr>
            <w:tcW w:w="6800" w:type="dxa"/>
            <w:tcBorders>
              <w:top w:val="single" w:color="000000" w:sz="4" w:space="0"/>
              <w:left w:val="single" w:color="000000" w:sz="4" w:space="0"/>
              <w:bottom w:val="single" w:color="000000" w:sz="4" w:space="0"/>
              <w:right w:val="single" w:color="000000" w:sz="4" w:space="0"/>
            </w:tcBorders>
            <w:shd w:val="clear" w:color="auto" w:fill="auto"/>
          </w:tcPr>
          <w:p>
            <w:pPr>
              <w:spacing w:line="300" w:lineRule="exact"/>
              <w:rPr>
                <w:rFonts w:ascii="宋体" w:hAnsi="Calibri" w:eastAsia="宋体" w:cs="宋体"/>
                <w:b/>
                <w:color w:val="auto"/>
                <w:kern w:val="1"/>
                <w:szCs w:val="21"/>
                <w:highlight w:val="none"/>
              </w:rPr>
            </w:pPr>
          </w:p>
        </w:tc>
      </w:tr>
      <w:tr>
        <w:trPr>
          <w:trHeight w:val="953" w:hRule="atLeast"/>
        </w:trPr>
        <w:tc>
          <w:tcPr>
            <w:tcW w:w="2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宋体" w:hAnsi="Calibri" w:eastAsia="宋体" w:cs="宋体"/>
                <w:b/>
                <w:color w:val="auto"/>
                <w:kern w:val="1"/>
                <w:szCs w:val="21"/>
                <w:highlight w:val="none"/>
              </w:rPr>
            </w:pPr>
            <w:r>
              <w:rPr>
                <w:rFonts w:hint="eastAsia" w:ascii="宋体" w:hAnsi="宋体" w:eastAsia="宋体" w:cs="宋体"/>
                <w:b/>
                <w:color w:val="auto"/>
                <w:kern w:val="1"/>
                <w:szCs w:val="21"/>
                <w:highlight w:val="none"/>
                <w:lang w:bidi="ar"/>
              </w:rPr>
              <w:t>授 权 委 托 人</w:t>
            </w:r>
          </w:p>
          <w:p>
            <w:pPr>
              <w:spacing w:line="300" w:lineRule="exact"/>
              <w:jc w:val="center"/>
              <w:rPr>
                <w:rFonts w:ascii="宋体" w:hAnsi="Calibri" w:eastAsia="宋体" w:cs="宋体"/>
                <w:b/>
                <w:color w:val="auto"/>
                <w:kern w:val="1"/>
                <w:szCs w:val="21"/>
                <w:highlight w:val="none"/>
                <w:lang w:val="zh-CN"/>
              </w:rPr>
            </w:pPr>
            <w:r>
              <w:rPr>
                <w:rFonts w:hint="eastAsia" w:ascii="宋体" w:hAnsi="宋体" w:eastAsia="宋体" w:cs="宋体"/>
                <w:b/>
                <w:color w:val="auto"/>
                <w:kern w:val="1"/>
                <w:szCs w:val="21"/>
                <w:highlight w:val="none"/>
                <w:lang w:bidi="ar"/>
              </w:rPr>
              <w:t>（签名或盖章）</w:t>
            </w:r>
          </w:p>
        </w:tc>
        <w:tc>
          <w:tcPr>
            <w:tcW w:w="6800" w:type="dxa"/>
            <w:tcBorders>
              <w:top w:val="single" w:color="000000" w:sz="4" w:space="0"/>
              <w:left w:val="single" w:color="000000" w:sz="4" w:space="0"/>
              <w:bottom w:val="single" w:color="000000" w:sz="4" w:space="0"/>
              <w:right w:val="single" w:color="000000" w:sz="4" w:space="0"/>
            </w:tcBorders>
            <w:shd w:val="clear" w:color="auto" w:fill="auto"/>
          </w:tcPr>
          <w:p>
            <w:pPr>
              <w:spacing w:line="300" w:lineRule="exact"/>
              <w:rPr>
                <w:rFonts w:ascii="宋体" w:hAnsi="Calibri" w:eastAsia="宋体" w:cs="宋体"/>
                <w:b/>
                <w:color w:val="auto"/>
                <w:kern w:val="1"/>
                <w:szCs w:val="21"/>
                <w:highlight w:val="none"/>
              </w:rPr>
            </w:pPr>
          </w:p>
        </w:tc>
      </w:tr>
      <w:tr>
        <w:trPr>
          <w:trHeight w:val="902" w:hRule="atLeast"/>
        </w:trPr>
        <w:tc>
          <w:tcPr>
            <w:tcW w:w="2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宋体" w:hAnsi="Calibri" w:eastAsia="宋体" w:cs="宋体"/>
                <w:b/>
                <w:color w:val="auto"/>
                <w:kern w:val="1"/>
                <w:szCs w:val="21"/>
                <w:highlight w:val="none"/>
                <w:lang w:val="zh-CN"/>
              </w:rPr>
            </w:pPr>
            <w:r>
              <w:rPr>
                <w:rFonts w:hint="eastAsia" w:ascii="宋体" w:hAnsi="宋体" w:eastAsia="宋体" w:cs="宋体"/>
                <w:b/>
                <w:color w:val="auto"/>
                <w:kern w:val="1"/>
                <w:szCs w:val="21"/>
                <w:highlight w:val="none"/>
                <w:lang w:val="zh-CN" w:bidi="ar"/>
              </w:rPr>
              <w:t>投  标  单  位</w:t>
            </w:r>
          </w:p>
          <w:p>
            <w:pPr>
              <w:spacing w:line="300" w:lineRule="exact"/>
              <w:jc w:val="center"/>
              <w:rPr>
                <w:rFonts w:ascii="宋体" w:hAnsi="Calibri" w:eastAsia="宋体" w:cs="宋体"/>
                <w:b/>
                <w:color w:val="auto"/>
                <w:kern w:val="1"/>
                <w:szCs w:val="21"/>
                <w:highlight w:val="none"/>
                <w:lang w:val="zh-CN"/>
              </w:rPr>
            </w:pPr>
            <w:r>
              <w:rPr>
                <w:rFonts w:hint="eastAsia" w:ascii="宋体" w:hAnsi="宋体" w:eastAsia="宋体" w:cs="宋体"/>
                <w:b/>
                <w:color w:val="auto"/>
                <w:kern w:val="1"/>
                <w:szCs w:val="21"/>
                <w:highlight w:val="none"/>
                <w:lang w:val="zh-CN" w:bidi="ar"/>
              </w:rPr>
              <w:t>（盖章）</w:t>
            </w:r>
          </w:p>
        </w:tc>
        <w:tc>
          <w:tcPr>
            <w:tcW w:w="6800" w:type="dxa"/>
            <w:tcBorders>
              <w:top w:val="single" w:color="000000" w:sz="4" w:space="0"/>
              <w:left w:val="single" w:color="000000" w:sz="4" w:space="0"/>
              <w:bottom w:val="single" w:color="000000" w:sz="4" w:space="0"/>
              <w:right w:val="single" w:color="000000" w:sz="4" w:space="0"/>
            </w:tcBorders>
            <w:shd w:val="clear" w:color="auto" w:fill="auto"/>
          </w:tcPr>
          <w:p>
            <w:pPr>
              <w:spacing w:line="300" w:lineRule="exact"/>
              <w:rPr>
                <w:rFonts w:ascii="宋体" w:hAnsi="Calibri" w:eastAsia="宋体" w:cs="宋体"/>
                <w:b/>
                <w:color w:val="auto"/>
                <w:kern w:val="1"/>
                <w:szCs w:val="21"/>
                <w:highlight w:val="none"/>
              </w:rPr>
            </w:pPr>
          </w:p>
        </w:tc>
      </w:tr>
    </w:tbl>
    <w:p>
      <w:pPr>
        <w:widowControl/>
        <w:spacing w:line="360" w:lineRule="auto"/>
        <w:jc w:val="left"/>
        <w:rPr>
          <w:rFonts w:ascii="宋体" w:hAnsi="宋体" w:eastAsia="宋体" w:cs="宋体"/>
          <w:b/>
          <w:color w:val="auto"/>
          <w:kern w:val="0"/>
          <w:sz w:val="20"/>
          <w:szCs w:val="20"/>
          <w:highlight w:val="none"/>
          <w:lang w:val="zh-CN" w:bidi="ar"/>
        </w:rPr>
      </w:pPr>
      <w:r>
        <w:rPr>
          <w:rFonts w:ascii="宋体" w:hAnsi="宋体" w:eastAsia="宋体" w:cs="宋体"/>
          <w:b/>
          <w:color w:val="auto"/>
          <w:kern w:val="0"/>
          <w:sz w:val="20"/>
          <w:szCs w:val="20"/>
          <w:highlight w:val="none"/>
          <w:lang w:val="zh-CN" w:bidi="ar"/>
        </w:rPr>
        <w:t>注：</w:t>
      </w:r>
    </w:p>
    <w:p>
      <w:pPr>
        <w:widowControl/>
        <w:spacing w:line="360" w:lineRule="auto"/>
        <w:jc w:val="left"/>
        <w:rPr>
          <w:rFonts w:ascii="宋体" w:hAnsi="宋体" w:eastAsia="宋体" w:cs="宋体"/>
          <w:b/>
          <w:color w:val="auto"/>
          <w:kern w:val="0"/>
          <w:sz w:val="20"/>
          <w:szCs w:val="20"/>
          <w:highlight w:val="none"/>
          <w:lang w:val="zh-CN" w:bidi="ar"/>
        </w:rPr>
      </w:pPr>
      <w:r>
        <w:rPr>
          <w:rFonts w:ascii="宋体" w:hAnsi="宋体" w:eastAsia="宋体" w:cs="宋体"/>
          <w:b/>
          <w:color w:val="auto"/>
          <w:kern w:val="0"/>
          <w:sz w:val="20"/>
          <w:szCs w:val="20"/>
          <w:highlight w:val="none"/>
          <w:lang w:val="zh-CN" w:bidi="ar"/>
        </w:rPr>
        <w:t>（1）联合体投标的，“投标单位”一栏需书写所有联合体成员的单位全称，可由牵头单位签署、盖章。</w:t>
      </w:r>
    </w:p>
    <w:p>
      <w:pPr>
        <w:widowControl/>
        <w:spacing w:line="360" w:lineRule="auto"/>
        <w:jc w:val="left"/>
        <w:rPr>
          <w:rFonts w:ascii="宋体" w:hAnsi="宋体" w:eastAsia="宋体" w:cs="宋体"/>
          <w:b/>
          <w:color w:val="auto"/>
          <w:kern w:val="0"/>
          <w:sz w:val="20"/>
          <w:szCs w:val="20"/>
          <w:highlight w:val="none"/>
          <w:lang w:val="zh-CN" w:bidi="ar"/>
        </w:rPr>
      </w:pPr>
      <w:r>
        <w:rPr>
          <w:rFonts w:ascii="宋体" w:hAnsi="宋体" w:eastAsia="宋体" w:cs="宋体"/>
          <w:b/>
          <w:color w:val="auto"/>
          <w:kern w:val="0"/>
          <w:sz w:val="20"/>
          <w:szCs w:val="20"/>
          <w:highlight w:val="none"/>
          <w:lang w:val="zh-CN" w:bidi="ar"/>
        </w:rPr>
        <w:t>（2）投标报价的大写金额和小写金额不一致的，以大写金额为准。</w:t>
      </w:r>
    </w:p>
    <w:p>
      <w:pPr>
        <w:widowControl/>
        <w:spacing w:line="360" w:lineRule="auto"/>
        <w:jc w:val="left"/>
        <w:rPr>
          <w:rFonts w:ascii="宋体" w:hAnsi="宋体" w:eastAsia="宋体" w:cs="宋体"/>
          <w:b/>
          <w:color w:val="auto"/>
          <w:kern w:val="0"/>
          <w:sz w:val="20"/>
          <w:szCs w:val="20"/>
          <w:highlight w:val="none"/>
          <w:lang w:val="zh-CN" w:bidi="ar"/>
        </w:rPr>
      </w:pPr>
      <w:r>
        <w:rPr>
          <w:rFonts w:ascii="宋体" w:hAnsi="宋体" w:eastAsia="宋体" w:cs="宋体"/>
          <w:b/>
          <w:color w:val="auto"/>
          <w:kern w:val="0"/>
          <w:sz w:val="20"/>
          <w:szCs w:val="20"/>
          <w:highlight w:val="none"/>
          <w:lang w:val="zh-CN" w:bidi="ar"/>
        </w:rPr>
        <w:t>（3）投标报价为完成本次招标内容的全部费用。</w:t>
      </w:r>
    </w:p>
    <w:p>
      <w:pPr>
        <w:widowControl/>
        <w:spacing w:line="360" w:lineRule="auto"/>
        <w:jc w:val="left"/>
        <w:rPr>
          <w:rFonts w:ascii="宋体" w:hAnsi="宋体" w:eastAsia="宋体" w:cs="宋体"/>
          <w:b/>
          <w:color w:val="auto"/>
          <w:kern w:val="0"/>
          <w:sz w:val="20"/>
          <w:szCs w:val="20"/>
          <w:highlight w:val="none"/>
          <w:lang w:val="zh-CN" w:bidi="ar"/>
        </w:rPr>
      </w:pPr>
      <w:r>
        <w:rPr>
          <w:rFonts w:ascii="宋体" w:hAnsi="宋体" w:eastAsia="宋体" w:cs="宋体"/>
          <w:b/>
          <w:color w:val="auto"/>
          <w:kern w:val="0"/>
          <w:sz w:val="20"/>
          <w:szCs w:val="20"/>
          <w:highlight w:val="none"/>
          <w:lang w:val="zh-CN" w:bidi="ar"/>
        </w:rPr>
        <w:t>（4）以投标总报价作为评标价。</w:t>
      </w:r>
    </w:p>
    <w:p>
      <w:pPr>
        <w:widowControl/>
        <w:spacing w:line="360" w:lineRule="auto"/>
        <w:jc w:val="left"/>
        <w:rPr>
          <w:rFonts w:ascii="宋体" w:hAnsi="宋体" w:eastAsia="宋体" w:cs="宋体"/>
          <w:b/>
          <w:color w:val="auto"/>
          <w:kern w:val="0"/>
          <w:sz w:val="20"/>
          <w:szCs w:val="20"/>
          <w:highlight w:val="none"/>
          <w:lang w:val="zh-CN" w:bidi="ar"/>
        </w:rPr>
      </w:pPr>
      <w:r>
        <w:rPr>
          <w:rFonts w:ascii="宋体" w:hAnsi="宋体" w:eastAsia="宋体" w:cs="宋体"/>
          <w:b/>
          <w:color w:val="auto"/>
          <w:kern w:val="0"/>
          <w:sz w:val="20"/>
          <w:szCs w:val="20"/>
          <w:highlight w:val="none"/>
          <w:lang w:val="zh-CN" w:bidi="ar"/>
        </w:rPr>
        <w:t>（5）投标人须按招标文件要求报价，且不超过最高投标限价总价、设计费最高投标限价、建安工程费最高投标限价，否则视为无效标。</w:t>
      </w:r>
    </w:p>
    <w:p>
      <w:pPr>
        <w:widowControl/>
        <w:spacing w:line="360" w:lineRule="auto"/>
        <w:jc w:val="left"/>
        <w:rPr>
          <w:rFonts w:ascii="宋体" w:hAnsi="宋体" w:eastAsia="宋体" w:cs="宋体"/>
          <w:b/>
          <w:color w:val="auto"/>
          <w:kern w:val="1"/>
          <w:sz w:val="24"/>
          <w:szCs w:val="20"/>
          <w:highlight w:val="none"/>
          <w:lang w:val="zh-CN"/>
        </w:rPr>
      </w:pPr>
      <w:r>
        <w:rPr>
          <w:rFonts w:hint="eastAsia" w:ascii="宋体" w:hAnsi="宋体" w:eastAsia="宋体" w:cs="宋体"/>
          <w:b/>
          <w:color w:val="auto"/>
          <w:kern w:val="0"/>
          <w:sz w:val="20"/>
          <w:szCs w:val="20"/>
          <w:highlight w:val="none"/>
          <w:lang w:val="zh-CN" w:bidi="ar"/>
        </w:rPr>
        <w:t>（6）本表中的</w:t>
      </w:r>
      <w:r>
        <w:rPr>
          <w:rFonts w:hint="eastAsia" w:ascii="宋体" w:hAnsi="宋体" w:eastAsia="宋体" w:cs="宋体"/>
          <w:b/>
          <w:color w:val="auto"/>
          <w:kern w:val="0"/>
          <w:sz w:val="20"/>
          <w:szCs w:val="20"/>
          <w:highlight w:val="none"/>
          <w:lang w:bidi="ar"/>
        </w:rPr>
        <w:t>投标报价以万元为单位，小数点后保留六位小数，第七位小数四舍五入；投标下浮率小数点后保留二位小数，第三位小数四舍五入。</w:t>
      </w:r>
      <w:r>
        <w:rPr>
          <w:rFonts w:hint="eastAsia" w:ascii="宋体" w:hAnsi="宋体" w:eastAsia="宋体" w:cs="宋体"/>
          <w:b/>
          <w:color w:val="auto"/>
          <w:kern w:val="0"/>
          <w:sz w:val="20"/>
          <w:szCs w:val="21"/>
          <w:highlight w:val="none"/>
          <w:lang w:val="zh-CN" w:bidi="ar"/>
        </w:rPr>
        <w:br w:type="page"/>
      </w:r>
    </w:p>
    <w:p>
      <w:pPr>
        <w:spacing w:line="360" w:lineRule="auto"/>
        <w:rPr>
          <w:rFonts w:ascii="宋体" w:hAnsi="宋体" w:eastAsia="宋体" w:cs="宋体"/>
          <w:b/>
          <w:color w:val="auto"/>
          <w:kern w:val="1"/>
          <w:sz w:val="24"/>
          <w:szCs w:val="22"/>
          <w:highlight w:val="none"/>
          <w:lang w:val="zh-CN" w:bidi="ar"/>
        </w:rPr>
      </w:pPr>
      <w:r>
        <w:rPr>
          <w:rFonts w:ascii="宋体" w:hAnsi="宋体" w:eastAsia="宋体" w:cs="宋体"/>
          <w:b/>
          <w:color w:val="auto"/>
          <w:kern w:val="1"/>
          <w:sz w:val="24"/>
          <w:szCs w:val="22"/>
          <w:highlight w:val="none"/>
          <w:lang w:val="zh-CN" w:bidi="ar"/>
        </w:rPr>
        <w:t>格式2：</w:t>
      </w:r>
    </w:p>
    <w:p>
      <w:pPr>
        <w:pStyle w:val="24"/>
        <w:widowControl/>
        <w:spacing w:line="360" w:lineRule="auto"/>
        <w:ind w:left="-2" w:firstLine="632"/>
        <w:jc w:val="center"/>
        <w:outlineLvl w:val="0"/>
        <w:rPr>
          <w:rFonts w:ascii="宋体" w:hAnsi="宋体" w:cs="宋体"/>
          <w:b/>
          <w:bCs/>
          <w:color w:val="auto"/>
          <w:sz w:val="28"/>
          <w:szCs w:val="28"/>
          <w:highlight w:val="none"/>
          <w:lang w:val="zh-CN"/>
        </w:rPr>
      </w:pPr>
      <w:bookmarkStart w:id="424" w:name="_Hlk56677631"/>
      <w:bookmarkStart w:id="425" w:name="_Toc24878"/>
      <w:r>
        <w:rPr>
          <w:rFonts w:hint="eastAsia" w:ascii="宋体" w:hAnsi="宋体" w:cs="宋体"/>
          <w:b/>
          <w:bCs/>
          <w:color w:val="auto"/>
          <w:sz w:val="28"/>
          <w:szCs w:val="28"/>
          <w:highlight w:val="none"/>
          <w:lang w:val="zh-CN"/>
        </w:rPr>
        <w:t>参与编制</w:t>
      </w:r>
      <w:bookmarkStart w:id="426" w:name="_Hlk69828595"/>
      <w:r>
        <w:rPr>
          <w:rFonts w:hint="eastAsia" w:ascii="宋体" w:hAnsi="宋体" w:cs="宋体"/>
          <w:b/>
          <w:bCs/>
          <w:color w:val="auto"/>
          <w:sz w:val="28"/>
          <w:szCs w:val="28"/>
          <w:highlight w:val="none"/>
          <w:lang w:val="zh-CN"/>
        </w:rPr>
        <w:t>工程总承包实施方案经济投标文件</w:t>
      </w:r>
      <w:bookmarkEnd w:id="426"/>
      <w:r>
        <w:rPr>
          <w:rFonts w:hint="eastAsia" w:ascii="宋体" w:hAnsi="宋体" w:cs="宋体"/>
          <w:b/>
          <w:bCs/>
          <w:color w:val="auto"/>
          <w:sz w:val="28"/>
          <w:szCs w:val="28"/>
          <w:highlight w:val="none"/>
          <w:lang w:val="zh-CN"/>
        </w:rPr>
        <w:t>人员名单</w:t>
      </w:r>
      <w:bookmarkEnd w:id="424"/>
      <w:bookmarkEnd w:id="425"/>
    </w:p>
    <w:tbl>
      <w:tblPr>
        <w:tblStyle w:val="26"/>
        <w:tblW w:w="0" w:type="auto"/>
        <w:tblInd w:w="0" w:type="dxa"/>
        <w:tblLayout w:type="fixed"/>
        <w:tblCellMar>
          <w:top w:w="0" w:type="dxa"/>
          <w:left w:w="108" w:type="dxa"/>
          <w:bottom w:w="0" w:type="dxa"/>
          <w:right w:w="108" w:type="dxa"/>
        </w:tblCellMar>
      </w:tblPr>
      <w:tblGrid>
        <w:gridCol w:w="1182"/>
        <w:gridCol w:w="1375"/>
        <w:gridCol w:w="3221"/>
        <w:gridCol w:w="3675"/>
      </w:tblGrid>
      <w:tr>
        <w:trPr>
          <w:trHeight w:val="462" w:hRule="atLeast"/>
        </w:trPr>
        <w:tc>
          <w:tcPr>
            <w:tcW w:w="1182" w:type="dxa"/>
            <w:tcBorders>
              <w:top w:val="single" w:color="000000" w:sz="4" w:space="0"/>
              <w:left w:val="single" w:color="000000" w:sz="4"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姓名</w:t>
            </w:r>
          </w:p>
        </w:tc>
        <w:tc>
          <w:tcPr>
            <w:tcW w:w="1375" w:type="dxa"/>
            <w:tcBorders>
              <w:top w:val="single" w:color="000000" w:sz="4" w:space="0"/>
              <w:left w:val="single" w:color="000000" w:sz="6"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职务</w:t>
            </w:r>
          </w:p>
        </w:tc>
        <w:tc>
          <w:tcPr>
            <w:tcW w:w="3221" w:type="dxa"/>
            <w:tcBorders>
              <w:top w:val="single" w:color="000000" w:sz="4" w:space="0"/>
              <w:left w:val="single" w:color="000000" w:sz="6"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所承担工作</w:t>
            </w:r>
          </w:p>
        </w:tc>
        <w:tc>
          <w:tcPr>
            <w:tcW w:w="3675" w:type="dxa"/>
            <w:tcBorders>
              <w:top w:val="single" w:color="000000" w:sz="4" w:space="0"/>
              <w:left w:val="single" w:color="000000" w:sz="6" w:space="0"/>
              <w:bottom w:val="single" w:color="000000" w:sz="6" w:space="0"/>
              <w:right w:val="single" w:color="000000" w:sz="4"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本人签名栏</w:t>
            </w:r>
          </w:p>
        </w:tc>
      </w:tr>
      <w:tr>
        <w:trPr>
          <w:trHeight w:val="468" w:hRule="atLeast"/>
        </w:trPr>
        <w:tc>
          <w:tcPr>
            <w:tcW w:w="1182" w:type="dxa"/>
            <w:tcBorders>
              <w:top w:val="single" w:color="000000" w:sz="6" w:space="0"/>
              <w:left w:val="single" w:color="000000" w:sz="4"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1375"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3221"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3675" w:type="dxa"/>
            <w:tcBorders>
              <w:top w:val="single" w:color="000000" w:sz="6" w:space="0"/>
              <w:left w:val="single" w:color="000000" w:sz="6" w:space="0"/>
              <w:bottom w:val="single" w:color="000000" w:sz="6" w:space="0"/>
              <w:right w:val="single" w:color="000000" w:sz="4"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r>
      <w:tr>
        <w:trPr>
          <w:trHeight w:val="446" w:hRule="atLeast"/>
        </w:trPr>
        <w:tc>
          <w:tcPr>
            <w:tcW w:w="1182" w:type="dxa"/>
            <w:tcBorders>
              <w:top w:val="single" w:color="000000" w:sz="6" w:space="0"/>
              <w:left w:val="single" w:color="000000" w:sz="4"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1375"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3221"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3675" w:type="dxa"/>
            <w:tcBorders>
              <w:top w:val="single" w:color="000000" w:sz="6" w:space="0"/>
              <w:left w:val="single" w:color="000000" w:sz="6" w:space="0"/>
              <w:bottom w:val="single" w:color="000000" w:sz="6" w:space="0"/>
              <w:right w:val="single" w:color="000000" w:sz="4"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r>
      <w:tr>
        <w:trPr>
          <w:trHeight w:val="446" w:hRule="atLeast"/>
        </w:trPr>
        <w:tc>
          <w:tcPr>
            <w:tcW w:w="1182" w:type="dxa"/>
            <w:tcBorders>
              <w:top w:val="single" w:color="000000" w:sz="6" w:space="0"/>
              <w:left w:val="single" w:color="000000" w:sz="4"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1375"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3221"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3675" w:type="dxa"/>
            <w:tcBorders>
              <w:top w:val="single" w:color="000000" w:sz="6" w:space="0"/>
              <w:left w:val="single" w:color="000000" w:sz="6" w:space="0"/>
              <w:bottom w:val="single" w:color="000000" w:sz="6" w:space="0"/>
              <w:right w:val="single" w:color="000000" w:sz="4"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r>
      <w:tr>
        <w:trPr>
          <w:trHeight w:val="446" w:hRule="atLeast"/>
        </w:trPr>
        <w:tc>
          <w:tcPr>
            <w:tcW w:w="1182" w:type="dxa"/>
            <w:tcBorders>
              <w:top w:val="single" w:color="000000" w:sz="6" w:space="0"/>
              <w:left w:val="single" w:color="000000" w:sz="4"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1375"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3221"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3675" w:type="dxa"/>
            <w:tcBorders>
              <w:top w:val="single" w:color="000000" w:sz="6" w:space="0"/>
              <w:left w:val="single" w:color="000000" w:sz="6" w:space="0"/>
              <w:bottom w:val="single" w:color="000000" w:sz="6" w:space="0"/>
              <w:right w:val="single" w:color="000000" w:sz="4"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r>
      <w:tr>
        <w:trPr>
          <w:trHeight w:val="446" w:hRule="atLeast"/>
        </w:trPr>
        <w:tc>
          <w:tcPr>
            <w:tcW w:w="1182" w:type="dxa"/>
            <w:tcBorders>
              <w:top w:val="single" w:color="000000" w:sz="6" w:space="0"/>
              <w:left w:val="single" w:color="000000" w:sz="4"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1375"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3221"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3675" w:type="dxa"/>
            <w:tcBorders>
              <w:top w:val="single" w:color="000000" w:sz="6" w:space="0"/>
              <w:left w:val="single" w:color="000000" w:sz="6" w:space="0"/>
              <w:bottom w:val="single" w:color="000000" w:sz="6" w:space="0"/>
              <w:right w:val="single" w:color="000000" w:sz="4"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r>
      <w:tr>
        <w:trPr>
          <w:trHeight w:val="446" w:hRule="atLeast"/>
        </w:trPr>
        <w:tc>
          <w:tcPr>
            <w:tcW w:w="1182" w:type="dxa"/>
            <w:tcBorders>
              <w:top w:val="single" w:color="000000" w:sz="6" w:space="0"/>
              <w:left w:val="single" w:color="000000" w:sz="4"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1375"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3221"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3675" w:type="dxa"/>
            <w:tcBorders>
              <w:top w:val="single" w:color="000000" w:sz="6" w:space="0"/>
              <w:left w:val="single" w:color="000000" w:sz="6" w:space="0"/>
              <w:bottom w:val="single" w:color="000000" w:sz="6" w:space="0"/>
              <w:right w:val="single" w:color="000000" w:sz="4"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r>
      <w:tr>
        <w:trPr>
          <w:trHeight w:val="452" w:hRule="atLeast"/>
        </w:trPr>
        <w:tc>
          <w:tcPr>
            <w:tcW w:w="1182" w:type="dxa"/>
            <w:tcBorders>
              <w:top w:val="single" w:color="000000" w:sz="6" w:space="0"/>
              <w:left w:val="single" w:color="000000" w:sz="4"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1375"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3221"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3675" w:type="dxa"/>
            <w:tcBorders>
              <w:top w:val="single" w:color="000000" w:sz="6" w:space="0"/>
              <w:left w:val="single" w:color="000000" w:sz="6" w:space="0"/>
              <w:bottom w:val="single" w:color="000000" w:sz="6" w:space="0"/>
              <w:right w:val="single" w:color="000000" w:sz="4"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r>
      <w:tr>
        <w:trPr>
          <w:trHeight w:val="472" w:hRule="atLeast"/>
        </w:trPr>
        <w:tc>
          <w:tcPr>
            <w:tcW w:w="1182" w:type="dxa"/>
            <w:tcBorders>
              <w:top w:val="single" w:color="000000" w:sz="6" w:space="0"/>
              <w:left w:val="single" w:color="000000" w:sz="4" w:space="0"/>
              <w:bottom w:val="single" w:color="000000" w:sz="4"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1375" w:type="dxa"/>
            <w:tcBorders>
              <w:top w:val="single" w:color="000000" w:sz="6" w:space="0"/>
              <w:left w:val="single" w:color="000000" w:sz="6" w:space="0"/>
              <w:bottom w:val="single" w:color="000000" w:sz="4"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3221" w:type="dxa"/>
            <w:tcBorders>
              <w:top w:val="single" w:color="000000" w:sz="6" w:space="0"/>
              <w:left w:val="single" w:color="000000" w:sz="6" w:space="0"/>
              <w:bottom w:val="single" w:color="000000" w:sz="4"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3675" w:type="dxa"/>
            <w:tcBorders>
              <w:top w:val="single" w:color="000000" w:sz="6" w:space="0"/>
              <w:left w:val="single" w:color="000000" w:sz="6" w:space="0"/>
              <w:bottom w:val="single" w:color="000000" w:sz="4" w:space="0"/>
              <w:right w:val="single" w:color="000000" w:sz="4"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r>
    </w:tbl>
    <w:p>
      <w:pPr>
        <w:tabs>
          <w:tab w:val="left" w:pos="720"/>
        </w:tabs>
        <w:spacing w:line="360" w:lineRule="auto"/>
        <w:rPr>
          <w:rFonts w:ascii="宋体" w:hAnsi="宋体" w:eastAsia="宋体" w:cs="宋体"/>
          <w:b/>
          <w:bCs/>
          <w:color w:val="auto"/>
          <w:kern w:val="1"/>
          <w:sz w:val="18"/>
          <w:szCs w:val="18"/>
          <w:highlight w:val="none"/>
        </w:rPr>
      </w:pPr>
      <w:r>
        <w:rPr>
          <w:rFonts w:hint="eastAsia" w:ascii="宋体" w:hAnsi="宋体" w:eastAsia="宋体" w:cs="宋体"/>
          <w:b/>
          <w:bCs/>
          <w:color w:val="auto"/>
          <w:kern w:val="1"/>
          <w:sz w:val="18"/>
          <w:szCs w:val="18"/>
          <w:highlight w:val="none"/>
          <w:lang w:bidi="ar"/>
        </w:rPr>
        <w:t>注：参与编制标书所有人员名单应包括编制投标报价、负责清样校对、负责打印及复印等所有人员在内的人员名单。</w:t>
      </w:r>
    </w:p>
    <w:p>
      <w:pPr>
        <w:spacing w:line="360" w:lineRule="auto"/>
        <w:rPr>
          <w:rFonts w:ascii="宋体" w:hAnsi="宋体" w:eastAsia="宋体" w:cs="宋体"/>
          <w:b/>
          <w:color w:val="auto"/>
          <w:kern w:val="1"/>
          <w:sz w:val="36"/>
          <w:szCs w:val="36"/>
          <w:highlight w:val="none"/>
        </w:rPr>
      </w:pPr>
    </w:p>
    <w:p>
      <w:pPr>
        <w:spacing w:line="360" w:lineRule="auto"/>
        <w:jc w:val="center"/>
        <w:rPr>
          <w:rFonts w:ascii="宋体" w:hAnsi="宋体" w:eastAsia="宋体" w:cs="宋体"/>
          <w:b/>
          <w:color w:val="auto"/>
          <w:kern w:val="1"/>
          <w:sz w:val="24"/>
          <w:highlight w:val="none"/>
        </w:rPr>
      </w:pPr>
      <w:r>
        <w:rPr>
          <w:rFonts w:hint="eastAsia" w:ascii="宋体" w:hAnsi="宋体" w:eastAsia="宋体" w:cs="宋体"/>
          <w:b/>
          <w:color w:val="auto"/>
          <w:kern w:val="1"/>
          <w:sz w:val="36"/>
          <w:szCs w:val="36"/>
          <w:highlight w:val="none"/>
          <w:lang w:bidi="ar"/>
        </w:rPr>
        <w:br w:type="page"/>
      </w:r>
    </w:p>
    <w:p>
      <w:pPr>
        <w:spacing w:line="360" w:lineRule="auto"/>
        <w:rPr>
          <w:rFonts w:ascii="宋体" w:hAnsi="宋体" w:eastAsia="宋体" w:cs="宋体"/>
          <w:b/>
          <w:color w:val="auto"/>
          <w:kern w:val="1"/>
          <w:sz w:val="24"/>
          <w:szCs w:val="22"/>
          <w:highlight w:val="none"/>
          <w:lang w:val="zh-CN"/>
        </w:rPr>
      </w:pPr>
      <w:r>
        <w:rPr>
          <w:rFonts w:hint="eastAsia" w:ascii="宋体" w:hAnsi="宋体" w:eastAsia="宋体" w:cs="宋体"/>
          <w:b/>
          <w:color w:val="auto"/>
          <w:kern w:val="1"/>
          <w:sz w:val="24"/>
          <w:szCs w:val="22"/>
          <w:highlight w:val="none"/>
          <w:lang w:val="zh-CN" w:bidi="ar"/>
        </w:rPr>
        <w:t>格式</w:t>
      </w:r>
      <w:r>
        <w:rPr>
          <w:rFonts w:hint="eastAsia" w:ascii="宋体" w:hAnsi="宋体" w:eastAsia="宋体" w:cs="宋体"/>
          <w:b/>
          <w:color w:val="auto"/>
          <w:kern w:val="1"/>
          <w:sz w:val="24"/>
          <w:szCs w:val="22"/>
          <w:highlight w:val="none"/>
          <w:lang w:bidi="ar"/>
        </w:rPr>
        <w:t>3</w:t>
      </w:r>
      <w:r>
        <w:rPr>
          <w:rFonts w:hint="eastAsia" w:ascii="宋体" w:hAnsi="宋体" w:eastAsia="宋体" w:cs="宋体"/>
          <w:b/>
          <w:color w:val="auto"/>
          <w:kern w:val="1"/>
          <w:sz w:val="24"/>
          <w:szCs w:val="22"/>
          <w:highlight w:val="none"/>
          <w:lang w:val="zh-CN" w:bidi="ar"/>
        </w:rPr>
        <w:t xml:space="preserve">： </w:t>
      </w:r>
    </w:p>
    <w:p>
      <w:pPr>
        <w:pStyle w:val="12"/>
        <w:rPr>
          <w:rFonts w:hint="default"/>
          <w:color w:val="auto"/>
          <w:highlight w:val="none"/>
        </w:rPr>
      </w:pPr>
    </w:p>
    <w:p>
      <w:pPr>
        <w:pStyle w:val="24"/>
        <w:widowControl/>
        <w:spacing w:line="360" w:lineRule="auto"/>
        <w:ind w:left="-2" w:firstLine="632"/>
        <w:jc w:val="center"/>
        <w:outlineLvl w:val="0"/>
        <w:rPr>
          <w:rFonts w:ascii="宋体" w:hAnsi="宋体" w:cs="宋体"/>
          <w:b/>
          <w:bCs/>
          <w:color w:val="auto"/>
          <w:sz w:val="28"/>
          <w:szCs w:val="28"/>
          <w:highlight w:val="none"/>
          <w:lang w:val="zh-CN"/>
        </w:rPr>
      </w:pPr>
      <w:bookmarkStart w:id="427" w:name="_Toc16558"/>
      <w:r>
        <w:rPr>
          <w:rFonts w:hint="eastAsia" w:ascii="宋体" w:hAnsi="宋体" w:cs="宋体"/>
          <w:b/>
          <w:bCs/>
          <w:color w:val="auto"/>
          <w:sz w:val="28"/>
          <w:szCs w:val="28"/>
          <w:highlight w:val="none"/>
          <w:lang w:val="zh-CN"/>
        </w:rPr>
        <w:t>投标人认为应该提供的其他资料</w:t>
      </w:r>
      <w:bookmarkEnd w:id="427"/>
    </w:p>
    <w:p>
      <w:pPr>
        <w:pStyle w:val="24"/>
        <w:widowControl/>
        <w:spacing w:line="360" w:lineRule="auto"/>
        <w:ind w:firstLine="0"/>
        <w:rPr>
          <w:rFonts w:ascii="宋体" w:hAnsi="宋体" w:cs="宋体"/>
          <w:b/>
          <w:bCs/>
          <w:color w:val="auto"/>
          <w:sz w:val="28"/>
          <w:szCs w:val="28"/>
          <w:highlight w:val="none"/>
          <w:lang w:val="zh-CN"/>
        </w:rPr>
      </w:pPr>
    </w:p>
    <w:p>
      <w:pPr>
        <w:pStyle w:val="24"/>
        <w:widowControl/>
        <w:spacing w:line="360" w:lineRule="auto"/>
        <w:ind w:firstLine="0"/>
        <w:rPr>
          <w:rFonts w:ascii="宋体" w:hAnsi="宋体" w:cs="宋体"/>
          <w:color w:val="auto"/>
          <w:highlight w:val="none"/>
        </w:rPr>
      </w:pPr>
    </w:p>
    <w:p>
      <w:pPr>
        <w:rPr>
          <w:color w:val="auto"/>
          <w:highlight w:val="none"/>
        </w:rPr>
      </w:pPr>
    </w:p>
    <w:p>
      <w:pPr>
        <w:rPr>
          <w:color w:val="auto"/>
          <w:highlight w:val="none"/>
        </w:rPr>
      </w:pPr>
      <w:r>
        <w:rPr>
          <w:color w:val="auto"/>
          <w:highlight w:val="none"/>
        </w:rPr>
        <w:br w:type="page"/>
      </w:r>
    </w:p>
    <w:p>
      <w:pPr>
        <w:jc w:val="left"/>
        <w:rPr>
          <w:rFonts w:hint="default" w:ascii="宋体" w:hAnsi="宋体" w:eastAsia="宋体" w:cs="宋体"/>
          <w:b w:val="0"/>
          <w:bCs w:val="0"/>
          <w:color w:val="auto"/>
          <w:kern w:val="0"/>
          <w:sz w:val="28"/>
          <w:szCs w:val="28"/>
          <w:highlight w:val="none"/>
          <w:u w:val="none"/>
          <w:lang w:val="en-US" w:eastAsia="zh-CN"/>
        </w:rPr>
      </w:pPr>
      <w:r>
        <w:rPr>
          <w:rFonts w:hint="eastAsia" w:ascii="宋体" w:hAnsi="宋体" w:eastAsia="宋体" w:cs="宋体"/>
          <w:b w:val="0"/>
          <w:bCs w:val="0"/>
          <w:color w:val="auto"/>
          <w:kern w:val="0"/>
          <w:sz w:val="28"/>
          <w:szCs w:val="28"/>
          <w:highlight w:val="none"/>
          <w:u w:val="none"/>
          <w:lang w:val="en-US" w:eastAsia="zh-CN"/>
        </w:rPr>
        <w:t>投标文件（设计方案）封面格式</w:t>
      </w:r>
    </w:p>
    <w:p>
      <w:pPr>
        <w:jc w:val="center"/>
        <w:rPr>
          <w:rFonts w:hint="eastAsia" w:ascii="宋体" w:hAnsi="宋体" w:eastAsia="宋体" w:cs="宋体"/>
          <w:b/>
          <w:bCs/>
          <w:color w:val="auto"/>
          <w:kern w:val="0"/>
          <w:sz w:val="48"/>
          <w:szCs w:val="48"/>
          <w:highlight w:val="none"/>
          <w:u w:val="single"/>
          <w:lang w:eastAsia="zh-CN"/>
        </w:rPr>
      </w:pPr>
    </w:p>
    <w:p>
      <w:pPr>
        <w:jc w:val="center"/>
        <w:rPr>
          <w:rFonts w:hint="eastAsia" w:ascii="宋体" w:hAnsi="宋体" w:eastAsia="宋体" w:cs="宋体"/>
          <w:b/>
          <w:bCs/>
          <w:color w:val="auto"/>
          <w:kern w:val="0"/>
          <w:sz w:val="48"/>
          <w:szCs w:val="48"/>
          <w:highlight w:val="none"/>
          <w:u w:val="single"/>
          <w:lang w:eastAsia="zh-CN"/>
        </w:rPr>
      </w:pPr>
    </w:p>
    <w:p>
      <w:pPr>
        <w:keepNext w:val="0"/>
        <w:keepLines w:val="0"/>
        <w:widowControl w:val="0"/>
        <w:suppressLineNumbers w:val="0"/>
        <w:spacing w:before="0" w:beforeAutospacing="0" w:after="0" w:afterAutospacing="0" w:line="360" w:lineRule="auto"/>
        <w:ind w:right="0"/>
        <w:jc w:val="center"/>
        <w:rPr>
          <w:rFonts w:hint="eastAsia" w:ascii="宋体" w:hAnsi="宋体" w:eastAsia="宋体" w:cs="宋体"/>
          <w:b/>
          <w:bCs/>
          <w:color w:val="auto"/>
          <w:kern w:val="0"/>
          <w:sz w:val="48"/>
          <w:szCs w:val="48"/>
          <w:highlight w:val="none"/>
          <w:u w:val="single"/>
          <w:lang w:eastAsia="zh-CN"/>
        </w:rPr>
      </w:pPr>
      <w:r>
        <w:rPr>
          <w:rFonts w:hint="eastAsia" w:ascii="宋体" w:hAnsi="宋体" w:eastAsia="宋体" w:cs="宋体"/>
          <w:b/>
          <w:bCs/>
          <w:color w:val="auto"/>
          <w:kern w:val="0"/>
          <w:sz w:val="48"/>
          <w:szCs w:val="48"/>
          <w:highlight w:val="none"/>
          <w:u w:val="single"/>
          <w:lang w:eastAsia="zh-CN"/>
        </w:rPr>
        <w:t>白云机场北花山镇城区道路承载力优化提升一期</w:t>
      </w:r>
      <w:r>
        <w:rPr>
          <w:rFonts w:hint="eastAsia" w:ascii="宋体" w:hAnsi="宋体" w:eastAsia="宋体" w:cs="宋体"/>
          <w:b/>
          <w:bCs/>
          <w:color w:val="auto"/>
          <w:kern w:val="0"/>
          <w:sz w:val="48"/>
          <w:szCs w:val="48"/>
          <w:highlight w:val="none"/>
          <w:u w:val="single"/>
          <w:lang w:val="en-US" w:eastAsia="zh-CN"/>
        </w:rPr>
        <w:t>项目</w:t>
      </w:r>
      <w:r>
        <w:rPr>
          <w:rFonts w:hint="eastAsia" w:ascii="宋体" w:hAnsi="宋体" w:eastAsia="宋体" w:cs="宋体"/>
          <w:b/>
          <w:bCs/>
          <w:color w:val="auto"/>
          <w:kern w:val="0"/>
          <w:sz w:val="48"/>
          <w:szCs w:val="48"/>
          <w:highlight w:val="none"/>
          <w:u w:val="single"/>
          <w:lang w:eastAsia="zh-CN"/>
        </w:rPr>
        <w:t>设计施工总承包</w:t>
      </w:r>
    </w:p>
    <w:p>
      <w:pPr>
        <w:keepNext w:val="0"/>
        <w:keepLines w:val="0"/>
        <w:widowControl w:val="0"/>
        <w:suppressLineNumbers w:val="0"/>
        <w:spacing w:before="0" w:beforeAutospacing="0" w:after="0" w:afterAutospacing="0" w:line="360" w:lineRule="auto"/>
        <w:ind w:left="0" w:right="0" w:hanging="961" w:hangingChars="400"/>
        <w:jc w:val="both"/>
        <w:rPr>
          <w:rFonts w:hint="eastAsia" w:ascii="宋体" w:hAnsi="宋体" w:eastAsia="宋体" w:cs="宋体"/>
          <w:b/>
          <w:color w:val="auto"/>
          <w:kern w:val="0"/>
          <w:sz w:val="24"/>
          <w:szCs w:val="22"/>
          <w:highlight w:val="none"/>
          <w:lang w:val="en-US" w:eastAsia="zh-CN"/>
        </w:rPr>
      </w:pPr>
    </w:p>
    <w:p>
      <w:pPr>
        <w:widowControl w:val="0"/>
        <w:spacing w:after="120"/>
        <w:jc w:val="both"/>
        <w:rPr>
          <w:rFonts w:hint="eastAsia" w:ascii="宋体" w:hAnsi="宋体" w:eastAsia="宋体" w:cs="宋体"/>
          <w:b/>
          <w:color w:val="auto"/>
          <w:kern w:val="0"/>
          <w:sz w:val="24"/>
          <w:szCs w:val="22"/>
          <w:highlight w:val="none"/>
          <w:lang w:val="en-US" w:eastAsia="zh-CN" w:bidi="ar-SA"/>
        </w:rPr>
      </w:pPr>
    </w:p>
    <w:p>
      <w:pPr>
        <w:jc w:val="center"/>
        <w:rPr>
          <w:rFonts w:hint="eastAsia" w:ascii="宋体" w:hAnsi="宋体" w:eastAsia="宋体" w:cs="宋体"/>
          <w:b/>
          <w:bCs/>
          <w:color w:val="auto"/>
          <w:kern w:val="0"/>
          <w:sz w:val="48"/>
          <w:szCs w:val="48"/>
          <w:highlight w:val="none"/>
          <w:u w:val="single"/>
          <w:lang w:val="en-US" w:eastAsia="zh-CN"/>
        </w:rPr>
      </w:pPr>
      <w:r>
        <w:rPr>
          <w:rFonts w:hint="eastAsia" w:ascii="宋体" w:hAnsi="宋体" w:eastAsia="宋体" w:cs="宋体"/>
          <w:b/>
          <w:bCs/>
          <w:color w:val="auto"/>
          <w:kern w:val="0"/>
          <w:sz w:val="48"/>
          <w:szCs w:val="48"/>
          <w:highlight w:val="none"/>
          <w:u w:val="single"/>
          <w:lang w:val="en-US" w:eastAsia="zh-CN"/>
        </w:rPr>
        <w:t>投标文件</w:t>
      </w:r>
    </w:p>
    <w:p>
      <w:pPr>
        <w:pStyle w:val="24"/>
        <w:rPr>
          <w:rFonts w:hint="eastAsia" w:ascii="宋体" w:hAnsi="宋体" w:eastAsia="宋体" w:cs="宋体"/>
          <w:b/>
          <w:bCs/>
          <w:color w:val="auto"/>
          <w:kern w:val="0"/>
          <w:sz w:val="48"/>
          <w:szCs w:val="48"/>
          <w:highlight w:val="none"/>
          <w:u w:val="single"/>
          <w:lang w:val="en-US" w:eastAsia="zh-CN"/>
        </w:rPr>
      </w:pPr>
    </w:p>
    <w:p>
      <w:pPr>
        <w:pStyle w:val="24"/>
        <w:rPr>
          <w:rFonts w:hint="default" w:ascii="宋体" w:hAnsi="宋体" w:eastAsia="宋体" w:cs="宋体"/>
          <w:b/>
          <w:bCs/>
          <w:color w:val="auto"/>
          <w:kern w:val="0"/>
          <w:sz w:val="48"/>
          <w:szCs w:val="48"/>
          <w:highlight w:val="none"/>
          <w:u w:val="single"/>
          <w:lang w:val="en-US" w:eastAsia="zh-CN"/>
        </w:rPr>
      </w:pPr>
    </w:p>
    <w:p>
      <w:pPr>
        <w:widowControl w:val="0"/>
        <w:spacing w:after="120"/>
        <w:jc w:val="center"/>
        <w:rPr>
          <w:rFonts w:hint="eastAsia" w:ascii="宋体" w:hAnsi="宋体" w:eastAsia="宋体" w:cs="宋体"/>
          <w:b/>
          <w:bCs/>
          <w:color w:val="auto"/>
          <w:kern w:val="0"/>
          <w:sz w:val="48"/>
          <w:szCs w:val="48"/>
          <w:highlight w:val="none"/>
          <w:u w:val="single"/>
          <w:lang w:val="en-US" w:eastAsia="zh-CN"/>
        </w:rPr>
      </w:pPr>
      <w:r>
        <w:rPr>
          <w:rFonts w:hint="eastAsia" w:ascii="宋体" w:hAnsi="宋体" w:eastAsia="宋体" w:cs="宋体"/>
          <w:b/>
          <w:bCs/>
          <w:color w:val="auto"/>
          <w:kern w:val="0"/>
          <w:sz w:val="48"/>
          <w:szCs w:val="48"/>
          <w:highlight w:val="none"/>
          <w:u w:val="single"/>
          <w:lang w:val="en-US" w:eastAsia="zh-CN"/>
        </w:rPr>
        <w:t>（设计方案）</w:t>
      </w:r>
    </w:p>
    <w:p>
      <w:pPr>
        <w:widowControl w:val="0"/>
        <w:spacing w:after="120"/>
        <w:jc w:val="center"/>
        <w:rPr>
          <w:rFonts w:hint="eastAsia" w:ascii="宋体" w:hAnsi="宋体" w:eastAsia="宋体" w:cs="宋体"/>
          <w:b/>
          <w:color w:val="auto"/>
          <w:kern w:val="0"/>
          <w:sz w:val="24"/>
          <w:szCs w:val="22"/>
          <w:highlight w:val="none"/>
          <w:lang w:val="en-US" w:eastAsia="zh-CN" w:bidi="ar-SA"/>
        </w:rPr>
      </w:pPr>
    </w:p>
    <w:p>
      <w:pPr>
        <w:widowControl w:val="0"/>
        <w:spacing w:after="120"/>
        <w:jc w:val="center"/>
        <w:rPr>
          <w:rFonts w:hint="eastAsia" w:ascii="宋体" w:hAnsi="宋体" w:eastAsia="宋体" w:cs="宋体"/>
          <w:b/>
          <w:color w:val="auto"/>
          <w:kern w:val="0"/>
          <w:sz w:val="24"/>
          <w:szCs w:val="22"/>
          <w:highlight w:val="none"/>
          <w:lang w:val="en-US" w:eastAsia="zh-CN" w:bidi="ar-SA"/>
        </w:rPr>
      </w:pPr>
    </w:p>
    <w:p>
      <w:pPr>
        <w:widowControl w:val="0"/>
        <w:spacing w:after="120"/>
        <w:jc w:val="center"/>
        <w:rPr>
          <w:rFonts w:hint="eastAsia" w:ascii="宋体" w:hAnsi="宋体" w:eastAsia="宋体" w:cs="宋体"/>
          <w:b/>
          <w:color w:val="auto"/>
          <w:kern w:val="0"/>
          <w:sz w:val="24"/>
          <w:szCs w:val="22"/>
          <w:highlight w:val="none"/>
          <w:lang w:val="en-US" w:eastAsia="zh-CN" w:bidi="ar-SA"/>
        </w:rPr>
      </w:pPr>
    </w:p>
    <w:p>
      <w:pPr>
        <w:jc w:val="center"/>
        <w:rPr>
          <w:rFonts w:hint="eastAsia" w:ascii="宋体" w:hAnsi="宋体" w:eastAsia="宋体" w:cs="宋体"/>
          <w:b/>
          <w:bCs/>
          <w:color w:val="auto"/>
          <w:sz w:val="48"/>
          <w:szCs w:val="48"/>
          <w:highlight w:val="none"/>
          <w:u w:val="single"/>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b/>
          <w:bCs/>
          <w:color w:val="auto"/>
          <w:kern w:val="0"/>
          <w:sz w:val="48"/>
          <w:szCs w:val="48"/>
          <w:highlight w:val="none"/>
          <w:u w:val="none"/>
          <w:lang w:val="en-US" w:eastAsia="zh-CN"/>
        </w:rPr>
        <w:t>编制日期：    年   月   日</w:t>
      </w:r>
    </w:p>
    <w:p>
      <w:pPr>
        <w:keepNext w:val="0"/>
        <w:keepLines w:val="0"/>
        <w:widowControl w:val="0"/>
        <w:suppressLineNumbers w:val="0"/>
        <w:spacing w:before="0" w:beforeAutospacing="0" w:after="0" w:afterAutospacing="0" w:line="360" w:lineRule="auto"/>
        <w:ind w:left="0" w:right="0" w:hanging="961" w:hangingChars="400"/>
        <w:jc w:val="both"/>
        <w:rPr>
          <w:rFonts w:hint="eastAsia" w:ascii="宋体" w:hAnsi="宋体" w:eastAsia="宋体" w:cs="宋体"/>
          <w:b/>
          <w:color w:val="auto"/>
          <w:kern w:val="0"/>
          <w:sz w:val="24"/>
          <w:szCs w:val="22"/>
          <w:highlight w:val="none"/>
        </w:rPr>
      </w:pPr>
    </w:p>
    <w:p>
      <w:pPr>
        <w:keepNext w:val="0"/>
        <w:keepLines w:val="0"/>
        <w:widowControl w:val="0"/>
        <w:suppressLineNumbers w:val="0"/>
        <w:spacing w:before="0" w:beforeAutospacing="0" w:after="0" w:afterAutospacing="0" w:line="360" w:lineRule="auto"/>
        <w:ind w:left="0" w:right="0" w:hanging="961" w:hangingChars="400"/>
        <w:jc w:val="both"/>
        <w:rPr>
          <w:rFonts w:hint="eastAsia" w:ascii="宋体" w:hAnsi="宋体" w:eastAsia="宋体" w:cs="宋体"/>
          <w:b/>
          <w:color w:val="auto"/>
          <w:kern w:val="0"/>
          <w:sz w:val="24"/>
          <w:szCs w:val="22"/>
          <w:highlight w:val="none"/>
          <w:u w:val="single"/>
        </w:rPr>
      </w:pPr>
      <w:r>
        <w:rPr>
          <w:rFonts w:hint="eastAsia" w:ascii="宋体" w:hAnsi="宋体" w:eastAsia="宋体" w:cs="宋体"/>
          <w:b/>
          <w:color w:val="auto"/>
          <w:kern w:val="0"/>
          <w:sz w:val="24"/>
          <w:szCs w:val="22"/>
          <w:highlight w:val="none"/>
        </w:rPr>
        <w:t>设计方案</w:t>
      </w:r>
      <w:r>
        <w:rPr>
          <w:rFonts w:hint="eastAsia" w:ascii="宋体" w:hAnsi="宋体" w:eastAsia="宋体" w:cs="宋体"/>
          <w:b/>
          <w:color w:val="auto"/>
          <w:kern w:val="0"/>
          <w:sz w:val="24"/>
          <w:szCs w:val="22"/>
          <w:highlight w:val="none"/>
          <w:u w:val="single"/>
        </w:rPr>
        <w:t>（暗标，不得出现可以辨认投标人及专业技术人员身份的名称、印章、商标、图形等记认符号，也不得通过明标、暗标中包含的相同内容（如报价等）互相印证、辨认投标人身份，上传交易平台网站）</w:t>
      </w:r>
    </w:p>
    <w:p>
      <w:pPr>
        <w:widowControl w:val="0"/>
        <w:spacing w:line="360" w:lineRule="auto"/>
        <w:ind w:firstLine="0" w:firstLineChars="0"/>
        <w:jc w:val="both"/>
        <w:rPr>
          <w:rFonts w:hint="eastAsia" w:ascii="宋体" w:hAnsi="宋体" w:eastAsia="宋体" w:cs="宋体"/>
          <w:color w:val="auto"/>
          <w:kern w:val="0"/>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120"/>
        <w:ind w:firstLine="420" w:firstLineChars="200"/>
        <w:jc w:val="both"/>
        <w:textAlignment w:val="auto"/>
        <w:rPr>
          <w:rFonts w:hint="eastAsia" w:ascii="宋体" w:hAnsi="宋体" w:eastAsia="宋体" w:cs="Calibri"/>
          <w:color w:val="auto"/>
          <w:kern w:val="0"/>
          <w:szCs w:val="22"/>
          <w:highlight w:val="none"/>
          <w:u w:val="single"/>
        </w:rPr>
      </w:pPr>
      <w:r>
        <w:rPr>
          <w:rFonts w:hint="eastAsia" w:ascii="宋体" w:hAnsi="宋体" w:eastAsia="宋体" w:cs="Calibri"/>
          <w:color w:val="auto"/>
          <w:kern w:val="0"/>
          <w:szCs w:val="22"/>
          <w:highlight w:val="none"/>
          <w:u w:val="single"/>
        </w:rPr>
        <w:t>（</w:t>
      </w:r>
      <w:r>
        <w:rPr>
          <w:rFonts w:hint="eastAsia" w:ascii="宋体" w:hAnsi="宋体" w:eastAsia="宋体" w:cs="Calibri"/>
          <w:color w:val="auto"/>
          <w:kern w:val="0"/>
          <w:szCs w:val="22"/>
          <w:highlight w:val="none"/>
          <w:u w:val="single"/>
          <w:lang w:eastAsia="zh-CN"/>
        </w:rPr>
        <w:t>1</w:t>
      </w:r>
      <w:r>
        <w:rPr>
          <w:rFonts w:hint="eastAsia" w:ascii="宋体" w:hAnsi="宋体" w:eastAsia="宋体" w:cs="Calibri"/>
          <w:color w:val="auto"/>
          <w:kern w:val="0"/>
          <w:szCs w:val="22"/>
          <w:highlight w:val="none"/>
          <w:u w:val="single"/>
        </w:rPr>
        <w:t>）目录；</w:t>
      </w:r>
    </w:p>
    <w:p>
      <w:pPr>
        <w:keepNext w:val="0"/>
        <w:keepLines w:val="0"/>
        <w:pageBreakBefore w:val="0"/>
        <w:widowControl w:val="0"/>
        <w:kinsoku/>
        <w:wordWrap/>
        <w:overflowPunct/>
        <w:topLinePunct w:val="0"/>
        <w:autoSpaceDE/>
        <w:autoSpaceDN/>
        <w:bidi w:val="0"/>
        <w:adjustRightInd/>
        <w:snapToGrid/>
        <w:spacing w:after="120"/>
        <w:ind w:firstLine="420" w:firstLineChars="200"/>
        <w:jc w:val="both"/>
        <w:textAlignment w:val="auto"/>
        <w:rPr>
          <w:rFonts w:hint="eastAsia" w:ascii="宋体" w:hAnsi="宋体" w:eastAsia="宋体" w:cs="Calibri"/>
          <w:color w:val="auto"/>
          <w:kern w:val="0"/>
          <w:szCs w:val="22"/>
          <w:highlight w:val="none"/>
          <w:u w:val="single"/>
        </w:rPr>
      </w:pPr>
      <w:r>
        <w:rPr>
          <w:rFonts w:hint="eastAsia" w:ascii="宋体" w:hAnsi="宋体" w:eastAsia="宋体" w:cs="Calibri"/>
          <w:color w:val="auto"/>
          <w:kern w:val="0"/>
          <w:szCs w:val="22"/>
          <w:highlight w:val="none"/>
          <w:u w:val="single"/>
        </w:rPr>
        <w:t>（</w:t>
      </w:r>
      <w:r>
        <w:rPr>
          <w:rFonts w:hint="eastAsia" w:ascii="宋体" w:hAnsi="宋体" w:eastAsia="宋体" w:cs="Calibri"/>
          <w:color w:val="auto"/>
          <w:kern w:val="0"/>
          <w:szCs w:val="22"/>
          <w:highlight w:val="none"/>
          <w:u w:val="single"/>
          <w:lang w:eastAsia="zh-CN"/>
        </w:rPr>
        <w:t>2</w:t>
      </w:r>
      <w:r>
        <w:rPr>
          <w:rFonts w:hint="eastAsia" w:ascii="宋体" w:hAnsi="宋体" w:eastAsia="宋体" w:cs="Calibri"/>
          <w:color w:val="auto"/>
          <w:kern w:val="0"/>
          <w:szCs w:val="22"/>
          <w:highlight w:val="none"/>
          <w:u w:val="single"/>
        </w:rPr>
        <w:t>）</w:t>
      </w:r>
      <w:r>
        <w:rPr>
          <w:rFonts w:hint="eastAsia" w:ascii="宋体" w:hAnsi="宋体" w:eastAsia="宋体" w:cs="Calibri"/>
          <w:color w:val="auto"/>
          <w:kern w:val="0"/>
          <w:szCs w:val="22"/>
          <w:highlight w:val="none"/>
          <w:u w:val="single"/>
          <w:lang w:val="en-US" w:eastAsia="zh-CN"/>
        </w:rPr>
        <w:t>设计</w:t>
      </w:r>
      <w:r>
        <w:rPr>
          <w:rFonts w:hint="eastAsia" w:ascii="宋体" w:hAnsi="宋体" w:eastAsia="宋体" w:cs="Calibri"/>
          <w:color w:val="auto"/>
          <w:kern w:val="0"/>
          <w:szCs w:val="22"/>
          <w:highlight w:val="none"/>
          <w:u w:val="single"/>
        </w:rPr>
        <w:t>方案；</w:t>
      </w:r>
    </w:p>
    <w:p>
      <w:pPr>
        <w:keepNext w:val="0"/>
        <w:keepLines w:val="0"/>
        <w:pageBreakBefore w:val="0"/>
        <w:widowControl w:val="0"/>
        <w:kinsoku/>
        <w:wordWrap/>
        <w:overflowPunct/>
        <w:topLinePunct w:val="0"/>
        <w:autoSpaceDE/>
        <w:autoSpaceDN/>
        <w:bidi w:val="0"/>
        <w:adjustRightInd/>
        <w:snapToGrid/>
        <w:spacing w:after="120"/>
        <w:ind w:firstLine="420" w:firstLineChars="200"/>
        <w:jc w:val="both"/>
        <w:textAlignment w:val="auto"/>
        <w:rPr>
          <w:rFonts w:hint="eastAsia" w:ascii="宋体" w:hAnsi="宋体" w:eastAsia="宋体" w:cs="Calibri"/>
          <w:color w:val="auto"/>
          <w:kern w:val="0"/>
          <w:szCs w:val="22"/>
          <w:highlight w:val="none"/>
          <w:u w:val="single"/>
        </w:rPr>
      </w:pPr>
      <w:r>
        <w:rPr>
          <w:rFonts w:hint="eastAsia" w:ascii="宋体" w:hAnsi="宋体" w:eastAsia="宋体" w:cs="Calibri"/>
          <w:color w:val="auto"/>
          <w:kern w:val="0"/>
          <w:szCs w:val="22"/>
          <w:highlight w:val="none"/>
          <w:u w:val="single"/>
        </w:rPr>
        <w:t>（</w:t>
      </w:r>
      <w:r>
        <w:rPr>
          <w:rFonts w:hint="eastAsia" w:ascii="宋体" w:hAnsi="宋体" w:eastAsia="宋体" w:cs="Calibri"/>
          <w:color w:val="auto"/>
          <w:kern w:val="0"/>
          <w:szCs w:val="22"/>
          <w:highlight w:val="none"/>
          <w:u w:val="single"/>
          <w:lang w:val="en-US" w:eastAsia="zh-CN"/>
        </w:rPr>
        <w:t>3</w:t>
      </w:r>
      <w:r>
        <w:rPr>
          <w:rFonts w:hint="eastAsia" w:ascii="宋体" w:hAnsi="宋体" w:eastAsia="宋体" w:cs="Calibri"/>
          <w:color w:val="auto"/>
          <w:kern w:val="0"/>
          <w:szCs w:val="22"/>
          <w:highlight w:val="none"/>
          <w:u w:val="single"/>
        </w:rPr>
        <w:t>）投标人认为有必要提供的其他资料</w:t>
      </w:r>
      <w:r>
        <w:rPr>
          <w:rFonts w:hint="eastAsia" w:ascii="宋体" w:hAnsi="宋体" w:eastAsia="宋体" w:cs="Calibri"/>
          <w:color w:val="auto"/>
          <w:kern w:val="0"/>
          <w:szCs w:val="22"/>
          <w:highlight w:val="none"/>
          <w:u w:val="single"/>
          <w:lang w:eastAsia="zh-CN"/>
        </w:rPr>
        <w:t>（</w:t>
      </w:r>
      <w:r>
        <w:rPr>
          <w:rFonts w:hint="eastAsia" w:ascii="宋体" w:hAnsi="宋体" w:eastAsia="宋体" w:cs="Calibri"/>
          <w:color w:val="auto"/>
          <w:kern w:val="0"/>
          <w:szCs w:val="22"/>
          <w:highlight w:val="none"/>
          <w:u w:val="single"/>
          <w:lang w:val="en-US" w:eastAsia="zh-CN"/>
        </w:rPr>
        <w:t>如有</w:t>
      </w:r>
      <w:r>
        <w:rPr>
          <w:rFonts w:hint="eastAsia" w:ascii="宋体" w:hAnsi="宋体" w:eastAsia="宋体" w:cs="Calibri"/>
          <w:color w:val="auto"/>
          <w:kern w:val="0"/>
          <w:szCs w:val="22"/>
          <w:highlight w:val="none"/>
          <w:u w:val="single"/>
          <w:lang w:eastAsia="zh-CN"/>
        </w:rPr>
        <w:t>）</w:t>
      </w:r>
      <w:r>
        <w:rPr>
          <w:rFonts w:hint="eastAsia" w:ascii="宋体" w:hAnsi="宋体" w:eastAsia="宋体" w:cs="Calibri"/>
          <w:color w:val="auto"/>
          <w:kern w:val="0"/>
          <w:szCs w:val="22"/>
          <w:highlight w:val="none"/>
          <w:u w:val="single"/>
        </w:rPr>
        <w:t>。</w:t>
      </w:r>
    </w:p>
    <w:p>
      <w:pPr>
        <w:keepNext w:val="0"/>
        <w:keepLines w:val="0"/>
        <w:pageBreakBefore w:val="0"/>
        <w:widowControl w:val="0"/>
        <w:kinsoku/>
        <w:wordWrap/>
        <w:overflowPunct/>
        <w:topLinePunct w:val="0"/>
        <w:autoSpaceDE/>
        <w:autoSpaceDN/>
        <w:bidi w:val="0"/>
        <w:adjustRightInd/>
        <w:snapToGrid/>
        <w:spacing w:after="120"/>
        <w:ind w:firstLine="420" w:firstLineChars="200"/>
        <w:jc w:val="both"/>
        <w:textAlignment w:val="auto"/>
        <w:rPr>
          <w:rFonts w:hint="eastAsia" w:ascii="宋体" w:hAnsi="宋体" w:eastAsia="宋体" w:cs="Calibri"/>
          <w:color w:val="auto"/>
          <w:kern w:val="0"/>
          <w:szCs w:val="22"/>
          <w:highlight w:val="none"/>
          <w:u w:val="single"/>
        </w:rPr>
      </w:pPr>
    </w:p>
    <w:p>
      <w:pPr>
        <w:keepNext w:val="0"/>
        <w:keepLines w:val="0"/>
        <w:pageBreakBefore w:val="0"/>
        <w:widowControl w:val="0"/>
        <w:kinsoku/>
        <w:wordWrap/>
        <w:overflowPunct/>
        <w:topLinePunct w:val="0"/>
        <w:autoSpaceDE/>
        <w:autoSpaceDN/>
        <w:bidi w:val="0"/>
        <w:adjustRightInd/>
        <w:snapToGrid/>
        <w:spacing w:after="120"/>
        <w:ind w:firstLine="420" w:firstLineChars="200"/>
        <w:jc w:val="both"/>
        <w:textAlignment w:val="auto"/>
        <w:rPr>
          <w:rFonts w:hint="eastAsia" w:ascii="宋体" w:hAnsi="宋体" w:eastAsia="宋体" w:cs="Calibri"/>
          <w:color w:val="auto"/>
          <w:kern w:val="0"/>
          <w:szCs w:val="22"/>
          <w:highlight w:val="none"/>
          <w:u w:val="single"/>
        </w:rPr>
      </w:pPr>
      <w:r>
        <w:rPr>
          <w:rFonts w:hint="eastAsia" w:ascii="宋体" w:hAnsi="宋体" w:eastAsia="宋体" w:cs="Calibri"/>
          <w:color w:val="auto"/>
          <w:kern w:val="0"/>
          <w:szCs w:val="22"/>
          <w:highlight w:val="none"/>
          <w:u w:val="single"/>
          <w:lang w:val="en-US" w:eastAsia="zh-CN"/>
        </w:rPr>
        <w:t>注： 设计方案限页数不超过250页（不含封面、封底、目录）</w:t>
      </w:r>
    </w:p>
    <w:p>
      <w:pPr>
        <w:widowControl w:val="0"/>
        <w:spacing w:after="120"/>
        <w:ind w:firstLine="200" w:firstLineChars="100"/>
        <w:jc w:val="both"/>
        <w:rPr>
          <w:rFonts w:hint="eastAsia" w:ascii="宋体" w:hAnsi="宋体" w:eastAsia="宋体" w:cs="Calibri"/>
          <w:color w:val="auto"/>
          <w:kern w:val="0"/>
          <w:sz w:val="20"/>
          <w:szCs w:val="22"/>
          <w:highlight w:val="none"/>
          <w:u w:val="single"/>
          <w:lang w:val="en-US" w:eastAsia="zh-CN" w:bidi="ar-SA"/>
        </w:rPr>
      </w:pPr>
    </w:p>
    <w:p>
      <w:pPr>
        <w:jc w:val="both"/>
        <w:rPr>
          <w:rFonts w:hint="eastAsia" w:ascii="宋体" w:hAnsi="宋体" w:eastAsia="宋体" w:cs="宋体"/>
          <w:color w:val="auto"/>
          <w:kern w:val="0"/>
          <w:szCs w:val="22"/>
          <w:highlight w:val="none"/>
          <w:lang w:val="en-US" w:eastAsia="zh-CN"/>
        </w:rPr>
      </w:pPr>
    </w:p>
    <w:p>
      <w:pPr>
        <w:pStyle w:val="31"/>
        <w:rPr>
          <w:color w:val="auto"/>
          <w:highlight w:val="none"/>
        </w:rPr>
      </w:pPr>
    </w:p>
    <w:sectPr>
      <w:pgSz w:w="11905" w:h="16838"/>
      <w:pgMar w:top="1304" w:right="1304" w:bottom="1304" w:left="1361" w:header="851"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2"/>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等线">
    <w:altName w:val="汉仪中等线KW"/>
    <w:panose1 w:val="02010600030101010101"/>
    <w:charset w:val="86"/>
    <w:family w:val="auto"/>
    <w:pitch w:val="default"/>
    <w:sig w:usb0="00000000" w:usb1="00000000" w:usb2="00000016" w:usb3="00000000" w:csb0="0004000F" w:csb1="00000000"/>
  </w:font>
  <w:font w:name="Cambria">
    <w:altName w:val="苹方-简"/>
    <w:panose1 w:val="02040503050406030204"/>
    <w:charset w:val="00"/>
    <w:family w:val="roman"/>
    <w:pitch w:val="default"/>
    <w:sig w:usb0="00000000" w:usb1="00000000" w:usb2="02000000" w:usb3="00000000" w:csb0="2000019F" w:csb1="00000000"/>
  </w:font>
  <w:font w:name="方正大标宋简体">
    <w:altName w:val="汉仪书宋二KW"/>
    <w:panose1 w:val="00000000000000000000"/>
    <w:charset w:val="86"/>
    <w:family w:val="auto"/>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汉仪中黑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汉仪中等线KW">
    <w:panose1 w:val="01010104010101010101"/>
    <w:charset w:val="86"/>
    <w:family w:val="auto"/>
    <w:pitch w:val="default"/>
    <w:sig w:usb0="800002BF" w:usb1="004F7CFA" w:usb2="00000000"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19"/>
          <w:jc w:val="center"/>
        </w:pPr>
        <w:r>
          <w:fldChar w:fldCharType="begin"/>
        </w:r>
        <w:r>
          <w:instrText xml:space="preserve">PAGE   \* MERGEFORMAT</w:instrText>
        </w:r>
        <w:r>
          <w:fldChar w:fldCharType="separate"/>
        </w:r>
        <w:r>
          <w:rPr>
            <w:lang w:val="zh-CN"/>
          </w:rPr>
          <w:t>2</w:t>
        </w:r>
        <w:r>
          <w:fldChar w:fldCharType="end"/>
        </w:r>
      </w:p>
    </w:sdtContent>
  </w:sdt>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eastAsia="宋体" w:cs="Times New Roman"/>
        <w:kern w:val="2"/>
        <w:sz w:val="21"/>
        <w:szCs w:val="24"/>
        <w:lang w:val="en-US" w:eastAsia="zh-CN" w:bidi="ar-SA"/>
      </w:rPr>
      <w:id w:val="2071300392"/>
    </w:sdtPr>
    <w:sdtEndPr>
      <w:rPr>
        <w:rFonts w:ascii="宋体" w:hAnsi="宋体" w:eastAsia="宋体" w:cs="Times New Roman"/>
        <w:kern w:val="2"/>
        <w:sz w:val="21"/>
        <w:szCs w:val="32"/>
        <w:lang w:val="en-US" w:eastAsia="zh-CN" w:bidi="ar-SA"/>
      </w:rPr>
    </w:sdtEndPr>
    <w:sdtContent>
      <w:p>
        <w:pPr>
          <w:widowControl w:val="0"/>
          <w:tabs>
            <w:tab w:val="center" w:pos="4153"/>
            <w:tab w:val="right" w:pos="8306"/>
          </w:tabs>
          <w:snapToGrid w:val="0"/>
          <w:jc w:val="center"/>
          <w:rPr>
            <w:rFonts w:ascii="宋体" w:hAnsi="宋体" w:eastAsia="宋体" w:cs="Times New Roman"/>
            <w:kern w:val="2"/>
            <w:sz w:val="21"/>
            <w:szCs w:val="32"/>
            <w:lang w:val="en-US" w:eastAsia="zh-CN" w:bidi="ar-SA"/>
          </w:rPr>
        </w:pPr>
        <w:r>
          <w:rPr>
            <w:rFonts w:ascii="宋体" w:hAnsi="宋体" w:eastAsia="宋体" w:cs="Times New Roman"/>
            <w:kern w:val="2"/>
            <w:sz w:val="21"/>
            <w:szCs w:val="32"/>
            <w:lang w:val="en-US" w:eastAsia="zh-CN" w:bidi="ar-SA"/>
          </w:rPr>
          <w:fldChar w:fldCharType="begin"/>
        </w:r>
        <w:r>
          <w:rPr>
            <w:rFonts w:ascii="宋体" w:hAnsi="宋体" w:eastAsia="宋体" w:cs="Times New Roman"/>
            <w:kern w:val="2"/>
            <w:sz w:val="21"/>
            <w:szCs w:val="32"/>
            <w:lang w:val="en-US" w:eastAsia="zh-CN" w:bidi="ar-SA"/>
          </w:rPr>
          <w:instrText xml:space="preserve">PAGE   \* MERGEFORMAT</w:instrText>
        </w:r>
        <w:r>
          <w:rPr>
            <w:rFonts w:ascii="宋体" w:hAnsi="宋体" w:eastAsia="宋体" w:cs="Times New Roman"/>
            <w:kern w:val="2"/>
            <w:sz w:val="21"/>
            <w:szCs w:val="32"/>
            <w:lang w:val="en-US" w:eastAsia="zh-CN" w:bidi="ar-SA"/>
          </w:rPr>
          <w:fldChar w:fldCharType="separate"/>
        </w:r>
        <w:r>
          <w:rPr>
            <w:rFonts w:ascii="宋体" w:hAnsi="宋体" w:eastAsia="宋体" w:cs="Times New Roman"/>
            <w:kern w:val="2"/>
            <w:sz w:val="21"/>
            <w:szCs w:val="32"/>
            <w:lang w:val="zh-CN" w:eastAsia="zh-CN" w:bidi="ar-SA"/>
          </w:rPr>
          <w:t>5</w:t>
        </w:r>
        <w:r>
          <w:rPr>
            <w:rFonts w:ascii="宋体" w:hAnsi="宋体" w:eastAsia="宋体" w:cs="Times New Roman"/>
            <w:kern w:val="2"/>
            <w:sz w:val="21"/>
            <w:szCs w:val="32"/>
            <w:lang w:val="en-US" w:eastAsia="zh-CN" w:bidi="ar-SA"/>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mbria" w:hAnsi="Cambria" w:eastAsia="宋体" w:cs="Times New Roman"/>
        <w:color w:val="4F81BD"/>
        <w:kern w:val="2"/>
        <w:sz w:val="40"/>
        <w:szCs w:val="40"/>
        <w:lang w:val="en-US" w:eastAsia="zh-CN" w:bidi="ar-SA"/>
      </w:rPr>
    </w:pPr>
    <w:r>
      <w:rPr>
        <w:rFonts w:ascii="Times New Roman" w:hAnsi="Times New Roman" w:eastAsia="宋体" w:cs="Times New Roman"/>
        <w:kern w:val="2"/>
        <w:sz w:val="40"/>
        <w:szCs w:val="24"/>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1688980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widowControl w:val="0"/>
                            <w:tabs>
                              <w:tab w:val="center" w:pos="4153"/>
                              <w:tab w:val="right" w:pos="8306"/>
                            </w:tabs>
                            <w:snapToGrid w:val="0"/>
                            <w:jc w:val="left"/>
                            <w:rPr>
                              <w:rFonts w:ascii="Times New Roman" w:hAnsi="Times New Roman" w:eastAsia="宋体" w:cs="Times New Roman"/>
                              <w:kern w:val="2"/>
                              <w:sz w:val="18"/>
                              <w:szCs w:val="24"/>
                              <w:lang w:val="en-US" w:eastAsia="zh-CN" w:bidi="ar-SA"/>
                            </w:rPr>
                          </w:pPr>
                          <w:r>
                            <w:rPr>
                              <w:rFonts w:hint="eastAsia" w:ascii="Times New Roman" w:hAnsi="Times New Roman" w:eastAsia="宋体" w:cs="Times New Roman"/>
                              <w:kern w:val="2"/>
                              <w:sz w:val="18"/>
                              <w:szCs w:val="24"/>
                              <w:lang w:val="en-US" w:eastAsia="zh-CN" w:bidi="ar-SA"/>
                            </w:rPr>
                            <w:fldChar w:fldCharType="begin"/>
                          </w:r>
                          <w:r>
                            <w:rPr>
                              <w:rFonts w:hint="eastAsia" w:ascii="Times New Roman" w:hAnsi="Times New Roman" w:eastAsia="宋体" w:cs="Times New Roman"/>
                              <w:kern w:val="2"/>
                              <w:sz w:val="18"/>
                              <w:szCs w:val="24"/>
                              <w:lang w:val="en-US" w:eastAsia="zh-CN" w:bidi="ar-SA"/>
                            </w:rPr>
                            <w:instrText xml:space="preserve"> PAGE  \* MERGEFORMAT </w:instrText>
                          </w:r>
                          <w:r>
                            <w:rPr>
                              <w:rFonts w:hint="eastAsia" w:ascii="Times New Roman" w:hAnsi="Times New Roman" w:eastAsia="宋体" w:cs="Times New Roman"/>
                              <w:kern w:val="2"/>
                              <w:sz w:val="18"/>
                              <w:szCs w:val="24"/>
                              <w:lang w:val="en-US" w:eastAsia="zh-CN" w:bidi="ar-SA"/>
                            </w:rPr>
                            <w:fldChar w:fldCharType="separate"/>
                          </w:r>
                          <w:r>
                            <w:rPr>
                              <w:rFonts w:ascii="Times New Roman" w:hAnsi="Times New Roman" w:eastAsia="宋体" w:cs="Times New Roman"/>
                              <w:kern w:val="2"/>
                              <w:sz w:val="18"/>
                              <w:szCs w:val="24"/>
                              <w:lang w:val="en-US" w:eastAsia="zh-CN" w:bidi="ar-SA"/>
                            </w:rPr>
                            <w:t>1</w:t>
                          </w:r>
                          <w:r>
                            <w:rPr>
                              <w:rFonts w:hint="eastAsia" w:ascii="Times New Roman" w:hAnsi="Times New Roman" w:eastAsia="宋体" w:cs="Times New Roman"/>
                              <w:kern w:val="2"/>
                              <w:sz w:val="18"/>
                              <w:szCs w:val="24"/>
                              <w:lang w:val="en-US" w:eastAsia="zh-CN" w:bidi="ar-SA"/>
                            </w:rPr>
                            <w:fldChar w:fldCharType="end"/>
                          </w:r>
                        </w:p>
                      </w:txbxContent>
                    </wps:txbx>
                    <wps:bodyPr rot="0" vert="horz" wrap="none" lIns="0" tIns="0" rIns="0" bIns="0" anchor="t" anchorCtr="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M6pebnPAAAABQEA&#10;AA8AAAAAAAAAAQAgAAAAOAAAAGRycy9kb3ducmV2LnhtbFBLAQIUABQAAAAIAIdO4kCZmMqADQIA&#10;AA0EAAAOAAAAAAAAAAEAIAAAADQBAABkcnMvZTJvRG9jLnhtbFBLBQYAAAAABgAGAFkBAACzBQAA&#10;AAA=&#10;">
              <v:fill on="f" focussize="0,0"/>
              <v:stroke on="f"/>
              <v:imagedata o:title=""/>
              <o:lock v:ext="edit" aspectratio="f"/>
              <v:textbox inset="0mm,0mm,0mm,0mm" style="mso-fit-shape-to-text:t;">
                <w:txbxContent>
                  <w:p>
                    <w:pPr>
                      <w:widowControl w:val="0"/>
                      <w:tabs>
                        <w:tab w:val="center" w:pos="4153"/>
                        <w:tab w:val="right" w:pos="8306"/>
                      </w:tabs>
                      <w:snapToGrid w:val="0"/>
                      <w:jc w:val="left"/>
                      <w:rPr>
                        <w:rFonts w:ascii="Times New Roman" w:hAnsi="Times New Roman" w:eastAsia="宋体" w:cs="Times New Roman"/>
                        <w:kern w:val="2"/>
                        <w:sz w:val="18"/>
                        <w:szCs w:val="24"/>
                        <w:lang w:val="en-US" w:eastAsia="zh-CN" w:bidi="ar-SA"/>
                      </w:rPr>
                    </w:pPr>
                    <w:r>
                      <w:rPr>
                        <w:rFonts w:hint="eastAsia" w:ascii="Times New Roman" w:hAnsi="Times New Roman" w:eastAsia="宋体" w:cs="Times New Roman"/>
                        <w:kern w:val="2"/>
                        <w:sz w:val="18"/>
                        <w:szCs w:val="24"/>
                        <w:lang w:val="en-US" w:eastAsia="zh-CN" w:bidi="ar-SA"/>
                      </w:rPr>
                      <w:fldChar w:fldCharType="begin"/>
                    </w:r>
                    <w:r>
                      <w:rPr>
                        <w:rFonts w:hint="eastAsia" w:ascii="Times New Roman" w:hAnsi="Times New Roman" w:eastAsia="宋体" w:cs="Times New Roman"/>
                        <w:kern w:val="2"/>
                        <w:sz w:val="18"/>
                        <w:szCs w:val="24"/>
                        <w:lang w:val="en-US" w:eastAsia="zh-CN" w:bidi="ar-SA"/>
                      </w:rPr>
                      <w:instrText xml:space="preserve"> PAGE  \* MERGEFORMAT </w:instrText>
                    </w:r>
                    <w:r>
                      <w:rPr>
                        <w:rFonts w:hint="eastAsia" w:ascii="Times New Roman" w:hAnsi="Times New Roman" w:eastAsia="宋体" w:cs="Times New Roman"/>
                        <w:kern w:val="2"/>
                        <w:sz w:val="18"/>
                        <w:szCs w:val="24"/>
                        <w:lang w:val="en-US" w:eastAsia="zh-CN" w:bidi="ar-SA"/>
                      </w:rPr>
                      <w:fldChar w:fldCharType="separate"/>
                    </w:r>
                    <w:r>
                      <w:rPr>
                        <w:rFonts w:ascii="Times New Roman" w:hAnsi="Times New Roman" w:eastAsia="宋体" w:cs="Times New Roman"/>
                        <w:kern w:val="2"/>
                        <w:sz w:val="18"/>
                        <w:szCs w:val="24"/>
                        <w:lang w:val="en-US" w:eastAsia="zh-CN" w:bidi="ar-SA"/>
                      </w:rPr>
                      <w:t>1</w:t>
                    </w:r>
                    <w:r>
                      <w:rPr>
                        <w:rFonts w:hint="eastAsia" w:ascii="Times New Roman" w:hAnsi="Times New Roman" w:eastAsia="宋体" w:cs="Times New Roman"/>
                        <w:kern w:val="2"/>
                        <w:sz w:val="18"/>
                        <w:szCs w:val="24"/>
                        <w:lang w:val="en-US" w:eastAsia="zh-CN" w:bidi="ar-SA"/>
                      </w:rPr>
                      <w:fldChar w:fldCharType="end"/>
                    </w:r>
                  </w:p>
                </w:txbxContent>
              </v:textbox>
            </v:shape>
          </w:pict>
        </mc:Fallback>
      </mc:AlternateContent>
    </w:r>
  </w:p>
  <w:p>
    <w:pPr>
      <w:widowControl w:val="0"/>
      <w:tabs>
        <w:tab w:val="center" w:pos="4153"/>
        <w:tab w:val="right" w:pos="8306"/>
      </w:tabs>
      <w:snapToGrid w:val="0"/>
      <w:jc w:val="left"/>
      <w:rPr>
        <w:rFonts w:ascii="Times New Roman" w:hAnsi="Times New Roman" w:eastAsia="宋体" w:cs="Times New Roman"/>
        <w:kern w:val="2"/>
        <w:sz w:val="18"/>
        <w:szCs w:val="24"/>
        <w:lang w:val="en-US" w:eastAsia="zh-CN" w:bidi="ar-S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B3B953"/>
    <w:multiLevelType w:val="singleLevel"/>
    <w:tmpl w:val="A4B3B953"/>
    <w:lvl w:ilvl="0" w:tentative="0">
      <w:start w:val="1"/>
      <w:numFmt w:val="decimal"/>
      <w:suff w:val="nothing"/>
      <w:lvlText w:val="%1、"/>
      <w:lvlJc w:val="left"/>
    </w:lvl>
  </w:abstractNum>
  <w:abstractNum w:abstractNumId="1">
    <w:nsid w:val="C43ACCB4"/>
    <w:multiLevelType w:val="multilevel"/>
    <w:tmpl w:val="C43ACCB4"/>
    <w:lvl w:ilvl="0" w:tentative="0">
      <w:start w:val="1"/>
      <w:numFmt w:val="decimal"/>
      <w:suff w:val="space"/>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44EE1251"/>
    <w:multiLevelType w:val="multilevel"/>
    <w:tmpl w:val="44EE1251"/>
    <w:lvl w:ilvl="0" w:tentative="0">
      <w:start w:val="1"/>
      <w:numFmt w:val="decimal"/>
      <w:lvlText w:val="%1)"/>
      <w:lvlJc w:val="left"/>
      <w:pPr>
        <w:ind w:left="90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E3936B0"/>
    <w:multiLevelType w:val="multilevel"/>
    <w:tmpl w:val="4E3936B0"/>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
    <w:nsid w:val="79E93E7B"/>
    <w:multiLevelType w:val="multilevel"/>
    <w:tmpl w:val="79E93E7B"/>
    <w:lvl w:ilvl="0" w:tentative="0">
      <w:start w:val="1"/>
      <w:numFmt w:val="decimal"/>
      <w:pStyle w:val="74"/>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2ZGM1OWU4Y2NhZTkyMzhjMDFhOTgwNzVlMGUxYWUifQ=="/>
  </w:docVars>
  <w:rsids>
    <w:rsidRoot w:val="00172A27"/>
    <w:rsid w:val="0002439B"/>
    <w:rsid w:val="00056855"/>
    <w:rsid w:val="000712B5"/>
    <w:rsid w:val="000C3A42"/>
    <w:rsid w:val="000D77AB"/>
    <w:rsid w:val="000E63A8"/>
    <w:rsid w:val="000F0ED1"/>
    <w:rsid w:val="00121F72"/>
    <w:rsid w:val="001832FE"/>
    <w:rsid w:val="001B75B1"/>
    <w:rsid w:val="001C4A34"/>
    <w:rsid w:val="001F3855"/>
    <w:rsid w:val="002154A1"/>
    <w:rsid w:val="00226DE8"/>
    <w:rsid w:val="00293235"/>
    <w:rsid w:val="002B0F4A"/>
    <w:rsid w:val="002E6EFB"/>
    <w:rsid w:val="002F39BE"/>
    <w:rsid w:val="00304301"/>
    <w:rsid w:val="00307287"/>
    <w:rsid w:val="00321E23"/>
    <w:rsid w:val="003235FC"/>
    <w:rsid w:val="0033596F"/>
    <w:rsid w:val="003E02DB"/>
    <w:rsid w:val="00402E98"/>
    <w:rsid w:val="004100E1"/>
    <w:rsid w:val="00416B01"/>
    <w:rsid w:val="0042503F"/>
    <w:rsid w:val="004507C3"/>
    <w:rsid w:val="00474DBC"/>
    <w:rsid w:val="004910D2"/>
    <w:rsid w:val="00492039"/>
    <w:rsid w:val="004A121E"/>
    <w:rsid w:val="004A7BFE"/>
    <w:rsid w:val="004C0F4B"/>
    <w:rsid w:val="004C19FB"/>
    <w:rsid w:val="004D5606"/>
    <w:rsid w:val="00544783"/>
    <w:rsid w:val="00551B20"/>
    <w:rsid w:val="00576677"/>
    <w:rsid w:val="005A5D80"/>
    <w:rsid w:val="005F33F5"/>
    <w:rsid w:val="00603087"/>
    <w:rsid w:val="0065537D"/>
    <w:rsid w:val="00696157"/>
    <w:rsid w:val="006B2FED"/>
    <w:rsid w:val="006B5D2C"/>
    <w:rsid w:val="006C110D"/>
    <w:rsid w:val="006C7E57"/>
    <w:rsid w:val="006F2A07"/>
    <w:rsid w:val="00702EDF"/>
    <w:rsid w:val="00710F8A"/>
    <w:rsid w:val="00711243"/>
    <w:rsid w:val="00720F53"/>
    <w:rsid w:val="00793CE2"/>
    <w:rsid w:val="007B46B8"/>
    <w:rsid w:val="007C3536"/>
    <w:rsid w:val="007D1E2C"/>
    <w:rsid w:val="007D488D"/>
    <w:rsid w:val="007D694C"/>
    <w:rsid w:val="007D6A2C"/>
    <w:rsid w:val="008155CF"/>
    <w:rsid w:val="008445E9"/>
    <w:rsid w:val="0084785E"/>
    <w:rsid w:val="00861E9A"/>
    <w:rsid w:val="00896F56"/>
    <w:rsid w:val="008A10F2"/>
    <w:rsid w:val="008A773E"/>
    <w:rsid w:val="008C2C5C"/>
    <w:rsid w:val="008C548C"/>
    <w:rsid w:val="008C7FE3"/>
    <w:rsid w:val="008D5FEB"/>
    <w:rsid w:val="008E4012"/>
    <w:rsid w:val="008F0F01"/>
    <w:rsid w:val="00957D40"/>
    <w:rsid w:val="0097060C"/>
    <w:rsid w:val="009867C3"/>
    <w:rsid w:val="009900BA"/>
    <w:rsid w:val="009903B7"/>
    <w:rsid w:val="009C1107"/>
    <w:rsid w:val="009C121D"/>
    <w:rsid w:val="009C36B1"/>
    <w:rsid w:val="009C53C6"/>
    <w:rsid w:val="00A03C22"/>
    <w:rsid w:val="00A24F3D"/>
    <w:rsid w:val="00A40FBF"/>
    <w:rsid w:val="00A76E8C"/>
    <w:rsid w:val="00A9301A"/>
    <w:rsid w:val="00AA26D4"/>
    <w:rsid w:val="00B05F24"/>
    <w:rsid w:val="00B423DF"/>
    <w:rsid w:val="00B721DE"/>
    <w:rsid w:val="00B83644"/>
    <w:rsid w:val="00B845F3"/>
    <w:rsid w:val="00B93419"/>
    <w:rsid w:val="00C50192"/>
    <w:rsid w:val="00C75FE1"/>
    <w:rsid w:val="00C778E8"/>
    <w:rsid w:val="00C901AA"/>
    <w:rsid w:val="00CA053B"/>
    <w:rsid w:val="00CC55B2"/>
    <w:rsid w:val="00CE4B71"/>
    <w:rsid w:val="00D05312"/>
    <w:rsid w:val="00D240DA"/>
    <w:rsid w:val="00D35DD9"/>
    <w:rsid w:val="00D36F22"/>
    <w:rsid w:val="00D44FC3"/>
    <w:rsid w:val="00D5400F"/>
    <w:rsid w:val="00D64081"/>
    <w:rsid w:val="00D9529E"/>
    <w:rsid w:val="00DA2546"/>
    <w:rsid w:val="00E0366A"/>
    <w:rsid w:val="00E21CC0"/>
    <w:rsid w:val="00E53461"/>
    <w:rsid w:val="00E57444"/>
    <w:rsid w:val="00E6772E"/>
    <w:rsid w:val="00ED0A7B"/>
    <w:rsid w:val="00EF7396"/>
    <w:rsid w:val="00F0366E"/>
    <w:rsid w:val="00F2299F"/>
    <w:rsid w:val="00F24EE1"/>
    <w:rsid w:val="00F37968"/>
    <w:rsid w:val="00F9015D"/>
    <w:rsid w:val="01541EA9"/>
    <w:rsid w:val="01C72AE0"/>
    <w:rsid w:val="02391E28"/>
    <w:rsid w:val="027F23AE"/>
    <w:rsid w:val="02C25A5E"/>
    <w:rsid w:val="030A5A4F"/>
    <w:rsid w:val="03765900"/>
    <w:rsid w:val="03ABA88E"/>
    <w:rsid w:val="045F41CC"/>
    <w:rsid w:val="0472779E"/>
    <w:rsid w:val="0475016D"/>
    <w:rsid w:val="054514D8"/>
    <w:rsid w:val="06F77A14"/>
    <w:rsid w:val="07FEBE08"/>
    <w:rsid w:val="082B4112"/>
    <w:rsid w:val="09352492"/>
    <w:rsid w:val="094B7289"/>
    <w:rsid w:val="097E5D15"/>
    <w:rsid w:val="0B0E0B6A"/>
    <w:rsid w:val="0B114967"/>
    <w:rsid w:val="0BE34556"/>
    <w:rsid w:val="0C255713"/>
    <w:rsid w:val="0C764185"/>
    <w:rsid w:val="0DB85D58"/>
    <w:rsid w:val="0DF97CEB"/>
    <w:rsid w:val="0E460DCC"/>
    <w:rsid w:val="0E664FCA"/>
    <w:rsid w:val="0F5A4B2F"/>
    <w:rsid w:val="0F7A2ADB"/>
    <w:rsid w:val="0FB174CE"/>
    <w:rsid w:val="0FDEE841"/>
    <w:rsid w:val="100E52EB"/>
    <w:rsid w:val="10223384"/>
    <w:rsid w:val="10816D4C"/>
    <w:rsid w:val="111451B1"/>
    <w:rsid w:val="11290C3C"/>
    <w:rsid w:val="11F00431"/>
    <w:rsid w:val="123416E2"/>
    <w:rsid w:val="145A112D"/>
    <w:rsid w:val="16817EFD"/>
    <w:rsid w:val="16AA1B0A"/>
    <w:rsid w:val="16BA2357"/>
    <w:rsid w:val="188E5F9F"/>
    <w:rsid w:val="191E1353"/>
    <w:rsid w:val="198A7DBF"/>
    <w:rsid w:val="19917FA2"/>
    <w:rsid w:val="19BC701E"/>
    <w:rsid w:val="1A5F48C4"/>
    <w:rsid w:val="1A9C7DD1"/>
    <w:rsid w:val="1B22477E"/>
    <w:rsid w:val="1B552E7D"/>
    <w:rsid w:val="1CCB8490"/>
    <w:rsid w:val="1CF759BF"/>
    <w:rsid w:val="1E545054"/>
    <w:rsid w:val="1F110B81"/>
    <w:rsid w:val="1F176092"/>
    <w:rsid w:val="1F5E6C19"/>
    <w:rsid w:val="1FC17E8F"/>
    <w:rsid w:val="207227AC"/>
    <w:rsid w:val="20BD6CCC"/>
    <w:rsid w:val="2108107F"/>
    <w:rsid w:val="240B2444"/>
    <w:rsid w:val="24E47798"/>
    <w:rsid w:val="265B751D"/>
    <w:rsid w:val="27313F6F"/>
    <w:rsid w:val="27450A27"/>
    <w:rsid w:val="275C3465"/>
    <w:rsid w:val="27D33279"/>
    <w:rsid w:val="2ADB098C"/>
    <w:rsid w:val="2AFA5406"/>
    <w:rsid w:val="2BDE6EFD"/>
    <w:rsid w:val="2CA14E8E"/>
    <w:rsid w:val="2CC03915"/>
    <w:rsid w:val="2D522772"/>
    <w:rsid w:val="2D8A262B"/>
    <w:rsid w:val="2D9C1A3C"/>
    <w:rsid w:val="2DFC9B4A"/>
    <w:rsid w:val="2EFC9450"/>
    <w:rsid w:val="2EFEFFA7"/>
    <w:rsid w:val="2F162BDB"/>
    <w:rsid w:val="2F561FBB"/>
    <w:rsid w:val="2FB74193"/>
    <w:rsid w:val="2FDE8123"/>
    <w:rsid w:val="2FEA5CCB"/>
    <w:rsid w:val="2FEB66F8"/>
    <w:rsid w:val="2FFA5E74"/>
    <w:rsid w:val="2FFF6461"/>
    <w:rsid w:val="306A53C9"/>
    <w:rsid w:val="31554CFE"/>
    <w:rsid w:val="31E270D5"/>
    <w:rsid w:val="32717916"/>
    <w:rsid w:val="32CB5278"/>
    <w:rsid w:val="33527FD7"/>
    <w:rsid w:val="341F6EAD"/>
    <w:rsid w:val="35D16DAD"/>
    <w:rsid w:val="36113DE3"/>
    <w:rsid w:val="36F27770"/>
    <w:rsid w:val="3744D0E0"/>
    <w:rsid w:val="37EDC23D"/>
    <w:rsid w:val="37FD48C7"/>
    <w:rsid w:val="37FF9B90"/>
    <w:rsid w:val="380F3BDA"/>
    <w:rsid w:val="38481119"/>
    <w:rsid w:val="388F7CA0"/>
    <w:rsid w:val="38DEDD75"/>
    <w:rsid w:val="3904163C"/>
    <w:rsid w:val="397B72CC"/>
    <w:rsid w:val="39B0654E"/>
    <w:rsid w:val="39EFF872"/>
    <w:rsid w:val="3A3C3D74"/>
    <w:rsid w:val="3A775467"/>
    <w:rsid w:val="3A8F1281"/>
    <w:rsid w:val="3AFB713C"/>
    <w:rsid w:val="3B5C2F12"/>
    <w:rsid w:val="3B826B9E"/>
    <w:rsid w:val="3BDF58D9"/>
    <w:rsid w:val="3CBC2F70"/>
    <w:rsid w:val="3D8C54CD"/>
    <w:rsid w:val="3D9D63F3"/>
    <w:rsid w:val="3DD52A65"/>
    <w:rsid w:val="3EB76D61"/>
    <w:rsid w:val="3ECA1C0F"/>
    <w:rsid w:val="3F0B38E0"/>
    <w:rsid w:val="3F7F6FED"/>
    <w:rsid w:val="3FB63007"/>
    <w:rsid w:val="3FF7CD21"/>
    <w:rsid w:val="3FFD4EDF"/>
    <w:rsid w:val="408F3E95"/>
    <w:rsid w:val="41601281"/>
    <w:rsid w:val="417A3CE1"/>
    <w:rsid w:val="4180672B"/>
    <w:rsid w:val="419F2A1D"/>
    <w:rsid w:val="43FD54AD"/>
    <w:rsid w:val="43FE168C"/>
    <w:rsid w:val="442B0BA5"/>
    <w:rsid w:val="443462AE"/>
    <w:rsid w:val="450B59A8"/>
    <w:rsid w:val="450B7E48"/>
    <w:rsid w:val="4535176F"/>
    <w:rsid w:val="45AE1273"/>
    <w:rsid w:val="45B750ED"/>
    <w:rsid w:val="46B6268C"/>
    <w:rsid w:val="46E543B8"/>
    <w:rsid w:val="4724670E"/>
    <w:rsid w:val="4729094E"/>
    <w:rsid w:val="475E2707"/>
    <w:rsid w:val="47667569"/>
    <w:rsid w:val="47FE1767"/>
    <w:rsid w:val="49C83427"/>
    <w:rsid w:val="4B0227CB"/>
    <w:rsid w:val="4CF30072"/>
    <w:rsid w:val="4D467EC5"/>
    <w:rsid w:val="4DDA685F"/>
    <w:rsid w:val="4EA871B2"/>
    <w:rsid w:val="4F610FE6"/>
    <w:rsid w:val="4F671499"/>
    <w:rsid w:val="4F7CBCEC"/>
    <w:rsid w:val="4F8951C8"/>
    <w:rsid w:val="4F8D1DDB"/>
    <w:rsid w:val="4FBA820D"/>
    <w:rsid w:val="4FED287A"/>
    <w:rsid w:val="504143E0"/>
    <w:rsid w:val="50596D46"/>
    <w:rsid w:val="50ED351A"/>
    <w:rsid w:val="530C34DF"/>
    <w:rsid w:val="534E7AD3"/>
    <w:rsid w:val="53B042EA"/>
    <w:rsid w:val="54AB2EC9"/>
    <w:rsid w:val="556D3AEA"/>
    <w:rsid w:val="55B802B6"/>
    <w:rsid w:val="55FF1E15"/>
    <w:rsid w:val="56F96DB3"/>
    <w:rsid w:val="57203535"/>
    <w:rsid w:val="57B72B3E"/>
    <w:rsid w:val="57CDD0B2"/>
    <w:rsid w:val="57F538A5"/>
    <w:rsid w:val="57F555AB"/>
    <w:rsid w:val="596C603B"/>
    <w:rsid w:val="59D93212"/>
    <w:rsid w:val="59EC95FC"/>
    <w:rsid w:val="59FEBF12"/>
    <w:rsid w:val="5ABF6CCB"/>
    <w:rsid w:val="5AE7748A"/>
    <w:rsid w:val="5B1769FD"/>
    <w:rsid w:val="5BAB26AF"/>
    <w:rsid w:val="5BBE6164"/>
    <w:rsid w:val="5BFD3505"/>
    <w:rsid w:val="5C1D030C"/>
    <w:rsid w:val="5CBC3D00"/>
    <w:rsid w:val="5CE13170"/>
    <w:rsid w:val="5CEB0485"/>
    <w:rsid w:val="5DBFD8C7"/>
    <w:rsid w:val="5DCF9B66"/>
    <w:rsid w:val="5DDD43B8"/>
    <w:rsid w:val="5DDE7C84"/>
    <w:rsid w:val="5DFCA3A7"/>
    <w:rsid w:val="5E180E45"/>
    <w:rsid w:val="5E1D7B75"/>
    <w:rsid w:val="5E776E85"/>
    <w:rsid w:val="5E97863E"/>
    <w:rsid w:val="5EBE8234"/>
    <w:rsid w:val="5F4C495A"/>
    <w:rsid w:val="5F593296"/>
    <w:rsid w:val="5F6CB895"/>
    <w:rsid w:val="5F7A3A8E"/>
    <w:rsid w:val="5FDB5F81"/>
    <w:rsid w:val="5FFB4B3F"/>
    <w:rsid w:val="60FE7865"/>
    <w:rsid w:val="61BF89FC"/>
    <w:rsid w:val="62B726E6"/>
    <w:rsid w:val="63025B9A"/>
    <w:rsid w:val="632C21DB"/>
    <w:rsid w:val="63FE8F2B"/>
    <w:rsid w:val="65067E6C"/>
    <w:rsid w:val="65506641"/>
    <w:rsid w:val="657121F0"/>
    <w:rsid w:val="66623A3F"/>
    <w:rsid w:val="669942A8"/>
    <w:rsid w:val="671958AB"/>
    <w:rsid w:val="67381682"/>
    <w:rsid w:val="6755597D"/>
    <w:rsid w:val="67FD640A"/>
    <w:rsid w:val="680A0D96"/>
    <w:rsid w:val="68AF2CE9"/>
    <w:rsid w:val="69496DC7"/>
    <w:rsid w:val="6A14239B"/>
    <w:rsid w:val="6AC728E1"/>
    <w:rsid w:val="6ACE480B"/>
    <w:rsid w:val="6AF00EE6"/>
    <w:rsid w:val="6AF44BFD"/>
    <w:rsid w:val="6AFBF575"/>
    <w:rsid w:val="6B5042B7"/>
    <w:rsid w:val="6B886879"/>
    <w:rsid w:val="6BA00C71"/>
    <w:rsid w:val="6BE0108D"/>
    <w:rsid w:val="6C1B2A6E"/>
    <w:rsid w:val="6C380529"/>
    <w:rsid w:val="6C3D203B"/>
    <w:rsid w:val="6C45251D"/>
    <w:rsid w:val="6CFD16E6"/>
    <w:rsid w:val="6DFD062C"/>
    <w:rsid w:val="6E265EF2"/>
    <w:rsid w:val="6E5F076C"/>
    <w:rsid w:val="6EF26D37"/>
    <w:rsid w:val="6EF72AFC"/>
    <w:rsid w:val="6EFF53D7"/>
    <w:rsid w:val="6F00051C"/>
    <w:rsid w:val="6F6109EB"/>
    <w:rsid w:val="6F745D60"/>
    <w:rsid w:val="6FBE2BDA"/>
    <w:rsid w:val="6FF3C573"/>
    <w:rsid w:val="6FF73077"/>
    <w:rsid w:val="6FF7C77B"/>
    <w:rsid w:val="6FFDF74F"/>
    <w:rsid w:val="6FFFD456"/>
    <w:rsid w:val="704243B7"/>
    <w:rsid w:val="709D5400"/>
    <w:rsid w:val="717526CB"/>
    <w:rsid w:val="71D9064A"/>
    <w:rsid w:val="7287AA3C"/>
    <w:rsid w:val="729F8DF6"/>
    <w:rsid w:val="73BF3045"/>
    <w:rsid w:val="7470724C"/>
    <w:rsid w:val="74B21110"/>
    <w:rsid w:val="75327EC1"/>
    <w:rsid w:val="759D217D"/>
    <w:rsid w:val="75D62912"/>
    <w:rsid w:val="762548F4"/>
    <w:rsid w:val="768D2A04"/>
    <w:rsid w:val="76DE6295"/>
    <w:rsid w:val="76ED7ABE"/>
    <w:rsid w:val="76F52FD7"/>
    <w:rsid w:val="777E2F5F"/>
    <w:rsid w:val="77A30A16"/>
    <w:rsid w:val="77BD1E0E"/>
    <w:rsid w:val="77DD06E4"/>
    <w:rsid w:val="77F50D13"/>
    <w:rsid w:val="78395AB2"/>
    <w:rsid w:val="78896C21"/>
    <w:rsid w:val="79287D82"/>
    <w:rsid w:val="793E4D4E"/>
    <w:rsid w:val="79EF8E39"/>
    <w:rsid w:val="7A9B075B"/>
    <w:rsid w:val="7B570F2D"/>
    <w:rsid w:val="7B625E9D"/>
    <w:rsid w:val="7B7EA257"/>
    <w:rsid w:val="7B7F0365"/>
    <w:rsid w:val="7B863637"/>
    <w:rsid w:val="7B8E4AED"/>
    <w:rsid w:val="7BBB9F7E"/>
    <w:rsid w:val="7BBF5069"/>
    <w:rsid w:val="7BF7E768"/>
    <w:rsid w:val="7BFF3041"/>
    <w:rsid w:val="7BFFCBA7"/>
    <w:rsid w:val="7C3639F5"/>
    <w:rsid w:val="7C596120"/>
    <w:rsid w:val="7CB036C4"/>
    <w:rsid w:val="7D0746CC"/>
    <w:rsid w:val="7D1DE0A1"/>
    <w:rsid w:val="7D790DF5"/>
    <w:rsid w:val="7D8D4E8E"/>
    <w:rsid w:val="7D9B9CC1"/>
    <w:rsid w:val="7DBF4647"/>
    <w:rsid w:val="7DC66335"/>
    <w:rsid w:val="7DDFC3FE"/>
    <w:rsid w:val="7DF9157B"/>
    <w:rsid w:val="7E63230F"/>
    <w:rsid w:val="7EA929BB"/>
    <w:rsid w:val="7EBF970B"/>
    <w:rsid w:val="7ED97CC3"/>
    <w:rsid w:val="7EDFD16F"/>
    <w:rsid w:val="7EF3C6A4"/>
    <w:rsid w:val="7EFA045F"/>
    <w:rsid w:val="7EFCD11E"/>
    <w:rsid w:val="7EFF29CC"/>
    <w:rsid w:val="7EFF4B6E"/>
    <w:rsid w:val="7F2F6E1D"/>
    <w:rsid w:val="7F6BDD33"/>
    <w:rsid w:val="7F6BE439"/>
    <w:rsid w:val="7F77B109"/>
    <w:rsid w:val="7F9363DF"/>
    <w:rsid w:val="7F966E76"/>
    <w:rsid w:val="7FA9CD60"/>
    <w:rsid w:val="7FBB390B"/>
    <w:rsid w:val="7FBC2091"/>
    <w:rsid w:val="7FBD593F"/>
    <w:rsid w:val="7FBF2E8C"/>
    <w:rsid w:val="7FCE3046"/>
    <w:rsid w:val="7FDD0015"/>
    <w:rsid w:val="7FDDECD2"/>
    <w:rsid w:val="7FE6DDEE"/>
    <w:rsid w:val="7FF57FD1"/>
    <w:rsid w:val="7FFD40E8"/>
    <w:rsid w:val="7FFD5CA9"/>
    <w:rsid w:val="7FFEEB90"/>
    <w:rsid w:val="7FFF0FFC"/>
    <w:rsid w:val="81442C7C"/>
    <w:rsid w:val="8FB87C3D"/>
    <w:rsid w:val="8FEDD9BB"/>
    <w:rsid w:val="975FB0E5"/>
    <w:rsid w:val="9B5F340E"/>
    <w:rsid w:val="9D7FBC59"/>
    <w:rsid w:val="9DED0D33"/>
    <w:rsid w:val="9FCF9175"/>
    <w:rsid w:val="A4FF1EC3"/>
    <w:rsid w:val="A97FE2E3"/>
    <w:rsid w:val="AAE58C30"/>
    <w:rsid w:val="AAF458DF"/>
    <w:rsid w:val="ABBF4BFC"/>
    <w:rsid w:val="ABC8713A"/>
    <w:rsid w:val="AC3FEAED"/>
    <w:rsid w:val="AFA3702D"/>
    <w:rsid w:val="B53F70F4"/>
    <w:rsid w:val="B7B8F069"/>
    <w:rsid w:val="B7FF8FEB"/>
    <w:rsid w:val="B9F7B46A"/>
    <w:rsid w:val="B9FE9E7B"/>
    <w:rsid w:val="BA7F4545"/>
    <w:rsid w:val="BAFA3279"/>
    <w:rsid w:val="BBDF7050"/>
    <w:rsid w:val="BCFEC833"/>
    <w:rsid w:val="BD7BFA67"/>
    <w:rsid w:val="BDB7C731"/>
    <w:rsid w:val="BDE9E139"/>
    <w:rsid w:val="BDED27F2"/>
    <w:rsid w:val="BE69E581"/>
    <w:rsid w:val="BF773057"/>
    <w:rsid w:val="BF7E60A8"/>
    <w:rsid w:val="BFB570BD"/>
    <w:rsid w:val="BFF4E9E4"/>
    <w:rsid w:val="BFF791DA"/>
    <w:rsid w:val="BFFD95CC"/>
    <w:rsid w:val="BFFDA52A"/>
    <w:rsid w:val="C6371311"/>
    <w:rsid w:val="CB7B2596"/>
    <w:rsid w:val="CBBF8A39"/>
    <w:rsid w:val="CFFD85F9"/>
    <w:rsid w:val="D0ECAF1C"/>
    <w:rsid w:val="D21A0092"/>
    <w:rsid w:val="D5FF932A"/>
    <w:rsid w:val="DAFF02D3"/>
    <w:rsid w:val="DB1FF353"/>
    <w:rsid w:val="DBDFD841"/>
    <w:rsid w:val="DBFFB8F1"/>
    <w:rsid w:val="DD79CB27"/>
    <w:rsid w:val="DEDF4ECA"/>
    <w:rsid w:val="DEEEDE55"/>
    <w:rsid w:val="DEF5789E"/>
    <w:rsid w:val="DEFB6724"/>
    <w:rsid w:val="DEFE6389"/>
    <w:rsid w:val="DF5B591A"/>
    <w:rsid w:val="DFACF457"/>
    <w:rsid w:val="DFDC84C8"/>
    <w:rsid w:val="DFEF1EF2"/>
    <w:rsid w:val="DFF65CF1"/>
    <w:rsid w:val="DFF6DB32"/>
    <w:rsid w:val="E397B694"/>
    <w:rsid w:val="E3BBFBE9"/>
    <w:rsid w:val="E77F1CB5"/>
    <w:rsid w:val="E79F08C9"/>
    <w:rsid w:val="E7D92649"/>
    <w:rsid w:val="EAFF8D97"/>
    <w:rsid w:val="EBDF1063"/>
    <w:rsid w:val="ED591183"/>
    <w:rsid w:val="EDFFC657"/>
    <w:rsid w:val="EEAD0CBE"/>
    <w:rsid w:val="EEDE71F5"/>
    <w:rsid w:val="EEF500AB"/>
    <w:rsid w:val="EF5F5FE2"/>
    <w:rsid w:val="EF7CFFD4"/>
    <w:rsid w:val="EFBB178C"/>
    <w:rsid w:val="EFDB3E7A"/>
    <w:rsid w:val="EFDEC770"/>
    <w:rsid w:val="EFEED1B9"/>
    <w:rsid w:val="EFFBF133"/>
    <w:rsid w:val="F35E9744"/>
    <w:rsid w:val="F375C556"/>
    <w:rsid w:val="F37ED31E"/>
    <w:rsid w:val="F37F2BBA"/>
    <w:rsid w:val="F37FAC8B"/>
    <w:rsid w:val="F37FC7D9"/>
    <w:rsid w:val="F5BEBCFD"/>
    <w:rsid w:val="F5F73EF2"/>
    <w:rsid w:val="F6BF31C5"/>
    <w:rsid w:val="F6D6B563"/>
    <w:rsid w:val="F6FF3581"/>
    <w:rsid w:val="F7A2CFD4"/>
    <w:rsid w:val="F7FFD40C"/>
    <w:rsid w:val="F8BF05F0"/>
    <w:rsid w:val="F97C614B"/>
    <w:rsid w:val="F97FF8D7"/>
    <w:rsid w:val="F99DD133"/>
    <w:rsid w:val="F9F7F653"/>
    <w:rsid w:val="FABC5C57"/>
    <w:rsid w:val="FADF1DD6"/>
    <w:rsid w:val="FBBF74BA"/>
    <w:rsid w:val="FBEDE990"/>
    <w:rsid w:val="FBF7D8AF"/>
    <w:rsid w:val="FBFE9C3B"/>
    <w:rsid w:val="FC7A27CB"/>
    <w:rsid w:val="FCFFE3FC"/>
    <w:rsid w:val="FD7F88CB"/>
    <w:rsid w:val="FD9B7539"/>
    <w:rsid w:val="FDA75AFA"/>
    <w:rsid w:val="FDB55E0C"/>
    <w:rsid w:val="FDDB26F9"/>
    <w:rsid w:val="FDFD201E"/>
    <w:rsid w:val="FDFD4134"/>
    <w:rsid w:val="FDFF64E8"/>
    <w:rsid w:val="FE5B43B4"/>
    <w:rsid w:val="FEBE7BEC"/>
    <w:rsid w:val="FEBEC26E"/>
    <w:rsid w:val="FEFDC4DE"/>
    <w:rsid w:val="FEFFC847"/>
    <w:rsid w:val="FF154985"/>
    <w:rsid w:val="FF267AF1"/>
    <w:rsid w:val="FF3FDFBB"/>
    <w:rsid w:val="FF77117B"/>
    <w:rsid w:val="FF78DB4A"/>
    <w:rsid w:val="FFAF4F8A"/>
    <w:rsid w:val="FFAF763D"/>
    <w:rsid w:val="FFC96975"/>
    <w:rsid w:val="FFD7EF61"/>
    <w:rsid w:val="FFEDDE06"/>
    <w:rsid w:val="FFF79EED"/>
    <w:rsid w:val="FFFAC39A"/>
    <w:rsid w:val="FFFD35DF"/>
    <w:rsid w:val="FFFFF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44"/>
    <w:qFormat/>
    <w:uiPriority w:val="0"/>
    <w:pPr>
      <w:keepNext/>
      <w:keepLines/>
      <w:spacing w:before="340" w:after="330" w:line="576" w:lineRule="auto"/>
      <w:outlineLvl w:val="0"/>
    </w:pPr>
    <w:rPr>
      <w:rFonts w:ascii="Calibri" w:hAnsi="Calibri" w:eastAsia="宋体" w:cs="Times New Roman"/>
      <w:b/>
      <w:color w:val="000000"/>
      <w:kern w:val="0"/>
      <w:sz w:val="44"/>
      <w:szCs w:val="44"/>
    </w:rPr>
  </w:style>
  <w:style w:type="paragraph" w:styleId="3">
    <w:name w:val="heading 2"/>
    <w:basedOn w:val="1"/>
    <w:next w:val="1"/>
    <w:link w:val="47"/>
    <w:semiHidden/>
    <w:unhideWhenUsed/>
    <w:qFormat/>
    <w:uiPriority w:val="0"/>
    <w:pPr>
      <w:keepNext/>
      <w:keepLines/>
      <w:spacing w:before="260" w:after="260" w:line="412" w:lineRule="auto"/>
      <w:outlineLvl w:val="1"/>
    </w:pPr>
    <w:rPr>
      <w:rFonts w:ascii="Arial" w:hAnsi="Arial" w:eastAsia="黑体" w:cs="Times New Roman"/>
      <w:b/>
      <w:color w:val="000000"/>
      <w:kern w:val="0"/>
      <w:sz w:val="32"/>
      <w:szCs w:val="32"/>
    </w:rPr>
  </w:style>
  <w:style w:type="paragraph" w:styleId="4">
    <w:name w:val="heading 3"/>
    <w:basedOn w:val="1"/>
    <w:next w:val="1"/>
    <w:link w:val="35"/>
    <w:semiHidden/>
    <w:unhideWhenUsed/>
    <w:qFormat/>
    <w:uiPriority w:val="0"/>
    <w:pPr>
      <w:keepNext/>
      <w:keepLines/>
      <w:spacing w:before="260" w:after="260" w:line="412" w:lineRule="auto"/>
      <w:ind w:firstLine="137"/>
      <w:outlineLvl w:val="2"/>
    </w:pPr>
    <w:rPr>
      <w:rFonts w:hint="eastAsia" w:ascii="黑体" w:hAnsi="宋体" w:eastAsia="黑体" w:cs="Times New Roman"/>
      <w:color w:val="000000"/>
      <w:kern w:val="0"/>
      <w:sz w:val="28"/>
      <w:szCs w:val="28"/>
    </w:rPr>
  </w:style>
  <w:style w:type="paragraph" w:styleId="5">
    <w:name w:val="heading 4"/>
    <w:basedOn w:val="1"/>
    <w:next w:val="1"/>
    <w:link w:val="33"/>
    <w:semiHidden/>
    <w:unhideWhenUsed/>
    <w:qFormat/>
    <w:uiPriority w:val="0"/>
    <w:pPr>
      <w:keepNext/>
      <w:keepLines/>
      <w:spacing w:before="280" w:after="290" w:line="372" w:lineRule="auto"/>
      <w:outlineLvl w:val="3"/>
    </w:pPr>
    <w:rPr>
      <w:rFonts w:ascii="Arial" w:hAnsi="Arial" w:eastAsia="黑体"/>
      <w:b/>
      <w:sz w:val="28"/>
    </w:rPr>
  </w:style>
  <w:style w:type="character" w:default="1" w:styleId="27">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eastAsia="宋体" w:cs="Times New Roman"/>
      <w:color w:val="000000"/>
      <w:kern w:val="0"/>
    </w:rPr>
  </w:style>
  <w:style w:type="paragraph" w:styleId="7">
    <w:name w:val="Document Map"/>
    <w:basedOn w:val="1"/>
    <w:link w:val="45"/>
    <w:qFormat/>
    <w:uiPriority w:val="0"/>
    <w:pPr>
      <w:shd w:val="clear" w:color="auto" w:fill="000080"/>
    </w:pPr>
  </w:style>
  <w:style w:type="paragraph" w:styleId="8">
    <w:name w:val="annotation text"/>
    <w:basedOn w:val="1"/>
    <w:link w:val="42"/>
    <w:qFormat/>
    <w:uiPriority w:val="0"/>
    <w:pPr>
      <w:jc w:val="left"/>
    </w:pPr>
    <w:rPr>
      <w:rFonts w:ascii="Calibri" w:hAnsi="Calibri" w:eastAsia="宋体" w:cs="Times New Roman"/>
      <w:color w:val="000000"/>
      <w:kern w:val="0"/>
    </w:rPr>
  </w:style>
  <w:style w:type="paragraph" w:styleId="9">
    <w:name w:val="Body Text 3"/>
    <w:basedOn w:val="1"/>
    <w:link w:val="32"/>
    <w:qFormat/>
    <w:uiPriority w:val="0"/>
    <w:rPr>
      <w:rFonts w:hint="eastAsia" w:ascii="宋体" w:hAnsi="宋体" w:eastAsia="宋体" w:cs="Times New Roman"/>
      <w:color w:val="000000"/>
      <w:kern w:val="0"/>
      <w:sz w:val="24"/>
      <w:szCs w:val="20"/>
    </w:rPr>
  </w:style>
  <w:style w:type="paragraph" w:styleId="10">
    <w:name w:val="Body Text"/>
    <w:basedOn w:val="1"/>
    <w:link w:val="48"/>
    <w:qFormat/>
    <w:uiPriority w:val="0"/>
    <w:pPr>
      <w:spacing w:after="120"/>
    </w:pPr>
  </w:style>
  <w:style w:type="paragraph" w:styleId="11">
    <w:name w:val="Body Text Indent"/>
    <w:basedOn w:val="1"/>
    <w:link w:val="37"/>
    <w:qFormat/>
    <w:uiPriority w:val="0"/>
    <w:pPr>
      <w:spacing w:after="120"/>
      <w:ind w:left="420" w:leftChars="200"/>
    </w:pPr>
  </w:style>
  <w:style w:type="paragraph" w:styleId="12">
    <w:name w:val="Plain Text"/>
    <w:basedOn w:val="1"/>
    <w:next w:val="13"/>
    <w:link w:val="49"/>
    <w:qFormat/>
    <w:uiPriority w:val="0"/>
    <w:rPr>
      <w:rFonts w:hint="eastAsia" w:ascii="宋体" w:hAnsi="宋体" w:eastAsia="宋体" w:cs="Times New Roman"/>
      <w:color w:val="000000"/>
      <w:kern w:val="0"/>
      <w:sz w:val="20"/>
      <w:szCs w:val="20"/>
    </w:rPr>
  </w:style>
  <w:style w:type="paragraph" w:customStyle="1" w:styleId="13">
    <w:name w:val="Default"/>
    <w:next w:val="14"/>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4">
    <w:name w:val="6'"/>
    <w:basedOn w:val="1"/>
    <w:next w:val="15"/>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5">
    <w:name w:val="AOHead3"/>
    <w:basedOn w:val="1"/>
    <w:next w:val="1"/>
    <w:qFormat/>
    <w:uiPriority w:val="0"/>
    <w:pPr>
      <w:widowControl/>
      <w:spacing w:line="360" w:lineRule="auto"/>
      <w:ind w:left="1260"/>
      <w:outlineLvl w:val="2"/>
    </w:pPr>
    <w:rPr>
      <w:color w:val="0000FF"/>
      <w:sz w:val="24"/>
    </w:rPr>
  </w:style>
  <w:style w:type="paragraph" w:styleId="16">
    <w:name w:val="Date"/>
    <w:basedOn w:val="1"/>
    <w:next w:val="1"/>
    <w:link w:val="50"/>
    <w:qFormat/>
    <w:uiPriority w:val="0"/>
    <w:rPr>
      <w:rFonts w:ascii="Times New Roman" w:hAnsi="Times New Roman" w:eastAsia="宋体" w:cs="Times New Roman"/>
      <w:color w:val="000000"/>
      <w:kern w:val="0"/>
      <w:szCs w:val="20"/>
    </w:rPr>
  </w:style>
  <w:style w:type="paragraph" w:styleId="17">
    <w:name w:val="Body Text Indent 2"/>
    <w:basedOn w:val="1"/>
    <w:link w:val="51"/>
    <w:qFormat/>
    <w:uiPriority w:val="0"/>
    <w:pPr>
      <w:spacing w:after="120" w:line="480" w:lineRule="auto"/>
      <w:ind w:left="420" w:leftChars="200"/>
    </w:pPr>
  </w:style>
  <w:style w:type="paragraph" w:styleId="18">
    <w:name w:val="Balloon Text"/>
    <w:basedOn w:val="1"/>
    <w:link w:val="52"/>
    <w:qFormat/>
    <w:uiPriority w:val="0"/>
    <w:rPr>
      <w:sz w:val="18"/>
    </w:rPr>
  </w:style>
  <w:style w:type="paragraph" w:styleId="19">
    <w:name w:val="footer"/>
    <w:basedOn w:val="1"/>
    <w:link w:val="53"/>
    <w:qFormat/>
    <w:uiPriority w:val="99"/>
    <w:pPr>
      <w:tabs>
        <w:tab w:val="center" w:pos="4153"/>
        <w:tab w:val="right" w:pos="8306"/>
      </w:tabs>
      <w:snapToGrid w:val="0"/>
      <w:jc w:val="left"/>
    </w:pPr>
    <w:rPr>
      <w:sz w:val="18"/>
    </w:rPr>
  </w:style>
  <w:style w:type="paragraph" w:styleId="20">
    <w:name w:val="header"/>
    <w:basedOn w:val="1"/>
    <w:link w:val="5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toc 1"/>
    <w:basedOn w:val="1"/>
    <w:next w:val="1"/>
    <w:qFormat/>
    <w:uiPriority w:val="0"/>
    <w:pPr>
      <w:spacing w:before="120" w:after="120"/>
      <w:jc w:val="left"/>
    </w:pPr>
    <w:rPr>
      <w:rFonts w:ascii="Times New Roman" w:hAnsi="Times New Roman" w:eastAsia="宋体" w:cs="Times New Roman"/>
      <w:b/>
      <w:caps/>
      <w:color w:val="000000"/>
      <w:kern w:val="1"/>
      <w:sz w:val="20"/>
      <w:szCs w:val="20"/>
    </w:rPr>
  </w:style>
  <w:style w:type="paragraph" w:styleId="22">
    <w:name w:val="Body Text 2"/>
    <w:basedOn w:val="1"/>
    <w:link w:val="55"/>
    <w:qFormat/>
    <w:uiPriority w:val="0"/>
    <w:pPr>
      <w:spacing w:after="120" w:line="480" w:lineRule="auto"/>
    </w:pPr>
    <w:rPr>
      <w:rFonts w:ascii="Calibri" w:hAnsi="Calibri" w:eastAsia="宋体" w:cs="Times New Roman"/>
      <w:color w:val="000000"/>
      <w:kern w:val="0"/>
      <w:sz w:val="20"/>
    </w:rPr>
  </w:style>
  <w:style w:type="paragraph" w:styleId="23">
    <w:name w:val="annotation subject"/>
    <w:basedOn w:val="8"/>
    <w:next w:val="8"/>
    <w:link w:val="56"/>
    <w:qFormat/>
    <w:uiPriority w:val="0"/>
    <w:rPr>
      <w:b/>
    </w:rPr>
  </w:style>
  <w:style w:type="paragraph" w:styleId="24">
    <w:name w:val="Body Text First Indent"/>
    <w:basedOn w:val="10"/>
    <w:qFormat/>
    <w:uiPriority w:val="0"/>
    <w:pPr>
      <w:spacing w:line="312" w:lineRule="auto"/>
      <w:ind w:firstLine="420"/>
    </w:pPr>
    <w:rPr>
      <w:rFonts w:ascii="Calibri" w:hAnsi="Calibri" w:eastAsia="宋体" w:cs="Times New Roman"/>
      <w:color w:val="000000"/>
      <w:kern w:val="1"/>
      <w:szCs w:val="22"/>
    </w:rPr>
  </w:style>
  <w:style w:type="paragraph" w:styleId="25">
    <w:name w:val="Body Text First Indent 2"/>
    <w:basedOn w:val="11"/>
    <w:unhideWhenUsed/>
    <w:qFormat/>
    <w:uiPriority w:val="99"/>
    <w:pPr>
      <w:ind w:firstLine="420" w:firstLineChars="200"/>
    </w:pPr>
  </w:style>
  <w:style w:type="character" w:styleId="28">
    <w:name w:val="FollowedHyperlink"/>
    <w:basedOn w:val="27"/>
    <w:qFormat/>
    <w:uiPriority w:val="0"/>
    <w:rPr>
      <w:color w:val="954F72"/>
      <w:u w:val="single"/>
    </w:rPr>
  </w:style>
  <w:style w:type="character" w:styleId="29">
    <w:name w:val="Hyperlink"/>
    <w:basedOn w:val="27"/>
    <w:qFormat/>
    <w:uiPriority w:val="0"/>
    <w:rPr>
      <w:color w:val="0000FF"/>
      <w:u w:val="single"/>
    </w:rPr>
  </w:style>
  <w:style w:type="character" w:styleId="30">
    <w:name w:val="annotation reference"/>
    <w:basedOn w:val="27"/>
    <w:qFormat/>
    <w:uiPriority w:val="0"/>
    <w:rPr>
      <w:sz w:val="21"/>
      <w:szCs w:val="21"/>
    </w:rPr>
  </w:style>
  <w:style w:type="paragraph" w:customStyle="1" w:styleId="31">
    <w:name w:val="PlainText"/>
    <w:basedOn w:val="1"/>
    <w:qFormat/>
    <w:uiPriority w:val="0"/>
    <w:rPr>
      <w:rFonts w:hAnsi="Courier New"/>
      <w:kern w:val="0"/>
      <w:sz w:val="24"/>
    </w:rPr>
  </w:style>
  <w:style w:type="character" w:customStyle="1" w:styleId="32">
    <w:name w:val="正文文本 3 字符"/>
    <w:basedOn w:val="27"/>
    <w:link w:val="9"/>
    <w:qFormat/>
    <w:uiPriority w:val="0"/>
    <w:rPr>
      <w:rFonts w:hint="eastAsia" w:ascii="宋体" w:hAnsi="宋体" w:eastAsia="宋体" w:cs="宋体"/>
      <w:color w:val="000000"/>
      <w:sz w:val="24"/>
    </w:rPr>
  </w:style>
  <w:style w:type="character" w:customStyle="1" w:styleId="33">
    <w:name w:val="标题 4 字符"/>
    <w:basedOn w:val="27"/>
    <w:link w:val="5"/>
    <w:qFormat/>
    <w:uiPriority w:val="0"/>
    <w:rPr>
      <w:rFonts w:ascii="Arial" w:hAnsi="Arial" w:eastAsia="黑体" w:cs="Arial"/>
      <w:b/>
      <w:color w:val="000000"/>
      <w:sz w:val="28"/>
      <w:szCs w:val="28"/>
    </w:rPr>
  </w:style>
  <w:style w:type="character" w:customStyle="1" w:styleId="34">
    <w:name w:val="apple-converted-space"/>
    <w:basedOn w:val="27"/>
    <w:qFormat/>
    <w:uiPriority w:val="0"/>
  </w:style>
  <w:style w:type="character" w:customStyle="1" w:styleId="35">
    <w:name w:val="标题 3 字符"/>
    <w:basedOn w:val="27"/>
    <w:link w:val="4"/>
    <w:qFormat/>
    <w:uiPriority w:val="0"/>
    <w:rPr>
      <w:rFonts w:hint="eastAsia" w:ascii="黑体" w:hAnsi="宋体" w:eastAsia="黑体" w:cs="宋体"/>
      <w:color w:val="000000"/>
      <w:sz w:val="28"/>
      <w:szCs w:val="28"/>
    </w:rPr>
  </w:style>
  <w:style w:type="character" w:customStyle="1" w:styleId="36">
    <w:name w:val="正文文本首行缩进 2 字符"/>
    <w:basedOn w:val="37"/>
    <w:qFormat/>
    <w:uiPriority w:val="0"/>
    <w:rPr>
      <w:rFonts w:hint="default" w:ascii="Calibri" w:hAnsi="Calibri" w:cs="Calibri"/>
      <w:color w:val="000000"/>
      <w:sz w:val="21"/>
      <w:szCs w:val="22"/>
    </w:rPr>
  </w:style>
  <w:style w:type="character" w:customStyle="1" w:styleId="37">
    <w:name w:val="正文文本缩进 字符"/>
    <w:basedOn w:val="27"/>
    <w:link w:val="11"/>
    <w:qFormat/>
    <w:uiPriority w:val="0"/>
    <w:rPr>
      <w:rFonts w:hint="default" w:ascii="Calibri" w:hAnsi="Calibri" w:cs="Calibri"/>
      <w:color w:val="000000"/>
      <w:sz w:val="21"/>
      <w:szCs w:val="22"/>
    </w:rPr>
  </w:style>
  <w:style w:type="character" w:customStyle="1" w:styleId="38">
    <w:name w:val="纯文本 Char Char"/>
    <w:basedOn w:val="27"/>
    <w:qFormat/>
    <w:uiPriority w:val="0"/>
    <w:rPr>
      <w:rFonts w:hint="eastAsia" w:ascii="宋体" w:hAnsi="宋体" w:eastAsia="宋体" w:cs="宋体"/>
    </w:rPr>
  </w:style>
  <w:style w:type="character" w:customStyle="1" w:styleId="39">
    <w:name w:val="标题 2 Char Char"/>
    <w:basedOn w:val="27"/>
    <w:qFormat/>
    <w:uiPriority w:val="0"/>
    <w:rPr>
      <w:rFonts w:hint="default" w:ascii="Arial" w:hAnsi="Arial" w:eastAsia="黑体" w:cs="Arial"/>
      <w:b/>
      <w:kern w:val="0"/>
      <w:sz w:val="32"/>
      <w:szCs w:val="32"/>
    </w:rPr>
  </w:style>
  <w:style w:type="paragraph" w:customStyle="1" w:styleId="40">
    <w:name w:val="章标题"/>
    <w:basedOn w:val="1"/>
    <w:next w:val="1"/>
    <w:qFormat/>
    <w:uiPriority w:val="0"/>
    <w:pPr>
      <w:widowControl/>
      <w:spacing w:before="50" w:after="50"/>
      <w:outlineLvl w:val="1"/>
    </w:pPr>
    <w:rPr>
      <w:rFonts w:hint="eastAsia" w:ascii="黑体" w:hAnsi="Calibri" w:eastAsia="黑体" w:cs="Times New Roman"/>
      <w:kern w:val="0"/>
      <w:szCs w:val="20"/>
    </w:rPr>
  </w:style>
  <w:style w:type="character" w:customStyle="1" w:styleId="41">
    <w:name w:val="apple-style-span"/>
    <w:basedOn w:val="27"/>
    <w:qFormat/>
    <w:uiPriority w:val="0"/>
    <w:rPr>
      <w:rFonts w:hint="eastAsia" w:ascii="宋体" w:hAnsi="宋体" w:eastAsia="宋体" w:cs="宋体"/>
      <w:kern w:val="2"/>
      <w:sz w:val="24"/>
      <w:szCs w:val="24"/>
      <w:lang w:val="en-US" w:eastAsia="zh-CN"/>
    </w:rPr>
  </w:style>
  <w:style w:type="character" w:customStyle="1" w:styleId="42">
    <w:name w:val="批注文字 字符"/>
    <w:basedOn w:val="27"/>
    <w:link w:val="8"/>
    <w:qFormat/>
    <w:uiPriority w:val="0"/>
    <w:rPr>
      <w:rFonts w:hint="default" w:ascii="Calibri" w:hAnsi="Calibri" w:cs="Calibri"/>
      <w:color w:val="000000"/>
      <w:sz w:val="21"/>
      <w:szCs w:val="24"/>
      <w:lang w:val="zh-CN"/>
    </w:rPr>
  </w:style>
  <w:style w:type="character" w:customStyle="1" w:styleId="43">
    <w:name w:val="文档结构图 Char1"/>
    <w:basedOn w:val="27"/>
    <w:qFormat/>
    <w:uiPriority w:val="0"/>
    <w:rPr>
      <w:rFonts w:hint="eastAsia" w:ascii="宋体" w:hAnsi="宋体" w:eastAsia="宋体" w:cs="宋体"/>
      <w:kern w:val="1"/>
      <w:sz w:val="18"/>
      <w:szCs w:val="18"/>
    </w:rPr>
  </w:style>
  <w:style w:type="character" w:customStyle="1" w:styleId="44">
    <w:name w:val="标题 1 字符"/>
    <w:basedOn w:val="27"/>
    <w:link w:val="2"/>
    <w:qFormat/>
    <w:uiPriority w:val="0"/>
    <w:rPr>
      <w:rFonts w:hint="default" w:ascii="Calibri" w:hAnsi="Calibri" w:cs="Calibri"/>
      <w:b/>
      <w:color w:val="000000"/>
      <w:sz w:val="44"/>
      <w:szCs w:val="44"/>
    </w:rPr>
  </w:style>
  <w:style w:type="character" w:customStyle="1" w:styleId="45">
    <w:name w:val="文档结构图 字符"/>
    <w:basedOn w:val="27"/>
    <w:link w:val="7"/>
    <w:qFormat/>
    <w:uiPriority w:val="0"/>
    <w:rPr>
      <w:rFonts w:hint="default" w:ascii="Calibri" w:hAnsi="Calibri" w:cs="Calibri"/>
      <w:color w:val="000000"/>
      <w:kern w:val="1"/>
      <w:sz w:val="21"/>
      <w:szCs w:val="24"/>
      <w:shd w:val="clear" w:color="auto" w:fill="00007F"/>
      <w:lang w:val="zh-CN"/>
    </w:rPr>
  </w:style>
  <w:style w:type="character" w:customStyle="1" w:styleId="46">
    <w:name w:val="_Style 8"/>
    <w:basedOn w:val="27"/>
    <w:qFormat/>
    <w:uiPriority w:val="0"/>
    <w:rPr>
      <w:smallCaps/>
      <w:color w:val="C0504D"/>
      <w:u w:val="single"/>
    </w:rPr>
  </w:style>
  <w:style w:type="character" w:customStyle="1" w:styleId="47">
    <w:name w:val="标题 2 字符"/>
    <w:basedOn w:val="27"/>
    <w:link w:val="3"/>
    <w:qFormat/>
    <w:uiPriority w:val="0"/>
    <w:rPr>
      <w:rFonts w:hint="default" w:ascii="Arial" w:hAnsi="Arial" w:eastAsia="黑体" w:cs="Arial"/>
      <w:b/>
      <w:color w:val="000000"/>
      <w:sz w:val="32"/>
      <w:szCs w:val="32"/>
    </w:rPr>
  </w:style>
  <w:style w:type="character" w:customStyle="1" w:styleId="48">
    <w:name w:val="正文文本 字符"/>
    <w:basedOn w:val="27"/>
    <w:link w:val="10"/>
    <w:qFormat/>
    <w:uiPriority w:val="0"/>
    <w:rPr>
      <w:rFonts w:hint="default" w:ascii="Calibri" w:hAnsi="Calibri" w:cs="Calibri"/>
      <w:color w:val="000000"/>
      <w:kern w:val="1"/>
      <w:sz w:val="21"/>
      <w:szCs w:val="22"/>
    </w:rPr>
  </w:style>
  <w:style w:type="character" w:customStyle="1" w:styleId="49">
    <w:name w:val="纯文本 字符"/>
    <w:basedOn w:val="27"/>
    <w:link w:val="12"/>
    <w:qFormat/>
    <w:uiPriority w:val="0"/>
    <w:rPr>
      <w:rFonts w:ascii="宋体" w:hAnsi="宋体"/>
      <w:color w:val="000000"/>
    </w:rPr>
  </w:style>
  <w:style w:type="character" w:customStyle="1" w:styleId="50">
    <w:name w:val="日期 字符"/>
    <w:basedOn w:val="27"/>
    <w:link w:val="16"/>
    <w:qFormat/>
    <w:uiPriority w:val="0"/>
    <w:rPr>
      <w:rFonts w:hint="default" w:ascii="Calibri" w:hAnsi="Calibri" w:cs="Calibri"/>
      <w:color w:val="000000"/>
      <w:sz w:val="21"/>
    </w:rPr>
  </w:style>
  <w:style w:type="character" w:customStyle="1" w:styleId="51">
    <w:name w:val="正文文本缩进 2 字符"/>
    <w:basedOn w:val="27"/>
    <w:link w:val="17"/>
    <w:qFormat/>
    <w:uiPriority w:val="0"/>
    <w:rPr>
      <w:rFonts w:hint="default" w:ascii="Calibri" w:hAnsi="Calibri" w:cs="Calibri"/>
      <w:color w:val="000000"/>
      <w:szCs w:val="24"/>
    </w:rPr>
  </w:style>
  <w:style w:type="character" w:customStyle="1" w:styleId="52">
    <w:name w:val="批注框文本 字符"/>
    <w:basedOn w:val="27"/>
    <w:link w:val="18"/>
    <w:qFormat/>
    <w:uiPriority w:val="0"/>
    <w:rPr>
      <w:rFonts w:hint="default" w:ascii="Calibri" w:hAnsi="Calibri" w:cs="Calibri"/>
      <w:color w:val="000000"/>
      <w:kern w:val="1"/>
      <w:sz w:val="18"/>
      <w:szCs w:val="18"/>
      <w:lang w:val="zh-CN"/>
    </w:rPr>
  </w:style>
  <w:style w:type="character" w:customStyle="1" w:styleId="53">
    <w:name w:val="页脚 字符"/>
    <w:basedOn w:val="27"/>
    <w:link w:val="19"/>
    <w:qFormat/>
    <w:uiPriority w:val="99"/>
    <w:rPr>
      <w:rFonts w:hint="default" w:ascii="Calibri" w:hAnsi="Calibri" w:cs="Calibri"/>
      <w:color w:val="000000"/>
      <w:sz w:val="18"/>
      <w:szCs w:val="24"/>
    </w:rPr>
  </w:style>
  <w:style w:type="character" w:customStyle="1" w:styleId="54">
    <w:name w:val="页眉 字符"/>
    <w:basedOn w:val="27"/>
    <w:link w:val="20"/>
    <w:qFormat/>
    <w:uiPriority w:val="0"/>
    <w:rPr>
      <w:rFonts w:hint="default" w:ascii="Calibri" w:hAnsi="Calibri" w:cs="Calibri"/>
      <w:color w:val="000000"/>
      <w:sz w:val="18"/>
      <w:szCs w:val="18"/>
    </w:rPr>
  </w:style>
  <w:style w:type="character" w:customStyle="1" w:styleId="55">
    <w:name w:val="正文文本 2 字符"/>
    <w:basedOn w:val="27"/>
    <w:link w:val="22"/>
    <w:qFormat/>
    <w:uiPriority w:val="0"/>
    <w:rPr>
      <w:rFonts w:hint="default" w:ascii="Calibri" w:hAnsi="Calibri" w:cs="Calibri"/>
      <w:color w:val="000000"/>
      <w:szCs w:val="24"/>
    </w:rPr>
  </w:style>
  <w:style w:type="character" w:customStyle="1" w:styleId="56">
    <w:name w:val="批注主题 字符"/>
    <w:basedOn w:val="42"/>
    <w:link w:val="23"/>
    <w:qFormat/>
    <w:uiPriority w:val="0"/>
    <w:rPr>
      <w:rFonts w:hint="default" w:ascii="Calibri" w:hAnsi="Calibri" w:cs="Calibri"/>
      <w:b/>
      <w:color w:val="000000"/>
      <w:kern w:val="1"/>
      <w:sz w:val="21"/>
      <w:szCs w:val="22"/>
      <w:lang w:val="zh-CN"/>
    </w:rPr>
  </w:style>
  <w:style w:type="character" w:customStyle="1" w:styleId="57">
    <w:name w:val="正文文本首行缩进 字符"/>
    <w:basedOn w:val="48"/>
    <w:qFormat/>
    <w:uiPriority w:val="0"/>
    <w:rPr>
      <w:rFonts w:hint="default" w:ascii="Calibri" w:hAnsi="Calibri" w:cs="Calibri"/>
      <w:color w:val="000000"/>
      <w:kern w:val="1"/>
      <w:sz w:val="21"/>
      <w:szCs w:val="22"/>
    </w:rPr>
  </w:style>
  <w:style w:type="character" w:customStyle="1" w:styleId="58">
    <w:name w:val="文档结构图 Char Char"/>
    <w:basedOn w:val="27"/>
    <w:qFormat/>
    <w:uiPriority w:val="0"/>
    <w:rPr>
      <w:kern w:val="1"/>
      <w:sz w:val="21"/>
      <w:szCs w:val="24"/>
      <w:shd w:val="clear" w:color="auto" w:fill="00007F"/>
    </w:rPr>
  </w:style>
  <w:style w:type="character" w:customStyle="1" w:styleId="59">
    <w:name w:val="首行缩进两字 Char1"/>
    <w:basedOn w:val="27"/>
    <w:qFormat/>
    <w:uiPriority w:val="0"/>
    <w:rPr>
      <w:rFonts w:hint="eastAsia" w:ascii="宋体" w:hAnsi="宋体" w:eastAsia="宋体" w:cs="宋体"/>
      <w:color w:val="000000"/>
      <w:sz w:val="28"/>
    </w:rPr>
  </w:style>
  <w:style w:type="character" w:customStyle="1" w:styleId="60">
    <w:name w:val="页脚 Char1"/>
    <w:basedOn w:val="27"/>
    <w:qFormat/>
    <w:uiPriority w:val="0"/>
    <w:rPr>
      <w:kern w:val="2"/>
      <w:sz w:val="18"/>
      <w:szCs w:val="18"/>
    </w:rPr>
  </w:style>
  <w:style w:type="character" w:customStyle="1" w:styleId="61">
    <w:name w:val="批注框文本 Char Char"/>
    <w:basedOn w:val="27"/>
    <w:qFormat/>
    <w:uiPriority w:val="0"/>
    <w:rPr>
      <w:kern w:val="1"/>
      <w:sz w:val="18"/>
      <w:szCs w:val="18"/>
    </w:rPr>
  </w:style>
  <w:style w:type="character" w:customStyle="1" w:styleId="62">
    <w:name w:val="font11"/>
    <w:basedOn w:val="27"/>
    <w:qFormat/>
    <w:uiPriority w:val="0"/>
    <w:rPr>
      <w:rFonts w:hint="eastAsia" w:ascii="仿宋" w:hAnsi="仿宋" w:eastAsia="仿宋" w:cs="仿宋"/>
      <w:color w:val="000000"/>
      <w:sz w:val="28"/>
      <w:szCs w:val="28"/>
      <w:u w:val="none"/>
    </w:rPr>
  </w:style>
  <w:style w:type="character" w:customStyle="1" w:styleId="63">
    <w:name w:val="批注主题 Char Char"/>
    <w:basedOn w:val="27"/>
    <w:qFormat/>
    <w:uiPriority w:val="0"/>
    <w:rPr>
      <w:b/>
      <w:kern w:val="1"/>
      <w:sz w:val="21"/>
      <w:szCs w:val="22"/>
    </w:rPr>
  </w:style>
  <w:style w:type="character" w:customStyle="1" w:styleId="64">
    <w:name w:val="font01"/>
    <w:basedOn w:val="27"/>
    <w:qFormat/>
    <w:uiPriority w:val="0"/>
    <w:rPr>
      <w:rFonts w:hint="default" w:ascii="Times New Roman" w:hAnsi="Times New Roman" w:cs="Times New Roman"/>
      <w:color w:val="000000"/>
      <w:sz w:val="20"/>
      <w:szCs w:val="20"/>
    </w:rPr>
  </w:style>
  <w:style w:type="character" w:customStyle="1" w:styleId="65">
    <w:name w:val="font21"/>
    <w:basedOn w:val="27"/>
    <w:qFormat/>
    <w:uiPriority w:val="0"/>
    <w:rPr>
      <w:rFonts w:hint="eastAsia" w:ascii="宋体" w:hAnsi="宋体" w:eastAsia="宋体" w:cs="宋体"/>
      <w:color w:val="000000"/>
      <w:sz w:val="24"/>
      <w:szCs w:val="24"/>
      <w:u w:val="none"/>
    </w:rPr>
  </w:style>
  <w:style w:type="character" w:customStyle="1" w:styleId="66">
    <w:name w:val="批注文字 Char Char"/>
    <w:basedOn w:val="27"/>
    <w:qFormat/>
    <w:uiPriority w:val="0"/>
    <w:rPr>
      <w:rFonts w:hint="default" w:ascii="Times New Roman" w:hAnsi="Times New Roman" w:eastAsia="宋体" w:cs="Times New Roman"/>
      <w:szCs w:val="24"/>
    </w:rPr>
  </w:style>
  <w:style w:type="paragraph" w:customStyle="1" w:styleId="67">
    <w:name w:val="文一"/>
    <w:basedOn w:val="1"/>
    <w:qFormat/>
    <w:uiPriority w:val="0"/>
    <w:pPr>
      <w:spacing w:line="360" w:lineRule="auto"/>
      <w:ind w:firstLine="200"/>
    </w:pPr>
    <w:rPr>
      <w:rFonts w:ascii="Calibri" w:hAnsi="Calibri" w:eastAsia="宋体" w:cs="Times New Roman"/>
      <w:color w:val="000000"/>
      <w:spacing w:val="4"/>
      <w:kern w:val="0"/>
      <w:sz w:val="24"/>
    </w:rPr>
  </w:style>
  <w:style w:type="paragraph" w:customStyle="1" w:styleId="68">
    <w:name w:val="正文 New New"/>
    <w:basedOn w:val="1"/>
    <w:qFormat/>
    <w:uiPriority w:val="0"/>
    <w:rPr>
      <w:rFonts w:ascii="Times New Roman" w:hAnsi="Times New Roman" w:eastAsia="宋体" w:cs="Times New Roman"/>
      <w:color w:val="000000"/>
    </w:rPr>
  </w:style>
  <w:style w:type="paragraph" w:customStyle="1" w:styleId="69">
    <w:name w:val="Other|1"/>
    <w:basedOn w:val="1"/>
    <w:qFormat/>
    <w:uiPriority w:val="0"/>
    <w:pPr>
      <w:spacing w:line="384" w:lineRule="auto"/>
      <w:ind w:firstLine="400"/>
    </w:pPr>
    <w:rPr>
      <w:rFonts w:hint="eastAsia" w:ascii="宋体" w:hAnsi="宋体" w:eastAsia="宋体" w:cs="Times New Roman"/>
      <w:color w:val="000000"/>
      <w:kern w:val="0"/>
      <w:sz w:val="22"/>
      <w:szCs w:val="22"/>
    </w:rPr>
  </w:style>
  <w:style w:type="paragraph" w:customStyle="1" w:styleId="70">
    <w:name w:val="列表段落1"/>
    <w:basedOn w:val="1"/>
    <w:qFormat/>
    <w:uiPriority w:val="0"/>
    <w:pPr>
      <w:widowControl/>
      <w:tabs>
        <w:tab w:val="left" w:pos="0"/>
      </w:tabs>
      <w:spacing w:line="360" w:lineRule="exact"/>
      <w:jc w:val="left"/>
    </w:pPr>
    <w:rPr>
      <w:rFonts w:ascii="Calibri" w:hAnsi="Calibri" w:eastAsia="宋体" w:cs="Times New Roman"/>
      <w:color w:val="000000"/>
      <w:kern w:val="0"/>
      <w:szCs w:val="22"/>
    </w:rPr>
  </w:style>
  <w:style w:type="paragraph" w:customStyle="1" w:styleId="71">
    <w:name w:val="WPSOffice手动目录 1"/>
    <w:qFormat/>
    <w:uiPriority w:val="0"/>
    <w:pPr>
      <w:tabs>
        <w:tab w:val="right" w:leader="dot" w:pos="9040"/>
      </w:tabs>
    </w:pPr>
    <w:rPr>
      <w:rFonts w:ascii="Times New Roman" w:hAnsi="Times New Roman" w:eastAsia="宋体" w:cs="Times New Roman"/>
      <w:lang w:val="en-US" w:eastAsia="zh-CN" w:bidi="ar-SA"/>
    </w:rPr>
  </w:style>
  <w:style w:type="paragraph" w:customStyle="1" w:styleId="72">
    <w:name w:val="修订1"/>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73">
    <w:name w:val="修订2"/>
    <w:hidden/>
    <w:unhideWhenUsed/>
    <w:qFormat/>
    <w:uiPriority w:val="99"/>
    <w:rPr>
      <w:rFonts w:asciiTheme="minorHAnsi" w:hAnsiTheme="minorHAnsi" w:eastAsiaTheme="minorEastAsia" w:cstheme="minorBidi"/>
      <w:kern w:val="2"/>
      <w:sz w:val="21"/>
      <w:szCs w:val="24"/>
      <w:lang w:val="en-US" w:eastAsia="zh-CN" w:bidi="ar-SA"/>
    </w:rPr>
  </w:style>
  <w:style w:type="paragraph" w:styleId="74">
    <w:name w:val="List Paragraph"/>
    <w:basedOn w:val="1"/>
    <w:unhideWhenUsed/>
    <w:qFormat/>
    <w:uiPriority w:val="99"/>
    <w:pPr>
      <w:numPr>
        <w:ilvl w:val="0"/>
        <w:numId w:val="1"/>
      </w:numPr>
      <w:jc w:val="left"/>
    </w:pPr>
  </w:style>
  <w:style w:type="paragraph" w:customStyle="1" w:styleId="75">
    <w:name w:val="Revision"/>
    <w:hidden/>
    <w:unhideWhenUsed/>
    <w:qFormat/>
    <w:uiPriority w:val="99"/>
    <w:rPr>
      <w:rFonts w:asciiTheme="minorHAnsi" w:hAnsiTheme="minorHAnsi" w:eastAsiaTheme="minorEastAsia" w:cstheme="minorBidi"/>
      <w:kern w:val="2"/>
      <w:sz w:val="21"/>
      <w:szCs w:val="24"/>
      <w:lang w:val="en-US" w:eastAsia="zh-CN" w:bidi="ar-SA"/>
    </w:rPr>
  </w:style>
  <w:style w:type="paragraph" w:styleId="76">
    <w:name w:val="No Spacing"/>
    <w:qFormat/>
    <w:uiPriority w:val="99"/>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74</Pages>
  <Words>35667</Words>
  <Characters>37299</Characters>
  <Lines>288</Lines>
  <Paragraphs>81</Paragraphs>
  <TotalTime>0</TotalTime>
  <ScaleCrop>false</ScaleCrop>
  <LinksUpToDate>false</LinksUpToDate>
  <CharactersWithSpaces>39573</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2024-02-10T06:21:00Z</dcterms:created>
  <dc:creator>admin</dc:creator>
  <cp:lastModifiedBy>GZ</cp:lastModifiedBy>
  <dcterms:modified xsi:type="dcterms:W3CDTF">2024-10-31T18:36:04Z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D32476AD98E34335AF6D442EE31252A9</vt:lpwstr>
  </property>
</Properties>
</file>