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s="宋体"/>
          <w:sz w:val="36"/>
          <w:szCs w:val="36"/>
        </w:rPr>
      </w:pPr>
    </w:p>
    <w:p>
      <w:pPr>
        <w:jc w:val="center"/>
        <w:rPr>
          <w:rFonts w:ascii="宋体" w:hAnsi="宋体" w:cs="宋体"/>
          <w:sz w:val="36"/>
          <w:szCs w:val="36"/>
        </w:rPr>
      </w:pPr>
    </w:p>
    <w:p>
      <w:pPr>
        <w:jc w:val="center"/>
        <w:rPr>
          <w:rFonts w:hint="eastAsia" w:ascii="宋体" w:hAnsi="宋体" w:eastAsia="宋体" w:cs="宋体"/>
          <w:sz w:val="52"/>
          <w:szCs w:val="52"/>
          <w:lang w:eastAsia="zh-CN"/>
        </w:rPr>
      </w:pPr>
      <w:r>
        <w:rPr>
          <w:rFonts w:hint="eastAsia" w:ascii="宋体" w:hAnsi="宋体" w:cs="宋体"/>
          <w:b/>
          <w:bCs/>
          <w:sz w:val="52"/>
          <w:szCs w:val="52"/>
          <w:lang w:eastAsia="zh-CN"/>
        </w:rPr>
        <w:t>110千伏志诚变电站项目监理（含全过程咨询）</w:t>
      </w:r>
    </w:p>
    <w:p>
      <w:pPr>
        <w:jc w:val="center"/>
        <w:rPr>
          <w:rFonts w:ascii="宋体" w:hAnsi="宋体" w:cs="宋体"/>
          <w:sz w:val="32"/>
          <w:szCs w:val="32"/>
        </w:rPr>
      </w:pPr>
    </w:p>
    <w:p>
      <w:pPr>
        <w:rPr>
          <w:rFonts w:ascii="宋体" w:hAnsi="宋体" w:cs="宋体"/>
          <w:sz w:val="36"/>
          <w:szCs w:val="36"/>
        </w:rPr>
      </w:pPr>
    </w:p>
    <w:p>
      <w:pPr>
        <w:jc w:val="center"/>
        <w:rPr>
          <w:rStyle w:val="23"/>
          <w:rFonts w:ascii="宋体" w:hAnsi="宋体" w:cs="宋体"/>
          <w:b/>
          <w:i w:val="0"/>
          <w:sz w:val="84"/>
        </w:rPr>
      </w:pPr>
      <w:bookmarkStart w:id="0" w:name="_资格预审文件"/>
      <w:bookmarkEnd w:id="0"/>
      <w:bookmarkStart w:id="1" w:name="_Toc5875285"/>
      <w:bookmarkStart w:id="2" w:name="_Toc536411629"/>
    </w:p>
    <w:p>
      <w:pPr>
        <w:jc w:val="center"/>
        <w:rPr>
          <w:rStyle w:val="23"/>
          <w:rFonts w:ascii="宋体" w:hAnsi="宋体" w:cs="宋体"/>
          <w:b/>
          <w:i w:val="0"/>
          <w:sz w:val="84"/>
        </w:rPr>
      </w:pPr>
    </w:p>
    <w:p>
      <w:pPr>
        <w:rPr>
          <w:rFonts w:ascii="宋体" w:hAnsi="宋体" w:cs="宋体"/>
        </w:rPr>
      </w:pPr>
    </w:p>
    <w:p>
      <w:pPr>
        <w:jc w:val="center"/>
        <w:rPr>
          <w:rFonts w:ascii="宋体" w:hAnsi="宋体" w:cs="宋体"/>
        </w:rPr>
      </w:pPr>
      <w:r>
        <w:rPr>
          <w:rStyle w:val="23"/>
          <w:rFonts w:hint="eastAsia" w:ascii="宋体" w:hAnsi="宋体" w:cs="宋体"/>
          <w:b/>
          <w:i w:val="0"/>
          <w:sz w:val="84"/>
        </w:rPr>
        <w:t>招标文件</w:t>
      </w:r>
      <w:bookmarkEnd w:id="1"/>
      <w:bookmarkEnd w:id="2"/>
    </w:p>
    <w:p>
      <w:pPr>
        <w:rPr>
          <w:rFonts w:ascii="宋体" w:hAnsi="宋体" w:cs="宋体"/>
          <w:b/>
          <w:sz w:val="32"/>
        </w:rPr>
      </w:pPr>
    </w:p>
    <w:p>
      <w:pPr>
        <w:rPr>
          <w:rFonts w:ascii="宋体" w:hAnsi="宋体" w:cs="宋体"/>
          <w:b/>
          <w:sz w:val="32"/>
        </w:rPr>
      </w:pPr>
    </w:p>
    <w:p>
      <w:pPr>
        <w:ind w:firstLine="3213" w:firstLineChars="1000"/>
        <w:rPr>
          <w:rFonts w:ascii="宋体" w:hAnsi="宋体" w:cs="宋体"/>
          <w:b/>
          <w:sz w:val="32"/>
        </w:rPr>
      </w:pPr>
    </w:p>
    <w:p>
      <w:pPr>
        <w:rPr>
          <w:rFonts w:ascii="宋体" w:hAnsi="宋体" w:cs="宋体"/>
          <w:b/>
          <w:sz w:val="32"/>
        </w:rPr>
      </w:pPr>
    </w:p>
    <w:p>
      <w:pPr>
        <w:jc w:val="center"/>
        <w:rPr>
          <w:rFonts w:ascii="宋体" w:hAnsi="宋体" w:cs="宋体"/>
          <w:b/>
          <w:sz w:val="32"/>
        </w:rPr>
      </w:pPr>
    </w:p>
    <w:p>
      <w:pPr>
        <w:jc w:val="center"/>
        <w:rPr>
          <w:rFonts w:ascii="宋体" w:hAnsi="宋体" w:cs="宋体"/>
          <w:b/>
          <w:sz w:val="32"/>
        </w:rPr>
      </w:pPr>
    </w:p>
    <w:p>
      <w:pPr>
        <w:snapToGrid w:val="0"/>
        <w:spacing w:line="360" w:lineRule="auto"/>
        <w:ind w:firstLine="1661" w:firstLineChars="591"/>
        <w:rPr>
          <w:rFonts w:ascii="宋体" w:hAnsi="宋体" w:cs="宋体"/>
          <w:b/>
          <w:sz w:val="28"/>
        </w:rPr>
      </w:pPr>
    </w:p>
    <w:p>
      <w:pPr>
        <w:snapToGrid w:val="0"/>
        <w:spacing w:line="360" w:lineRule="auto"/>
        <w:ind w:firstLine="1661" w:firstLineChars="591"/>
        <w:rPr>
          <w:rFonts w:ascii="宋体" w:hAnsi="宋体" w:cs="宋体"/>
          <w:b/>
          <w:sz w:val="28"/>
        </w:rPr>
      </w:pPr>
    </w:p>
    <w:p>
      <w:pPr>
        <w:snapToGrid w:val="0"/>
        <w:spacing w:line="360" w:lineRule="auto"/>
        <w:ind w:firstLine="1942" w:firstLineChars="691"/>
        <w:rPr>
          <w:rFonts w:hint="eastAsia" w:ascii="宋体" w:hAnsi="宋体" w:eastAsia="宋体" w:cs="宋体"/>
          <w:b/>
          <w:bCs/>
          <w:sz w:val="28"/>
          <w:lang w:eastAsia="zh-CN"/>
        </w:rPr>
      </w:pPr>
      <w:r>
        <w:rPr>
          <w:rFonts w:hint="eastAsia" w:ascii="宋体" w:hAnsi="宋体" w:cs="宋体"/>
          <w:b/>
          <w:sz w:val="28"/>
        </w:rPr>
        <w:t>招 标 人：</w:t>
      </w:r>
      <w:r>
        <w:rPr>
          <w:rFonts w:hint="eastAsia" w:ascii="宋体" w:hAnsi="宋体" w:cs="宋体"/>
          <w:b/>
          <w:bCs/>
          <w:sz w:val="28"/>
          <w:lang w:eastAsia="zh-CN"/>
        </w:rPr>
        <w:t>广州科鑫运营管理有限公司</w:t>
      </w:r>
    </w:p>
    <w:p>
      <w:pPr>
        <w:snapToGrid w:val="0"/>
        <w:spacing w:line="360" w:lineRule="auto"/>
        <w:jc w:val="center"/>
        <w:rPr>
          <w:rFonts w:hint="eastAsia" w:ascii="宋体" w:hAnsi="宋体" w:cs="宋体"/>
          <w:b/>
          <w:sz w:val="28"/>
        </w:rPr>
      </w:pPr>
    </w:p>
    <w:p>
      <w:pPr>
        <w:snapToGrid w:val="0"/>
        <w:spacing w:line="360" w:lineRule="auto"/>
        <w:jc w:val="center"/>
        <w:rPr>
          <w:rFonts w:hint="eastAsia" w:ascii="宋体" w:hAnsi="宋体" w:eastAsia="宋体" w:cs="宋体"/>
          <w:b/>
          <w:sz w:val="28"/>
          <w:lang w:eastAsia="zh-CN"/>
        </w:rPr>
      </w:pPr>
      <w:r>
        <w:rPr>
          <w:rFonts w:hint="eastAsia" w:ascii="宋体" w:hAnsi="宋体" w:cs="宋体"/>
          <w:b/>
          <w:sz w:val="28"/>
        </w:rPr>
        <w:t>招标代理机构：</w:t>
      </w:r>
      <w:r>
        <w:rPr>
          <w:rFonts w:hint="eastAsia" w:ascii="宋体" w:hAnsi="宋体" w:cs="宋体"/>
          <w:b/>
          <w:sz w:val="28"/>
          <w:lang w:eastAsia="zh-CN"/>
        </w:rPr>
        <w:t>广州竣盛工程造价咨询有限公司</w:t>
      </w:r>
    </w:p>
    <w:p>
      <w:pPr>
        <w:snapToGrid w:val="0"/>
        <w:spacing w:line="360" w:lineRule="auto"/>
        <w:jc w:val="center"/>
        <w:rPr>
          <w:rFonts w:hint="eastAsia" w:ascii="宋体" w:hAnsi="宋体" w:cs="宋体"/>
          <w:b/>
          <w:sz w:val="28"/>
        </w:rPr>
      </w:pPr>
    </w:p>
    <w:p>
      <w:pPr>
        <w:snapToGrid w:val="0"/>
        <w:spacing w:line="360" w:lineRule="auto"/>
        <w:jc w:val="center"/>
        <w:rPr>
          <w:rFonts w:ascii="宋体" w:hAnsi="宋体" w:cs="宋体"/>
          <w:b/>
          <w:sz w:val="28"/>
        </w:rPr>
      </w:pPr>
      <w:r>
        <w:rPr>
          <w:rFonts w:hint="eastAsia" w:ascii="宋体" w:hAnsi="宋体" w:cs="宋体"/>
          <w:b/>
          <w:sz w:val="28"/>
        </w:rPr>
        <w:t>202</w:t>
      </w:r>
      <w:r>
        <w:rPr>
          <w:rFonts w:hint="eastAsia" w:ascii="宋体" w:hAnsi="宋体" w:cs="宋体"/>
          <w:b/>
          <w:sz w:val="28"/>
          <w:lang w:val="en-US" w:eastAsia="zh-CN"/>
        </w:rPr>
        <w:t>4</w:t>
      </w:r>
      <w:r>
        <w:rPr>
          <w:rFonts w:hint="eastAsia" w:ascii="宋体" w:hAnsi="宋体" w:cs="宋体"/>
          <w:b/>
          <w:sz w:val="28"/>
        </w:rPr>
        <w:t>年</w:t>
      </w:r>
      <w:r>
        <w:rPr>
          <w:rFonts w:hint="eastAsia" w:ascii="宋体" w:hAnsi="宋体" w:cs="宋体"/>
          <w:b/>
          <w:sz w:val="28"/>
          <w:lang w:val="en-US" w:eastAsia="zh-CN"/>
        </w:rPr>
        <w:t>10</w:t>
      </w:r>
      <w:r>
        <w:rPr>
          <w:rFonts w:hint="eastAsia" w:ascii="宋体" w:hAnsi="宋体" w:cs="宋体"/>
          <w:b/>
          <w:sz w:val="28"/>
        </w:rPr>
        <w:t>月</w:t>
      </w:r>
    </w:p>
    <w:p>
      <w:pPr>
        <w:snapToGrid w:val="0"/>
        <w:spacing w:line="360" w:lineRule="auto"/>
        <w:ind w:firstLine="1661" w:firstLineChars="591"/>
        <w:rPr>
          <w:rFonts w:ascii="宋体" w:hAnsi="宋体" w:cs="宋体"/>
          <w:b/>
          <w:sz w:val="28"/>
        </w:rPr>
        <w:sectPr>
          <w:headerReference r:id="rId3" w:type="default"/>
          <w:footerReference r:id="rId4" w:type="default"/>
          <w:pgSz w:w="11906" w:h="16838"/>
          <w:pgMar w:top="1417" w:right="1417" w:bottom="1417" w:left="1417" w:header="850" w:footer="992" w:gutter="0"/>
          <w:pgNumType w:start="1"/>
          <w:cols w:space="720" w:num="1"/>
          <w:docGrid w:linePitch="285" w:charSpace="0"/>
        </w:sectPr>
      </w:pPr>
    </w:p>
    <w:p>
      <w:pPr>
        <w:jc w:val="center"/>
        <w:rPr>
          <w:rFonts w:ascii="宋体" w:hAnsi="宋体" w:cs="宋体"/>
          <w:b/>
          <w:sz w:val="30"/>
          <w:szCs w:val="30"/>
        </w:rPr>
      </w:pPr>
      <w:r>
        <w:rPr>
          <w:rFonts w:hint="eastAsia" w:ascii="宋体" w:hAnsi="宋体" w:cs="宋体"/>
          <w:b/>
          <w:sz w:val="30"/>
          <w:szCs w:val="30"/>
        </w:rPr>
        <w:t>目  录</w:t>
      </w:r>
    </w:p>
    <w:p>
      <w:pPr>
        <w:pStyle w:val="16"/>
        <w:tabs>
          <w:tab w:val="right" w:leader="dot" w:pos="9072"/>
        </w:tabs>
      </w:pPr>
      <w:r>
        <w:rPr>
          <w:rFonts w:hint="eastAsia" w:ascii="宋体" w:hAnsi="宋体" w:cs="宋体"/>
          <w:sz w:val="24"/>
        </w:rPr>
        <w:fldChar w:fldCharType="begin"/>
      </w:r>
      <w:r>
        <w:rPr>
          <w:rFonts w:hint="eastAsia" w:ascii="宋体" w:hAnsi="宋体" w:cs="宋体"/>
          <w:sz w:val="24"/>
        </w:rPr>
        <w:instrText xml:space="preserve">TOC \o "1-3" \h \u </w:instrText>
      </w:r>
      <w:r>
        <w:rPr>
          <w:rFonts w:hint="eastAsia" w:ascii="宋体" w:hAnsi="宋体" w:cs="宋体"/>
          <w:sz w:val="24"/>
        </w:rPr>
        <w:fldChar w:fldCharType="separate"/>
      </w:r>
      <w:r>
        <w:rPr>
          <w:rFonts w:hint="eastAsia" w:ascii="宋体" w:hAnsi="宋体" w:cs="宋体"/>
        </w:rPr>
        <w:fldChar w:fldCharType="begin"/>
      </w:r>
      <w:r>
        <w:rPr>
          <w:rFonts w:hint="eastAsia" w:ascii="宋体" w:hAnsi="宋体" w:cs="宋体"/>
        </w:rPr>
        <w:instrText xml:space="preserve"> HYPERLINK \l _Toc12455 </w:instrText>
      </w:r>
      <w:r>
        <w:rPr>
          <w:rFonts w:hint="eastAsia" w:ascii="宋体" w:hAnsi="宋体" w:cs="宋体"/>
        </w:rPr>
        <w:fldChar w:fldCharType="separate"/>
      </w:r>
      <w:r>
        <w:rPr>
          <w:rFonts w:hint="eastAsia" w:ascii="宋体" w:hAnsi="宋体" w:eastAsia="宋体" w:cs="宋体"/>
          <w:kern w:val="2"/>
          <w:szCs w:val="36"/>
        </w:rPr>
        <w:t>第一章  招标公告</w:t>
      </w:r>
      <w:r>
        <w:tab/>
      </w:r>
      <w:r>
        <w:fldChar w:fldCharType="begin"/>
      </w:r>
      <w:r>
        <w:instrText xml:space="preserve"> PAGEREF _Toc12455 \h </w:instrText>
      </w:r>
      <w:r>
        <w:fldChar w:fldCharType="separate"/>
      </w:r>
      <w:r>
        <w:t>2</w:t>
      </w:r>
      <w:r>
        <w:fldChar w:fldCharType="end"/>
      </w:r>
      <w:r>
        <w:rPr>
          <w:rFonts w:hint="eastAsia" w:ascii="宋体" w:hAnsi="宋体" w:cs="宋体"/>
        </w:rPr>
        <w:fldChar w:fldCharType="end"/>
      </w:r>
    </w:p>
    <w:p>
      <w:pPr>
        <w:pStyle w:val="16"/>
        <w:tabs>
          <w:tab w:val="right" w:leader="dot" w:pos="9072"/>
        </w:tabs>
      </w:pPr>
      <w:r>
        <w:rPr>
          <w:rFonts w:hint="eastAsia" w:ascii="宋体" w:hAnsi="宋体" w:eastAsia="宋体" w:cs="宋体"/>
        </w:rPr>
        <w:fldChar w:fldCharType="begin"/>
      </w:r>
      <w:r>
        <w:rPr>
          <w:rFonts w:hint="eastAsia" w:ascii="宋体" w:hAnsi="宋体" w:eastAsia="宋体" w:cs="宋体"/>
        </w:rPr>
        <w:instrText xml:space="preserve"> HYPERLINK \l _Toc23361 </w:instrText>
      </w:r>
      <w:r>
        <w:rPr>
          <w:rFonts w:hint="eastAsia" w:ascii="宋体" w:hAnsi="宋体" w:eastAsia="宋体" w:cs="宋体"/>
        </w:rPr>
        <w:fldChar w:fldCharType="separate"/>
      </w:r>
      <w:r>
        <w:rPr>
          <w:rFonts w:hint="eastAsia" w:ascii="宋体" w:hAnsi="宋体" w:eastAsia="宋体" w:cs="宋体"/>
          <w:szCs w:val="36"/>
        </w:rPr>
        <w:t>第二章  投标人须知</w:t>
      </w:r>
      <w:r>
        <w:tab/>
      </w:r>
      <w:r>
        <w:fldChar w:fldCharType="begin"/>
      </w:r>
      <w:r>
        <w:instrText xml:space="preserve"> PAGEREF _Toc23361 \h </w:instrText>
      </w:r>
      <w:r>
        <w:fldChar w:fldCharType="separate"/>
      </w:r>
      <w:r>
        <w:t>3</w:t>
      </w:r>
      <w:r>
        <w:fldChar w:fldCharType="end"/>
      </w:r>
      <w:r>
        <w:rPr>
          <w:rFonts w:hint="eastAsia" w:ascii="宋体" w:hAnsi="宋体" w:eastAsia="宋体" w:cs="宋体"/>
        </w:rPr>
        <w:fldChar w:fldCharType="end"/>
      </w:r>
    </w:p>
    <w:p>
      <w:pPr>
        <w:pStyle w:val="16"/>
        <w:tabs>
          <w:tab w:val="right" w:leader="dot" w:pos="9072"/>
        </w:tabs>
      </w:pPr>
      <w:r>
        <w:rPr>
          <w:rFonts w:hint="eastAsia" w:ascii="宋体" w:hAnsi="宋体" w:eastAsia="宋体" w:cs="宋体"/>
        </w:rPr>
        <w:fldChar w:fldCharType="begin"/>
      </w:r>
      <w:r>
        <w:rPr>
          <w:rFonts w:hint="eastAsia" w:ascii="宋体" w:hAnsi="宋体" w:eastAsia="宋体" w:cs="宋体"/>
        </w:rPr>
        <w:instrText xml:space="preserve"> HYPERLINK \l _Toc8129 </w:instrText>
      </w:r>
      <w:r>
        <w:rPr>
          <w:rFonts w:hint="eastAsia" w:ascii="宋体" w:hAnsi="宋体" w:eastAsia="宋体" w:cs="宋体"/>
        </w:rPr>
        <w:fldChar w:fldCharType="separate"/>
      </w:r>
      <w:r>
        <w:rPr>
          <w:rFonts w:hint="eastAsia" w:ascii="宋体" w:hAnsi="宋体" w:eastAsia="宋体" w:cs="宋体"/>
        </w:rPr>
        <w:t>第三章  评标办法（综合评估法）</w:t>
      </w:r>
      <w:r>
        <w:tab/>
      </w:r>
      <w:r>
        <w:fldChar w:fldCharType="begin"/>
      </w:r>
      <w:r>
        <w:instrText xml:space="preserve"> PAGEREF _Toc8129 \h </w:instrText>
      </w:r>
      <w:r>
        <w:fldChar w:fldCharType="separate"/>
      </w:r>
      <w:r>
        <w:t>26</w:t>
      </w:r>
      <w:r>
        <w:fldChar w:fldCharType="end"/>
      </w:r>
      <w:r>
        <w:rPr>
          <w:rFonts w:hint="eastAsia" w:ascii="宋体" w:hAnsi="宋体" w:eastAsia="宋体" w:cs="宋体"/>
        </w:rPr>
        <w:fldChar w:fldCharType="end"/>
      </w:r>
    </w:p>
    <w:p>
      <w:pPr>
        <w:pStyle w:val="16"/>
        <w:tabs>
          <w:tab w:val="right" w:leader="dot" w:pos="9072"/>
        </w:tabs>
      </w:pPr>
      <w:r>
        <w:rPr>
          <w:rFonts w:hint="eastAsia" w:ascii="宋体" w:hAnsi="宋体" w:eastAsia="宋体" w:cs="宋体"/>
        </w:rPr>
        <w:fldChar w:fldCharType="begin"/>
      </w:r>
      <w:r>
        <w:rPr>
          <w:rFonts w:hint="eastAsia" w:ascii="宋体" w:hAnsi="宋体" w:eastAsia="宋体" w:cs="宋体"/>
        </w:rPr>
        <w:instrText xml:space="preserve"> HYPERLINK \l _Toc888 </w:instrText>
      </w:r>
      <w:r>
        <w:rPr>
          <w:rFonts w:hint="eastAsia" w:ascii="宋体" w:hAnsi="宋体" w:eastAsia="宋体" w:cs="宋体"/>
        </w:rPr>
        <w:fldChar w:fldCharType="separate"/>
      </w:r>
      <w:r>
        <w:rPr>
          <w:rFonts w:hint="eastAsia" w:ascii="宋体" w:hAnsi="宋体" w:eastAsia="宋体" w:cs="宋体"/>
        </w:rPr>
        <w:t>第四章 合同条款及格式</w:t>
      </w:r>
      <w:r>
        <w:tab/>
      </w:r>
      <w:r>
        <w:fldChar w:fldCharType="begin"/>
      </w:r>
      <w:r>
        <w:instrText xml:space="preserve"> PAGEREF _Toc888 \h </w:instrText>
      </w:r>
      <w:r>
        <w:fldChar w:fldCharType="separate"/>
      </w:r>
      <w:r>
        <w:t>35</w:t>
      </w:r>
      <w:r>
        <w:fldChar w:fldCharType="end"/>
      </w:r>
      <w:r>
        <w:rPr>
          <w:rFonts w:hint="eastAsia" w:ascii="宋体" w:hAnsi="宋体" w:eastAsia="宋体" w:cs="宋体"/>
        </w:rPr>
        <w:fldChar w:fldCharType="end"/>
      </w:r>
    </w:p>
    <w:p>
      <w:pPr>
        <w:pStyle w:val="16"/>
        <w:tabs>
          <w:tab w:val="right" w:leader="dot" w:pos="9072"/>
        </w:tabs>
      </w:pPr>
      <w:r>
        <w:rPr>
          <w:rFonts w:hint="eastAsia" w:ascii="宋体" w:hAnsi="宋体" w:eastAsia="宋体" w:cs="宋体"/>
        </w:rPr>
        <w:fldChar w:fldCharType="begin"/>
      </w:r>
      <w:r>
        <w:rPr>
          <w:rFonts w:hint="eastAsia" w:ascii="宋体" w:hAnsi="宋体" w:eastAsia="宋体" w:cs="宋体"/>
        </w:rPr>
        <w:instrText xml:space="preserve"> HYPERLINK \l _Toc12755 </w:instrText>
      </w:r>
      <w:r>
        <w:rPr>
          <w:rFonts w:hint="eastAsia" w:ascii="宋体" w:hAnsi="宋体" w:eastAsia="宋体" w:cs="宋体"/>
        </w:rPr>
        <w:fldChar w:fldCharType="separate"/>
      </w:r>
      <w:r>
        <w:rPr>
          <w:rFonts w:hint="eastAsia" w:ascii="宋体" w:hAnsi="宋体" w:eastAsia="宋体" w:cs="宋体"/>
        </w:rPr>
        <w:t>第五章  委托人要求</w:t>
      </w:r>
      <w:r>
        <w:tab/>
      </w:r>
      <w:r>
        <w:fldChar w:fldCharType="begin"/>
      </w:r>
      <w:r>
        <w:instrText xml:space="preserve"> PAGEREF _Toc12755 \h </w:instrText>
      </w:r>
      <w:r>
        <w:fldChar w:fldCharType="separate"/>
      </w:r>
      <w:r>
        <w:t>36</w:t>
      </w:r>
      <w:r>
        <w:fldChar w:fldCharType="end"/>
      </w:r>
      <w:r>
        <w:rPr>
          <w:rFonts w:hint="eastAsia" w:ascii="宋体" w:hAnsi="宋体" w:eastAsia="宋体" w:cs="宋体"/>
        </w:rPr>
        <w:fldChar w:fldCharType="end"/>
      </w:r>
    </w:p>
    <w:p>
      <w:pPr>
        <w:pStyle w:val="16"/>
        <w:tabs>
          <w:tab w:val="right" w:leader="dot" w:pos="9072"/>
        </w:tabs>
      </w:pPr>
      <w:r>
        <w:rPr>
          <w:rFonts w:hint="eastAsia" w:ascii="宋体" w:hAnsi="宋体" w:eastAsia="宋体" w:cs="宋体"/>
        </w:rPr>
        <w:fldChar w:fldCharType="begin"/>
      </w:r>
      <w:r>
        <w:rPr>
          <w:rFonts w:hint="eastAsia" w:ascii="宋体" w:hAnsi="宋体" w:eastAsia="宋体" w:cs="宋体"/>
        </w:rPr>
        <w:instrText xml:space="preserve"> HYPERLINK \l _Toc7470 </w:instrText>
      </w:r>
      <w:r>
        <w:rPr>
          <w:rFonts w:hint="eastAsia" w:ascii="宋体" w:hAnsi="宋体" w:eastAsia="宋体" w:cs="宋体"/>
        </w:rPr>
        <w:fldChar w:fldCharType="separate"/>
      </w:r>
      <w:r>
        <w:rPr>
          <w:rFonts w:hint="eastAsia" w:ascii="宋体" w:hAnsi="宋体" w:eastAsia="宋体" w:cs="宋体"/>
        </w:rPr>
        <w:t>第六章  投标文件格式</w:t>
      </w:r>
      <w:r>
        <w:tab/>
      </w:r>
      <w:r>
        <w:fldChar w:fldCharType="begin"/>
      </w:r>
      <w:r>
        <w:instrText xml:space="preserve"> PAGEREF _Toc7470 \h </w:instrText>
      </w:r>
      <w:r>
        <w:fldChar w:fldCharType="separate"/>
      </w:r>
      <w:r>
        <w:t>40</w:t>
      </w:r>
      <w:r>
        <w:fldChar w:fldCharType="end"/>
      </w:r>
      <w:r>
        <w:rPr>
          <w:rFonts w:hint="eastAsia" w:ascii="宋体" w:hAnsi="宋体" w:eastAsia="宋体" w:cs="宋体"/>
        </w:rPr>
        <w:fldChar w:fldCharType="end"/>
      </w:r>
    </w:p>
    <w:p>
      <w:pPr>
        <w:pStyle w:val="2"/>
        <w:spacing w:before="0" w:after="0" w:line="360" w:lineRule="auto"/>
        <w:jc w:val="center"/>
        <w:rPr>
          <w:rFonts w:ascii="宋体" w:hAnsi="宋体" w:eastAsia="宋体" w:cs="宋体"/>
          <w:kern w:val="2"/>
        </w:rPr>
      </w:pPr>
      <w:r>
        <w:rPr>
          <w:rFonts w:hint="eastAsia" w:ascii="宋体" w:hAnsi="宋体" w:eastAsia="宋体" w:cs="宋体"/>
        </w:rPr>
        <w:fldChar w:fldCharType="end"/>
      </w:r>
      <w:bookmarkStart w:id="3" w:name="_Toc12455"/>
      <w:bookmarkStart w:id="4" w:name="_Toc11063"/>
      <w:r>
        <w:rPr>
          <w:rFonts w:hint="eastAsia" w:ascii="宋体" w:hAnsi="宋体" w:eastAsia="宋体" w:cs="宋体"/>
          <w:b w:val="0"/>
          <w:sz w:val="24"/>
        </w:rPr>
        <w:br w:type="page"/>
      </w:r>
      <w:bookmarkStart w:id="5" w:name="_Toc15928"/>
      <w:bookmarkStart w:id="6" w:name="_Toc29710"/>
      <w:bookmarkStart w:id="7" w:name="_Toc28383"/>
      <w:bookmarkStart w:id="8" w:name="_Toc1036"/>
      <w:bookmarkStart w:id="9" w:name="_Toc16720"/>
      <w:bookmarkStart w:id="10" w:name="_Toc514170118"/>
      <w:bookmarkStart w:id="11" w:name="_Toc2170"/>
      <w:bookmarkStart w:id="12" w:name="_Toc27059"/>
      <w:bookmarkStart w:id="13" w:name="_Toc22556"/>
      <w:bookmarkStart w:id="14" w:name="_Toc29611"/>
      <w:bookmarkStart w:id="15" w:name="_Toc610"/>
      <w:bookmarkStart w:id="16" w:name="_Toc9372"/>
      <w:bookmarkStart w:id="17" w:name="_Toc15227"/>
      <w:bookmarkStart w:id="18" w:name="_Toc18525"/>
      <w:bookmarkStart w:id="19" w:name="_Toc13962"/>
      <w:bookmarkStart w:id="20" w:name="_Toc3009"/>
      <w:r>
        <w:rPr>
          <w:rFonts w:hint="eastAsia" w:ascii="宋体" w:hAnsi="宋体" w:eastAsia="宋体" w:cs="宋体"/>
          <w:kern w:val="2"/>
          <w:sz w:val="44"/>
          <w:szCs w:val="36"/>
        </w:rPr>
        <w:t>第一章  招标公告</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（另册）</w:t>
      </w:r>
    </w:p>
    <w:p>
      <w:pPr>
        <w:jc w:val="center"/>
        <w:rPr>
          <w:rFonts w:ascii="宋体" w:hAnsi="宋体" w:cs="宋体"/>
          <w:b/>
          <w:sz w:val="24"/>
        </w:rPr>
        <w:sectPr>
          <w:footerReference r:id="rId5" w:type="default"/>
          <w:pgSz w:w="11906" w:h="16838"/>
          <w:pgMar w:top="1417" w:right="1417" w:bottom="1417" w:left="1417" w:header="850" w:footer="992" w:gutter="0"/>
          <w:pgNumType w:start="1"/>
          <w:cols w:space="720" w:num="1"/>
          <w:docGrid w:linePitch="285" w:charSpace="0"/>
        </w:sectPr>
      </w:pPr>
    </w:p>
    <w:p>
      <w:pPr>
        <w:pStyle w:val="2"/>
        <w:spacing w:before="0" w:after="0" w:line="360" w:lineRule="auto"/>
        <w:jc w:val="center"/>
        <w:rPr>
          <w:rFonts w:ascii="宋体" w:hAnsi="宋体" w:eastAsia="宋体" w:cs="宋体"/>
          <w:sz w:val="44"/>
          <w:szCs w:val="36"/>
        </w:rPr>
      </w:pPr>
      <w:bookmarkStart w:id="21" w:name="_Toc15805"/>
      <w:bookmarkStart w:id="22" w:name="_Toc9935"/>
      <w:bookmarkStart w:id="23" w:name="_Toc32596"/>
      <w:bookmarkStart w:id="24" w:name="_Toc2429"/>
      <w:bookmarkStart w:id="25" w:name="_Toc30968"/>
      <w:bookmarkStart w:id="26" w:name="_Toc23361"/>
      <w:bookmarkStart w:id="27" w:name="_Toc19352"/>
      <w:bookmarkStart w:id="28" w:name="_Toc14968"/>
      <w:bookmarkStart w:id="29" w:name="_Toc31798"/>
      <w:bookmarkStart w:id="30" w:name="_Toc6425"/>
      <w:bookmarkStart w:id="31" w:name="_Toc16662"/>
      <w:bookmarkStart w:id="32" w:name="_Toc31996"/>
      <w:bookmarkStart w:id="33" w:name="_Toc514170119"/>
      <w:bookmarkStart w:id="34" w:name="_Toc23927"/>
      <w:bookmarkStart w:id="35" w:name="_Toc27380"/>
      <w:bookmarkStart w:id="36" w:name="_Toc393961863"/>
      <w:bookmarkStart w:id="37" w:name="_Toc22940"/>
      <w:bookmarkStart w:id="38" w:name="_Toc26157"/>
      <w:bookmarkStart w:id="39" w:name="_Toc5915"/>
      <w:bookmarkStart w:id="40" w:name="_Toc7924"/>
      <w:bookmarkStart w:id="41" w:name="_Toc174"/>
      <w:r>
        <w:rPr>
          <w:rFonts w:hint="eastAsia" w:ascii="宋体" w:hAnsi="宋体" w:eastAsia="宋体" w:cs="宋体"/>
          <w:sz w:val="44"/>
          <w:szCs w:val="36"/>
        </w:rPr>
        <w:t>第二章  投标人须知</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
        <w:jc w:val="center"/>
        <w:rPr>
          <w:rFonts w:ascii="宋体" w:hAnsi="宋体" w:cs="宋体"/>
          <w:sz w:val="32"/>
          <w:szCs w:val="32"/>
        </w:rPr>
      </w:pPr>
      <w:bookmarkStart w:id="42" w:name="_Toc15765"/>
      <w:bookmarkStart w:id="43" w:name="_Toc3786"/>
      <w:bookmarkStart w:id="44" w:name="_Toc32677"/>
      <w:bookmarkStart w:id="45" w:name="_Toc393961864"/>
      <w:bookmarkStart w:id="46" w:name="_Toc7958"/>
      <w:bookmarkStart w:id="47" w:name="_Toc24793"/>
      <w:bookmarkStart w:id="48" w:name="_Toc30655"/>
      <w:bookmarkStart w:id="49" w:name="_Toc19129"/>
      <w:bookmarkStart w:id="50" w:name="_Toc7336"/>
      <w:bookmarkStart w:id="51" w:name="_Toc14233"/>
      <w:bookmarkStart w:id="52" w:name="_Toc12460"/>
      <w:bookmarkStart w:id="53" w:name="_Toc2375"/>
      <w:bookmarkStart w:id="54" w:name="_Toc6808"/>
      <w:bookmarkStart w:id="55" w:name="_Toc27463"/>
      <w:bookmarkStart w:id="56" w:name="_Toc28946"/>
      <w:bookmarkStart w:id="57" w:name="_Toc28341"/>
      <w:bookmarkStart w:id="58" w:name="_Toc25553"/>
      <w:bookmarkStart w:id="59" w:name="_Toc25262"/>
      <w:bookmarkStart w:id="60" w:name="_Toc5473"/>
      <w:bookmarkStart w:id="61" w:name="_Toc16004"/>
      <w:bookmarkStart w:id="62" w:name="_Toc514170120"/>
      <w:bookmarkStart w:id="63" w:name="_Toc20296"/>
      <w:r>
        <w:rPr>
          <w:rFonts w:hint="eastAsia" w:ascii="宋体" w:hAnsi="宋体" w:cs="宋体"/>
          <w:sz w:val="32"/>
          <w:szCs w:val="32"/>
        </w:rPr>
        <w:t>投标人须知前附表</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tbl>
      <w:tblPr>
        <w:tblStyle w:val="20"/>
        <w:tblW w:w="9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423"/>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val="0"/>
                <w:bCs/>
                <w:szCs w:val="21"/>
              </w:rPr>
            </w:pPr>
            <w:r>
              <w:rPr>
                <w:rFonts w:hint="eastAsia" w:ascii="宋体" w:hAnsi="宋体" w:cs="宋体"/>
                <w:b w:val="0"/>
                <w:bCs/>
                <w:color w:val="000000"/>
                <w:szCs w:val="21"/>
                <w:highlight w:val="none"/>
              </w:rPr>
              <w:t>条款号</w:t>
            </w:r>
          </w:p>
        </w:tc>
        <w:tc>
          <w:tcPr>
            <w:tcW w:w="24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val="0"/>
                <w:bCs/>
                <w:szCs w:val="21"/>
              </w:rPr>
            </w:pPr>
            <w:r>
              <w:rPr>
                <w:rFonts w:hint="eastAsia" w:ascii="宋体" w:hAnsi="宋体" w:cs="宋体"/>
                <w:b w:val="0"/>
                <w:bCs/>
                <w:color w:val="000000"/>
                <w:szCs w:val="21"/>
                <w:highlight w:val="none"/>
              </w:rPr>
              <w:t>条款名称</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b w:val="0"/>
                <w:bCs/>
                <w:szCs w:val="21"/>
              </w:rPr>
            </w:pPr>
            <w:r>
              <w:rPr>
                <w:rFonts w:hint="eastAsia" w:ascii="宋体" w:hAnsi="宋体" w:cs="宋体"/>
                <w:b w:val="0"/>
                <w:bCs/>
                <w:color w:val="00000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1.1.2</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招标人</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Cs w:val="21"/>
                <w:u w:val="single"/>
                <w:lang w:eastAsia="zh-CN"/>
              </w:rPr>
            </w:pPr>
            <w:r>
              <w:rPr>
                <w:rFonts w:hint="eastAsia" w:ascii="宋体" w:hAnsi="宋体" w:cs="宋体"/>
                <w:szCs w:val="21"/>
              </w:rPr>
              <w:t>名称：</w:t>
            </w:r>
            <w:r>
              <w:rPr>
                <w:rFonts w:hint="eastAsia" w:ascii="宋体" w:hAnsi="宋体" w:cs="宋体"/>
                <w:szCs w:val="21"/>
                <w:u w:val="single"/>
                <w:lang w:eastAsia="zh-CN"/>
              </w:rPr>
              <w:t>广州科鑫运营管理有限公司</w:t>
            </w:r>
          </w:p>
          <w:p>
            <w:pPr>
              <w:rPr>
                <w:rFonts w:ascii="宋体" w:hAnsi="宋体" w:cs="宋体"/>
                <w:szCs w:val="21"/>
                <w:u w:val="single"/>
              </w:rPr>
            </w:pPr>
            <w:r>
              <w:rPr>
                <w:rFonts w:hint="eastAsia" w:ascii="宋体" w:hAnsi="宋体" w:cs="宋体"/>
                <w:szCs w:val="21"/>
              </w:rPr>
              <w:t>地址：</w:t>
            </w:r>
            <w:r>
              <w:rPr>
                <w:rFonts w:hint="eastAsia" w:ascii="宋体" w:hAnsi="宋体" w:cs="宋体"/>
                <w:szCs w:val="21"/>
                <w:u w:val="single"/>
              </w:rPr>
              <w:t>广州市黄埔区伴河路190号自编B栋311房</w:t>
            </w:r>
          </w:p>
          <w:p>
            <w:pPr>
              <w:rPr>
                <w:rFonts w:ascii="宋体" w:hAnsi="宋体" w:cs="宋体"/>
                <w:szCs w:val="21"/>
              </w:rPr>
            </w:pPr>
            <w:r>
              <w:rPr>
                <w:rFonts w:hint="eastAsia" w:ascii="宋体" w:hAnsi="宋体" w:cs="宋体"/>
                <w:szCs w:val="21"/>
              </w:rPr>
              <w:t>联系人：</w:t>
            </w:r>
            <w:r>
              <w:rPr>
                <w:rFonts w:hint="eastAsia" w:ascii="宋体" w:hAnsi="宋体" w:cs="宋体"/>
                <w:szCs w:val="21"/>
                <w:u w:val="single"/>
              </w:rPr>
              <w:t>薛工</w:t>
            </w:r>
          </w:p>
          <w:p>
            <w:pPr>
              <w:rPr>
                <w:rFonts w:ascii="宋体" w:hAnsi="宋体" w:cs="宋体"/>
                <w:szCs w:val="21"/>
                <w:u w:val="single"/>
              </w:rPr>
            </w:pPr>
            <w:r>
              <w:rPr>
                <w:rFonts w:hint="eastAsia" w:ascii="宋体" w:hAnsi="宋体" w:cs="宋体"/>
                <w:szCs w:val="21"/>
              </w:rPr>
              <w:t>电话：</w:t>
            </w:r>
            <w:r>
              <w:rPr>
                <w:rFonts w:hint="eastAsia" w:ascii="宋体" w:hAnsi="宋体" w:cs="宋体"/>
                <w:szCs w:val="21"/>
                <w:u w:val="single"/>
              </w:rPr>
              <w:t>020-82111450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1.1.3</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招标代理机构</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名称：</w:t>
            </w:r>
            <w:r>
              <w:fldChar w:fldCharType="begin"/>
            </w:r>
            <w:r>
              <w:instrText xml:space="preserve"> HYPERLINK "http://202.104.65.182:8081/G2/webdrive/web-enterprise!view.do?enterpriseId=4028a95f643b93c00164a729fb5e4fc7" \t "_blank" </w:instrText>
            </w:r>
            <w:r>
              <w:fldChar w:fldCharType="separate"/>
            </w:r>
            <w:r>
              <w:rPr>
                <w:rFonts w:hint="eastAsia" w:ascii="宋体" w:hAnsi="宋体" w:cs="宋体"/>
                <w:u w:val="single"/>
                <w:lang w:eastAsia="zh-CN"/>
              </w:rPr>
              <w:t>广州竣盛工程造价咨询有限公司</w:t>
            </w:r>
            <w:r>
              <w:rPr>
                <w:rFonts w:hint="eastAsia" w:ascii="宋体" w:hAnsi="宋体" w:cs="宋体"/>
                <w:u w:val="single"/>
              </w:rPr>
              <w:fldChar w:fldCharType="end"/>
            </w:r>
          </w:p>
          <w:p>
            <w:pPr>
              <w:rPr>
                <w:rFonts w:ascii="宋体" w:hAnsi="宋体" w:cs="宋体"/>
                <w:szCs w:val="21"/>
              </w:rPr>
            </w:pPr>
            <w:r>
              <w:rPr>
                <w:rFonts w:hint="eastAsia" w:ascii="宋体" w:hAnsi="宋体" w:cs="宋体"/>
                <w:szCs w:val="21"/>
              </w:rPr>
              <w:t>地址：</w:t>
            </w:r>
            <w:r>
              <w:rPr>
                <w:rFonts w:hint="eastAsia" w:ascii="宋体" w:hAnsi="宋体" w:cs="宋体"/>
                <w:szCs w:val="21"/>
                <w:u w:val="single"/>
              </w:rPr>
              <w:t>广州市海珠区琶洲大道188-190号南方投资大厦12-13层</w:t>
            </w:r>
          </w:p>
          <w:p>
            <w:pPr>
              <w:rPr>
                <w:rFonts w:ascii="宋体" w:hAnsi="宋体" w:cs="宋体"/>
                <w:szCs w:val="21"/>
              </w:rPr>
            </w:pPr>
            <w:r>
              <w:rPr>
                <w:rFonts w:hint="eastAsia" w:ascii="宋体" w:hAnsi="宋体" w:cs="宋体"/>
                <w:szCs w:val="21"/>
              </w:rPr>
              <w:t>联系人：</w:t>
            </w:r>
            <w:r>
              <w:rPr>
                <w:rFonts w:hint="eastAsia" w:ascii="宋体" w:hAnsi="宋体" w:cs="宋体"/>
                <w:szCs w:val="21"/>
                <w:u w:val="single"/>
                <w:lang w:val="en-US" w:eastAsia="zh-CN"/>
              </w:rPr>
              <w:t>何</w:t>
            </w:r>
            <w:r>
              <w:rPr>
                <w:rFonts w:hint="eastAsia" w:ascii="宋体" w:hAnsi="宋体" w:cs="宋体"/>
                <w:szCs w:val="21"/>
                <w:u w:val="single"/>
              </w:rPr>
              <w:t>工</w:t>
            </w:r>
          </w:p>
          <w:p>
            <w:pPr>
              <w:rPr>
                <w:rFonts w:ascii="宋体" w:hAnsi="宋体" w:cs="宋体"/>
                <w:szCs w:val="21"/>
              </w:rPr>
            </w:pPr>
            <w:r>
              <w:rPr>
                <w:rFonts w:hint="eastAsia" w:ascii="宋体" w:hAnsi="宋体" w:cs="宋体"/>
                <w:szCs w:val="21"/>
              </w:rPr>
              <w:t>电话：</w:t>
            </w:r>
            <w:r>
              <w:rPr>
                <w:rFonts w:hint="eastAsia" w:ascii="宋体" w:hAnsi="宋体" w:cs="宋体"/>
                <w:szCs w:val="21"/>
                <w:u w:val="single"/>
              </w:rPr>
              <w:t>13902278703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1.1.4</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招标项目名称</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Cs w:val="21"/>
                <w:u w:val="single"/>
                <w:lang w:eastAsia="zh-CN"/>
              </w:rPr>
            </w:pPr>
            <w:r>
              <w:rPr>
                <w:rFonts w:hint="eastAsia" w:ascii="宋体" w:hAnsi="宋体" w:cs="宋体"/>
                <w:szCs w:val="21"/>
                <w:u w:val="none"/>
                <w:lang w:eastAsia="zh-CN"/>
              </w:rPr>
              <w:t>110千伏志诚变电站项目监理（含全过程咨询）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1.1.5</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项目建设地点</w:t>
            </w:r>
          </w:p>
        </w:tc>
        <w:tc>
          <w:tcPr>
            <w:tcW w:w="5746" w:type="dxa"/>
            <w:tcBorders>
              <w:top w:val="single" w:color="auto" w:sz="4" w:space="0"/>
              <w:left w:val="single" w:color="auto" w:sz="4" w:space="0"/>
              <w:bottom w:val="single" w:color="auto" w:sz="4" w:space="0"/>
              <w:right w:val="single" w:color="auto" w:sz="4" w:space="0"/>
            </w:tcBorders>
            <w:noWrap/>
            <w:vAlign w:val="center"/>
          </w:tcPr>
          <w:p>
            <w:pPr>
              <w:tabs>
                <w:tab w:val="left" w:pos="7513"/>
              </w:tabs>
              <w:rPr>
                <w:rFonts w:ascii="宋体" w:hAnsi="宋体" w:cs="宋体"/>
                <w:szCs w:val="21"/>
                <w:u w:val="single"/>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1.1.6</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项目建设规模</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1.1.7</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工程项目施工预计开工日期和建设周期</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Cs w:val="21"/>
              </w:rPr>
            </w:pPr>
            <w:r>
              <w:rPr>
                <w:rFonts w:hint="eastAsia"/>
                <w:sz w:val="21"/>
                <w:szCs w:val="21"/>
                <w:u w:val="single"/>
              </w:rPr>
              <w:t>从业主下达开工令或开工报告审批之日起至施工项目全部完工并办理竣工验收为止，按施工进度要求控制，具体以招标人最终确认为准。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1.1.8</w:t>
            </w:r>
          </w:p>
        </w:tc>
        <w:tc>
          <w:tcPr>
            <w:tcW w:w="24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建筑安装工程费/工程概算</w:t>
            </w:r>
          </w:p>
        </w:tc>
        <w:tc>
          <w:tcPr>
            <w:tcW w:w="5746" w:type="dxa"/>
            <w:tcBorders>
              <w:top w:val="single" w:color="auto" w:sz="4" w:space="0"/>
              <w:left w:val="single" w:color="auto" w:sz="4" w:space="0"/>
              <w:bottom w:val="single" w:color="auto" w:sz="4" w:space="0"/>
              <w:right w:val="single" w:color="auto" w:sz="4" w:space="0"/>
            </w:tcBorders>
            <w:noWrap/>
            <w:vAlign w:val="center"/>
          </w:tcPr>
          <w:p>
            <w:pPr>
              <w:tabs>
                <w:tab w:val="left" w:pos="7513"/>
              </w:tabs>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1.2.1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资金来源及比例</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u w:val="single"/>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1.2.2</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资金落实情况</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1.3.1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招标范围</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1.3.2</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服务期限</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1.3.3</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质量标准</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1.4.1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投标人资质条件、能力、信誉</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rPr>
              <w:t>（1）资质要求：</w:t>
            </w:r>
            <w:r>
              <w:rPr>
                <w:rFonts w:hint="eastAsia" w:ascii="宋体" w:hAnsi="宋体" w:cs="宋体"/>
                <w:color w:val="000000"/>
                <w:szCs w:val="21"/>
                <w:highlight w:val="none"/>
                <w:u w:val="single"/>
              </w:rPr>
              <w:t>见招标公告投标人资格要求。</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rPr>
              <w:t>（2）财务要求：</w:t>
            </w:r>
            <w:r>
              <w:rPr>
                <w:rFonts w:hint="eastAsia" w:ascii="宋体" w:hAnsi="宋体" w:cs="宋体"/>
                <w:color w:val="000000"/>
                <w:szCs w:val="21"/>
                <w:highlight w:val="none"/>
                <w:u w:val="single"/>
              </w:rPr>
              <w:t xml:space="preserve">           /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（3）业绩要求：</w:t>
            </w:r>
            <w:r>
              <w:rPr>
                <w:rFonts w:hint="eastAsia" w:ascii="宋体" w:hAnsi="宋体" w:cs="宋体"/>
                <w:color w:val="000000"/>
                <w:szCs w:val="21"/>
                <w:highlight w:val="none"/>
                <w:u w:val="single"/>
              </w:rPr>
              <w:t xml:space="preserve">           /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（4）信誉要求：</w:t>
            </w:r>
            <w:r>
              <w:rPr>
                <w:rFonts w:hint="eastAsia" w:ascii="宋体" w:hAnsi="宋体" w:cs="宋体"/>
                <w:color w:val="000000"/>
                <w:szCs w:val="21"/>
                <w:highlight w:val="none"/>
                <w:u w:val="single"/>
              </w:rPr>
              <w:t xml:space="preserve">           /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（5）总监理工程师的资格要求：</w:t>
            </w:r>
            <w:r>
              <w:rPr>
                <w:rFonts w:hint="eastAsia" w:ascii="宋体" w:hAnsi="宋体" w:cs="宋体"/>
                <w:color w:val="000000"/>
                <w:szCs w:val="21"/>
                <w:highlight w:val="none"/>
                <w:u w:val="single"/>
              </w:rPr>
              <w:t>见招标公告投标人资格要求。</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（6）其他主要人员要求：</w:t>
            </w:r>
            <w:r>
              <w:rPr>
                <w:rFonts w:hint="eastAsia" w:ascii="宋体" w:hAnsi="宋体" w:cs="宋体"/>
                <w:color w:val="000000"/>
                <w:szCs w:val="21"/>
                <w:highlight w:val="none"/>
                <w:u w:val="single"/>
              </w:rPr>
              <w:t xml:space="preserve">        /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（7）试验检测仪器设备要求：</w:t>
            </w:r>
            <w:r>
              <w:rPr>
                <w:rFonts w:hint="eastAsia" w:ascii="宋体" w:hAnsi="宋体" w:cs="宋体"/>
                <w:color w:val="000000"/>
                <w:szCs w:val="21"/>
                <w:highlight w:val="none"/>
                <w:u w:val="single"/>
              </w:rPr>
              <w:t xml:space="preserve">      /     。</w:t>
            </w:r>
          </w:p>
          <w:p>
            <w:pPr>
              <w:jc w:val="left"/>
              <w:rPr>
                <w:rFonts w:ascii="宋体" w:hAnsi="宋体" w:cs="宋体"/>
                <w:szCs w:val="21"/>
              </w:rPr>
            </w:pPr>
            <w:r>
              <w:rPr>
                <w:rFonts w:hint="eastAsia" w:ascii="宋体" w:hAnsi="宋体" w:cs="宋体"/>
                <w:color w:val="000000"/>
                <w:szCs w:val="21"/>
                <w:highlight w:val="none"/>
              </w:rPr>
              <w:t>（8）其他要求：</w:t>
            </w:r>
            <w:r>
              <w:rPr>
                <w:rFonts w:hint="eastAsia" w:ascii="宋体" w:hAnsi="宋体" w:cs="宋体"/>
                <w:color w:val="000000"/>
                <w:szCs w:val="21"/>
                <w:highlight w:val="none"/>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1.4.2</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是否接受联合体投标</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□不接受</w:t>
            </w:r>
          </w:p>
          <w:p>
            <w:pPr>
              <w:rPr>
                <w:rFonts w:ascii="宋体" w:hAnsi="宋体" w:cs="宋体"/>
                <w:szCs w:val="21"/>
              </w:rPr>
            </w:pPr>
            <w:r>
              <w:rPr>
                <w:rFonts w:hint="eastAsia" w:ascii="宋体" w:hAnsi="宋体"/>
                <w:color w:val="auto"/>
                <w:highlight w:val="none"/>
              </w:rPr>
              <w:t>☑</w:t>
            </w:r>
            <w:r>
              <w:rPr>
                <w:rFonts w:hint="eastAsia" w:ascii="宋体" w:hAnsi="宋体" w:cs="宋体"/>
                <w:color w:val="000000"/>
                <w:szCs w:val="21"/>
                <w:highlight w:val="none"/>
              </w:rPr>
              <w:t>接受，应满足下列要求：</w:t>
            </w:r>
            <w:r>
              <w:rPr>
                <w:rFonts w:hint="eastAsia" w:ascii="宋体" w:hAnsi="宋体" w:cs="宋体"/>
                <w:color w:val="000000"/>
                <w:szCs w:val="21"/>
                <w:highlight w:val="none"/>
                <w:u w:val="single"/>
              </w:rPr>
              <w:t>详见招标公告相关要求。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1.4.3</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投标人不得存在的其他情形</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1.9.1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踏勘现场</w:t>
            </w:r>
          </w:p>
        </w:tc>
        <w:tc>
          <w:tcPr>
            <w:tcW w:w="5746" w:type="dxa"/>
            <w:tcBorders>
              <w:top w:val="single" w:color="auto" w:sz="4" w:space="0"/>
              <w:left w:val="single" w:color="auto" w:sz="4" w:space="0"/>
              <w:bottom w:val="single" w:color="auto" w:sz="4" w:space="0"/>
              <w:right w:val="single" w:color="auto" w:sz="4" w:space="0"/>
            </w:tcBorders>
            <w:noWrap/>
            <w:vAlign w:val="center"/>
          </w:tcPr>
          <w:p>
            <w:pPr>
              <w:ind w:right="174" w:rightChars="83"/>
              <w:rPr>
                <w:rFonts w:ascii="宋体" w:hAnsi="宋体"/>
                <w:color w:val="auto"/>
                <w:spacing w:val="-1"/>
                <w:highlight w:val="none"/>
              </w:rPr>
            </w:pPr>
            <w:r>
              <w:rPr>
                <w:rFonts w:hint="eastAsia" w:ascii="宋体" w:hAnsi="宋体"/>
                <w:color w:val="auto"/>
                <w:highlight w:val="none"/>
              </w:rPr>
              <w:t>☑</w:t>
            </w:r>
            <w:r>
              <w:rPr>
                <w:rFonts w:ascii="宋体" w:hAnsi="宋体"/>
                <w:color w:val="auto"/>
                <w:spacing w:val="-1"/>
                <w:highlight w:val="none"/>
              </w:rPr>
              <w:t>不组织</w:t>
            </w:r>
            <w:r>
              <w:rPr>
                <w:rFonts w:hint="eastAsia" w:ascii="宋体" w:hAnsi="宋体"/>
                <w:color w:val="auto"/>
                <w:spacing w:val="-1"/>
                <w:highlight w:val="none"/>
              </w:rPr>
              <w:t>，由投标人自行现场考察。</w:t>
            </w:r>
          </w:p>
          <w:p>
            <w:pPr>
              <w:ind w:right="174" w:rightChars="83"/>
              <w:rPr>
                <w:rFonts w:ascii="宋体" w:hAnsi="宋体"/>
                <w:color w:val="auto"/>
                <w:spacing w:val="-1"/>
                <w:highlight w:val="none"/>
              </w:rPr>
            </w:pPr>
            <w:r>
              <w:rPr>
                <w:rFonts w:ascii="宋体" w:hAnsi="宋体"/>
                <w:color w:val="auto"/>
                <w:spacing w:val="-1"/>
                <w:highlight w:val="none"/>
              </w:rPr>
              <w:t>□组织，踏勘时间：</w:t>
            </w:r>
            <w:r>
              <w:rPr>
                <w:rFonts w:hint="eastAsia" w:ascii="宋体" w:hAnsi="宋体"/>
                <w:color w:val="auto"/>
                <w:spacing w:val="-1"/>
                <w:highlight w:val="none"/>
              </w:rPr>
              <w:t>/</w:t>
            </w:r>
          </w:p>
          <w:p>
            <w:pPr>
              <w:rPr>
                <w:rFonts w:ascii="宋体" w:hAnsi="宋体" w:cs="宋体"/>
                <w:szCs w:val="21"/>
              </w:rPr>
            </w:pPr>
            <w:r>
              <w:rPr>
                <w:rFonts w:ascii="宋体" w:hAnsi="宋体"/>
                <w:color w:val="auto"/>
                <w:spacing w:val="-1"/>
                <w:highlight w:val="none"/>
              </w:rPr>
              <w:t>踏勘集中地点：</w:t>
            </w:r>
            <w:r>
              <w:rPr>
                <w:rFonts w:hint="eastAsia" w:ascii="宋体" w:hAnsi="宋体"/>
                <w:color w:val="auto"/>
                <w:spacing w:val="-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1.10.1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投标预备会</w:t>
            </w:r>
          </w:p>
        </w:tc>
        <w:tc>
          <w:tcPr>
            <w:tcW w:w="5746" w:type="dxa"/>
            <w:tcBorders>
              <w:top w:val="single" w:color="auto" w:sz="4" w:space="0"/>
              <w:left w:val="single" w:color="auto" w:sz="4" w:space="0"/>
              <w:bottom w:val="single" w:color="auto" w:sz="4" w:space="0"/>
              <w:right w:val="single" w:color="auto" w:sz="4" w:space="0"/>
            </w:tcBorders>
            <w:noWrap/>
            <w:vAlign w:val="center"/>
          </w:tcPr>
          <w:p>
            <w:pPr>
              <w:ind w:right="174" w:rightChars="83"/>
              <w:rPr>
                <w:rFonts w:ascii="宋体" w:hAnsi="宋体"/>
                <w:color w:val="auto"/>
                <w:highlight w:val="none"/>
              </w:rPr>
            </w:pPr>
            <w:r>
              <w:rPr>
                <w:rFonts w:hint="eastAsia" w:ascii="宋体" w:hAnsi="宋体"/>
                <w:color w:val="auto"/>
                <w:highlight w:val="none"/>
              </w:rPr>
              <w:t>☑</w:t>
            </w:r>
            <w:r>
              <w:rPr>
                <w:rFonts w:ascii="宋体" w:hAnsi="宋体"/>
                <w:color w:val="auto"/>
                <w:spacing w:val="-1"/>
                <w:highlight w:val="none"/>
              </w:rPr>
              <w:t>不召开</w:t>
            </w:r>
          </w:p>
          <w:p>
            <w:pPr>
              <w:ind w:right="174" w:rightChars="83"/>
              <w:rPr>
                <w:rFonts w:ascii="宋体" w:hAnsi="宋体"/>
                <w:color w:val="auto"/>
                <w:highlight w:val="none"/>
              </w:rPr>
            </w:pPr>
            <w:r>
              <w:rPr>
                <w:rFonts w:ascii="宋体" w:hAnsi="宋体"/>
                <w:color w:val="auto"/>
                <w:highlight w:val="none"/>
              </w:rPr>
              <w:t>□</w:t>
            </w:r>
            <w:r>
              <w:rPr>
                <w:rFonts w:ascii="宋体" w:hAnsi="宋体"/>
                <w:color w:val="auto"/>
                <w:spacing w:val="-1"/>
                <w:highlight w:val="none"/>
              </w:rPr>
              <w:t>召开</w:t>
            </w:r>
            <w:r>
              <w:rPr>
                <w:rFonts w:ascii="宋体" w:hAnsi="宋体"/>
                <w:color w:val="auto"/>
                <w:highlight w:val="none"/>
              </w:rPr>
              <w:t>，召开时间：</w:t>
            </w:r>
            <w:r>
              <w:rPr>
                <w:rFonts w:hint="eastAsia" w:ascii="宋体" w:hAnsi="宋体"/>
                <w:color w:val="auto"/>
                <w:highlight w:val="none"/>
                <w:u w:val="single"/>
              </w:rPr>
              <w:t xml:space="preserve">   </w:t>
            </w:r>
          </w:p>
          <w:p>
            <w:pPr>
              <w:rPr>
                <w:rFonts w:ascii="宋体" w:hAnsi="宋体" w:cs="宋体"/>
                <w:szCs w:val="21"/>
              </w:rPr>
            </w:pPr>
            <w:r>
              <w:rPr>
                <w:rFonts w:hint="eastAsia" w:ascii="宋体" w:hAnsi="宋体"/>
                <w:color w:val="auto"/>
                <w:highlight w:val="none"/>
              </w:rPr>
              <w:t xml:space="preserve">        </w:t>
            </w:r>
            <w:r>
              <w:rPr>
                <w:rFonts w:ascii="宋体" w:hAnsi="宋体"/>
                <w:color w:val="auto"/>
                <w:highlight w:val="none"/>
              </w:rPr>
              <w:t>召开地点：</w:t>
            </w:r>
            <w:r>
              <w:rPr>
                <w:rFonts w:hint="eastAsia" w:ascii="宋体" w:hAnsi="宋体"/>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1.10.2</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投标人在投标预备会前提出问题</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时间：</w:t>
            </w:r>
            <w:r>
              <w:rPr>
                <w:rFonts w:hint="eastAsia" w:ascii="宋体" w:hAnsi="宋体" w:cs="宋体"/>
                <w:szCs w:val="21"/>
                <w:u w:val="single"/>
              </w:rPr>
              <w:t xml:space="preserve">  /  </w:t>
            </w:r>
          </w:p>
          <w:p>
            <w:pPr>
              <w:rPr>
                <w:rFonts w:ascii="宋体" w:hAnsi="宋体" w:cs="宋体"/>
                <w:szCs w:val="21"/>
              </w:rPr>
            </w:pPr>
            <w:r>
              <w:rPr>
                <w:rFonts w:hint="eastAsia" w:ascii="宋体" w:hAnsi="宋体" w:cs="宋体"/>
                <w:szCs w:val="21"/>
              </w:rPr>
              <w:t>形式：</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1.10.3</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招标文件澄清发出的形式</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olor w:val="auto"/>
                <w:highlight w:val="none"/>
              </w:rPr>
              <w:t>在广州交易集团有限公司（广州公共资源交易中心）网站“招标答疑”专区发布，一经在广州交易集团有限公司（广州公共资源交易中心）发布，视作已发放给所有投标人。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1.12.1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实质性要求和条件</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见第三章评审标准。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1.12.3</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偏差</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highlight w:val="none"/>
              </w:rPr>
            </w:pPr>
            <w:r>
              <w:rPr>
                <w:rFonts w:hint="eastAsia" w:ascii="宋体" w:hAnsi="宋体"/>
                <w:color w:val="auto"/>
                <w:highlight w:val="none"/>
              </w:rPr>
              <w:t>☑</w:t>
            </w:r>
            <w:r>
              <w:rPr>
                <w:rFonts w:hint="eastAsia" w:ascii="宋体" w:hAnsi="宋体" w:cs="宋体"/>
                <w:color w:val="auto"/>
                <w:highlight w:val="none"/>
              </w:rPr>
              <w:t>不允许</w:t>
            </w:r>
          </w:p>
          <w:p>
            <w:pPr>
              <w:rPr>
                <w:rFonts w:ascii="宋体" w:hAnsi="宋体" w:cs="宋体"/>
                <w:szCs w:val="21"/>
              </w:rPr>
            </w:pPr>
            <w:r>
              <w:rPr>
                <w:rFonts w:hint="eastAsia" w:ascii="宋体" w:hAnsi="宋体" w:cs="宋体"/>
                <w:color w:val="auto"/>
                <w:highlight w:val="none"/>
              </w:rPr>
              <w:t>□</w:t>
            </w:r>
            <w:r>
              <w:rPr>
                <w:rFonts w:hint="eastAsia" w:ascii="宋体" w:hAnsi="宋体"/>
                <w:color w:val="auto"/>
                <w:highlight w:val="none"/>
              </w:rPr>
              <w:t>允许</w:t>
            </w:r>
            <w:r>
              <w:rPr>
                <w:rFonts w:hint="eastAsia" w:ascii="宋体" w:hAnsi="宋体" w:cs="宋体"/>
                <w:color w:val="auto"/>
                <w:highlight w:val="none"/>
              </w:rPr>
              <w:t>，偏差范围：</w:t>
            </w:r>
            <w:r>
              <w:rPr>
                <w:rFonts w:hint="eastAsia" w:ascii="宋体" w:hAnsi="宋体" w:cs="宋体"/>
                <w:color w:val="auto"/>
                <w:highlight w:val="none"/>
                <w:u w:val="single"/>
              </w:rPr>
              <w:t xml:space="preserve">       </w:t>
            </w:r>
            <w:r>
              <w:rPr>
                <w:rFonts w:hint="eastAsia" w:ascii="宋体" w:hAnsi="宋体" w:cs="宋体"/>
                <w:color w:val="auto"/>
                <w:highlight w:val="none"/>
              </w:rPr>
              <w:t>，偏差幅度：</w:t>
            </w:r>
            <w:r>
              <w:rPr>
                <w:rFonts w:hint="eastAsia" w:ascii="宋体" w:hAnsi="宋体" w:cs="宋体"/>
                <w:color w:val="auto"/>
                <w:highlight w:val="none"/>
                <w:u w:val="single"/>
              </w:rPr>
              <w:t xml:space="preserve">       </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构成招标文件的其他资料</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答疑纪要、澄清文件等（如有）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2.2.1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投标人要求澄清招标文件</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olor w:val="auto"/>
                <w:sz w:val="21"/>
                <w:szCs w:val="21"/>
                <w:highlight w:val="none"/>
              </w:rPr>
            </w:pPr>
            <w:r>
              <w:rPr>
                <w:rFonts w:hint="eastAsia" w:ascii="宋体" w:hAnsi="宋体"/>
                <w:color w:val="auto"/>
                <w:sz w:val="21"/>
                <w:szCs w:val="21"/>
                <w:highlight w:val="none"/>
              </w:rPr>
              <w:t>时间：</w:t>
            </w:r>
            <w:r>
              <w:rPr>
                <w:rFonts w:hint="eastAsia" w:ascii="宋体" w:hAnsi="宋体"/>
                <w:color w:val="auto"/>
                <w:sz w:val="21"/>
                <w:szCs w:val="21"/>
                <w:highlight w:val="none"/>
                <w:u w:val="single"/>
              </w:rPr>
              <w:t>在提交投标文件截止时间</w:t>
            </w:r>
            <w:r>
              <w:rPr>
                <w:rFonts w:hint="eastAsia" w:ascii="宋体" w:hAnsi="宋体"/>
                <w:color w:val="auto"/>
                <w:sz w:val="21"/>
                <w:szCs w:val="21"/>
                <w:highlight w:val="none"/>
                <w:u w:val="single"/>
                <w:lang w:val="en-US" w:eastAsia="zh-CN"/>
              </w:rPr>
              <w:t>18</w:t>
            </w:r>
            <w:r>
              <w:rPr>
                <w:rFonts w:hint="eastAsia" w:ascii="宋体" w:hAnsi="宋体"/>
                <w:color w:val="auto"/>
                <w:sz w:val="21"/>
                <w:szCs w:val="21"/>
                <w:highlight w:val="none"/>
                <w:u w:val="single"/>
              </w:rPr>
              <w:t>天前提出</w:t>
            </w:r>
            <w:r>
              <w:rPr>
                <w:rFonts w:hint="eastAsia" w:ascii="宋体" w:hAnsi="宋体"/>
                <w:color w:val="auto"/>
                <w:sz w:val="21"/>
                <w:szCs w:val="21"/>
                <w:highlight w:val="none"/>
              </w:rPr>
              <w:t>。</w:t>
            </w:r>
          </w:p>
          <w:p>
            <w:pPr>
              <w:rPr>
                <w:rFonts w:ascii="宋体" w:hAnsi="宋体" w:eastAsia="Times New Roman"/>
                <w:color w:val="auto"/>
                <w:kern w:val="0"/>
                <w:highlight w:val="none"/>
                <w:u w:val="single"/>
              </w:rPr>
            </w:pPr>
            <w:r>
              <w:rPr>
                <w:rFonts w:hint="eastAsia" w:ascii="宋体" w:hAnsi="宋体"/>
                <w:color w:val="auto"/>
                <w:highlight w:val="none"/>
              </w:rPr>
              <w:t>形式：</w:t>
            </w:r>
            <w:r>
              <w:rPr>
                <w:rFonts w:hint="eastAsia" w:ascii="宋体" w:hAnsi="宋体"/>
                <w:color w:val="auto"/>
                <w:highlight w:val="none"/>
                <w:u w:val="single"/>
              </w:rPr>
              <w:t>1、招标答疑采用网上答疑方式进行。投标人若对招标文件（包括招标图纸、清单、合同、招标控制价(最高投标限价）)有疑问的，可在规定的时间内通过广州交易集团有限公司（广州公共资源交易中心）网站进入提问区域将问题提交给招标人或招标代理人，提交问题时一律不得署名。</w:t>
            </w:r>
          </w:p>
          <w:p>
            <w:pPr>
              <w:rPr>
                <w:rFonts w:ascii="宋体" w:hAnsi="宋体"/>
                <w:color w:val="auto"/>
                <w:highlight w:val="none"/>
                <w:u w:val="single"/>
              </w:rPr>
            </w:pPr>
            <w:r>
              <w:rPr>
                <w:rFonts w:hint="eastAsia" w:ascii="宋体" w:hAnsi="宋体"/>
                <w:color w:val="auto"/>
                <w:highlight w:val="none"/>
                <w:u w:val="single"/>
              </w:rPr>
              <w:t>网上答疑的操作指南为：登陆</w:t>
            </w:r>
            <w:r>
              <w:rPr>
                <w:rFonts w:hint="eastAsia" w:ascii="宋体" w:hAnsi="宋体" w:cs="宋体"/>
                <w:color w:val="auto"/>
                <w:highlight w:val="none"/>
                <w:u w:val="single"/>
              </w:rPr>
              <w:t>广州交易集团有限公司（广州公共资源交易中心）</w:t>
            </w:r>
            <w:r>
              <w:rPr>
                <w:rFonts w:hint="eastAsia" w:ascii="宋体" w:hAnsi="宋体"/>
                <w:color w:val="auto"/>
                <w:highlight w:val="none"/>
                <w:u w:val="single"/>
              </w:rPr>
              <w:t>网站→交易业务“建设工程”→选择右侧“网上答疑”→通过项目编号或名称找到所需的项目→在上述的答疑时间内点击“提问”→进入到提问区域→无记名或匿名提出问题以及查看所有的问题。</w:t>
            </w:r>
          </w:p>
          <w:p>
            <w:pPr>
              <w:rPr>
                <w:rFonts w:ascii="宋体" w:hAnsi="宋体"/>
                <w:color w:val="auto"/>
                <w:highlight w:val="none"/>
                <w:u w:val="single"/>
              </w:rPr>
            </w:pPr>
            <w:r>
              <w:rPr>
                <w:rFonts w:hint="eastAsia" w:ascii="宋体" w:hAnsi="宋体"/>
                <w:color w:val="auto"/>
                <w:highlight w:val="none"/>
                <w:u w:val="single"/>
              </w:rPr>
              <w:t>2、投标人应在投标截止时间18日前停止质疑。招标人应在投标截止时间15日前解答投标人对招标文件提出的疑问，形成答疑纪要，方可在</w:t>
            </w:r>
            <w:r>
              <w:rPr>
                <w:rFonts w:hint="eastAsia" w:ascii="宋体" w:hAnsi="宋体" w:cs="宋体"/>
                <w:color w:val="auto"/>
                <w:highlight w:val="none"/>
                <w:u w:val="single"/>
              </w:rPr>
              <w:t>广州交易集团有限公司（广州公共资源交易中心）</w:t>
            </w:r>
            <w:r>
              <w:rPr>
                <w:rFonts w:hint="eastAsia" w:ascii="宋体" w:hAnsi="宋体"/>
                <w:color w:val="auto"/>
                <w:highlight w:val="none"/>
                <w:u w:val="single"/>
              </w:rPr>
              <w:t>网站项目答疑专区发布。</w:t>
            </w:r>
          </w:p>
          <w:p>
            <w:pPr>
              <w:rPr>
                <w:rFonts w:ascii="宋体" w:hAnsi="宋体"/>
                <w:color w:val="auto"/>
                <w:highlight w:val="none"/>
                <w:u w:val="single"/>
              </w:rPr>
            </w:pPr>
            <w:r>
              <w:rPr>
                <w:rFonts w:hint="eastAsia" w:ascii="宋体" w:hAnsi="宋体"/>
                <w:color w:val="auto"/>
                <w:highlight w:val="none"/>
                <w:u w:val="single"/>
              </w:rPr>
              <w:t>3、招标答疑纪要一经在</w:t>
            </w:r>
            <w:r>
              <w:rPr>
                <w:rFonts w:hint="eastAsia" w:ascii="宋体" w:hAnsi="宋体" w:cs="宋体"/>
                <w:color w:val="auto"/>
                <w:highlight w:val="none"/>
                <w:u w:val="single"/>
              </w:rPr>
              <w:t>广州交易集团有限公司（广州公共资源交易中心）</w:t>
            </w:r>
            <w:r>
              <w:rPr>
                <w:rFonts w:hint="eastAsia" w:ascii="宋体" w:hAnsi="宋体"/>
                <w:color w:val="auto"/>
                <w:highlight w:val="none"/>
                <w:u w:val="single"/>
              </w:rPr>
              <w:t>网站发布，视作已发放给所有投标人。</w:t>
            </w:r>
          </w:p>
          <w:p>
            <w:pPr>
              <w:rPr>
                <w:rFonts w:ascii="宋体" w:hAnsi="宋体" w:cs="宋体"/>
                <w:szCs w:val="21"/>
              </w:rPr>
            </w:pPr>
            <w:r>
              <w:rPr>
                <w:rFonts w:hint="eastAsia" w:ascii="宋体" w:hAnsi="宋体"/>
                <w:color w:val="auto"/>
                <w:kern w:val="0"/>
                <w:highlight w:val="none"/>
                <w:u w:val="single"/>
              </w:rPr>
              <w:t>4、招标答疑纪要为招标文件的一部分。投标人可在广州公资源交易中心网站浏览、下载招标答疑纪要。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2.2.2</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招标文件澄清发出的形式</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Calibri" w:hAnsi="Calibri"/>
                <w:color w:val="auto"/>
                <w:highlight w:val="none"/>
              </w:rPr>
              <w:t>在递交投标文件截止时间</w:t>
            </w:r>
            <w:r>
              <w:rPr>
                <w:rFonts w:hint="eastAsia" w:ascii="宋体" w:hAnsi="宋体" w:cs="宋体"/>
                <w:color w:val="auto"/>
                <w:highlight w:val="none"/>
              </w:rPr>
              <w:t>15</w:t>
            </w:r>
            <w:r>
              <w:rPr>
                <w:rFonts w:hint="eastAsia" w:ascii="Calibri" w:hAnsi="Calibri"/>
                <w:color w:val="auto"/>
                <w:highlight w:val="none"/>
              </w:rPr>
              <w:t>天前，在广州交易集团有限公司（广州公共资源交易中心）网站通过答疑纪要专区网上公开发布。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2.2.3</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投标人确认收到招标文件澄清</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招标文件澄清（招标答疑纪要）一经在广州交易集团有限公司（广州公共资源交易中心）网站发布，视作已发放给所有投标人。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2.3.1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招标文件修改发出的形式</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以补充公告或项目答疑澄清的方式在广州公共资源交易中心网站发布。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2.3.2</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投标人确认收到招标文件修改</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招标文件修改一经在广州交易集团有限公司（广州公共资源交易中心）网站发布，视作已发放给所有投标人，无需确认。潜在投标人应自行关注招标公告公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3.1.1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构成投标文件的其他资料</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color w:val="000000"/>
                <w:szCs w:val="21"/>
                <w:highlight w:val="none"/>
                <w:u w:val="none"/>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3.2.1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增值税税金的计算方法</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color w:val="000000"/>
                <w:szCs w:val="21"/>
                <w:highlight w:val="none"/>
                <w:u w:val="single"/>
              </w:rPr>
              <w:t>一般计税方法</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3.2.3</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报价方式</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hint="eastAsia"/>
              </w:rPr>
            </w:pPr>
            <w:r>
              <w:rPr>
                <w:rFonts w:hint="eastAsia"/>
              </w:rPr>
              <w:t>（1）投标</w:t>
            </w:r>
            <w:r>
              <w:rPr>
                <w:rFonts w:hint="eastAsia"/>
                <w:lang w:eastAsia="zh-CN"/>
              </w:rPr>
              <w:t>下浮率</w:t>
            </w:r>
            <w:r>
              <w:rPr>
                <w:rFonts w:hint="eastAsia"/>
              </w:rPr>
              <w:t>报价形式，同时根据“最高限价×</w:t>
            </w:r>
            <w:r>
              <w:rPr>
                <w:rFonts w:hint="eastAsia"/>
                <w:lang w:eastAsia="zh-CN"/>
              </w:rPr>
              <w:t>（</w:t>
            </w:r>
            <w:r>
              <w:rPr>
                <w:rFonts w:hint="eastAsia"/>
                <w:lang w:val="en-US" w:eastAsia="zh-CN"/>
              </w:rPr>
              <w:t>1-</w:t>
            </w:r>
            <w:r>
              <w:rPr>
                <w:rFonts w:hint="eastAsia"/>
              </w:rPr>
              <w:t>投标</w:t>
            </w:r>
            <w:r>
              <w:rPr>
                <w:rFonts w:hint="eastAsia"/>
                <w:lang w:eastAsia="zh-CN"/>
              </w:rPr>
              <w:t>下浮率</w:t>
            </w:r>
            <w:r>
              <w:rPr>
                <w:rFonts w:hint="eastAsia"/>
              </w:rPr>
              <w:t>”报列投标报价。</w:t>
            </w:r>
          </w:p>
          <w:p>
            <w:pPr>
              <w:rPr>
                <w:rFonts w:hint="eastAsia"/>
              </w:rPr>
            </w:pPr>
            <w:r>
              <w:rPr>
                <w:rFonts w:hint="eastAsia"/>
              </w:rPr>
              <w:t>当投标</w:t>
            </w:r>
            <w:r>
              <w:rPr>
                <w:rFonts w:hint="eastAsia"/>
                <w:lang w:val="en-US" w:eastAsia="zh-CN"/>
              </w:rPr>
              <w:t>下浮率</w:t>
            </w:r>
            <w:r>
              <w:rPr>
                <w:rFonts w:hint="eastAsia"/>
              </w:rPr>
              <w:t>与“</w:t>
            </w:r>
            <w:r>
              <w:rPr>
                <w:rFonts w:hint="eastAsia"/>
                <w:lang w:val="en-US" w:eastAsia="zh-CN"/>
              </w:rPr>
              <w:t>1-（</w:t>
            </w:r>
            <w:r>
              <w:rPr>
                <w:rFonts w:hint="eastAsia"/>
              </w:rPr>
              <w:t>投标报价/最高限价×100%</w:t>
            </w:r>
            <w:r>
              <w:rPr>
                <w:rFonts w:hint="eastAsia"/>
                <w:lang w:eastAsia="zh-CN"/>
              </w:rPr>
              <w:t>）</w:t>
            </w:r>
            <w:r>
              <w:rPr>
                <w:rFonts w:hint="eastAsia"/>
              </w:rPr>
              <w:t>”的计算结果不一致时，以投标</w:t>
            </w:r>
            <w:r>
              <w:rPr>
                <w:rFonts w:hint="eastAsia"/>
                <w:lang w:val="en-US" w:eastAsia="zh-CN"/>
              </w:rPr>
              <w:t>下浮率</w:t>
            </w:r>
            <w:r>
              <w:rPr>
                <w:rFonts w:hint="eastAsia"/>
              </w:rPr>
              <w:t>为准，调整投标报价。</w:t>
            </w:r>
          </w:p>
          <w:p>
            <w:pPr>
              <w:rPr>
                <w:rFonts w:hint="eastAsia"/>
              </w:rPr>
            </w:pPr>
            <w:r>
              <w:rPr>
                <w:rFonts w:hint="eastAsia"/>
              </w:rPr>
              <w:t>（2）投标报价为项目招标文件中说明的全部工作内容的报酬。</w:t>
            </w:r>
          </w:p>
          <w:p>
            <w:pPr>
              <w:rPr>
                <w:rFonts w:hint="eastAsia"/>
              </w:rPr>
            </w:pPr>
            <w:r>
              <w:rPr>
                <w:rFonts w:hint="eastAsia"/>
              </w:rPr>
              <w:t>（3）投标人必须详细审阅全部招标文件，充分考虑职责和义务，全面地理解招标文件对投标报价的要求，并按招标人提出的条件及内容进行报价。报价保留小数点后2位，第3位小数点四舍五入。投标人应按招标文件中相关附表格式填写。</w:t>
            </w:r>
          </w:p>
          <w:p>
            <w:pPr>
              <w:pStyle w:val="19"/>
              <w:ind w:left="0" w:leftChars="0" w:firstLine="0" w:firstLineChars="0"/>
            </w:pPr>
            <w:r>
              <w:rPr>
                <w:rFonts w:hint="eastAsia" w:ascii="Times New Roman" w:hAnsi="Times New Roman" w:eastAsia="宋体" w:cs="Times New Roman"/>
                <w:kern w:val="2"/>
                <w:sz w:val="21"/>
                <w:szCs w:val="24"/>
                <w:lang w:val="en-US" w:eastAsia="zh-CN" w:bidi="ar-SA"/>
              </w:rPr>
              <w:t>（4）除非合同另有规定，投标报价应已包括但不限于监理设备、劳务、管理、交通、维护、保险、利润、税金、政策性文件规定及合同包含的所有风险、责任等各项所有费用。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3.2.4</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最高投标限价</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olor w:val="000000"/>
                <w:szCs w:val="21"/>
                <w:highlight w:val="none"/>
              </w:rPr>
            </w:pPr>
            <w:r>
              <w:rPr>
                <w:rFonts w:hint="eastAsia" w:ascii="宋体" w:hAnsi="宋体"/>
                <w:color w:val="000000"/>
                <w:szCs w:val="21"/>
                <w:highlight w:val="none"/>
              </w:rPr>
              <w:t>□无</w:t>
            </w:r>
          </w:p>
          <w:p>
            <w:pPr>
              <w:spacing w:line="360" w:lineRule="auto"/>
              <w:rPr>
                <w:rFonts w:hint="eastAsia" w:ascii="宋体" w:hAnsi="宋体" w:eastAsia="宋体"/>
                <w:color w:val="000000"/>
                <w:szCs w:val="21"/>
                <w:highlight w:val="none"/>
                <w:u w:val="single"/>
                <w:lang w:eastAsia="zh-CN"/>
              </w:rPr>
            </w:pPr>
            <w:r>
              <w:rPr>
                <w:rFonts w:hint="eastAsia" w:ascii="宋体" w:hAnsi="宋体"/>
                <w:color w:val="000000"/>
                <w:szCs w:val="21"/>
                <w:highlight w:val="none"/>
                <w:lang w:eastAsia="zh-CN"/>
              </w:rPr>
              <w:t>☑</w:t>
            </w:r>
            <w:r>
              <w:rPr>
                <w:rFonts w:hint="eastAsia" w:ascii="宋体" w:hAnsi="宋体"/>
                <w:color w:val="000000"/>
                <w:szCs w:val="21"/>
                <w:highlight w:val="none"/>
              </w:rPr>
              <w:t>有，</w:t>
            </w:r>
            <w:r>
              <w:rPr>
                <w:rFonts w:hint="eastAsia" w:ascii="宋体" w:hAnsi="宋体" w:cs="宋体"/>
                <w:color w:val="000000"/>
                <w:szCs w:val="21"/>
                <w:highlight w:val="none"/>
              </w:rPr>
              <w:t>详见招标公告。</w:t>
            </w:r>
          </w:p>
          <w:p>
            <w:pPr>
              <w:rPr>
                <w:rFonts w:ascii="宋体" w:hAnsi="宋体" w:cs="宋体"/>
                <w:szCs w:val="21"/>
              </w:rPr>
            </w:pPr>
            <w:r>
              <w:rPr>
                <w:rFonts w:hint="eastAsia" w:ascii="宋体" w:hAnsi="宋体"/>
                <w:color w:val="000000"/>
                <w:szCs w:val="21"/>
                <w:highlight w:val="none"/>
                <w:lang w:eastAsia="zh-CN"/>
              </w:rPr>
              <w:t>注：</w:t>
            </w:r>
            <w:r>
              <w:rPr>
                <w:rFonts w:hint="eastAsia" w:ascii="宋体" w:hAnsi="宋体" w:eastAsia="宋体" w:cs="宋体"/>
                <w:color w:val="auto"/>
                <w:szCs w:val="21"/>
                <w:highlight w:val="none"/>
                <w:u w:val="single"/>
              </w:rPr>
              <w:t>投标总报价不得超过最高投标限价，各子项的投标报价均不得超过相应各子项的最高投标限价。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3.2.5</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投标报价的其他要求</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240" w:lineRule="auto"/>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1、有效投标报价：投标报价≤最高限价，投标</w:t>
            </w:r>
            <w:r>
              <w:rPr>
                <w:rFonts w:hint="eastAsia" w:ascii="宋体" w:hAnsi="宋体" w:cs="宋体"/>
                <w:kern w:val="2"/>
                <w:sz w:val="21"/>
                <w:szCs w:val="20"/>
                <w:lang w:val="en-US" w:eastAsia="zh-CN" w:bidi="ar-SA"/>
              </w:rPr>
              <w:t>下浮率≥0</w:t>
            </w:r>
            <w:r>
              <w:rPr>
                <w:rFonts w:hint="eastAsia" w:ascii="宋体" w:hAnsi="宋体" w:eastAsia="宋体" w:cs="宋体"/>
                <w:kern w:val="2"/>
                <w:sz w:val="21"/>
                <w:szCs w:val="20"/>
                <w:lang w:val="en-US" w:eastAsia="zh-CN" w:bidi="ar-SA"/>
              </w:rPr>
              <w:t>%。</w:t>
            </w:r>
          </w:p>
          <w:p>
            <w:pPr>
              <w:spacing w:line="240" w:lineRule="auto"/>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2、成本警示价：投标报价＜最高限价</w:t>
            </w:r>
            <w:r>
              <w:rPr>
                <w:rFonts w:hint="eastAsia" w:ascii="宋体" w:hAnsi="宋体" w:cs="宋体"/>
                <w:kern w:val="2"/>
                <w:sz w:val="21"/>
                <w:szCs w:val="20"/>
                <w:lang w:val="en-US" w:eastAsia="zh-CN" w:bidi="ar-SA"/>
              </w:rPr>
              <w:t>8</w:t>
            </w:r>
            <w:r>
              <w:rPr>
                <w:rFonts w:hint="eastAsia" w:ascii="宋体" w:hAnsi="宋体" w:eastAsia="宋体" w:cs="宋体"/>
                <w:kern w:val="2"/>
                <w:sz w:val="21"/>
                <w:szCs w:val="20"/>
                <w:lang w:val="en-US" w:eastAsia="zh-CN" w:bidi="ar-SA"/>
              </w:rPr>
              <w:t>0%，投标</w:t>
            </w:r>
            <w:r>
              <w:rPr>
                <w:rFonts w:hint="eastAsia" w:ascii="宋体" w:hAnsi="宋体" w:cs="宋体"/>
                <w:kern w:val="2"/>
                <w:sz w:val="21"/>
                <w:szCs w:val="20"/>
                <w:lang w:val="en-US" w:eastAsia="zh-CN" w:bidi="ar-SA"/>
              </w:rPr>
              <w:t>下浮率大于20</w:t>
            </w:r>
            <w:r>
              <w:rPr>
                <w:rFonts w:hint="eastAsia" w:ascii="宋体" w:hAnsi="宋体" w:eastAsia="宋体" w:cs="宋体"/>
                <w:kern w:val="2"/>
                <w:sz w:val="21"/>
                <w:szCs w:val="20"/>
                <w:lang w:val="en-US" w:eastAsia="zh-CN" w:bidi="ar-SA"/>
              </w:rPr>
              <w:t>%时，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27"/>
              <w:spacing w:line="240" w:lineRule="auto"/>
              <w:jc w:val="both"/>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3、</w:t>
            </w:r>
            <w:r>
              <w:rPr>
                <w:rFonts w:hint="eastAsia" w:ascii="宋体" w:hAnsi="宋体" w:cs="宋体"/>
                <w:kern w:val="2"/>
                <w:sz w:val="21"/>
                <w:szCs w:val="20"/>
                <w:lang w:val="en-US" w:eastAsia="zh-CN" w:bidi="ar-SA"/>
              </w:rPr>
              <w:t>全过程</w:t>
            </w:r>
            <w:r>
              <w:rPr>
                <w:rFonts w:hint="eastAsia" w:ascii="宋体" w:hAnsi="宋体" w:eastAsia="宋体" w:cs="宋体"/>
                <w:kern w:val="2"/>
                <w:sz w:val="21"/>
                <w:szCs w:val="20"/>
                <w:lang w:val="en-US" w:eastAsia="zh-CN" w:bidi="ar-SA"/>
              </w:rPr>
              <w:t>造价咨询费用：工程</w:t>
            </w:r>
            <w:r>
              <w:rPr>
                <w:rFonts w:hint="eastAsia" w:ascii="宋体" w:hAnsi="宋体" w:cs="宋体"/>
                <w:kern w:val="2"/>
                <w:sz w:val="21"/>
                <w:szCs w:val="20"/>
                <w:lang w:val="en-US" w:eastAsia="zh-CN" w:bidi="ar-SA"/>
              </w:rPr>
              <w:t>概算、施工图</w:t>
            </w:r>
            <w:r>
              <w:rPr>
                <w:rFonts w:hint="eastAsia" w:ascii="宋体" w:hAnsi="宋体" w:eastAsia="宋体" w:cs="宋体"/>
                <w:kern w:val="2"/>
                <w:sz w:val="21"/>
                <w:szCs w:val="20"/>
                <w:lang w:val="en-US" w:eastAsia="zh-CN" w:bidi="ar-SA"/>
              </w:rPr>
              <w:t>预算审核费、工程结算审核费包含：基本收费</w:t>
            </w:r>
            <w:r>
              <w:rPr>
                <w:rFonts w:hint="eastAsia" w:ascii="宋体" w:hAnsi="宋体" w:cs="宋体"/>
                <w:kern w:val="2"/>
                <w:sz w:val="21"/>
                <w:szCs w:val="20"/>
                <w:lang w:val="en-US" w:eastAsia="zh-CN" w:bidi="ar-SA"/>
              </w:rPr>
              <w:t>，不含</w:t>
            </w:r>
            <w:r>
              <w:rPr>
                <w:rFonts w:hint="eastAsia" w:ascii="宋体" w:hAnsi="宋体" w:eastAsia="宋体" w:cs="宋体"/>
                <w:kern w:val="2"/>
                <w:sz w:val="21"/>
                <w:szCs w:val="20"/>
                <w:lang w:val="en-US" w:eastAsia="zh-CN" w:bidi="ar-SA"/>
              </w:rPr>
              <w:t>效益收费</w:t>
            </w:r>
            <w:r>
              <w:rPr>
                <w:rFonts w:hint="eastAsia" w:ascii="宋体" w:hAnsi="宋体" w:cs="宋体"/>
                <w:kern w:val="2"/>
                <w:sz w:val="21"/>
                <w:szCs w:val="20"/>
                <w:lang w:val="en-US" w:eastAsia="zh-CN" w:bidi="ar-SA"/>
              </w:rPr>
              <w:t>，</w:t>
            </w:r>
            <w:r>
              <w:rPr>
                <w:rFonts w:hint="eastAsia" w:ascii="宋体" w:hAnsi="宋体" w:cs="宋体"/>
              </w:rPr>
              <w:t>结算审核费已含在全过程工程咨询中，不单独计费</w:t>
            </w:r>
            <w:r>
              <w:rPr>
                <w:rFonts w:hint="eastAsia" w:ascii="宋体" w:hAnsi="宋体" w:eastAsia="宋体" w:cs="宋体"/>
                <w:kern w:val="2"/>
                <w:sz w:val="21"/>
                <w:szCs w:val="20"/>
                <w:lang w:val="en-US" w:eastAsia="zh-CN" w:bidi="ar-SA"/>
              </w:rPr>
              <w:t>。计费标准：参照《关于调整我省建设工程造价咨询服务收费的复函》（粤价函[2011]742号），最终造价咨询费用以</w:t>
            </w:r>
            <w:r>
              <w:rPr>
                <w:rFonts w:hint="eastAsia" w:ascii="宋体" w:hAnsi="宋体" w:cs="宋体"/>
                <w:kern w:val="2"/>
                <w:sz w:val="21"/>
                <w:szCs w:val="20"/>
                <w:lang w:val="en-US" w:eastAsia="zh-CN" w:bidi="ar-SA"/>
              </w:rPr>
              <w:t>建安费</w:t>
            </w:r>
            <w:r>
              <w:rPr>
                <w:rFonts w:hint="eastAsia" w:ascii="宋体" w:hAnsi="宋体" w:eastAsia="宋体" w:cs="宋体"/>
                <w:kern w:val="2"/>
                <w:sz w:val="21"/>
                <w:szCs w:val="20"/>
                <w:lang w:val="en-US" w:eastAsia="zh-CN" w:bidi="ar-SA"/>
              </w:rPr>
              <w:t>结算价为</w:t>
            </w:r>
            <w:r>
              <w:rPr>
                <w:rFonts w:hint="eastAsia" w:ascii="宋体" w:hAnsi="宋体" w:cs="宋体"/>
                <w:kern w:val="2"/>
                <w:sz w:val="21"/>
                <w:szCs w:val="20"/>
                <w:lang w:val="en-US" w:eastAsia="zh-CN" w:bidi="ar-SA"/>
              </w:rPr>
              <w:t>计费</w:t>
            </w:r>
            <w:r>
              <w:rPr>
                <w:rFonts w:hint="eastAsia" w:ascii="宋体" w:hAnsi="宋体" w:eastAsia="宋体" w:cs="宋体"/>
                <w:kern w:val="2"/>
                <w:sz w:val="21"/>
                <w:szCs w:val="20"/>
                <w:lang w:val="en-US" w:eastAsia="zh-CN" w:bidi="ar-SA"/>
              </w:rPr>
              <w:t>基数，</w:t>
            </w:r>
            <w:r>
              <w:rPr>
                <w:rFonts w:hint="eastAsia" w:ascii="宋体" w:hAnsi="宋体" w:cs="宋体"/>
                <w:kern w:val="2"/>
                <w:sz w:val="21"/>
                <w:szCs w:val="20"/>
                <w:lang w:val="en-US" w:eastAsia="zh-CN" w:bidi="ar-SA"/>
              </w:rPr>
              <w:t>执行投标下浮率，最终以广州市供电局审定为准</w:t>
            </w:r>
            <w:r>
              <w:rPr>
                <w:rFonts w:hint="eastAsia" w:ascii="宋体" w:hAnsi="宋体" w:eastAsia="宋体" w:cs="宋体"/>
                <w:kern w:val="2"/>
                <w:sz w:val="21"/>
                <w:szCs w:val="20"/>
                <w:lang w:val="en-US" w:eastAsia="zh-CN" w:bidi="ar-SA"/>
              </w:rPr>
              <w:t>。</w:t>
            </w:r>
          </w:p>
          <w:p>
            <w:pPr>
              <w:pStyle w:val="27"/>
              <w:spacing w:line="240" w:lineRule="auto"/>
              <w:jc w:val="both"/>
              <w:rPr>
                <w:rFonts w:hint="eastAsia" w:ascii="宋体" w:hAnsi="宋体" w:cs="宋体"/>
                <w:lang w:eastAsia="zh-CN"/>
              </w:rPr>
            </w:pPr>
            <w:r>
              <w:rPr>
                <w:rFonts w:hint="eastAsia" w:ascii="宋体" w:hAnsi="宋体" w:eastAsia="宋体" w:cs="宋体"/>
                <w:kern w:val="2"/>
                <w:sz w:val="21"/>
                <w:szCs w:val="20"/>
                <w:lang w:val="en-US" w:eastAsia="zh-CN" w:bidi="ar-SA"/>
              </w:rPr>
              <w:t>4、监理费结算遵照电网工程建设预算编制与计算规定（2018年版），最终监理费以审核的</w:t>
            </w:r>
            <w:r>
              <w:rPr>
                <w:rFonts w:hint="eastAsia" w:ascii="宋体" w:hAnsi="宋体" w:cs="宋体"/>
                <w:kern w:val="2"/>
                <w:sz w:val="21"/>
                <w:szCs w:val="20"/>
                <w:lang w:val="en-US" w:eastAsia="zh-CN" w:bidi="ar-SA"/>
              </w:rPr>
              <w:t>建安费</w:t>
            </w:r>
            <w:r>
              <w:rPr>
                <w:rFonts w:hint="eastAsia" w:ascii="宋体" w:hAnsi="宋体" w:eastAsia="宋体" w:cs="宋体"/>
                <w:kern w:val="2"/>
                <w:sz w:val="21"/>
                <w:szCs w:val="20"/>
                <w:lang w:val="en-US" w:eastAsia="zh-CN" w:bidi="ar-SA"/>
              </w:rPr>
              <w:t>结算价×6.15%×</w:t>
            </w:r>
            <w:r>
              <w:rPr>
                <w:rFonts w:hint="eastAsia" w:ascii="宋体" w:hAnsi="宋体" w:cs="宋体"/>
                <w:kern w:val="2"/>
                <w:sz w:val="21"/>
                <w:szCs w:val="20"/>
                <w:lang w:val="en-US" w:eastAsia="zh-CN" w:bidi="ar-SA"/>
              </w:rPr>
              <w:t>（1-</w:t>
            </w:r>
            <w:r>
              <w:rPr>
                <w:rFonts w:hint="eastAsia" w:ascii="宋体" w:hAnsi="宋体" w:eastAsia="宋体" w:cs="宋体"/>
                <w:kern w:val="2"/>
                <w:sz w:val="21"/>
                <w:szCs w:val="20"/>
                <w:lang w:val="en-US" w:eastAsia="zh-CN" w:bidi="ar-SA"/>
              </w:rPr>
              <w:t>中标</w:t>
            </w:r>
            <w:r>
              <w:rPr>
                <w:rFonts w:hint="eastAsia" w:ascii="宋体" w:hAnsi="宋体" w:cs="宋体"/>
                <w:kern w:val="2"/>
                <w:sz w:val="21"/>
                <w:szCs w:val="20"/>
                <w:lang w:val="en-US" w:eastAsia="zh-CN" w:bidi="ar-SA"/>
              </w:rPr>
              <w:t>下浮率）</w:t>
            </w:r>
            <w:r>
              <w:rPr>
                <w:rFonts w:hint="eastAsia" w:ascii="宋体" w:hAnsi="宋体" w:eastAsia="宋体" w:cs="宋体"/>
                <w:kern w:val="2"/>
                <w:sz w:val="21"/>
                <w:szCs w:val="2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3.3.1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投标有效期</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为</w:t>
            </w:r>
            <w:r>
              <w:rPr>
                <w:rFonts w:hint="eastAsia" w:ascii="宋体" w:hAnsi="宋体"/>
                <w:color w:val="auto"/>
                <w:highlight w:val="none"/>
                <w:u w:val="single"/>
                <w:lang w:val="en-US" w:eastAsia="zh-CN"/>
              </w:rPr>
              <w:t>90</w:t>
            </w:r>
            <w:r>
              <w:rPr>
                <w:rFonts w:hint="eastAsia" w:ascii="宋体" w:hAnsi="宋体" w:cs="宋体"/>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3.4.1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投标保证金</w:t>
            </w:r>
          </w:p>
        </w:tc>
        <w:tc>
          <w:tcPr>
            <w:tcW w:w="5746" w:type="dxa"/>
            <w:tcBorders>
              <w:top w:val="single" w:color="auto" w:sz="4" w:space="0"/>
              <w:left w:val="single" w:color="auto" w:sz="4" w:space="0"/>
              <w:bottom w:val="single" w:color="auto" w:sz="4" w:space="0"/>
              <w:right w:val="single" w:color="auto" w:sz="4" w:space="0"/>
            </w:tcBorders>
            <w:noWrap/>
            <w:vAlign w:val="center"/>
          </w:tcPr>
          <w:p>
            <w:pPr>
              <w:numPr>
                <w:ilvl w:val="0"/>
                <w:numId w:val="0"/>
              </w:numPr>
              <w:adjustRightInd w:val="0"/>
              <w:snapToGrid w:val="0"/>
              <w:spacing w:after="0" w:line="400" w:lineRule="exact"/>
              <w:ind w:right="42" w:rightChars="20"/>
            </w:pPr>
            <w:r>
              <w:rPr>
                <w:rFonts w:hint="eastAsia"/>
              </w:rPr>
              <w:t>是否要求投标人递交投标保证金：</w:t>
            </w:r>
          </w:p>
          <w:p>
            <w:pPr>
              <w:numPr>
                <w:ilvl w:val="0"/>
                <w:numId w:val="0"/>
              </w:numPr>
              <w:adjustRightInd w:val="0"/>
              <w:snapToGrid w:val="0"/>
              <w:spacing w:after="0" w:line="400" w:lineRule="exact"/>
              <w:ind w:right="42" w:rightChars="20"/>
            </w:pPr>
            <w:r>
              <w:rPr>
                <w:rFonts w:hint="eastAsia"/>
                <w:lang w:eastAsia="zh-CN"/>
              </w:rPr>
              <w:t>☑</w:t>
            </w:r>
            <w:r>
              <w:rPr>
                <w:rFonts w:hint="eastAsia"/>
              </w:rPr>
              <w:t>要求</w:t>
            </w:r>
          </w:p>
          <w:p>
            <w:pPr>
              <w:rPr>
                <w:rFonts w:hint="eastAsia"/>
              </w:rPr>
            </w:pPr>
            <w:r>
              <w:rPr>
                <w:rFonts w:hint="eastAsia"/>
                <w:lang w:eastAsia="zh-CN"/>
              </w:rPr>
              <w:t>□</w:t>
            </w:r>
            <w:r>
              <w:rPr>
                <w:rFonts w:hint="eastAsia"/>
              </w:rPr>
              <w:t>不要求</w:t>
            </w:r>
          </w:p>
          <w:p>
            <w:pPr>
              <w:rPr>
                <w:rFonts w:hint="eastAsia" w:ascii="宋体" w:hAnsi="宋体" w:eastAsia="宋体" w:cs="宋体"/>
                <w:sz w:val="21"/>
                <w:szCs w:val="21"/>
              </w:rPr>
            </w:pPr>
            <w:r>
              <w:rPr>
                <w:rFonts w:hint="eastAsia" w:ascii="宋体" w:hAnsi="宋体" w:eastAsia="宋体" w:cs="宋体"/>
                <w:b/>
                <w:color w:val="000000"/>
                <w:kern w:val="0"/>
                <w:sz w:val="21"/>
                <w:szCs w:val="21"/>
              </w:rPr>
              <w:t>本项目收取投标保证金</w:t>
            </w:r>
            <w:r>
              <w:rPr>
                <w:rFonts w:hint="eastAsia" w:ascii="宋体" w:hAnsi="宋体" w:eastAsia="宋体" w:cs="宋体"/>
                <w:bCs/>
                <w:color w:val="000000"/>
                <w:kern w:val="0"/>
                <w:sz w:val="21"/>
                <w:szCs w:val="21"/>
                <w:u w:val="single"/>
                <w:lang w:val="en-US" w:eastAsia="zh-CN"/>
              </w:rPr>
              <w:t>2</w:t>
            </w:r>
            <w:r>
              <w:rPr>
                <w:rFonts w:hint="eastAsia" w:ascii="宋体" w:hAnsi="宋体" w:eastAsia="宋体" w:cs="宋体"/>
                <w:bCs/>
                <w:color w:val="000000"/>
                <w:kern w:val="0"/>
                <w:sz w:val="21"/>
                <w:szCs w:val="21"/>
              </w:rPr>
              <w:t>万元人民币，缴纳时间</w:t>
            </w:r>
            <w:r>
              <w:rPr>
                <w:rFonts w:hint="eastAsia"/>
              </w:rPr>
              <w:t>在递交投标文件截止时间之前</w:t>
            </w:r>
            <w:r>
              <w:rPr>
                <w:rFonts w:hint="eastAsia" w:ascii="宋体" w:hAnsi="宋体" w:eastAsia="宋体" w:cs="宋体"/>
                <w:bCs/>
                <w:color w:val="000000"/>
                <w:kern w:val="0"/>
                <w:sz w:val="21"/>
                <w:szCs w:val="21"/>
              </w:rPr>
              <w:t>。</w:t>
            </w:r>
          </w:p>
          <w:p>
            <w:pPr>
              <w:numPr>
                <w:ilvl w:val="0"/>
                <w:numId w:val="0"/>
              </w:numPr>
              <w:rPr>
                <w:rFonts w:hint="eastAsia"/>
              </w:rPr>
            </w:pPr>
            <w:r>
              <w:rPr>
                <w:rFonts w:hint="eastAsia"/>
              </w:rPr>
              <w:t>投标保证金有效期：与投标有效期一致。</w:t>
            </w:r>
          </w:p>
          <w:p>
            <w:pPr>
              <w:numPr>
                <w:ilvl w:val="0"/>
                <w:numId w:val="0"/>
              </w:numPr>
              <w:rPr>
                <w:rFonts w:hint="eastAsia"/>
              </w:rPr>
            </w:pPr>
            <w:r>
              <w:rPr>
                <w:rFonts w:hint="eastAsia"/>
              </w:rPr>
              <w:t>投标保证金可采用现金、或者支票、银行保函、保证保险、专业工程担保公司担保等方式缴纳，须在递交投标文件截止时间前完成缴纳。</w:t>
            </w:r>
          </w:p>
          <w:p>
            <w:pPr>
              <w:numPr>
                <w:ilvl w:val="0"/>
                <w:numId w:val="0"/>
              </w:numPr>
              <w:rPr>
                <w:rFonts w:hint="eastAsia"/>
              </w:rPr>
            </w:pPr>
            <w:r>
              <w:rPr>
                <w:rFonts w:hint="eastAsia"/>
              </w:rPr>
              <w:t>1、如采用现金或者支票形式提交的，投标保证金从投标人基本账户递交，由广州交易集团有限公司代收。具体操作要求详见广州交易集团有限公司（广州公共资源交易中心）有关指引，递交事宜请自行咨询交易中心；请各投标人在投标文件递交截止时间前按上述金额递交至广州交易集团有限公司，到账情况以开标时广州交易集团有限公司（广州公共资源交易中心）数据库查询的信息为准。</w:t>
            </w:r>
          </w:p>
          <w:p>
            <w:pPr>
              <w:numPr>
                <w:ilvl w:val="0"/>
                <w:numId w:val="0"/>
              </w:numPr>
              <w:rPr>
                <w:rFonts w:hint="eastAsia"/>
              </w:rPr>
            </w:pPr>
            <w:r>
              <w:rPr>
                <w:rFonts w:hint="eastAsia"/>
              </w:rPr>
              <w:t>2、如采用非电子形式的银行保函、担保或保证保险或专业工程担保公司担保等形式提交投标保证金的形式提交的，银行保函、或保证保险或专业工程担保公司担保需开具给招标人（受益人也必须是招标人）。在开标前不强制要求投标人提交纸质原件，由中标候选人在中标候选人公示前提交并在网上公示，但投标人应在投标文件中提交非电子形式的银行保函、担保或保证保险等形式的原件扫描件并加盖投标单位电子印章。如投标人选择在开标前提交纸质原件的，可在投标截止时间前单独密封递交（封套上注明“【项目名称】银行保函、担保或保证保险或专业工程担保公司担保”，并注明投标单位名称）至开标室（时间及地点同递交备用投标文件电子光盘的时间及地点）。</w:t>
            </w:r>
          </w:p>
          <w:p>
            <w:pPr>
              <w:numPr>
                <w:ilvl w:val="0"/>
                <w:numId w:val="0"/>
              </w:numPr>
            </w:pPr>
            <w:r>
              <w:rPr>
                <w:rFonts w:hint="eastAsia"/>
              </w:rPr>
              <w:t>3、如采用电子形式的保函、保证保险或担保提交投标保证金的，详见广州交易集团有限公司（广州公共资源交易中心）的相关操作指引为准。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3.4.4</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其他可以不予退还投标保证金的情形</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3.5</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资格审查资料的特殊要求</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lang w:eastAsia="zh-CN"/>
              </w:rPr>
              <w:t>☑</w:t>
            </w:r>
            <w:r>
              <w:rPr>
                <w:rFonts w:hint="eastAsia" w:ascii="宋体" w:hAnsi="宋体" w:cs="宋体"/>
                <w:szCs w:val="21"/>
              </w:rPr>
              <w:t>无</w:t>
            </w:r>
          </w:p>
          <w:p>
            <w:r>
              <w:rPr>
                <w:rFonts w:hint="eastAsia" w:ascii="宋体" w:hAnsi="宋体" w:cs="宋体"/>
                <w:szCs w:val="21"/>
              </w:rPr>
              <w:sym w:font="Wingdings" w:char="00A8"/>
            </w:r>
            <w:r>
              <w:rPr>
                <w:rFonts w:hint="eastAsia" w:ascii="宋体" w:hAnsi="宋体" w:cs="宋体"/>
                <w:szCs w:val="21"/>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3.5.2</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近年财务状况的年份要求</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color w:val="auto"/>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3.5.3</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近年完成的类似项目情况的时间要求</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u w:val="single"/>
              </w:rPr>
              <w:t>时间要求：20</w:t>
            </w:r>
            <w:r>
              <w:rPr>
                <w:rFonts w:hint="eastAsia" w:ascii="宋体" w:hAnsi="宋体" w:cs="宋体"/>
                <w:szCs w:val="21"/>
                <w:highlight w:val="none"/>
                <w:u w:val="single"/>
                <w:lang w:val="en-US" w:eastAsia="zh-CN"/>
              </w:rPr>
              <w:t>21</w:t>
            </w:r>
            <w:r>
              <w:rPr>
                <w:rFonts w:hint="eastAsia" w:ascii="宋体" w:hAnsi="宋体" w:cs="宋体"/>
                <w:szCs w:val="21"/>
                <w:highlight w:val="none"/>
                <w:u w:val="single"/>
              </w:rPr>
              <w:t>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3.5.4</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olor w:val="auto"/>
                <w:highlight w:val="none"/>
              </w:rPr>
              <w:t>正在实施和新承接的项目情况</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color w:val="auto"/>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3.5.5</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近年发生的诉讼及仲裁情况的时间要求</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color w:val="auto"/>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3.5.6</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拟委任的主要人员汇总表</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color w:val="auto"/>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3.5.7</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拟投入本项目的主要试验检测仪器设备</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color w:val="auto"/>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3.6.1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是否允许递交备选投标方案</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sym w:font="Wingdings" w:char="00FE"/>
            </w:r>
            <w:r>
              <w:rPr>
                <w:rFonts w:hint="eastAsia" w:ascii="宋体" w:hAnsi="宋体" w:cs="宋体"/>
                <w:szCs w:val="21"/>
              </w:rPr>
              <w:t>不允许</w:t>
            </w:r>
          </w:p>
          <w:p>
            <w:pPr>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3.7.3A（2）</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投标文件副本份数及其他要求</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3.7.3A（3）</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投标文件是否需分册装订</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9"/>
              <w:spacing w:after="0"/>
              <w:ind w:firstLine="0" w:firstLineChars="0"/>
              <w:rPr>
                <w:rFonts w:ascii="宋体" w:hAnsi="宋体" w:cs="宋体"/>
                <w:kern w:val="2"/>
                <w:sz w:val="21"/>
                <w:szCs w:val="21"/>
              </w:rPr>
            </w:pPr>
            <w:r>
              <w:rPr>
                <w:rFonts w:hint="eastAsia" w:ascii="宋体" w:hAnsi="宋体"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3.7.3 (B)</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投标文件所附证书证件要求</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color w:val="000000"/>
                <w:szCs w:val="21"/>
                <w:highlight w:val="none"/>
                <w:u w:val="single"/>
              </w:rPr>
              <w:t>证书证件需为清晰扫描件，并采用单位数字证书，按照招标文件要求在相应位置加盖电子印章。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3.7.3 (B)</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 xml:space="preserve">投标文件签字或盖章要求 </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投标文件中需法定代表人、代理人签字或加盖电子印章的，应加盖个人电子印章或在线下完成后扫描上传。投标文件按招标文件要求加盖单位电子印章。相关操作详见广州公共资源交易中心网站发布的最新版操作指引。</w:t>
            </w:r>
          </w:p>
          <w:p>
            <w:pPr>
              <w:rPr>
                <w:rFonts w:ascii="宋体" w:hAnsi="宋体" w:cs="宋体"/>
                <w:szCs w:val="21"/>
              </w:rPr>
            </w:pPr>
            <w:r>
              <w:rPr>
                <w:rFonts w:hint="eastAsia" w:ascii="宋体" w:hAnsi="宋体" w:eastAsia="宋体" w:cs="宋体"/>
                <w:color w:val="auto"/>
                <w:szCs w:val="21"/>
                <w:highlight w:val="none"/>
                <w:u w:val="single"/>
              </w:rPr>
              <w:t>联合体投标时，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成)单位全称】，由联合体主办方签字或盖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4.1.1(B)</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投标文件加密要求</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color w:val="000000"/>
                <w:szCs w:val="21"/>
                <w:highlight w:val="none"/>
                <w:u w:val="single"/>
              </w:rPr>
              <w:t>网上递交的电子投标文件须进行加密。具体操作详见广州公共资源交易中心网站发布</w:t>
            </w:r>
            <w:r>
              <w:rPr>
                <w:rFonts w:hint="eastAsia" w:ascii="宋体" w:hAnsi="宋体" w:cs="宋体"/>
                <w:color w:val="000000"/>
                <w:szCs w:val="21"/>
                <w:highlight w:val="none"/>
                <w:u w:val="single"/>
                <w:lang w:val="en-US" w:eastAsia="zh-CN"/>
              </w:rPr>
              <w:t>的最新版操作指引</w:t>
            </w:r>
            <w:r>
              <w:rPr>
                <w:rFonts w:hint="eastAsia" w:ascii="宋体" w:hAnsi="宋体" w:cs="宋体"/>
                <w:color w:val="000000"/>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4.1.2</w:t>
            </w:r>
          </w:p>
        </w:tc>
        <w:tc>
          <w:tcPr>
            <w:tcW w:w="2423" w:type="dxa"/>
            <w:tcBorders>
              <w:top w:val="single" w:color="auto" w:sz="4" w:space="0"/>
              <w:left w:val="single" w:color="auto" w:sz="4" w:space="0"/>
              <w:bottom w:val="single" w:color="auto" w:sz="4" w:space="0"/>
              <w:right w:val="single" w:color="auto" w:sz="4" w:space="0"/>
            </w:tcBorders>
            <w:noWrap/>
            <w:vAlign w:val="center"/>
          </w:tcPr>
          <w:p>
            <w:pPr>
              <w:ind w:left="210" w:leftChars="100"/>
              <w:rPr>
                <w:rFonts w:ascii="宋体" w:hAnsi="宋体" w:cs="宋体"/>
                <w:szCs w:val="21"/>
              </w:rPr>
            </w:pPr>
            <w:r>
              <w:rPr>
                <w:rFonts w:hint="eastAsia" w:ascii="宋体" w:hAnsi="宋体" w:cs="宋体"/>
                <w:szCs w:val="21"/>
              </w:rPr>
              <w:t>封套上应载明的信息</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b/>
                <w:color w:val="000000"/>
                <w:szCs w:val="21"/>
                <w:highlight w:val="none"/>
                <w:u w:val="single"/>
              </w:rPr>
            </w:pPr>
            <w:r>
              <w:rPr>
                <w:rFonts w:hint="eastAsia" w:ascii="宋体" w:hAnsi="宋体" w:cs="宋体"/>
                <w:b/>
                <w:color w:val="000000"/>
                <w:szCs w:val="21"/>
                <w:highlight w:val="none"/>
                <w:u w:val="single"/>
              </w:rPr>
              <w:t>如有提交投标文件光盘备用，封套上应注明如下信息：</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rPr>
              <w:t>招标人名称：</w:t>
            </w:r>
            <w:r>
              <w:rPr>
                <w:rFonts w:hint="eastAsia" w:ascii="宋体" w:hAnsi="宋体" w:cs="宋体"/>
                <w:color w:val="000000"/>
                <w:szCs w:val="21"/>
                <w:highlight w:val="none"/>
                <w:u w:val="single"/>
              </w:rPr>
              <w:t>广州科鑫运营管理有限公司</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招标人地址：</w:t>
            </w:r>
            <w:r>
              <w:rPr>
                <w:rFonts w:hint="eastAsia" w:ascii="宋体" w:hAnsi="宋体" w:cs="宋体"/>
                <w:color w:val="000000"/>
                <w:szCs w:val="21"/>
                <w:highlight w:val="none"/>
                <w:u w:val="single"/>
              </w:rPr>
              <w:t>广州市黄埔区伴河路190号自编B栋311房</w:t>
            </w:r>
          </w:p>
          <w:p>
            <w:pPr>
              <w:spacing w:line="360" w:lineRule="auto"/>
              <w:rPr>
                <w:rFonts w:hint="eastAsia" w:ascii="宋体" w:hAnsi="宋体" w:cs="宋体"/>
                <w:color w:val="000000"/>
                <w:szCs w:val="21"/>
                <w:highlight w:val="none"/>
              </w:rPr>
            </w:pPr>
            <w:r>
              <w:rPr>
                <w:rFonts w:hint="eastAsia" w:ascii="宋体" w:hAnsi="宋体" w:cs="宋体"/>
                <w:bCs/>
                <w:color w:val="000000"/>
                <w:szCs w:val="21"/>
                <w:highlight w:val="none"/>
                <w:u w:val="single"/>
              </w:rPr>
              <w:t xml:space="preserve">     （项目名称）     </w:t>
            </w:r>
            <w:r>
              <w:rPr>
                <w:rFonts w:hint="eastAsia" w:ascii="宋体" w:hAnsi="宋体" w:cs="宋体"/>
                <w:color w:val="000000"/>
                <w:szCs w:val="21"/>
                <w:highlight w:val="none"/>
              </w:rPr>
              <w:t>招标项目投标文件</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rPr>
              <w:t>招标项目编号：</w:t>
            </w:r>
            <w:r>
              <w:rPr>
                <w:rFonts w:hint="eastAsia" w:ascii="宋体" w:hAnsi="宋体" w:cs="宋体"/>
                <w:color w:val="000000"/>
                <w:szCs w:val="21"/>
                <w:highlight w:val="none"/>
                <w:u w:val="single"/>
              </w:rPr>
              <w:t xml:space="preserve">                  </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投标人名称：</w:t>
            </w:r>
            <w:r>
              <w:rPr>
                <w:rFonts w:hint="eastAsia" w:ascii="宋体" w:hAnsi="宋体" w:cs="宋体"/>
                <w:color w:val="000000"/>
                <w:szCs w:val="21"/>
                <w:highlight w:val="none"/>
                <w:u w:val="single"/>
              </w:rPr>
              <w:t xml:space="preserve">                    </w:t>
            </w:r>
          </w:p>
          <w:p>
            <w:pPr>
              <w:ind w:hanging="10"/>
              <w:rPr>
                <w:rFonts w:ascii="宋体" w:hAnsi="宋体" w:cs="宋体"/>
                <w:szCs w:val="21"/>
              </w:rPr>
            </w:pPr>
            <w:r>
              <w:rPr>
                <w:rFonts w:hint="eastAsia" w:ascii="宋体" w:hAnsi="宋体" w:cs="宋体"/>
                <w:color w:val="000000"/>
                <w:szCs w:val="21"/>
                <w:highlight w:val="none"/>
              </w:rPr>
              <w:t>在</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4.2.1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投标截止时间</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color w:val="000000"/>
                <w:szCs w:val="21"/>
                <w:highlight w:val="none"/>
              </w:rPr>
              <w:t>投标截止时间：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时</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分（北京时间）</w:t>
            </w:r>
            <w:r>
              <w:rPr>
                <w:rFonts w:hint="eastAsia" w:ascii="宋体" w:hAnsi="宋体" w:cs="宋体"/>
                <w:szCs w:val="21"/>
              </w:rPr>
              <w:t>（详见广州公共资源交易中心网站信息）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szCs w:val="21"/>
              </w:rPr>
            </w:pPr>
            <w:r>
              <w:rPr>
                <w:rFonts w:hint="eastAsia" w:ascii="宋体" w:hAnsi="宋体" w:cs="宋体"/>
                <w:szCs w:val="21"/>
              </w:rPr>
              <w:t>4.2.2（A）</w:t>
            </w:r>
          </w:p>
        </w:tc>
        <w:tc>
          <w:tcPr>
            <w:tcW w:w="242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递交投标文件地点</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1.递交方式：网上递交投标文件。</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 xml:space="preserve">2.地点：广州交易集团有限公司（广州公共资源交易中心）网站。 </w:t>
            </w:r>
          </w:p>
          <w:p>
            <w:pPr>
              <w:rPr>
                <w:rFonts w:ascii="宋体" w:hAnsi="宋体" w:cs="宋体"/>
                <w:szCs w:val="21"/>
              </w:rPr>
            </w:pPr>
            <w:r>
              <w:rPr>
                <w:rFonts w:hint="eastAsia" w:ascii="宋体" w:hAnsi="宋体" w:cs="宋体"/>
                <w:color w:val="000000"/>
                <w:szCs w:val="21"/>
                <w:highlight w:val="none"/>
                <w:u w:val="single"/>
              </w:rPr>
              <w:t>3.上述时间及地点是否有改变，请密切留意招标答疑纪要的相关信息。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4.2.3</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投标文件是否退还</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sym w:font="Wingdings" w:char="00FE"/>
            </w:r>
            <w:r>
              <w:rPr>
                <w:rFonts w:hint="eastAsia" w:ascii="宋体" w:hAnsi="宋体" w:cs="宋体"/>
                <w:szCs w:val="21"/>
              </w:rPr>
              <w:t>否</w:t>
            </w:r>
          </w:p>
          <w:p>
            <w:pPr>
              <w:rPr>
                <w:rFonts w:ascii="宋体" w:hAnsi="宋体" w:cs="宋体"/>
                <w:szCs w:val="21"/>
              </w:rPr>
            </w:pPr>
            <w:r>
              <w:rPr>
                <w:rFonts w:hint="eastAsia" w:ascii="宋体" w:hAnsi="宋体" w:cs="宋体"/>
                <w:szCs w:val="21"/>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5.1（A）</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开标时间和地点</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color w:val="000000"/>
                <w:szCs w:val="21"/>
                <w:highlight w:val="none"/>
                <w:u w:val="singl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5.1（B）</w:t>
            </w:r>
          </w:p>
          <w:p>
            <w:pPr>
              <w:jc w:val="center"/>
              <w:rPr>
                <w:rFonts w:ascii="宋体" w:hAnsi="宋体" w:cs="宋体"/>
                <w:szCs w:val="21"/>
              </w:rPr>
            </w:pPr>
            <w:r>
              <w:rPr>
                <w:rFonts w:hint="eastAsia" w:ascii="宋体" w:hAnsi="宋体" w:cs="宋体"/>
                <w:szCs w:val="21"/>
              </w:rPr>
              <w:t>（新增）</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开标时间和地点</w:t>
            </w:r>
          </w:p>
        </w:tc>
        <w:tc>
          <w:tcPr>
            <w:tcW w:w="5746" w:type="dxa"/>
            <w:tcBorders>
              <w:top w:val="single" w:color="auto" w:sz="4" w:space="0"/>
              <w:left w:val="single" w:color="auto" w:sz="4" w:space="0"/>
              <w:bottom w:val="single" w:color="auto" w:sz="4" w:space="0"/>
              <w:right w:val="single" w:color="auto" w:sz="4" w:space="0"/>
            </w:tcBorders>
            <w:noWrap/>
            <w:vAlign w:val="center"/>
          </w:tcPr>
          <w:p>
            <w:pPr>
              <w:pStyle w:val="19"/>
              <w:ind w:firstLine="0" w:firstLineChars="0"/>
              <w:rPr>
                <w:rFonts w:hint="eastAsia"/>
                <w:sz w:val="21"/>
                <w:szCs w:val="21"/>
              </w:rPr>
            </w:pPr>
            <w:r>
              <w:rPr>
                <w:rFonts w:hint="eastAsia"/>
                <w:sz w:val="21"/>
                <w:szCs w:val="21"/>
              </w:rPr>
              <w:t>开标时间：</w:t>
            </w:r>
            <w:r>
              <w:rPr>
                <w:rFonts w:hint="eastAsia"/>
                <w:sz w:val="21"/>
                <w:szCs w:val="21"/>
                <w:u w:val="single"/>
              </w:rPr>
              <w:t>同投标截止时间</w:t>
            </w:r>
          </w:p>
          <w:p>
            <w:pPr>
              <w:pStyle w:val="19"/>
              <w:ind w:firstLine="0" w:firstLineChars="0"/>
            </w:pPr>
            <w:r>
              <w:rPr>
                <w:rFonts w:hint="eastAsia"/>
                <w:sz w:val="21"/>
                <w:szCs w:val="21"/>
              </w:rPr>
              <w:t>开标地点：</w:t>
            </w:r>
            <w:r>
              <w:rPr>
                <w:rFonts w:hint="eastAsia"/>
                <w:sz w:val="21"/>
                <w:szCs w:val="21"/>
                <w:u w:val="single"/>
              </w:rPr>
              <w:t>本项目具体的招投标活动日程安排及场地安排以广州交易集团有限公司（广州公共资源交易中心）网站公布的为准。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5.2（4）（A）</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开标程序</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5.2（4）（B）</w:t>
            </w:r>
          </w:p>
          <w:p>
            <w:pPr>
              <w:jc w:val="center"/>
              <w:rPr>
                <w:rFonts w:ascii="宋体" w:hAnsi="宋体" w:cs="宋体"/>
                <w:szCs w:val="21"/>
              </w:rPr>
            </w:pPr>
            <w:r>
              <w:rPr>
                <w:rFonts w:hint="eastAsia" w:ascii="宋体" w:hAnsi="宋体" w:cs="宋体"/>
                <w:szCs w:val="21"/>
              </w:rPr>
              <w:t>（新增）</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开标程序</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电子招投标项目开标按下列程序进行：</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5.2.1主持人按下列程序进行开标：</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（1）宣布开标纪律；</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（2）公布在投标截止时间前递交投标文件的投标人名称；</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（3）宣布开标人、唱标人、记录人、监标人等有关人员姓名；</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（4）（B）投标人通过电子招标投标交易平台对已递交的电子投标文件进行解密，公布招标项目名称、投标人名称、投标</w:t>
            </w:r>
            <w:r>
              <w:rPr>
                <w:rFonts w:hint="eastAsia" w:ascii="宋体" w:hAnsi="宋体" w:cs="宋体"/>
                <w:color w:val="000000"/>
                <w:szCs w:val="21"/>
                <w:highlight w:val="none"/>
                <w:u w:val="single"/>
                <w:lang w:val="en-US" w:eastAsia="zh-CN"/>
              </w:rPr>
              <w:t>总</w:t>
            </w:r>
            <w:r>
              <w:rPr>
                <w:rFonts w:hint="eastAsia" w:ascii="宋体" w:hAnsi="宋体" w:cs="宋体"/>
                <w:color w:val="000000"/>
                <w:szCs w:val="21"/>
                <w:highlight w:val="none"/>
                <w:u w:val="single"/>
              </w:rPr>
              <w:t>报价、项目负责人、服务期限及其他内容，并记录在案；</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（5）（B）投标人代表、招标人代表、监标人、记录人等有关人员在开标记录上签字确认；若有关人员不签字的，不影响开标程序；</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（6）开标结束。</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5.2.2投标截止时间前未完成投标文件传输的或因投标人之外的原因造成投标文件未解密的</w:t>
            </w:r>
            <w:r>
              <w:rPr>
                <w:rFonts w:hint="eastAsia" w:ascii="宋体" w:hAnsi="宋体" w:eastAsia="宋体" w:cs="宋体"/>
                <w:color w:val="auto"/>
                <w:szCs w:val="21"/>
                <w:highlight w:val="none"/>
                <w:u w:val="single"/>
                <w:lang w:val="en-US" w:eastAsia="zh-CN"/>
              </w:rPr>
              <w:t>且未递交电子光盘</w:t>
            </w:r>
            <w:r>
              <w:rPr>
                <w:rFonts w:hint="eastAsia" w:ascii="宋体" w:hAnsi="宋体" w:eastAsia="宋体" w:cs="宋体"/>
                <w:color w:val="auto"/>
                <w:szCs w:val="21"/>
                <w:highlight w:val="none"/>
                <w:u w:val="single"/>
              </w:rPr>
              <w:t>的</w:t>
            </w:r>
            <w:r>
              <w:rPr>
                <w:rFonts w:hint="eastAsia" w:ascii="宋体" w:hAnsi="宋体" w:cs="宋体"/>
                <w:color w:val="000000"/>
                <w:szCs w:val="21"/>
                <w:highlight w:val="none"/>
                <w:u w:val="single"/>
              </w:rPr>
              <w:t>，视为投标人其撤回投标文件。因投标人原因造成投标文件未解密的或未在投标截止时间后半小时解密的，视为撤销其投标文件。</w:t>
            </w:r>
          </w:p>
          <w:p>
            <w:pPr>
              <w:rPr>
                <w:rFonts w:ascii="宋体" w:hAnsi="宋体" w:cs="宋体"/>
                <w:szCs w:val="21"/>
              </w:rPr>
            </w:pPr>
            <w:r>
              <w:rPr>
                <w:rFonts w:hint="eastAsia" w:ascii="宋体" w:hAnsi="宋体" w:cs="宋体"/>
                <w:color w:val="000000"/>
                <w:szCs w:val="21"/>
                <w:highlight w:val="none"/>
                <w:u w:val="singl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6.1.1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评标委员会的组建</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6.3.2</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评标委员会推荐中标候选人的人数</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推荐的中标候选人数：</w:t>
            </w:r>
            <w:r>
              <w:rPr>
                <w:rFonts w:hint="eastAsia" w:ascii="宋体" w:hAnsi="宋体" w:cs="宋体"/>
                <w:szCs w:val="21"/>
                <w:u w:val="single"/>
              </w:rPr>
              <w:t xml:space="preserve"> 3 </w:t>
            </w:r>
            <w:r>
              <w:rPr>
                <w:rFonts w:hint="eastAsia" w:ascii="宋体" w:hAns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7.1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中标候选人公示媒介及期限</w:t>
            </w:r>
          </w:p>
        </w:tc>
        <w:tc>
          <w:tcPr>
            <w:tcW w:w="574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szCs w:val="21"/>
              </w:rPr>
            </w:pPr>
            <w:r>
              <w:rPr>
                <w:rFonts w:hint="eastAsia" w:ascii="宋体" w:hAnsi="宋体" w:cs="宋体"/>
                <w:szCs w:val="21"/>
              </w:rPr>
              <w:t>公示媒介：中国招标投标公共服务平台、广东省招标投标监管网、广州公共资源交易中心网站</w:t>
            </w:r>
            <w:r>
              <w:rPr>
                <w:rFonts w:hint="eastAsia" w:ascii="宋体" w:hAnsi="宋体" w:cs="宋体"/>
                <w:szCs w:val="21"/>
                <w:lang w:eastAsia="zh-CN"/>
              </w:rPr>
              <w:t>、广州国企阳光采购信息发布平台</w:t>
            </w:r>
            <w:r>
              <w:rPr>
                <w:rFonts w:hint="eastAsia" w:ascii="宋体" w:hAnsi="宋体" w:cs="宋体"/>
                <w:szCs w:val="21"/>
              </w:rPr>
              <w:t>公示。</w:t>
            </w:r>
          </w:p>
          <w:p>
            <w:pPr>
              <w:rPr>
                <w:rFonts w:ascii="宋体" w:hAnsi="宋体" w:cs="宋体"/>
                <w:szCs w:val="21"/>
              </w:rPr>
            </w:pPr>
            <w:r>
              <w:rPr>
                <w:rFonts w:hint="eastAsia" w:ascii="宋体" w:hAnsi="宋体" w:cs="宋体"/>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7.4</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是否授权评标委员会确定中标人</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□是</w:t>
            </w:r>
          </w:p>
          <w:p>
            <w:pPr>
              <w:rPr>
                <w:rFonts w:ascii="宋体" w:hAnsi="宋体" w:cs="宋体"/>
                <w:szCs w:val="21"/>
              </w:rPr>
            </w:pPr>
            <w:r>
              <w:rPr>
                <w:rFonts w:hint="eastAsia" w:ascii="宋体" w:hAnsi="宋体" w:cs="宋体"/>
                <w:szCs w:val="21"/>
              </w:rPr>
              <w:sym w:font="Wingdings" w:char="00FE"/>
            </w: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7.6.1</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履约保证金</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是否要求中标人提交履约保证金：</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要求，履约保证金的形式：</w:t>
            </w:r>
            <w:r>
              <w:rPr>
                <w:rFonts w:hint="eastAsia" w:ascii="宋体" w:hAnsi="宋体" w:cs="宋体"/>
                <w:color w:val="000000"/>
                <w:szCs w:val="21"/>
                <w:highlight w:val="none"/>
                <w:u w:val="single"/>
              </w:rPr>
              <w:t>/</w:t>
            </w:r>
          </w:p>
          <w:p>
            <w:pPr>
              <w:spacing w:line="360" w:lineRule="auto"/>
              <w:ind w:firstLine="840" w:firstLineChars="400"/>
              <w:rPr>
                <w:rFonts w:hint="eastAsia" w:ascii="宋体" w:hAnsi="宋体" w:cs="宋体"/>
                <w:color w:val="000000"/>
                <w:szCs w:val="21"/>
                <w:highlight w:val="none"/>
                <w:u w:val="single"/>
              </w:rPr>
            </w:pPr>
            <w:r>
              <w:rPr>
                <w:rFonts w:hint="eastAsia" w:ascii="宋体" w:hAnsi="宋体" w:cs="宋体"/>
                <w:color w:val="000000"/>
                <w:szCs w:val="21"/>
                <w:highlight w:val="none"/>
              </w:rPr>
              <w:t>履约保证金的金额：</w:t>
            </w:r>
            <w:r>
              <w:rPr>
                <w:rFonts w:hint="eastAsia" w:ascii="宋体" w:hAnsi="宋体" w:cs="宋体"/>
                <w:color w:val="000000"/>
                <w:szCs w:val="21"/>
                <w:highlight w:val="none"/>
                <w:u w:val="single"/>
              </w:rPr>
              <w:t>/</w:t>
            </w:r>
          </w:p>
          <w:p>
            <w:pPr>
              <w:rPr>
                <w:rFonts w:ascii="宋体" w:hAnsi="宋体" w:cs="宋体"/>
                <w:szCs w:val="21"/>
              </w:rPr>
            </w:pPr>
            <w:r>
              <w:rPr>
                <w:rFonts w:hint="eastAsia" w:ascii="宋体" w:hAnsi="宋体" w:cs="宋体"/>
                <w:color w:val="000000"/>
                <w:szCs w:val="21"/>
                <w:highlight w:val="none"/>
                <w:lang w:eastAsia="zh-CN"/>
              </w:rPr>
              <w:t>☑</w:t>
            </w:r>
            <w:r>
              <w:rPr>
                <w:rFonts w:hint="eastAsia" w:ascii="宋体" w:hAnsi="宋体" w:cs="宋体"/>
                <w:color w:val="000000"/>
                <w:szCs w:val="21"/>
                <w:highlight w:val="none"/>
              </w:rPr>
              <w:t>不要求：</w:t>
            </w:r>
            <w:r>
              <w:rPr>
                <w:rFonts w:hint="eastAsia" w:ascii="宋体" w:hAnsi="宋体" w:cs="宋体"/>
                <w:color w:val="000000"/>
                <w:szCs w:val="21"/>
                <w:highlight w:val="none"/>
                <w:u w:val="single"/>
              </w:rPr>
              <w:t>本项目不需要</w:t>
            </w:r>
            <w:r>
              <w:rPr>
                <w:rFonts w:hint="eastAsia" w:ascii="宋体" w:hAnsi="宋体" w:eastAsia="宋体" w:cs="宋体"/>
                <w:color w:val="auto"/>
                <w:szCs w:val="21"/>
                <w:highlight w:val="none"/>
                <w:u w:val="single"/>
                <w:lang w:val="en-US" w:eastAsia="zh-CN"/>
              </w:rPr>
              <w:t>中标人</w:t>
            </w:r>
            <w:r>
              <w:rPr>
                <w:rFonts w:hint="eastAsia" w:ascii="宋体" w:hAnsi="宋体" w:cs="宋体"/>
                <w:color w:val="000000"/>
                <w:szCs w:val="21"/>
                <w:highlight w:val="none"/>
                <w:u w:val="single"/>
              </w:rPr>
              <w:t>提交履约保证金</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9</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是否采用电子招标投标</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□否</w:t>
            </w:r>
          </w:p>
          <w:p>
            <w:pPr>
              <w:rPr>
                <w:rFonts w:ascii="宋体" w:hAnsi="宋体" w:cs="宋体"/>
                <w:szCs w:val="21"/>
              </w:rPr>
            </w:pPr>
            <w:r>
              <w:rPr>
                <w:rFonts w:hint="eastAsia" w:ascii="宋体" w:hAnsi="宋体" w:cs="宋体"/>
                <w:szCs w:val="21"/>
              </w:rPr>
              <w:sym w:font="Wingdings" w:char="00FE"/>
            </w:r>
            <w:r>
              <w:rPr>
                <w:rFonts w:hint="eastAsia" w:ascii="宋体" w:hAnsi="宋体" w:cs="宋体"/>
                <w:szCs w:val="21"/>
              </w:rPr>
              <w:t>是，具体要求：</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1、具体操作详见</w:t>
            </w:r>
            <w:r>
              <w:rPr>
                <w:rFonts w:hint="eastAsia" w:ascii="宋体" w:hAnsi="宋体" w:eastAsia="宋体" w:cs="宋体"/>
                <w:color w:val="auto"/>
                <w:szCs w:val="21"/>
                <w:highlight w:val="none"/>
                <w:u w:val="single"/>
              </w:rPr>
              <w:t>广州公共资源交易中心网站发布的最新版操作指引</w:t>
            </w:r>
            <w:r>
              <w:rPr>
                <w:rFonts w:hint="eastAsia" w:ascii="宋体" w:hAnsi="宋体" w:cs="宋体"/>
                <w:color w:val="000000"/>
                <w:szCs w:val="21"/>
                <w:highlight w:val="none"/>
                <w:u w:val="single"/>
              </w:rPr>
              <w:t>。</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2、现场提交投标文件光盘备用</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投标人将按</w:t>
            </w:r>
            <w:r>
              <w:rPr>
                <w:rFonts w:hint="eastAsia" w:ascii="宋体" w:hAnsi="宋体" w:eastAsia="宋体" w:cs="宋体"/>
                <w:color w:val="auto"/>
                <w:szCs w:val="21"/>
                <w:highlight w:val="none"/>
                <w:u w:val="single"/>
              </w:rPr>
              <w:t>广州公共资源交易中心网站发布的最新版操作指引</w:t>
            </w:r>
            <w:r>
              <w:rPr>
                <w:rFonts w:hint="eastAsia" w:ascii="宋体" w:hAnsi="宋体" w:cs="宋体"/>
                <w:color w:val="000000"/>
                <w:szCs w:val="21"/>
                <w:highlight w:val="none"/>
                <w:u w:val="single"/>
              </w:rPr>
              <w:t>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3、补救方案</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（1）投标文件解密失败的补救方案：</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（2）评标时突发情况的补救方案</w:t>
            </w:r>
          </w:p>
          <w:p>
            <w:pPr>
              <w:spacing w:line="360" w:lineRule="auto"/>
              <w:rPr>
                <w:rFonts w:hint="eastAsia" w:ascii="宋体" w:hAnsi="宋体" w:cs="宋体"/>
                <w:color w:val="000000"/>
                <w:szCs w:val="21"/>
                <w:highlight w:val="none"/>
                <w:u w:val="single"/>
              </w:rPr>
            </w:pPr>
            <w:r>
              <w:rPr>
                <w:rFonts w:hint="eastAsia" w:ascii="宋体" w:hAnsi="宋体" w:cs="宋体"/>
                <w:color w:val="000000"/>
                <w:szCs w:val="21"/>
                <w:highlight w:val="none"/>
                <w:u w:val="single"/>
              </w:rPr>
              <w:t>若遇不可抗力发生（如：网络瘫痪、服务器损坏、交易系统故障短期无法恢复等因素），由评标委员会开启现场递交的全部投标文件光盘，并按光盘内容进行评审。</w:t>
            </w:r>
          </w:p>
          <w:p>
            <w:pPr>
              <w:rPr>
                <w:rFonts w:ascii="宋体" w:hAnsi="宋体" w:cs="宋体"/>
                <w:szCs w:val="21"/>
              </w:rPr>
            </w:pPr>
            <w:r>
              <w:rPr>
                <w:rFonts w:hint="eastAsia" w:ascii="宋体" w:hAnsi="宋体" w:cs="宋体"/>
                <w:color w:val="000000"/>
                <w:szCs w:val="21"/>
                <w:highlight w:val="none"/>
                <w:u w:val="singl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10</w:t>
            </w:r>
          </w:p>
        </w:tc>
        <w:tc>
          <w:tcPr>
            <w:tcW w:w="242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需要补充的其他内容</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szCs w:val="21"/>
                <w:lang w:val="en-US" w:eastAsia="zh-CN"/>
              </w:rPr>
            </w:pPr>
            <w:r>
              <w:rPr>
                <w:rFonts w:hint="eastAsia" w:ascii="宋体" w:hAnsi="宋体" w:cs="宋体"/>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u w:val="single"/>
              </w:rPr>
              <w:t>10.1</w:t>
            </w:r>
          </w:p>
        </w:tc>
        <w:tc>
          <w:tcPr>
            <w:tcW w:w="24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color w:val="000000"/>
                <w:szCs w:val="21"/>
                <w:highlight w:val="none"/>
                <w:u w:val="single"/>
              </w:rPr>
              <w:t>招标失败的情形</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Cs w:val="21"/>
              </w:rPr>
            </w:pPr>
            <w:r>
              <w:rPr>
                <w:rFonts w:hint="eastAsia" w:ascii="宋体" w:hAnsi="宋体" w:eastAsia="宋体" w:cs="宋体"/>
                <w:color w:val="auto"/>
                <w:kern w:val="0"/>
                <w:szCs w:val="21"/>
                <w:highlight w:val="none"/>
                <w:u w:val="single"/>
              </w:rPr>
              <w:t>本项目采用资格后审，递交投标文件的投标人不足</w:t>
            </w:r>
            <w:r>
              <w:rPr>
                <w:rFonts w:hint="eastAsia" w:ascii="宋体" w:hAnsi="宋体" w:eastAsia="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rPr>
              <w:t>名</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lang w:val="en-US" w:eastAsia="zh-CN"/>
              </w:rPr>
              <w:t>或</w:t>
            </w:r>
            <w:r>
              <w:rPr>
                <w:rFonts w:hint="eastAsia" w:ascii="宋体" w:hAnsi="宋体" w:eastAsia="宋体" w:cs="宋体"/>
                <w:color w:val="auto"/>
                <w:kern w:val="0"/>
                <w:szCs w:val="21"/>
                <w:highlight w:val="none"/>
                <w:u w:val="single"/>
              </w:rPr>
              <w:t>满足资格审查合格条件的投标人不足3名</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或经评审有效的投标单位不足3名时为该标段招标失败。招标人分析招标失败原因，修正招标方案，重新组织招标。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szCs w:val="21"/>
                <w:u w:val="single"/>
              </w:rPr>
            </w:pPr>
            <w:r>
              <w:rPr>
                <w:rFonts w:hint="eastAsia" w:ascii="宋体" w:hAnsi="宋体" w:cs="宋体"/>
                <w:szCs w:val="21"/>
                <w:u w:val="single"/>
              </w:rPr>
              <w:t>10.2</w:t>
            </w:r>
          </w:p>
        </w:tc>
        <w:tc>
          <w:tcPr>
            <w:tcW w:w="24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rPr>
            </w:pPr>
            <w:r>
              <w:rPr>
                <w:rFonts w:hint="eastAsia" w:ascii="宋体" w:hAnsi="宋体" w:cs="宋体"/>
                <w:color w:val="000000"/>
                <w:szCs w:val="21"/>
                <w:highlight w:val="none"/>
                <w:u w:val="single"/>
              </w:rPr>
              <w:t>交易服务费</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olor w:val="auto"/>
                <w:szCs w:val="21"/>
                <w:highlight w:val="none"/>
                <w:u w:val="single"/>
              </w:rPr>
              <w:t>中标人按</w:t>
            </w:r>
            <w:r>
              <w:rPr>
                <w:rFonts w:hint="eastAsia" w:ascii="宋体" w:hAnsi="宋体"/>
                <w:color w:val="auto"/>
                <w:szCs w:val="21"/>
                <w:highlight w:val="none"/>
                <w:u w:val="single"/>
                <w:lang w:val="en-US" w:eastAsia="zh-CN"/>
              </w:rPr>
              <w:t>最新</w:t>
            </w:r>
            <w:r>
              <w:rPr>
                <w:rFonts w:hint="eastAsia" w:ascii="宋体" w:hAnsi="宋体"/>
                <w:color w:val="auto"/>
                <w:szCs w:val="21"/>
                <w:highlight w:val="none"/>
                <w:u w:val="single"/>
              </w:rPr>
              <w:t>《广州交易集团关于建设工程交易服务收费标准的通知》文件的规定，向广州公共资源交易中心代缴交易服务费，交易服务费的金额按标段收费，中标价1亿元(含1亿元)以下按0.9‰，超过1亿元部分按0.5‰, 分段累计计算，最低为2000元/标段，最高不超过20万元/标段。其费用包含在中标人投标报价中，招标人不另行支付。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szCs w:val="21"/>
                <w:u w:val="single"/>
              </w:rPr>
            </w:pPr>
            <w:r>
              <w:rPr>
                <w:rFonts w:hint="eastAsia" w:ascii="宋体" w:hAnsi="宋体" w:cs="宋体"/>
                <w:szCs w:val="21"/>
                <w:u w:val="single"/>
              </w:rPr>
              <w:t>10.3</w:t>
            </w:r>
          </w:p>
        </w:tc>
        <w:tc>
          <w:tcPr>
            <w:tcW w:w="242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招标代理费</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1</w:t>
            </w: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rPr>
              <w:t>本项目招标代理服务费及相关费用由中标人支付，费用为</w:t>
            </w:r>
            <w:r>
              <w:rPr>
                <w:rFonts w:hint="eastAsia" w:ascii="宋体" w:hAnsi="宋体" w:eastAsia="宋体"/>
                <w:color w:val="auto"/>
                <w:szCs w:val="21"/>
                <w:highlight w:val="none"/>
                <w:u w:val="single"/>
                <w:lang w:val="en-US" w:eastAsia="zh-CN"/>
              </w:rPr>
              <w:t>11040</w:t>
            </w:r>
            <w:r>
              <w:rPr>
                <w:rFonts w:hint="eastAsia" w:ascii="宋体" w:hAnsi="宋体" w:eastAsia="宋体"/>
                <w:color w:val="auto"/>
                <w:szCs w:val="21"/>
                <w:highlight w:val="none"/>
                <w:u w:val="single"/>
              </w:rPr>
              <w:t>元。</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2</w:t>
            </w: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rPr>
              <w:t>费用支付方式：中标单位在领取中标通知书前向招标代理机构广州竣盛工程造价咨询有限公司一次性支付。代理机构同时向缴费单位开具发票。</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3</w:t>
            </w: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rPr>
              <w:t>汇款帐号：</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收款单位：广州竣盛工程造价咨询有限公司</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开户行：建行广州供电局大厦支行</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银行账号：44001101260052500061</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*2017年7月1日起招标代理业务必须开具增值税发票，为不影响招标代理业务顺利进行，请各单位开票前准备以下资料发送至junshengzb@126.com：</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1、营业执照副本复印件；</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2、国税登记证副本复印件(已办理三证合一的不需提供)；</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3、开户许可证复印件；</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4、一般纳税人证明复印件（或税务事项通知书（认定通知）。</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5、如需开具增值税专用发票，请提供公司名称、纳税人识别号、地址电话、开户行及账号信息。</w:t>
            </w:r>
          </w:p>
          <w:p>
            <w:pPr>
              <w:spacing w:line="360" w:lineRule="auto"/>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上述资料需加盖公章。</w:t>
            </w:r>
          </w:p>
          <w:p>
            <w:pPr>
              <w:spacing w:line="360" w:lineRule="auto"/>
            </w:pPr>
            <w:r>
              <w:rPr>
                <w:rFonts w:hint="eastAsia" w:ascii="宋体" w:hAnsi="宋体" w:eastAsia="宋体"/>
                <w:color w:val="auto"/>
                <w:szCs w:val="21"/>
                <w:highlight w:val="none"/>
                <w:u w:val="single"/>
              </w:rPr>
              <w:t>注：由于增值税专用发票抵扣期为自开票之日起360天内（不是一年），超过360天未抵扣的专用发票不能抵扣不能作废。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szCs w:val="21"/>
                <w:u w:val="single"/>
                <w:lang w:eastAsia="zh-CN"/>
              </w:rPr>
            </w:pPr>
            <w:r>
              <w:rPr>
                <w:rFonts w:hint="eastAsia" w:ascii="宋体" w:hAnsi="宋体" w:cs="宋体"/>
                <w:szCs w:val="21"/>
                <w:u w:val="single"/>
              </w:rPr>
              <w:t>10.</w:t>
            </w:r>
            <w:r>
              <w:rPr>
                <w:rFonts w:hint="eastAsia" w:ascii="宋体" w:hAnsi="宋体" w:cs="宋体"/>
                <w:szCs w:val="21"/>
                <w:u w:val="single"/>
                <w:lang w:val="en-US" w:eastAsia="zh-CN"/>
              </w:rPr>
              <w:t>4</w:t>
            </w:r>
          </w:p>
        </w:tc>
        <w:tc>
          <w:tcPr>
            <w:tcW w:w="242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rPr>
              <w:t>中标公示后中标单位提交投标文件要求</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eastAsia="宋体" w:cs="宋体"/>
                <w:color w:val="000000"/>
                <w:szCs w:val="21"/>
                <w:highlight w:val="none"/>
                <w:u w:val="single"/>
              </w:rPr>
              <w:t>中标候选人公示后3天内中标人需将在广州公共资源交易中心网站下载的投标文件打印，投标文件需与中标人在广州公共资源交易中心网站提交的投标文件一致，中标人加盖公章，一正4副（加盖公章），合共5套投标文件提供给招标人，相关费用由投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szCs w:val="21"/>
                <w:u w:val="single"/>
                <w:lang w:eastAsia="zh-CN"/>
              </w:rPr>
            </w:pPr>
            <w:r>
              <w:rPr>
                <w:rFonts w:hint="eastAsia" w:ascii="宋体" w:hAnsi="宋体" w:cs="宋体"/>
                <w:szCs w:val="21"/>
                <w:u w:val="single"/>
              </w:rPr>
              <w:t>10.</w:t>
            </w:r>
            <w:r>
              <w:rPr>
                <w:rFonts w:hint="eastAsia" w:ascii="宋体" w:hAnsi="宋体" w:cs="宋体"/>
                <w:szCs w:val="21"/>
                <w:u w:val="single"/>
                <w:lang w:val="en-US" w:eastAsia="zh-CN"/>
              </w:rPr>
              <w:t>5</w:t>
            </w:r>
          </w:p>
        </w:tc>
        <w:tc>
          <w:tcPr>
            <w:tcW w:w="24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szCs w:val="21"/>
                <w:u w:val="single"/>
              </w:rPr>
            </w:pPr>
            <w:r>
              <w:rPr>
                <w:rFonts w:hint="eastAsia" w:ascii="宋体" w:hAnsi="宋体" w:cs="宋体"/>
                <w:color w:val="000000"/>
                <w:szCs w:val="21"/>
                <w:highlight w:val="none"/>
                <w:u w:val="single"/>
              </w:rPr>
              <w:t>定标及中标原则</w:t>
            </w:r>
          </w:p>
        </w:tc>
        <w:tc>
          <w:tcPr>
            <w:tcW w:w="5746" w:type="dxa"/>
            <w:tcBorders>
              <w:top w:val="single" w:color="auto" w:sz="4" w:space="0"/>
              <w:left w:val="single" w:color="auto" w:sz="4" w:space="0"/>
              <w:bottom w:val="single" w:color="auto" w:sz="4" w:space="0"/>
              <w:right w:val="single" w:color="auto" w:sz="4" w:space="0"/>
            </w:tcBorders>
            <w:noWrap/>
            <w:vAlign w:val="center"/>
          </w:tcPr>
          <w:p>
            <w:pPr>
              <w:spacing w:line="420" w:lineRule="exact"/>
              <w:rPr>
                <w:rFonts w:ascii="宋体" w:hAnsi="宋体" w:cs="宋体"/>
                <w:szCs w:val="21"/>
              </w:rPr>
            </w:pPr>
            <w:r>
              <w:rPr>
                <w:rFonts w:hint="eastAsia" w:ascii="宋体" w:hAnsi="宋体" w:cs="宋体"/>
                <w:color w:val="000000"/>
                <w:szCs w:val="21"/>
                <w:highlight w:val="none"/>
                <w:u w:val="single"/>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Cs w:val="21"/>
                <w:u w:val="single"/>
                <w:lang w:eastAsia="zh-CN"/>
              </w:rPr>
            </w:pPr>
            <w:bookmarkStart w:id="64" w:name="_Toc25165"/>
            <w:bookmarkStart w:id="65" w:name="_Toc20776"/>
            <w:bookmarkStart w:id="66" w:name="_Toc514170121"/>
            <w:bookmarkStart w:id="67" w:name="_Toc184635071"/>
            <w:bookmarkStart w:id="68" w:name="_Toc9855"/>
            <w:bookmarkStart w:id="69" w:name="_Toc13444"/>
            <w:bookmarkStart w:id="70" w:name="_Toc7526"/>
            <w:bookmarkStart w:id="71" w:name="_Toc393961865"/>
            <w:bookmarkStart w:id="72" w:name="_Toc30533"/>
            <w:r>
              <w:rPr>
                <w:rFonts w:hint="eastAsia" w:ascii="宋体" w:hAnsi="宋体" w:cs="宋体"/>
                <w:szCs w:val="21"/>
                <w:u w:val="single"/>
              </w:rPr>
              <w:t>10.</w:t>
            </w:r>
            <w:r>
              <w:rPr>
                <w:rFonts w:hint="eastAsia" w:ascii="宋体" w:hAnsi="宋体" w:cs="宋体"/>
                <w:szCs w:val="21"/>
                <w:u w:val="single"/>
                <w:lang w:val="en-US" w:eastAsia="zh-CN"/>
              </w:rPr>
              <w:t>6</w:t>
            </w:r>
          </w:p>
        </w:tc>
        <w:tc>
          <w:tcPr>
            <w:tcW w:w="242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cs="宋体"/>
                <w:color w:val="000000"/>
                <w:szCs w:val="21"/>
                <w:highlight w:val="none"/>
                <w:u w:val="single"/>
              </w:rPr>
            </w:pPr>
            <w:r>
              <w:rPr>
                <w:rFonts w:hint="eastAsia" w:ascii="宋体" w:hAnsi="宋体" w:cs="宋体"/>
                <w:szCs w:val="21"/>
              </w:rPr>
              <w:t>特别提示</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u w:val="single"/>
              </w:rPr>
              <w:t>投标人在本项目招标人的工程项目中存在下列行为的，将被拒绝一年内参与我单位后续工程投标。（注：拒绝投标时限由招标人视严重程度确定，最低三个月起，自招标人发出通知之日起计）：</w:t>
            </w:r>
          </w:p>
          <w:p>
            <w:pP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u w:val="single"/>
              </w:rPr>
              <w:t>（1）将中标工程转包或者违法分包的；</w:t>
            </w:r>
          </w:p>
          <w:p>
            <w:pP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u w:val="single"/>
              </w:rPr>
              <w:t>（2）在中标工程中不执行质量、安全生产相关规定的，造成质量或安全事故的；</w:t>
            </w:r>
          </w:p>
          <w:p>
            <w:pPr>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u w:val="single"/>
              </w:rPr>
              <w:t>（3）存在围标或串标情形的；</w:t>
            </w:r>
          </w:p>
          <w:p>
            <w:pPr>
              <w:rPr>
                <w:rFonts w:hint="eastAsia" w:ascii="宋体" w:hAnsi="宋体" w:cs="宋体"/>
                <w:color w:val="000000"/>
                <w:szCs w:val="21"/>
                <w:highlight w:val="none"/>
                <w:u w:val="single"/>
              </w:rPr>
            </w:pPr>
            <w:r>
              <w:rPr>
                <w:rFonts w:hint="eastAsia" w:ascii="宋体" w:hAnsi="宋体" w:eastAsia="宋体" w:cs="宋体"/>
                <w:color w:val="000000"/>
                <w:szCs w:val="21"/>
                <w:highlight w:val="none"/>
                <w:u w:val="single"/>
              </w:rPr>
              <w:t>（4）存在弄虚作假骗取中标情形的；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37"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hint="eastAsia" w:ascii="宋体" w:hAnsi="宋体" w:eastAsia="宋体" w:cs="宋体"/>
                <w:szCs w:val="21"/>
                <w:u w:val="single"/>
                <w:lang w:eastAsia="zh-CN"/>
              </w:rPr>
            </w:pPr>
            <w:r>
              <w:rPr>
                <w:rFonts w:hint="eastAsia" w:ascii="宋体" w:hAnsi="宋体" w:cs="宋体"/>
                <w:szCs w:val="21"/>
                <w:u w:val="single"/>
              </w:rPr>
              <w:t>10.</w:t>
            </w:r>
            <w:r>
              <w:rPr>
                <w:rFonts w:hint="eastAsia" w:ascii="宋体" w:hAnsi="宋体" w:cs="宋体"/>
                <w:szCs w:val="21"/>
                <w:u w:val="single"/>
                <w:lang w:val="en-US" w:eastAsia="zh-CN"/>
              </w:rPr>
              <w:t>7</w:t>
            </w:r>
          </w:p>
        </w:tc>
        <w:tc>
          <w:tcPr>
            <w:tcW w:w="2423" w:type="dxa"/>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hint="eastAsia" w:ascii="宋体" w:hAnsi="宋体" w:cs="宋体"/>
                <w:szCs w:val="21"/>
              </w:rPr>
            </w:pPr>
            <w:r>
              <w:rPr>
                <w:rFonts w:hint="eastAsia" w:ascii="宋体" w:hAnsi="宋体" w:cs="宋体"/>
                <w:szCs w:val="21"/>
              </w:rPr>
              <w:t>否决性条款</w:t>
            </w:r>
          </w:p>
        </w:tc>
        <w:tc>
          <w:tcPr>
            <w:tcW w:w="574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否决性条款汇总：</w:t>
            </w:r>
          </w:p>
          <w:p>
            <w:pPr>
              <w:tabs>
                <w:tab w:val="left" w:pos="720"/>
              </w:tabs>
              <w:rPr>
                <w:rFonts w:ascii="宋体" w:hAnsi="宋体" w:cs="宋体"/>
                <w:szCs w:val="21"/>
              </w:rPr>
            </w:pPr>
            <w:r>
              <w:rPr>
                <w:rFonts w:hint="eastAsia" w:ascii="宋体" w:hAnsi="宋体" w:cs="宋体"/>
                <w:szCs w:val="21"/>
              </w:rPr>
              <w:t>否决性条款是指招标文件中规定的不予受理投标或者作无效标以及不合格标处理等否定投标文件效力的条款。</w:t>
            </w:r>
          </w:p>
          <w:p>
            <w:pPr>
              <w:tabs>
                <w:tab w:val="left" w:pos="720"/>
              </w:tabs>
              <w:rPr>
                <w:rFonts w:ascii="宋体" w:hAnsi="宋体" w:cs="宋体"/>
                <w:szCs w:val="21"/>
              </w:rPr>
            </w:pPr>
            <w:r>
              <w:rPr>
                <w:rFonts w:hint="eastAsia" w:ascii="宋体" w:hAnsi="宋体" w:cs="宋体"/>
                <w:szCs w:val="21"/>
              </w:rPr>
              <w:t>1、拒绝受理投标文件的情形：</w:t>
            </w:r>
          </w:p>
          <w:p>
            <w:pPr>
              <w:tabs>
                <w:tab w:val="left" w:pos="720"/>
              </w:tabs>
              <w:rPr>
                <w:rFonts w:ascii="宋体" w:hAnsi="宋体" w:cs="宋体"/>
                <w:szCs w:val="21"/>
              </w:rPr>
            </w:pPr>
            <w:r>
              <w:rPr>
                <w:rFonts w:hint="eastAsia" w:ascii="宋体" w:hAnsi="宋体" w:cs="宋体"/>
                <w:szCs w:val="21"/>
              </w:rPr>
              <w:t xml:space="preserve">（1）电子投标文件未在投标截止时间前完整上传并保存在广州公共资源交易中心电子评标系统且取得回执的； </w:t>
            </w:r>
          </w:p>
          <w:p>
            <w:pPr>
              <w:tabs>
                <w:tab w:val="left" w:pos="720"/>
              </w:tabs>
              <w:rPr>
                <w:rFonts w:ascii="宋体" w:hAnsi="宋体" w:cs="宋体"/>
                <w:szCs w:val="21"/>
              </w:rPr>
            </w:pPr>
            <w:r>
              <w:rPr>
                <w:rFonts w:hint="eastAsia" w:ascii="宋体" w:hAnsi="宋体" w:cs="宋体"/>
                <w:szCs w:val="21"/>
              </w:rPr>
              <w:t>（2）投标文件未按招标文件要求进行电子签章，并进行加密的；</w:t>
            </w:r>
          </w:p>
          <w:p>
            <w:pPr>
              <w:tabs>
                <w:tab w:val="left" w:pos="720"/>
              </w:tabs>
              <w:rPr>
                <w:rFonts w:ascii="宋体" w:hAnsi="宋体" w:cs="宋体"/>
                <w:szCs w:val="21"/>
              </w:rPr>
            </w:pPr>
            <w:r>
              <w:rPr>
                <w:rFonts w:hint="eastAsia" w:ascii="宋体" w:hAnsi="宋体" w:cs="宋体"/>
                <w:szCs w:val="21"/>
              </w:rPr>
              <w:t>（3）因投标人原因造成电子投标文件未解密或逾期解密的。</w:t>
            </w:r>
          </w:p>
          <w:p>
            <w:pPr>
              <w:tabs>
                <w:tab w:val="left" w:pos="720"/>
              </w:tabs>
              <w:rPr>
                <w:rFonts w:ascii="宋体" w:hAnsi="宋体" w:cs="宋体"/>
                <w:szCs w:val="21"/>
              </w:rPr>
            </w:pPr>
            <w:r>
              <w:rPr>
                <w:rFonts w:hint="eastAsia" w:ascii="宋体" w:hAnsi="宋体" w:cs="宋体"/>
                <w:szCs w:val="21"/>
              </w:rPr>
              <w:t>2、作无效投标的情形</w:t>
            </w:r>
          </w:p>
          <w:p>
            <w:pPr>
              <w:tabs>
                <w:tab w:val="left" w:pos="720"/>
              </w:tabs>
              <w:rPr>
                <w:rFonts w:ascii="宋体" w:hAnsi="宋体" w:cs="宋体"/>
                <w:szCs w:val="21"/>
              </w:rPr>
            </w:pPr>
            <w:r>
              <w:rPr>
                <w:rFonts w:hint="eastAsia" w:ascii="宋体" w:hAnsi="宋体" w:cs="宋体"/>
                <w:szCs w:val="21"/>
              </w:rPr>
              <w:t>（1）投标文件不符合招标文件评标办法中形式评审标准、资格评审标准、响应性评审标准的要求；</w:t>
            </w:r>
          </w:p>
          <w:p>
            <w:pPr>
              <w:tabs>
                <w:tab w:val="left" w:pos="720"/>
              </w:tabs>
              <w:rPr>
                <w:rFonts w:ascii="宋体" w:hAnsi="宋体" w:cs="宋体"/>
                <w:szCs w:val="21"/>
              </w:rPr>
            </w:pPr>
            <w:r>
              <w:rPr>
                <w:rFonts w:hint="eastAsia" w:ascii="宋体" w:hAnsi="宋体" w:cs="宋体"/>
                <w:szCs w:val="21"/>
              </w:rPr>
              <w:t>（2）第二章“投标人须知”第1.4.3项规定的任何一种情形的；</w:t>
            </w:r>
          </w:p>
          <w:p>
            <w:pPr>
              <w:tabs>
                <w:tab w:val="left" w:pos="720"/>
              </w:tabs>
              <w:rPr>
                <w:rFonts w:ascii="宋体" w:hAnsi="宋体" w:cs="宋体"/>
                <w:szCs w:val="21"/>
              </w:rPr>
            </w:pPr>
            <w:r>
              <w:rPr>
                <w:rFonts w:hint="eastAsia" w:ascii="宋体" w:hAnsi="宋体" w:cs="宋体"/>
                <w:szCs w:val="21"/>
              </w:rPr>
              <w:t>（3）不按评标委员会要求澄清、说明或补正的；</w:t>
            </w:r>
          </w:p>
          <w:p>
            <w:pPr>
              <w:tabs>
                <w:tab w:val="left" w:pos="720"/>
              </w:tabs>
              <w:rPr>
                <w:rFonts w:ascii="宋体" w:hAnsi="宋体" w:cs="宋体"/>
                <w:szCs w:val="21"/>
              </w:rPr>
            </w:pPr>
            <w:r>
              <w:rPr>
                <w:rFonts w:hint="eastAsia" w:ascii="宋体" w:hAnsi="宋体" w:cs="宋体"/>
                <w:szCs w:val="21"/>
              </w:rPr>
              <w:t>（4）投标人的报价明显低于其他投标报价，投标人不能合理说明或者不能提供相应证明材料的；</w:t>
            </w:r>
          </w:p>
          <w:p>
            <w:pPr>
              <w:tabs>
                <w:tab w:val="left" w:pos="720"/>
              </w:tabs>
              <w:rPr>
                <w:rFonts w:ascii="宋体" w:hAnsi="宋体" w:cs="宋体"/>
                <w:szCs w:val="21"/>
              </w:rPr>
            </w:pPr>
            <w:r>
              <w:rPr>
                <w:rFonts w:hint="eastAsia" w:ascii="宋体" w:hAnsi="宋体" w:cs="宋体"/>
                <w:szCs w:val="21"/>
              </w:rPr>
              <w:t>（5）不对评标委员会修正后的价格进行书面确认；</w:t>
            </w:r>
          </w:p>
          <w:p>
            <w:pPr>
              <w:tabs>
                <w:tab w:val="left" w:pos="720"/>
              </w:tabs>
              <w:rPr>
                <w:rFonts w:ascii="宋体" w:hAnsi="宋体" w:cs="宋体"/>
                <w:szCs w:val="21"/>
              </w:rPr>
            </w:pPr>
            <w:r>
              <w:rPr>
                <w:rFonts w:hint="eastAsia" w:ascii="宋体" w:hAnsi="宋体" w:cs="宋体"/>
                <w:szCs w:val="21"/>
              </w:rPr>
              <w:t>（6）未按招标文件要求提供投标保证金的。</w:t>
            </w:r>
          </w:p>
          <w:p>
            <w:pPr>
              <w:tabs>
                <w:tab w:val="left" w:pos="720"/>
              </w:tabs>
              <w:rPr>
                <w:rFonts w:ascii="宋体" w:hAnsi="宋体" w:cs="宋体"/>
                <w:szCs w:val="21"/>
              </w:rPr>
            </w:pPr>
            <w:r>
              <w:rPr>
                <w:rFonts w:hint="eastAsia" w:ascii="宋体" w:hAnsi="宋体" w:cs="宋体"/>
                <w:szCs w:val="21"/>
              </w:rPr>
              <w:t>3、其他否定投标文件效力情形</w:t>
            </w:r>
          </w:p>
          <w:p>
            <w:pPr>
              <w:tabs>
                <w:tab w:val="left" w:pos="720"/>
              </w:tabs>
              <w:rPr>
                <w:rFonts w:ascii="宋体" w:hAnsi="宋体" w:cs="宋体"/>
                <w:szCs w:val="21"/>
              </w:rPr>
            </w:pPr>
            <w:r>
              <w:rPr>
                <w:rFonts w:hint="eastAsia" w:ascii="宋体" w:hAnsi="宋体" w:cs="宋体"/>
                <w:szCs w:val="21"/>
              </w:rPr>
              <w:t>（1）两个（含两个）以上的投标人加密打包投标文件电脑机器码一致的；</w:t>
            </w:r>
          </w:p>
          <w:p>
            <w:pPr>
              <w:tabs>
                <w:tab w:val="left" w:pos="720"/>
              </w:tabs>
              <w:rPr>
                <w:rFonts w:hint="eastAsia" w:ascii="宋体" w:hAnsi="宋体" w:cs="宋体"/>
                <w:kern w:val="0"/>
                <w:szCs w:val="21"/>
              </w:rPr>
            </w:pPr>
            <w:r>
              <w:rPr>
                <w:rFonts w:hint="eastAsia" w:ascii="宋体" w:hAnsi="宋体" w:cs="宋体"/>
                <w:szCs w:val="21"/>
              </w:rPr>
              <w:t>（2）串通投标或弄虚作假或有其他违法行为的。</w:t>
            </w:r>
          </w:p>
        </w:tc>
      </w:tr>
    </w:tbl>
    <w:p>
      <w:pPr>
        <w:spacing w:line="360" w:lineRule="auto"/>
        <w:ind w:firstLine="420" w:firstLineChars="200"/>
        <w:rPr>
          <w:rFonts w:ascii="宋体" w:hAnsi="宋体" w:cs="宋体"/>
          <w:szCs w:val="21"/>
        </w:rPr>
        <w:sectPr>
          <w:headerReference r:id="rId6" w:type="default"/>
          <w:footerReference r:id="rId7" w:type="default"/>
          <w:pgSz w:w="11906" w:h="16838"/>
          <w:pgMar w:top="1417" w:right="1417" w:bottom="1276" w:left="1417" w:header="850" w:footer="992" w:gutter="0"/>
          <w:cols w:space="720" w:num="1"/>
          <w:docGrid w:linePitch="285" w:charSpace="0"/>
        </w:sectPr>
      </w:pPr>
    </w:p>
    <w:p>
      <w:pPr>
        <w:pStyle w:val="19"/>
        <w:ind w:firstLine="200"/>
      </w:pPr>
    </w:p>
    <w:p>
      <w:pPr>
        <w:pStyle w:val="3"/>
        <w:jc w:val="both"/>
        <w:rPr>
          <w:rFonts w:ascii="宋体" w:hAnsi="宋体" w:cs="宋体"/>
          <w:kern w:val="21"/>
          <w:sz w:val="30"/>
          <w:szCs w:val="30"/>
        </w:rPr>
      </w:pPr>
      <w:bookmarkStart w:id="73" w:name="_Toc18101"/>
      <w:bookmarkStart w:id="74" w:name="_Toc27416"/>
      <w:bookmarkStart w:id="75" w:name="_Toc1765"/>
      <w:bookmarkStart w:id="76" w:name="_Toc16220"/>
      <w:bookmarkStart w:id="77" w:name="_Toc19482"/>
      <w:bookmarkStart w:id="78" w:name="_Toc19265"/>
      <w:bookmarkStart w:id="79" w:name="_Toc32126"/>
      <w:bookmarkStart w:id="80" w:name="_Toc6973"/>
      <w:bookmarkStart w:id="81" w:name="_Toc8807"/>
      <w:bookmarkStart w:id="82" w:name="_Toc25208"/>
      <w:bookmarkStart w:id="83" w:name="_Toc3898"/>
      <w:bookmarkStart w:id="84" w:name="_Toc22899"/>
      <w:r>
        <w:rPr>
          <w:rFonts w:hint="eastAsia" w:ascii="宋体" w:hAnsi="宋体" w:cs="宋体"/>
          <w:kern w:val="21"/>
          <w:sz w:val="30"/>
          <w:szCs w:val="30"/>
        </w:rPr>
        <w:t>1. 总则</w:t>
      </w:r>
      <w:bookmarkEnd w:id="73"/>
      <w:bookmarkEnd w:id="74"/>
      <w:bookmarkEnd w:id="75"/>
      <w:bookmarkEnd w:id="76"/>
      <w:bookmarkEnd w:id="77"/>
      <w:bookmarkEnd w:id="78"/>
      <w:bookmarkEnd w:id="79"/>
      <w:bookmarkEnd w:id="80"/>
      <w:bookmarkEnd w:id="81"/>
      <w:bookmarkEnd w:id="82"/>
      <w:bookmarkEnd w:id="83"/>
      <w:bookmarkEnd w:id="84"/>
    </w:p>
    <w:p>
      <w:pPr>
        <w:spacing w:line="360" w:lineRule="auto"/>
        <w:ind w:left="237" w:right="-20"/>
        <w:jc w:val="left"/>
        <w:rPr>
          <w:rFonts w:ascii="宋体" w:hAnsi="宋体" w:cs="宋体"/>
          <w:b/>
          <w:bCs/>
          <w:sz w:val="28"/>
        </w:rPr>
      </w:pPr>
      <w:r>
        <w:rPr>
          <w:rFonts w:hint="eastAsia" w:ascii="宋体" w:hAnsi="宋体" w:cs="宋体"/>
          <w:b/>
          <w:bCs/>
          <w:spacing w:val="1"/>
          <w:sz w:val="28"/>
        </w:rPr>
        <w:t>1</w:t>
      </w:r>
      <w:r>
        <w:rPr>
          <w:rFonts w:hint="eastAsia" w:ascii="宋体" w:hAnsi="宋体" w:cs="宋体"/>
          <w:b/>
          <w:bCs/>
          <w:sz w:val="28"/>
        </w:rPr>
        <w:t>.1招标项目</w:t>
      </w:r>
      <w:r>
        <w:rPr>
          <w:rFonts w:hint="eastAsia" w:ascii="宋体" w:hAnsi="宋体" w:cs="宋体"/>
          <w:b/>
          <w:bCs/>
          <w:spacing w:val="-3"/>
          <w:sz w:val="28"/>
        </w:rPr>
        <w:t>概</w:t>
      </w:r>
      <w:r>
        <w:rPr>
          <w:rFonts w:hint="eastAsia" w:ascii="宋体" w:hAnsi="宋体" w:cs="宋体"/>
          <w:b/>
          <w:bCs/>
          <w:sz w:val="28"/>
        </w:rPr>
        <w:t>况</w:t>
      </w:r>
    </w:p>
    <w:p>
      <w:pPr>
        <w:spacing w:line="360" w:lineRule="auto"/>
        <w:ind w:left="100" w:right="42" w:firstLine="420"/>
        <w:jc w:val="left"/>
        <w:rPr>
          <w:rFonts w:ascii="宋体" w:hAnsi="宋体" w:cs="宋体"/>
        </w:rPr>
      </w:pPr>
      <w:r>
        <w:rPr>
          <w:rFonts w:hint="eastAsia" w:ascii="宋体" w:hAnsi="宋体" w:cs="宋体"/>
        </w:rPr>
        <w:t>1.1.1根</w:t>
      </w:r>
      <w:r>
        <w:rPr>
          <w:rFonts w:hint="eastAsia" w:ascii="宋体" w:hAnsi="宋体" w:cs="宋体"/>
          <w:spacing w:val="-10"/>
        </w:rPr>
        <w:t>据</w:t>
      </w:r>
      <w:r>
        <w:rPr>
          <w:rFonts w:hint="eastAsia" w:ascii="宋体" w:hAnsi="宋体" w:cs="宋体"/>
        </w:rPr>
        <w:t>《</w:t>
      </w:r>
      <w:r>
        <w:rPr>
          <w:rFonts w:hint="eastAsia" w:ascii="宋体" w:hAnsi="宋体" w:cs="宋体"/>
          <w:spacing w:val="-2"/>
        </w:rPr>
        <w:t>中</w:t>
      </w:r>
      <w:r>
        <w:rPr>
          <w:rFonts w:hint="eastAsia" w:ascii="宋体" w:hAnsi="宋体" w:cs="宋体"/>
        </w:rPr>
        <w:t>华</w:t>
      </w:r>
      <w:r>
        <w:rPr>
          <w:rFonts w:hint="eastAsia" w:ascii="宋体" w:hAnsi="宋体" w:cs="宋体"/>
          <w:spacing w:val="-2"/>
        </w:rPr>
        <w:t>人</w:t>
      </w:r>
      <w:r>
        <w:rPr>
          <w:rFonts w:hint="eastAsia" w:ascii="宋体" w:hAnsi="宋体" w:cs="宋体"/>
        </w:rPr>
        <w:t>民</w:t>
      </w:r>
      <w:r>
        <w:rPr>
          <w:rFonts w:hint="eastAsia" w:ascii="宋体" w:hAnsi="宋体" w:cs="宋体"/>
          <w:spacing w:val="-2"/>
        </w:rPr>
        <w:t>共和</w:t>
      </w:r>
      <w:r>
        <w:rPr>
          <w:rFonts w:hint="eastAsia" w:ascii="宋体" w:hAnsi="宋体" w:cs="宋体"/>
        </w:rPr>
        <w:t>国招</w:t>
      </w:r>
      <w:r>
        <w:rPr>
          <w:rFonts w:hint="eastAsia" w:ascii="宋体" w:hAnsi="宋体" w:cs="宋体"/>
          <w:spacing w:val="-2"/>
        </w:rPr>
        <w:t>标</w:t>
      </w:r>
      <w:r>
        <w:rPr>
          <w:rFonts w:hint="eastAsia" w:ascii="宋体" w:hAnsi="宋体" w:cs="宋体"/>
        </w:rPr>
        <w:t>投</w:t>
      </w:r>
      <w:r>
        <w:rPr>
          <w:rFonts w:hint="eastAsia" w:ascii="宋体" w:hAnsi="宋体" w:cs="宋体"/>
          <w:spacing w:val="-2"/>
        </w:rPr>
        <w:t>标</w:t>
      </w:r>
      <w:r>
        <w:rPr>
          <w:rFonts w:hint="eastAsia" w:ascii="宋体" w:hAnsi="宋体" w:cs="宋体"/>
        </w:rPr>
        <w:t>法</w:t>
      </w:r>
      <w:r>
        <w:rPr>
          <w:rFonts w:hint="eastAsia" w:ascii="宋体" w:hAnsi="宋体" w:cs="宋体"/>
          <w:spacing w:val="-106"/>
        </w:rPr>
        <w:t>》</w:t>
      </w:r>
      <w:r>
        <w:rPr>
          <w:rFonts w:hint="eastAsia" w:ascii="宋体" w:hAnsi="宋体" w:cs="宋体"/>
          <w:spacing w:val="-115"/>
        </w:rPr>
        <w:t>、</w:t>
      </w:r>
      <w:r>
        <w:rPr>
          <w:rFonts w:hint="eastAsia" w:ascii="宋体" w:hAnsi="宋体" w:cs="宋体"/>
          <w:spacing w:val="-2"/>
        </w:rPr>
        <w:t>》、《</w:t>
      </w:r>
      <w:r>
        <w:rPr>
          <w:rFonts w:hint="eastAsia" w:ascii="宋体" w:hAnsi="宋体" w:cs="宋体"/>
        </w:rPr>
        <w:t>中</w:t>
      </w:r>
      <w:r>
        <w:rPr>
          <w:rFonts w:hint="eastAsia" w:ascii="宋体" w:hAnsi="宋体" w:cs="宋体"/>
          <w:spacing w:val="-2"/>
        </w:rPr>
        <w:t>华人</w:t>
      </w:r>
      <w:r>
        <w:rPr>
          <w:rFonts w:hint="eastAsia" w:ascii="宋体" w:hAnsi="宋体" w:cs="宋体"/>
        </w:rPr>
        <w:t>民共</w:t>
      </w:r>
      <w:r>
        <w:rPr>
          <w:rFonts w:hint="eastAsia" w:ascii="宋体" w:hAnsi="宋体" w:cs="宋体"/>
          <w:spacing w:val="-2"/>
        </w:rPr>
        <w:t>和</w:t>
      </w:r>
      <w:r>
        <w:rPr>
          <w:rFonts w:hint="eastAsia" w:ascii="宋体" w:hAnsi="宋体" w:cs="宋体"/>
        </w:rPr>
        <w:t>国</w:t>
      </w:r>
      <w:r>
        <w:rPr>
          <w:rFonts w:hint="eastAsia" w:ascii="宋体" w:hAnsi="宋体" w:cs="宋体"/>
          <w:spacing w:val="-2"/>
        </w:rPr>
        <w:t>招</w:t>
      </w:r>
      <w:r>
        <w:rPr>
          <w:rFonts w:hint="eastAsia" w:ascii="宋体" w:hAnsi="宋体" w:cs="宋体"/>
        </w:rPr>
        <w:t>标</w:t>
      </w:r>
      <w:r>
        <w:rPr>
          <w:rFonts w:hint="eastAsia" w:ascii="宋体" w:hAnsi="宋体" w:cs="宋体"/>
          <w:spacing w:val="-2"/>
        </w:rPr>
        <w:t>投</w:t>
      </w:r>
      <w:r>
        <w:rPr>
          <w:rFonts w:hint="eastAsia" w:ascii="宋体" w:hAnsi="宋体" w:cs="宋体"/>
        </w:rPr>
        <w:t>标</w:t>
      </w:r>
      <w:r>
        <w:rPr>
          <w:rFonts w:hint="eastAsia" w:ascii="宋体" w:hAnsi="宋体" w:cs="宋体"/>
          <w:spacing w:val="-2"/>
        </w:rPr>
        <w:t>法</w:t>
      </w:r>
      <w:r>
        <w:rPr>
          <w:rFonts w:hint="eastAsia" w:ascii="宋体" w:hAnsi="宋体" w:cs="宋体"/>
        </w:rPr>
        <w:t>实</w:t>
      </w:r>
      <w:r>
        <w:rPr>
          <w:rFonts w:hint="eastAsia" w:ascii="宋体" w:hAnsi="宋体" w:cs="宋体"/>
          <w:spacing w:val="-2"/>
        </w:rPr>
        <w:t>施</w:t>
      </w:r>
      <w:r>
        <w:rPr>
          <w:rFonts w:hint="eastAsia" w:ascii="宋体" w:hAnsi="宋体" w:cs="宋体"/>
        </w:rPr>
        <w:t>条</w:t>
      </w:r>
      <w:r>
        <w:rPr>
          <w:rFonts w:hint="eastAsia" w:ascii="宋体" w:hAnsi="宋体" w:cs="宋体"/>
          <w:spacing w:val="-2"/>
        </w:rPr>
        <w:t>例</w:t>
      </w:r>
      <w:r>
        <w:rPr>
          <w:rFonts w:hint="eastAsia" w:ascii="宋体" w:hAnsi="宋体" w:cs="宋体"/>
          <w:spacing w:val="-7"/>
        </w:rPr>
        <w:t>》</w:t>
      </w:r>
      <w:r>
        <w:rPr>
          <w:rFonts w:hint="eastAsia" w:ascii="宋体" w:hAnsi="宋体" w:cs="宋体"/>
          <w:spacing w:val="-2"/>
        </w:rPr>
        <w:t>等</w:t>
      </w:r>
      <w:r>
        <w:rPr>
          <w:rFonts w:hint="eastAsia" w:ascii="宋体" w:hAnsi="宋体" w:cs="宋体"/>
        </w:rPr>
        <w:t>有关法律</w:t>
      </w:r>
      <w:r>
        <w:rPr>
          <w:rFonts w:hint="eastAsia" w:ascii="宋体" w:hAnsi="宋体" w:cs="宋体"/>
          <w:spacing w:val="-2"/>
        </w:rPr>
        <w:t>、</w:t>
      </w:r>
      <w:r>
        <w:rPr>
          <w:rFonts w:hint="eastAsia" w:ascii="宋体" w:hAnsi="宋体" w:cs="宋体"/>
        </w:rPr>
        <w:t>法</w:t>
      </w:r>
      <w:r>
        <w:rPr>
          <w:rFonts w:hint="eastAsia" w:ascii="宋体" w:hAnsi="宋体" w:cs="宋体"/>
          <w:spacing w:val="-2"/>
        </w:rPr>
        <w:t>规</w:t>
      </w:r>
      <w:r>
        <w:rPr>
          <w:rFonts w:hint="eastAsia" w:ascii="宋体" w:hAnsi="宋体" w:cs="宋体"/>
        </w:rPr>
        <w:t>和</w:t>
      </w:r>
      <w:r>
        <w:rPr>
          <w:rFonts w:hint="eastAsia" w:ascii="宋体" w:hAnsi="宋体" w:cs="宋体"/>
          <w:spacing w:val="-2"/>
        </w:rPr>
        <w:t>规</w:t>
      </w:r>
      <w:r>
        <w:rPr>
          <w:rFonts w:hint="eastAsia" w:ascii="宋体" w:hAnsi="宋体" w:cs="宋体"/>
        </w:rPr>
        <w:t>章</w:t>
      </w:r>
      <w:r>
        <w:rPr>
          <w:rFonts w:hint="eastAsia" w:ascii="宋体" w:hAnsi="宋体" w:cs="宋体"/>
          <w:spacing w:val="-2"/>
        </w:rPr>
        <w:t>的</w:t>
      </w:r>
      <w:r>
        <w:rPr>
          <w:rFonts w:hint="eastAsia" w:ascii="宋体" w:hAnsi="宋体" w:cs="宋体"/>
        </w:rPr>
        <w:t>规</w:t>
      </w:r>
      <w:r>
        <w:rPr>
          <w:rFonts w:hint="eastAsia" w:ascii="宋体" w:hAnsi="宋体" w:cs="宋体"/>
          <w:spacing w:val="-2"/>
        </w:rPr>
        <w:t>定</w:t>
      </w:r>
      <w:r>
        <w:rPr>
          <w:rFonts w:hint="eastAsia" w:ascii="宋体" w:hAnsi="宋体" w:cs="宋体"/>
        </w:rPr>
        <w:t>，本</w:t>
      </w:r>
      <w:r>
        <w:rPr>
          <w:rFonts w:hint="eastAsia" w:ascii="宋体" w:hAnsi="宋体" w:cs="宋体"/>
          <w:spacing w:val="-2"/>
        </w:rPr>
        <w:t>招</w:t>
      </w:r>
      <w:r>
        <w:rPr>
          <w:rFonts w:hint="eastAsia" w:ascii="宋体" w:hAnsi="宋体" w:cs="宋体"/>
        </w:rPr>
        <w:t>标</w:t>
      </w:r>
      <w:r>
        <w:rPr>
          <w:rFonts w:hint="eastAsia" w:ascii="宋体" w:hAnsi="宋体" w:cs="宋体"/>
          <w:spacing w:val="-2"/>
        </w:rPr>
        <w:t>项</w:t>
      </w:r>
      <w:r>
        <w:rPr>
          <w:rFonts w:hint="eastAsia" w:ascii="宋体" w:hAnsi="宋体" w:cs="宋体"/>
        </w:rPr>
        <w:t>目</w:t>
      </w:r>
      <w:r>
        <w:rPr>
          <w:rFonts w:hint="eastAsia" w:ascii="宋体" w:hAnsi="宋体" w:cs="宋体"/>
          <w:spacing w:val="-2"/>
        </w:rPr>
        <w:t>已</w:t>
      </w:r>
      <w:r>
        <w:rPr>
          <w:rFonts w:hint="eastAsia" w:ascii="宋体" w:hAnsi="宋体" w:cs="宋体"/>
        </w:rPr>
        <w:t>具</w:t>
      </w:r>
      <w:r>
        <w:rPr>
          <w:rFonts w:hint="eastAsia" w:ascii="宋体" w:hAnsi="宋体" w:cs="宋体"/>
          <w:spacing w:val="-2"/>
        </w:rPr>
        <w:t>备</w:t>
      </w:r>
      <w:r>
        <w:rPr>
          <w:rFonts w:hint="eastAsia" w:ascii="宋体" w:hAnsi="宋体" w:cs="宋体"/>
        </w:rPr>
        <w:t>招</w:t>
      </w:r>
      <w:r>
        <w:rPr>
          <w:rFonts w:hint="eastAsia" w:ascii="宋体" w:hAnsi="宋体" w:cs="宋体"/>
          <w:spacing w:val="-2"/>
        </w:rPr>
        <w:t>标</w:t>
      </w:r>
      <w:r>
        <w:rPr>
          <w:rFonts w:hint="eastAsia" w:ascii="宋体" w:hAnsi="宋体" w:cs="宋体"/>
        </w:rPr>
        <w:t>条件</w:t>
      </w:r>
      <w:r>
        <w:rPr>
          <w:rFonts w:hint="eastAsia" w:ascii="宋体" w:hAnsi="宋体" w:cs="宋体"/>
          <w:spacing w:val="-2"/>
        </w:rPr>
        <w:t>，</w:t>
      </w:r>
      <w:r>
        <w:rPr>
          <w:rFonts w:hint="eastAsia" w:ascii="宋体" w:hAnsi="宋体" w:cs="宋体"/>
        </w:rPr>
        <w:t>现</w:t>
      </w:r>
      <w:r>
        <w:rPr>
          <w:rFonts w:hint="eastAsia" w:ascii="宋体" w:hAnsi="宋体" w:cs="宋体"/>
          <w:spacing w:val="-2"/>
        </w:rPr>
        <w:t>对</w:t>
      </w:r>
      <w:r>
        <w:rPr>
          <w:rFonts w:hint="eastAsia" w:ascii="宋体" w:hAnsi="宋体" w:cs="宋体"/>
        </w:rPr>
        <w:t>监</w:t>
      </w:r>
      <w:r>
        <w:rPr>
          <w:rFonts w:hint="eastAsia" w:ascii="宋体" w:hAnsi="宋体" w:cs="宋体"/>
          <w:spacing w:val="-2"/>
        </w:rPr>
        <w:t>理</w:t>
      </w:r>
      <w:r>
        <w:rPr>
          <w:rFonts w:hint="eastAsia"/>
          <w:lang w:val="en-US"/>
        </w:rPr>
        <w:t>及</w:t>
      </w:r>
      <w:r>
        <w:rPr>
          <w:rFonts w:hint="eastAsia"/>
          <w:lang w:val="en-US" w:eastAsia="zh-CN"/>
        </w:rPr>
        <w:t>全过程</w:t>
      </w:r>
      <w:r>
        <w:rPr>
          <w:rFonts w:hint="eastAsia"/>
          <w:lang w:val="en-US"/>
        </w:rPr>
        <w:t>造价咨询</w:t>
      </w:r>
      <w:r>
        <w:rPr>
          <w:rFonts w:hint="eastAsia" w:ascii="宋体" w:hAnsi="宋体" w:cs="宋体"/>
        </w:rPr>
        <w:t>进</w:t>
      </w:r>
      <w:r>
        <w:rPr>
          <w:rFonts w:hint="eastAsia" w:ascii="宋体" w:hAnsi="宋体" w:cs="宋体"/>
          <w:spacing w:val="-2"/>
        </w:rPr>
        <w:t>行</w:t>
      </w:r>
      <w:r>
        <w:rPr>
          <w:rFonts w:hint="eastAsia" w:ascii="宋体" w:hAnsi="宋体" w:cs="宋体"/>
        </w:rPr>
        <w:t>招</w:t>
      </w:r>
      <w:r>
        <w:rPr>
          <w:rFonts w:hint="eastAsia" w:ascii="宋体" w:hAnsi="宋体" w:cs="宋体"/>
          <w:spacing w:val="-2"/>
        </w:rPr>
        <w:t>标</w:t>
      </w:r>
      <w:r>
        <w:rPr>
          <w:rFonts w:hint="eastAsia" w:ascii="宋体" w:hAnsi="宋体" w:cs="宋体"/>
        </w:rPr>
        <w:t>。</w:t>
      </w:r>
    </w:p>
    <w:p>
      <w:pPr>
        <w:spacing w:line="360" w:lineRule="auto"/>
        <w:ind w:left="520" w:right="-20"/>
        <w:jc w:val="left"/>
        <w:rPr>
          <w:rFonts w:ascii="宋体" w:hAnsi="宋体" w:cs="宋体"/>
        </w:rPr>
      </w:pPr>
      <w:r>
        <w:rPr>
          <w:rFonts w:hint="eastAsia" w:ascii="宋体" w:hAnsi="宋体" w:cs="宋体"/>
        </w:rPr>
        <w:t>1.1.2招</w:t>
      </w:r>
      <w:r>
        <w:rPr>
          <w:rFonts w:hint="eastAsia" w:ascii="宋体" w:hAnsi="宋体" w:cs="宋体"/>
          <w:spacing w:val="-2"/>
        </w:rPr>
        <w:t>标</w:t>
      </w:r>
      <w:r>
        <w:rPr>
          <w:rFonts w:hint="eastAsia" w:ascii="宋体" w:hAnsi="宋体" w:cs="宋体"/>
        </w:rPr>
        <w:t>人</w:t>
      </w:r>
      <w:r>
        <w:rPr>
          <w:rFonts w:hint="eastAsia" w:ascii="宋体" w:hAnsi="宋体" w:cs="宋体"/>
          <w:spacing w:val="-2"/>
        </w:rPr>
        <w:t>：</w:t>
      </w:r>
      <w:r>
        <w:rPr>
          <w:rFonts w:hint="eastAsia" w:ascii="宋体" w:hAnsi="宋体" w:cs="宋体"/>
        </w:rPr>
        <w:t>见</w:t>
      </w:r>
      <w:r>
        <w:rPr>
          <w:rFonts w:hint="eastAsia" w:ascii="宋体" w:hAnsi="宋体" w:cs="宋体"/>
          <w:spacing w:val="-2"/>
        </w:rPr>
        <w:t>投</w:t>
      </w:r>
      <w:r>
        <w:rPr>
          <w:rFonts w:hint="eastAsia" w:ascii="宋体" w:hAnsi="宋体" w:cs="宋体"/>
        </w:rPr>
        <w:t>标</w:t>
      </w:r>
      <w:r>
        <w:rPr>
          <w:rFonts w:hint="eastAsia" w:ascii="宋体" w:hAnsi="宋体" w:cs="宋体"/>
          <w:spacing w:val="-2"/>
        </w:rPr>
        <w:t>人须</w:t>
      </w:r>
      <w:r>
        <w:rPr>
          <w:rFonts w:hint="eastAsia" w:ascii="宋体" w:hAnsi="宋体" w:cs="宋体"/>
        </w:rPr>
        <w:t>知前</w:t>
      </w:r>
      <w:r>
        <w:rPr>
          <w:rFonts w:hint="eastAsia" w:ascii="宋体" w:hAnsi="宋体" w:cs="宋体"/>
          <w:spacing w:val="-2"/>
        </w:rPr>
        <w:t>附</w:t>
      </w:r>
      <w:r>
        <w:rPr>
          <w:rFonts w:hint="eastAsia" w:ascii="宋体" w:hAnsi="宋体" w:cs="宋体"/>
        </w:rPr>
        <w:t>表。</w:t>
      </w:r>
    </w:p>
    <w:p>
      <w:pPr>
        <w:spacing w:line="360" w:lineRule="auto"/>
        <w:ind w:left="520" w:right="-20"/>
        <w:jc w:val="left"/>
        <w:rPr>
          <w:rFonts w:ascii="宋体" w:hAnsi="宋体" w:cs="宋体"/>
        </w:rPr>
      </w:pPr>
      <w:r>
        <w:rPr>
          <w:rFonts w:hint="eastAsia" w:ascii="宋体" w:hAnsi="宋体" w:cs="宋体"/>
        </w:rPr>
        <w:t>1.1.3招</w:t>
      </w:r>
      <w:r>
        <w:rPr>
          <w:rFonts w:hint="eastAsia" w:ascii="宋体" w:hAnsi="宋体" w:cs="宋体"/>
          <w:spacing w:val="-2"/>
        </w:rPr>
        <w:t>标</w:t>
      </w:r>
      <w:r>
        <w:rPr>
          <w:rFonts w:hint="eastAsia" w:ascii="宋体" w:hAnsi="宋体" w:cs="宋体"/>
        </w:rPr>
        <w:t>代</w:t>
      </w:r>
      <w:r>
        <w:rPr>
          <w:rFonts w:hint="eastAsia" w:ascii="宋体" w:hAnsi="宋体" w:cs="宋体"/>
          <w:spacing w:val="-2"/>
        </w:rPr>
        <w:t>理</w:t>
      </w:r>
      <w:r>
        <w:rPr>
          <w:rFonts w:hint="eastAsia" w:ascii="宋体" w:hAnsi="宋体" w:cs="宋体"/>
        </w:rPr>
        <w:t>机</w:t>
      </w:r>
      <w:r>
        <w:rPr>
          <w:rFonts w:hint="eastAsia" w:ascii="宋体" w:hAnsi="宋体" w:cs="宋体"/>
          <w:spacing w:val="-2"/>
        </w:rPr>
        <w:t>构</w:t>
      </w:r>
      <w:r>
        <w:rPr>
          <w:rFonts w:hint="eastAsia" w:ascii="宋体" w:hAnsi="宋体" w:cs="宋体"/>
        </w:rPr>
        <w:t>：</w:t>
      </w:r>
      <w:r>
        <w:rPr>
          <w:rFonts w:hint="eastAsia" w:ascii="宋体" w:hAnsi="宋体" w:cs="宋体"/>
          <w:spacing w:val="-2"/>
        </w:rPr>
        <w:t>见投</w:t>
      </w:r>
      <w:r>
        <w:rPr>
          <w:rFonts w:hint="eastAsia" w:ascii="宋体" w:hAnsi="宋体" w:cs="宋体"/>
        </w:rPr>
        <w:t>标人</w:t>
      </w:r>
      <w:r>
        <w:rPr>
          <w:rFonts w:hint="eastAsia" w:ascii="宋体" w:hAnsi="宋体" w:cs="宋体"/>
          <w:spacing w:val="-2"/>
        </w:rPr>
        <w:t>须</w:t>
      </w:r>
      <w:r>
        <w:rPr>
          <w:rFonts w:hint="eastAsia" w:ascii="宋体" w:hAnsi="宋体" w:cs="宋体"/>
        </w:rPr>
        <w:t>知</w:t>
      </w:r>
      <w:r>
        <w:rPr>
          <w:rFonts w:hint="eastAsia" w:ascii="宋体" w:hAnsi="宋体" w:cs="宋体"/>
          <w:spacing w:val="-2"/>
        </w:rPr>
        <w:t>前</w:t>
      </w:r>
      <w:r>
        <w:rPr>
          <w:rFonts w:hint="eastAsia" w:ascii="宋体" w:hAnsi="宋体" w:cs="宋体"/>
        </w:rPr>
        <w:t>附</w:t>
      </w:r>
      <w:r>
        <w:rPr>
          <w:rFonts w:hint="eastAsia" w:ascii="宋体" w:hAnsi="宋体" w:cs="宋体"/>
          <w:spacing w:val="-2"/>
        </w:rPr>
        <w:t>表</w:t>
      </w:r>
      <w:r>
        <w:rPr>
          <w:rFonts w:hint="eastAsia" w:ascii="宋体" w:hAnsi="宋体" w:cs="宋体"/>
        </w:rPr>
        <w:t>。</w:t>
      </w:r>
    </w:p>
    <w:p>
      <w:pPr>
        <w:spacing w:line="360" w:lineRule="auto"/>
        <w:ind w:left="520" w:right="-20"/>
        <w:jc w:val="left"/>
        <w:rPr>
          <w:rFonts w:ascii="宋体" w:hAnsi="宋体" w:cs="宋体"/>
        </w:rPr>
      </w:pPr>
      <w:r>
        <w:rPr>
          <w:rFonts w:hint="eastAsia" w:ascii="宋体" w:hAnsi="宋体" w:cs="宋体"/>
        </w:rPr>
        <w:t>1.1.4招</w:t>
      </w:r>
      <w:r>
        <w:rPr>
          <w:rFonts w:hint="eastAsia" w:ascii="宋体" w:hAnsi="宋体" w:cs="宋体"/>
          <w:spacing w:val="-2"/>
        </w:rPr>
        <w:t>标</w:t>
      </w:r>
      <w:r>
        <w:rPr>
          <w:rFonts w:hint="eastAsia" w:ascii="宋体" w:hAnsi="宋体" w:cs="宋体"/>
        </w:rPr>
        <w:t>项</w:t>
      </w:r>
      <w:r>
        <w:rPr>
          <w:rFonts w:hint="eastAsia" w:ascii="宋体" w:hAnsi="宋体" w:cs="宋体"/>
          <w:spacing w:val="-2"/>
        </w:rPr>
        <w:t>目</w:t>
      </w:r>
      <w:r>
        <w:rPr>
          <w:rFonts w:hint="eastAsia" w:ascii="宋体" w:hAnsi="宋体" w:cs="宋体"/>
        </w:rPr>
        <w:t>名</w:t>
      </w:r>
      <w:r>
        <w:rPr>
          <w:rFonts w:hint="eastAsia" w:ascii="宋体" w:hAnsi="宋体" w:cs="宋体"/>
          <w:spacing w:val="-2"/>
        </w:rPr>
        <w:t>称</w:t>
      </w:r>
      <w:r>
        <w:rPr>
          <w:rFonts w:hint="eastAsia" w:ascii="宋体" w:hAnsi="宋体" w:cs="宋体"/>
        </w:rPr>
        <w:t>：</w:t>
      </w:r>
      <w:r>
        <w:rPr>
          <w:rFonts w:hint="eastAsia" w:ascii="宋体" w:hAnsi="宋体" w:cs="宋体"/>
          <w:spacing w:val="-2"/>
        </w:rPr>
        <w:t>见投</w:t>
      </w:r>
      <w:r>
        <w:rPr>
          <w:rFonts w:hint="eastAsia" w:ascii="宋体" w:hAnsi="宋体" w:cs="宋体"/>
        </w:rPr>
        <w:t>标人</w:t>
      </w:r>
      <w:r>
        <w:rPr>
          <w:rFonts w:hint="eastAsia" w:ascii="宋体" w:hAnsi="宋体" w:cs="宋体"/>
          <w:spacing w:val="-2"/>
        </w:rPr>
        <w:t>须</w:t>
      </w:r>
      <w:r>
        <w:rPr>
          <w:rFonts w:hint="eastAsia" w:ascii="宋体" w:hAnsi="宋体" w:cs="宋体"/>
        </w:rPr>
        <w:t>知</w:t>
      </w:r>
      <w:r>
        <w:rPr>
          <w:rFonts w:hint="eastAsia" w:ascii="宋体" w:hAnsi="宋体" w:cs="宋体"/>
          <w:spacing w:val="-2"/>
        </w:rPr>
        <w:t>前</w:t>
      </w:r>
      <w:r>
        <w:rPr>
          <w:rFonts w:hint="eastAsia" w:ascii="宋体" w:hAnsi="宋体" w:cs="宋体"/>
        </w:rPr>
        <w:t>附</w:t>
      </w:r>
      <w:r>
        <w:rPr>
          <w:rFonts w:hint="eastAsia" w:ascii="宋体" w:hAnsi="宋体" w:cs="宋体"/>
          <w:spacing w:val="-2"/>
        </w:rPr>
        <w:t>表</w:t>
      </w:r>
      <w:r>
        <w:rPr>
          <w:rFonts w:hint="eastAsia" w:ascii="宋体" w:hAnsi="宋体" w:cs="宋体"/>
        </w:rPr>
        <w:t>。</w:t>
      </w:r>
    </w:p>
    <w:p>
      <w:pPr>
        <w:spacing w:line="360" w:lineRule="auto"/>
        <w:ind w:left="520" w:right="-20"/>
        <w:jc w:val="left"/>
        <w:rPr>
          <w:rFonts w:ascii="宋体" w:hAnsi="宋体" w:cs="宋体"/>
        </w:rPr>
      </w:pPr>
      <w:r>
        <w:rPr>
          <w:rFonts w:hint="eastAsia" w:ascii="宋体" w:hAnsi="宋体" w:cs="宋体"/>
        </w:rPr>
        <w:t>1.1.5项</w:t>
      </w:r>
      <w:r>
        <w:rPr>
          <w:rFonts w:hint="eastAsia" w:ascii="宋体" w:hAnsi="宋体" w:cs="宋体"/>
          <w:spacing w:val="-2"/>
        </w:rPr>
        <w:t>目</w:t>
      </w:r>
      <w:r>
        <w:rPr>
          <w:rFonts w:hint="eastAsia" w:ascii="宋体" w:hAnsi="宋体" w:cs="宋体"/>
        </w:rPr>
        <w:t>建</w:t>
      </w:r>
      <w:r>
        <w:rPr>
          <w:rFonts w:hint="eastAsia" w:ascii="宋体" w:hAnsi="宋体" w:cs="宋体"/>
          <w:spacing w:val="-2"/>
        </w:rPr>
        <w:t>设</w:t>
      </w:r>
      <w:r>
        <w:rPr>
          <w:rFonts w:hint="eastAsia" w:ascii="宋体" w:hAnsi="宋体" w:cs="宋体"/>
        </w:rPr>
        <w:t>地</w:t>
      </w:r>
      <w:r>
        <w:rPr>
          <w:rFonts w:hint="eastAsia" w:ascii="宋体" w:hAnsi="宋体" w:cs="宋体"/>
          <w:spacing w:val="-2"/>
        </w:rPr>
        <w:t>点</w:t>
      </w:r>
      <w:r>
        <w:rPr>
          <w:rFonts w:hint="eastAsia" w:ascii="宋体" w:hAnsi="宋体" w:cs="宋体"/>
        </w:rPr>
        <w:t>：</w:t>
      </w:r>
      <w:r>
        <w:rPr>
          <w:rFonts w:hint="eastAsia" w:ascii="宋体" w:hAnsi="宋体" w:cs="宋体"/>
          <w:spacing w:val="-2"/>
        </w:rPr>
        <w:t>见投</w:t>
      </w:r>
      <w:r>
        <w:rPr>
          <w:rFonts w:hint="eastAsia" w:ascii="宋体" w:hAnsi="宋体" w:cs="宋体"/>
        </w:rPr>
        <w:t>标人</w:t>
      </w:r>
      <w:r>
        <w:rPr>
          <w:rFonts w:hint="eastAsia" w:ascii="宋体" w:hAnsi="宋体" w:cs="宋体"/>
          <w:spacing w:val="-2"/>
        </w:rPr>
        <w:t>须</w:t>
      </w:r>
      <w:r>
        <w:rPr>
          <w:rFonts w:hint="eastAsia" w:ascii="宋体" w:hAnsi="宋体" w:cs="宋体"/>
        </w:rPr>
        <w:t>知</w:t>
      </w:r>
      <w:r>
        <w:rPr>
          <w:rFonts w:hint="eastAsia" w:ascii="宋体" w:hAnsi="宋体" w:cs="宋体"/>
          <w:spacing w:val="-2"/>
        </w:rPr>
        <w:t>前</w:t>
      </w:r>
      <w:r>
        <w:rPr>
          <w:rFonts w:hint="eastAsia" w:ascii="宋体" w:hAnsi="宋体" w:cs="宋体"/>
        </w:rPr>
        <w:t>附</w:t>
      </w:r>
      <w:r>
        <w:rPr>
          <w:rFonts w:hint="eastAsia" w:ascii="宋体" w:hAnsi="宋体" w:cs="宋体"/>
          <w:spacing w:val="-2"/>
        </w:rPr>
        <w:t>表</w:t>
      </w:r>
      <w:r>
        <w:rPr>
          <w:rFonts w:hint="eastAsia" w:ascii="宋体" w:hAnsi="宋体" w:cs="宋体"/>
        </w:rPr>
        <w:t>。</w:t>
      </w:r>
    </w:p>
    <w:p>
      <w:pPr>
        <w:spacing w:line="360" w:lineRule="auto"/>
        <w:ind w:left="520" w:right="-20"/>
        <w:jc w:val="left"/>
        <w:rPr>
          <w:rFonts w:ascii="宋体" w:hAnsi="宋体" w:cs="宋体"/>
        </w:rPr>
      </w:pPr>
      <w:r>
        <w:rPr>
          <w:rFonts w:hint="eastAsia" w:ascii="宋体" w:hAnsi="宋体" w:cs="宋体"/>
        </w:rPr>
        <w:t>1.1.6项</w:t>
      </w:r>
      <w:r>
        <w:rPr>
          <w:rFonts w:hint="eastAsia" w:ascii="宋体" w:hAnsi="宋体" w:cs="宋体"/>
          <w:spacing w:val="-2"/>
        </w:rPr>
        <w:t>目</w:t>
      </w:r>
      <w:r>
        <w:rPr>
          <w:rFonts w:hint="eastAsia" w:ascii="宋体" w:hAnsi="宋体" w:cs="宋体"/>
        </w:rPr>
        <w:t>建</w:t>
      </w:r>
      <w:r>
        <w:rPr>
          <w:rFonts w:hint="eastAsia" w:ascii="宋体" w:hAnsi="宋体" w:cs="宋体"/>
          <w:spacing w:val="-2"/>
        </w:rPr>
        <w:t>设</w:t>
      </w:r>
      <w:r>
        <w:rPr>
          <w:rFonts w:hint="eastAsia" w:ascii="宋体" w:hAnsi="宋体" w:cs="宋体"/>
        </w:rPr>
        <w:t>规</w:t>
      </w:r>
      <w:r>
        <w:rPr>
          <w:rFonts w:hint="eastAsia" w:ascii="宋体" w:hAnsi="宋体" w:cs="宋体"/>
          <w:spacing w:val="-2"/>
        </w:rPr>
        <w:t>模</w:t>
      </w:r>
      <w:r>
        <w:rPr>
          <w:rFonts w:hint="eastAsia" w:ascii="宋体" w:hAnsi="宋体" w:cs="宋体"/>
        </w:rPr>
        <w:t>：</w:t>
      </w:r>
      <w:r>
        <w:rPr>
          <w:rFonts w:hint="eastAsia" w:ascii="宋体" w:hAnsi="宋体" w:cs="宋体"/>
          <w:spacing w:val="-2"/>
        </w:rPr>
        <w:t>见投</w:t>
      </w:r>
      <w:r>
        <w:rPr>
          <w:rFonts w:hint="eastAsia" w:ascii="宋体" w:hAnsi="宋体" w:cs="宋体"/>
        </w:rPr>
        <w:t>标人</w:t>
      </w:r>
      <w:r>
        <w:rPr>
          <w:rFonts w:hint="eastAsia" w:ascii="宋体" w:hAnsi="宋体" w:cs="宋体"/>
          <w:spacing w:val="-2"/>
        </w:rPr>
        <w:t>须</w:t>
      </w:r>
      <w:r>
        <w:rPr>
          <w:rFonts w:hint="eastAsia" w:ascii="宋体" w:hAnsi="宋体" w:cs="宋体"/>
        </w:rPr>
        <w:t>知</w:t>
      </w:r>
      <w:r>
        <w:rPr>
          <w:rFonts w:hint="eastAsia" w:ascii="宋体" w:hAnsi="宋体" w:cs="宋体"/>
          <w:spacing w:val="-2"/>
        </w:rPr>
        <w:t>前</w:t>
      </w:r>
      <w:r>
        <w:rPr>
          <w:rFonts w:hint="eastAsia" w:ascii="宋体" w:hAnsi="宋体" w:cs="宋体"/>
        </w:rPr>
        <w:t>附</w:t>
      </w:r>
      <w:r>
        <w:rPr>
          <w:rFonts w:hint="eastAsia" w:ascii="宋体" w:hAnsi="宋体" w:cs="宋体"/>
          <w:spacing w:val="-2"/>
        </w:rPr>
        <w:t>表</w:t>
      </w:r>
      <w:r>
        <w:rPr>
          <w:rFonts w:hint="eastAsia" w:ascii="宋体" w:hAnsi="宋体" w:cs="宋体"/>
        </w:rPr>
        <w:t>。</w:t>
      </w:r>
    </w:p>
    <w:p>
      <w:pPr>
        <w:spacing w:line="360" w:lineRule="auto"/>
        <w:ind w:left="520" w:right="-20"/>
        <w:jc w:val="left"/>
        <w:rPr>
          <w:rFonts w:ascii="宋体" w:hAnsi="宋体" w:cs="宋体"/>
        </w:rPr>
      </w:pPr>
      <w:r>
        <w:rPr>
          <w:rFonts w:hint="eastAsia" w:ascii="宋体" w:hAnsi="宋体" w:cs="宋体"/>
        </w:rPr>
        <w:t>1.1.7工</w:t>
      </w:r>
      <w:r>
        <w:rPr>
          <w:rFonts w:hint="eastAsia" w:ascii="宋体" w:hAnsi="宋体" w:cs="宋体"/>
          <w:spacing w:val="-2"/>
        </w:rPr>
        <w:t>程</w:t>
      </w:r>
      <w:r>
        <w:rPr>
          <w:rFonts w:hint="eastAsia" w:ascii="宋体" w:hAnsi="宋体" w:cs="宋体"/>
        </w:rPr>
        <w:t>项</w:t>
      </w:r>
      <w:r>
        <w:rPr>
          <w:rFonts w:hint="eastAsia" w:ascii="宋体" w:hAnsi="宋体" w:cs="宋体"/>
          <w:spacing w:val="-2"/>
        </w:rPr>
        <w:t>目</w:t>
      </w:r>
      <w:r>
        <w:rPr>
          <w:rFonts w:hint="eastAsia" w:ascii="宋体" w:hAnsi="宋体" w:cs="宋体"/>
        </w:rPr>
        <w:t>施</w:t>
      </w:r>
      <w:r>
        <w:rPr>
          <w:rFonts w:hint="eastAsia" w:ascii="宋体" w:hAnsi="宋体" w:cs="宋体"/>
          <w:spacing w:val="-2"/>
        </w:rPr>
        <w:t>工</w:t>
      </w:r>
      <w:r>
        <w:rPr>
          <w:rFonts w:hint="eastAsia" w:ascii="宋体" w:hAnsi="宋体" w:cs="宋体"/>
        </w:rPr>
        <w:t>预</w:t>
      </w:r>
      <w:r>
        <w:rPr>
          <w:rFonts w:hint="eastAsia" w:ascii="宋体" w:hAnsi="宋体" w:cs="宋体"/>
          <w:spacing w:val="-2"/>
        </w:rPr>
        <w:t>计开</w:t>
      </w:r>
      <w:r>
        <w:rPr>
          <w:rFonts w:hint="eastAsia" w:ascii="宋体" w:hAnsi="宋体" w:cs="宋体"/>
        </w:rPr>
        <w:t>工日</w:t>
      </w:r>
      <w:r>
        <w:rPr>
          <w:rFonts w:hint="eastAsia" w:ascii="宋体" w:hAnsi="宋体" w:cs="宋体"/>
          <w:spacing w:val="-2"/>
        </w:rPr>
        <w:t>期</w:t>
      </w:r>
      <w:r>
        <w:rPr>
          <w:rFonts w:hint="eastAsia" w:ascii="宋体" w:hAnsi="宋体" w:cs="宋体"/>
        </w:rPr>
        <w:t>和</w:t>
      </w:r>
      <w:r>
        <w:rPr>
          <w:rFonts w:hint="eastAsia" w:ascii="宋体" w:hAnsi="宋体" w:cs="宋体"/>
          <w:spacing w:val="-2"/>
        </w:rPr>
        <w:t>建</w:t>
      </w:r>
      <w:r>
        <w:rPr>
          <w:rFonts w:hint="eastAsia" w:ascii="宋体" w:hAnsi="宋体" w:cs="宋体"/>
        </w:rPr>
        <w:t>设</w:t>
      </w:r>
      <w:r>
        <w:rPr>
          <w:rFonts w:hint="eastAsia" w:ascii="宋体" w:hAnsi="宋体" w:cs="宋体"/>
          <w:spacing w:val="-2"/>
        </w:rPr>
        <w:t>周</w:t>
      </w:r>
      <w:r>
        <w:rPr>
          <w:rFonts w:hint="eastAsia" w:ascii="宋体" w:hAnsi="宋体" w:cs="宋体"/>
        </w:rPr>
        <w:t>期</w:t>
      </w:r>
      <w:r>
        <w:rPr>
          <w:rFonts w:hint="eastAsia" w:ascii="宋体" w:hAnsi="宋体" w:cs="宋体"/>
          <w:spacing w:val="-2"/>
        </w:rPr>
        <w:t>：</w:t>
      </w:r>
      <w:r>
        <w:rPr>
          <w:rFonts w:hint="eastAsia" w:ascii="宋体" w:hAnsi="宋体" w:cs="宋体"/>
        </w:rPr>
        <w:t>见</w:t>
      </w:r>
      <w:r>
        <w:rPr>
          <w:rFonts w:hint="eastAsia" w:ascii="宋体" w:hAnsi="宋体" w:cs="宋体"/>
          <w:spacing w:val="-2"/>
        </w:rPr>
        <w:t>投</w:t>
      </w:r>
      <w:r>
        <w:rPr>
          <w:rFonts w:hint="eastAsia" w:ascii="宋体" w:hAnsi="宋体" w:cs="宋体"/>
        </w:rPr>
        <w:t>标人</w:t>
      </w:r>
      <w:r>
        <w:rPr>
          <w:rFonts w:hint="eastAsia" w:ascii="宋体" w:hAnsi="宋体" w:cs="宋体"/>
          <w:spacing w:val="-2"/>
        </w:rPr>
        <w:t>须</w:t>
      </w:r>
      <w:r>
        <w:rPr>
          <w:rFonts w:hint="eastAsia" w:ascii="宋体" w:hAnsi="宋体" w:cs="宋体"/>
        </w:rPr>
        <w:t>知</w:t>
      </w:r>
      <w:r>
        <w:rPr>
          <w:rFonts w:hint="eastAsia" w:ascii="宋体" w:hAnsi="宋体" w:cs="宋体"/>
          <w:spacing w:val="-2"/>
        </w:rPr>
        <w:t>前</w:t>
      </w:r>
      <w:r>
        <w:rPr>
          <w:rFonts w:hint="eastAsia" w:ascii="宋体" w:hAnsi="宋体" w:cs="宋体"/>
        </w:rPr>
        <w:t>附</w:t>
      </w:r>
      <w:r>
        <w:rPr>
          <w:rFonts w:hint="eastAsia" w:ascii="宋体" w:hAnsi="宋体" w:cs="宋体"/>
          <w:spacing w:val="-2"/>
        </w:rPr>
        <w:t>表</w:t>
      </w:r>
      <w:r>
        <w:rPr>
          <w:rFonts w:hint="eastAsia" w:ascii="宋体" w:hAnsi="宋体" w:cs="宋体"/>
        </w:rPr>
        <w:t>。</w:t>
      </w:r>
    </w:p>
    <w:p>
      <w:pPr>
        <w:spacing w:line="360" w:lineRule="auto"/>
        <w:ind w:left="520" w:right="-20"/>
        <w:jc w:val="left"/>
        <w:rPr>
          <w:rFonts w:ascii="宋体" w:hAnsi="宋体" w:cs="宋体"/>
        </w:rPr>
      </w:pPr>
      <w:r>
        <w:rPr>
          <w:rFonts w:hint="eastAsia" w:ascii="宋体" w:hAnsi="宋体" w:cs="宋体"/>
        </w:rPr>
        <w:t>1.1.8建</w:t>
      </w:r>
      <w:r>
        <w:rPr>
          <w:rFonts w:hint="eastAsia" w:ascii="宋体" w:hAnsi="宋体" w:cs="宋体"/>
          <w:spacing w:val="-2"/>
        </w:rPr>
        <w:t>筑</w:t>
      </w:r>
      <w:r>
        <w:rPr>
          <w:rFonts w:hint="eastAsia" w:ascii="宋体" w:hAnsi="宋体" w:cs="宋体"/>
        </w:rPr>
        <w:t>安</w:t>
      </w:r>
      <w:r>
        <w:rPr>
          <w:rFonts w:hint="eastAsia" w:ascii="宋体" w:hAnsi="宋体" w:cs="宋体"/>
          <w:spacing w:val="-2"/>
        </w:rPr>
        <w:t>装</w:t>
      </w:r>
      <w:r>
        <w:rPr>
          <w:rFonts w:hint="eastAsia" w:ascii="宋体" w:hAnsi="宋体" w:cs="宋体"/>
        </w:rPr>
        <w:t>工</w:t>
      </w:r>
      <w:r>
        <w:rPr>
          <w:rFonts w:hint="eastAsia" w:ascii="宋体" w:hAnsi="宋体" w:cs="宋体"/>
          <w:spacing w:val="-2"/>
        </w:rPr>
        <w:t>程</w:t>
      </w:r>
      <w:r>
        <w:rPr>
          <w:rFonts w:hint="eastAsia" w:ascii="宋体" w:hAnsi="宋体" w:cs="宋体"/>
        </w:rPr>
        <w:t>费</w:t>
      </w:r>
      <w:r>
        <w:rPr>
          <w:rFonts w:hint="eastAsia" w:ascii="宋体" w:hAnsi="宋体" w:cs="宋体"/>
          <w:spacing w:val="-1"/>
        </w:rPr>
        <w:t>/</w:t>
      </w:r>
      <w:r>
        <w:rPr>
          <w:rFonts w:hint="eastAsia" w:ascii="宋体" w:hAnsi="宋体" w:cs="宋体"/>
          <w:spacing w:val="-2"/>
        </w:rPr>
        <w:t>工</w:t>
      </w:r>
      <w:r>
        <w:rPr>
          <w:rFonts w:hint="eastAsia" w:ascii="宋体" w:hAnsi="宋体" w:cs="宋体"/>
        </w:rPr>
        <w:t>程概</w:t>
      </w:r>
      <w:r>
        <w:rPr>
          <w:rFonts w:hint="eastAsia" w:ascii="宋体" w:hAnsi="宋体" w:cs="宋体"/>
          <w:spacing w:val="-2"/>
        </w:rPr>
        <w:t>算</w:t>
      </w:r>
      <w:r>
        <w:rPr>
          <w:rFonts w:hint="eastAsia" w:ascii="宋体" w:hAnsi="宋体" w:cs="宋体"/>
        </w:rPr>
        <w:t>：</w:t>
      </w:r>
      <w:r>
        <w:rPr>
          <w:rFonts w:hint="eastAsia" w:ascii="宋体" w:hAnsi="宋体" w:cs="宋体"/>
          <w:spacing w:val="-2"/>
        </w:rPr>
        <w:t>见</w:t>
      </w:r>
      <w:r>
        <w:rPr>
          <w:rFonts w:hint="eastAsia" w:ascii="宋体" w:hAnsi="宋体" w:cs="宋体"/>
        </w:rPr>
        <w:t>投</w:t>
      </w:r>
      <w:r>
        <w:rPr>
          <w:rFonts w:hint="eastAsia" w:ascii="宋体" w:hAnsi="宋体" w:cs="宋体"/>
          <w:spacing w:val="-2"/>
        </w:rPr>
        <w:t>标</w:t>
      </w:r>
      <w:r>
        <w:rPr>
          <w:rFonts w:hint="eastAsia" w:ascii="宋体" w:hAnsi="宋体" w:cs="宋体"/>
        </w:rPr>
        <w:t>人</w:t>
      </w:r>
      <w:r>
        <w:rPr>
          <w:rFonts w:hint="eastAsia" w:ascii="宋体" w:hAnsi="宋体" w:cs="宋体"/>
          <w:spacing w:val="-2"/>
        </w:rPr>
        <w:t>须</w:t>
      </w:r>
      <w:r>
        <w:rPr>
          <w:rFonts w:hint="eastAsia" w:ascii="宋体" w:hAnsi="宋体" w:cs="宋体"/>
        </w:rPr>
        <w:t>知</w:t>
      </w:r>
      <w:r>
        <w:rPr>
          <w:rFonts w:hint="eastAsia" w:ascii="宋体" w:hAnsi="宋体" w:cs="宋体"/>
          <w:spacing w:val="-2"/>
        </w:rPr>
        <w:t>前</w:t>
      </w:r>
      <w:r>
        <w:rPr>
          <w:rFonts w:hint="eastAsia" w:ascii="宋体" w:hAnsi="宋体" w:cs="宋体"/>
        </w:rPr>
        <w:t>附表。</w:t>
      </w:r>
    </w:p>
    <w:p>
      <w:pPr>
        <w:spacing w:line="360" w:lineRule="auto"/>
        <w:ind w:left="237" w:right="-20"/>
        <w:jc w:val="left"/>
        <w:rPr>
          <w:rFonts w:ascii="宋体" w:hAnsi="宋体" w:cs="宋体"/>
          <w:b/>
          <w:bCs/>
          <w:sz w:val="28"/>
        </w:rPr>
      </w:pPr>
      <w:r>
        <w:rPr>
          <w:rFonts w:hint="eastAsia" w:ascii="宋体" w:hAnsi="宋体" w:cs="宋体"/>
          <w:b/>
          <w:bCs/>
          <w:spacing w:val="1"/>
          <w:sz w:val="28"/>
        </w:rPr>
        <w:t>1</w:t>
      </w:r>
      <w:r>
        <w:rPr>
          <w:rFonts w:hint="eastAsia" w:ascii="宋体" w:hAnsi="宋体" w:cs="宋体"/>
          <w:b/>
          <w:bCs/>
          <w:sz w:val="28"/>
        </w:rPr>
        <w:t>.2招标项目</w:t>
      </w:r>
      <w:r>
        <w:rPr>
          <w:rFonts w:hint="eastAsia" w:ascii="宋体" w:hAnsi="宋体" w:cs="宋体"/>
          <w:b/>
          <w:bCs/>
          <w:spacing w:val="-3"/>
          <w:sz w:val="28"/>
        </w:rPr>
        <w:t>的</w:t>
      </w:r>
      <w:r>
        <w:rPr>
          <w:rFonts w:hint="eastAsia" w:ascii="宋体" w:hAnsi="宋体" w:cs="宋体"/>
          <w:b/>
          <w:bCs/>
          <w:sz w:val="28"/>
        </w:rPr>
        <w:t>资</w:t>
      </w:r>
      <w:r>
        <w:rPr>
          <w:rFonts w:hint="eastAsia" w:ascii="宋体" w:hAnsi="宋体" w:cs="宋体"/>
          <w:b/>
          <w:bCs/>
          <w:spacing w:val="-3"/>
          <w:sz w:val="28"/>
        </w:rPr>
        <w:t>金</w:t>
      </w:r>
      <w:r>
        <w:rPr>
          <w:rFonts w:hint="eastAsia" w:ascii="宋体" w:hAnsi="宋体" w:cs="宋体"/>
          <w:b/>
          <w:bCs/>
          <w:sz w:val="28"/>
        </w:rPr>
        <w:t>来源和</w:t>
      </w:r>
      <w:r>
        <w:rPr>
          <w:rFonts w:hint="eastAsia" w:ascii="宋体" w:hAnsi="宋体" w:cs="宋体"/>
          <w:b/>
          <w:bCs/>
          <w:spacing w:val="-3"/>
          <w:sz w:val="28"/>
        </w:rPr>
        <w:t>落</w:t>
      </w:r>
      <w:r>
        <w:rPr>
          <w:rFonts w:hint="eastAsia" w:ascii="宋体" w:hAnsi="宋体" w:cs="宋体"/>
          <w:b/>
          <w:bCs/>
          <w:sz w:val="28"/>
        </w:rPr>
        <w:t>实情况</w:t>
      </w:r>
    </w:p>
    <w:p>
      <w:pPr>
        <w:spacing w:line="360" w:lineRule="auto"/>
        <w:ind w:left="520" w:right="-20"/>
        <w:jc w:val="left"/>
        <w:rPr>
          <w:rFonts w:ascii="宋体" w:hAnsi="宋体" w:cs="宋体"/>
        </w:rPr>
      </w:pPr>
      <w:r>
        <w:rPr>
          <w:rFonts w:hint="eastAsia" w:ascii="宋体" w:hAnsi="宋体" w:cs="宋体"/>
        </w:rPr>
        <w:t>1.2.1资</w:t>
      </w:r>
      <w:r>
        <w:rPr>
          <w:rFonts w:hint="eastAsia" w:ascii="宋体" w:hAnsi="宋体" w:cs="宋体"/>
          <w:spacing w:val="-2"/>
        </w:rPr>
        <w:t>金</w:t>
      </w:r>
      <w:r>
        <w:rPr>
          <w:rFonts w:hint="eastAsia" w:ascii="宋体" w:hAnsi="宋体" w:cs="宋体"/>
        </w:rPr>
        <w:t>来</w:t>
      </w:r>
      <w:r>
        <w:rPr>
          <w:rFonts w:hint="eastAsia" w:ascii="宋体" w:hAnsi="宋体" w:cs="宋体"/>
          <w:spacing w:val="-2"/>
        </w:rPr>
        <w:t>源</w:t>
      </w:r>
      <w:r>
        <w:rPr>
          <w:rFonts w:hint="eastAsia" w:ascii="宋体" w:hAnsi="宋体" w:cs="宋体"/>
        </w:rPr>
        <w:t>及</w:t>
      </w:r>
      <w:r>
        <w:rPr>
          <w:rFonts w:hint="eastAsia" w:ascii="宋体" w:hAnsi="宋体" w:cs="宋体"/>
          <w:spacing w:val="-2"/>
        </w:rPr>
        <w:t>比</w:t>
      </w:r>
      <w:r>
        <w:rPr>
          <w:rFonts w:hint="eastAsia" w:ascii="宋体" w:hAnsi="宋体" w:cs="宋体"/>
        </w:rPr>
        <w:t>例</w:t>
      </w:r>
      <w:r>
        <w:rPr>
          <w:rFonts w:hint="eastAsia" w:ascii="宋体" w:hAnsi="宋体" w:cs="宋体"/>
          <w:spacing w:val="-2"/>
        </w:rPr>
        <w:t>：见</w:t>
      </w:r>
      <w:r>
        <w:rPr>
          <w:rFonts w:hint="eastAsia" w:ascii="宋体" w:hAnsi="宋体" w:cs="宋体"/>
        </w:rPr>
        <w:t>投标</w:t>
      </w:r>
      <w:r>
        <w:rPr>
          <w:rFonts w:hint="eastAsia" w:ascii="宋体" w:hAnsi="宋体" w:cs="宋体"/>
          <w:spacing w:val="-2"/>
        </w:rPr>
        <w:t>人</w:t>
      </w:r>
      <w:r>
        <w:rPr>
          <w:rFonts w:hint="eastAsia" w:ascii="宋体" w:hAnsi="宋体" w:cs="宋体"/>
        </w:rPr>
        <w:t>须</w:t>
      </w:r>
      <w:r>
        <w:rPr>
          <w:rFonts w:hint="eastAsia" w:ascii="宋体" w:hAnsi="宋体" w:cs="宋体"/>
          <w:spacing w:val="-2"/>
        </w:rPr>
        <w:t>知</w:t>
      </w:r>
      <w:r>
        <w:rPr>
          <w:rFonts w:hint="eastAsia" w:ascii="宋体" w:hAnsi="宋体" w:cs="宋体"/>
        </w:rPr>
        <w:t>前</w:t>
      </w:r>
      <w:r>
        <w:rPr>
          <w:rFonts w:hint="eastAsia" w:ascii="宋体" w:hAnsi="宋体" w:cs="宋体"/>
          <w:spacing w:val="-2"/>
        </w:rPr>
        <w:t>附</w:t>
      </w:r>
      <w:r>
        <w:rPr>
          <w:rFonts w:hint="eastAsia" w:ascii="宋体" w:hAnsi="宋体" w:cs="宋体"/>
        </w:rPr>
        <w:t>表。</w:t>
      </w:r>
    </w:p>
    <w:p>
      <w:pPr>
        <w:spacing w:line="360" w:lineRule="auto"/>
        <w:ind w:left="520" w:right="-20"/>
        <w:jc w:val="left"/>
        <w:rPr>
          <w:rFonts w:ascii="宋体" w:hAnsi="宋体" w:cs="宋体"/>
        </w:rPr>
      </w:pPr>
      <w:r>
        <w:rPr>
          <w:rFonts w:hint="eastAsia" w:ascii="宋体" w:hAnsi="宋体" w:cs="宋体"/>
        </w:rPr>
        <w:t>1.2.2资</w:t>
      </w:r>
      <w:r>
        <w:rPr>
          <w:rFonts w:hint="eastAsia" w:ascii="宋体" w:hAnsi="宋体" w:cs="宋体"/>
          <w:spacing w:val="-2"/>
        </w:rPr>
        <w:t>金</w:t>
      </w:r>
      <w:r>
        <w:rPr>
          <w:rFonts w:hint="eastAsia" w:ascii="宋体" w:hAnsi="宋体" w:cs="宋体"/>
        </w:rPr>
        <w:t>落</w:t>
      </w:r>
      <w:r>
        <w:rPr>
          <w:rFonts w:hint="eastAsia" w:ascii="宋体" w:hAnsi="宋体" w:cs="宋体"/>
          <w:spacing w:val="-2"/>
        </w:rPr>
        <w:t>实</w:t>
      </w:r>
      <w:r>
        <w:rPr>
          <w:rFonts w:hint="eastAsia" w:ascii="宋体" w:hAnsi="宋体" w:cs="宋体"/>
        </w:rPr>
        <w:t>情</w:t>
      </w:r>
      <w:r>
        <w:rPr>
          <w:rFonts w:hint="eastAsia" w:ascii="宋体" w:hAnsi="宋体" w:cs="宋体"/>
          <w:spacing w:val="-2"/>
        </w:rPr>
        <w:t>况</w:t>
      </w:r>
      <w:r>
        <w:rPr>
          <w:rFonts w:hint="eastAsia" w:ascii="宋体" w:hAnsi="宋体" w:cs="宋体"/>
        </w:rPr>
        <w:t>：</w:t>
      </w:r>
      <w:r>
        <w:rPr>
          <w:rFonts w:hint="eastAsia" w:ascii="宋体" w:hAnsi="宋体" w:cs="宋体"/>
          <w:spacing w:val="-2"/>
        </w:rPr>
        <w:t>见投</w:t>
      </w:r>
      <w:r>
        <w:rPr>
          <w:rFonts w:hint="eastAsia" w:ascii="宋体" w:hAnsi="宋体" w:cs="宋体"/>
        </w:rPr>
        <w:t>标人</w:t>
      </w:r>
      <w:r>
        <w:rPr>
          <w:rFonts w:hint="eastAsia" w:ascii="宋体" w:hAnsi="宋体" w:cs="宋体"/>
          <w:spacing w:val="-2"/>
        </w:rPr>
        <w:t>须</w:t>
      </w:r>
      <w:r>
        <w:rPr>
          <w:rFonts w:hint="eastAsia" w:ascii="宋体" w:hAnsi="宋体" w:cs="宋体"/>
        </w:rPr>
        <w:t>知</w:t>
      </w:r>
      <w:r>
        <w:rPr>
          <w:rFonts w:hint="eastAsia" w:ascii="宋体" w:hAnsi="宋体" w:cs="宋体"/>
          <w:spacing w:val="-2"/>
        </w:rPr>
        <w:t>前</w:t>
      </w:r>
      <w:r>
        <w:rPr>
          <w:rFonts w:hint="eastAsia" w:ascii="宋体" w:hAnsi="宋体" w:cs="宋体"/>
        </w:rPr>
        <w:t>附</w:t>
      </w:r>
      <w:r>
        <w:rPr>
          <w:rFonts w:hint="eastAsia" w:ascii="宋体" w:hAnsi="宋体" w:cs="宋体"/>
          <w:spacing w:val="-2"/>
        </w:rPr>
        <w:t>表</w:t>
      </w:r>
      <w:r>
        <w:rPr>
          <w:rFonts w:hint="eastAsia" w:ascii="宋体" w:hAnsi="宋体" w:cs="宋体"/>
        </w:rPr>
        <w:t>。</w:t>
      </w:r>
    </w:p>
    <w:p>
      <w:pPr>
        <w:spacing w:line="360" w:lineRule="auto"/>
        <w:ind w:left="237" w:right="-20"/>
        <w:jc w:val="left"/>
        <w:rPr>
          <w:rFonts w:ascii="宋体" w:hAnsi="宋体" w:cs="宋体"/>
          <w:b/>
          <w:bCs/>
          <w:sz w:val="28"/>
        </w:rPr>
      </w:pPr>
      <w:r>
        <w:rPr>
          <w:rFonts w:hint="eastAsia" w:ascii="宋体" w:hAnsi="宋体" w:cs="宋体"/>
          <w:b/>
          <w:bCs/>
          <w:spacing w:val="1"/>
          <w:sz w:val="28"/>
        </w:rPr>
        <w:t>1</w:t>
      </w:r>
      <w:r>
        <w:rPr>
          <w:rFonts w:hint="eastAsia" w:ascii="宋体" w:hAnsi="宋体" w:cs="宋体"/>
          <w:b/>
          <w:bCs/>
          <w:sz w:val="28"/>
        </w:rPr>
        <w:t>.3招标范</w:t>
      </w:r>
      <w:r>
        <w:rPr>
          <w:rFonts w:hint="eastAsia" w:ascii="宋体" w:hAnsi="宋体" w:cs="宋体"/>
          <w:b/>
          <w:bCs/>
          <w:spacing w:val="-3"/>
          <w:sz w:val="28"/>
        </w:rPr>
        <w:t>围</w:t>
      </w:r>
      <w:r>
        <w:rPr>
          <w:rFonts w:hint="eastAsia" w:ascii="宋体" w:hAnsi="宋体" w:cs="宋体"/>
          <w:b/>
          <w:bCs/>
          <w:sz w:val="28"/>
        </w:rPr>
        <w:t>、服务期</w:t>
      </w:r>
      <w:r>
        <w:rPr>
          <w:rFonts w:hint="eastAsia" w:ascii="宋体" w:hAnsi="宋体" w:cs="宋体"/>
          <w:b/>
          <w:bCs/>
          <w:spacing w:val="-3"/>
          <w:sz w:val="28"/>
        </w:rPr>
        <w:t>限</w:t>
      </w:r>
      <w:r>
        <w:rPr>
          <w:rFonts w:hint="eastAsia" w:ascii="宋体" w:hAnsi="宋体" w:cs="宋体"/>
          <w:b/>
          <w:bCs/>
          <w:sz w:val="28"/>
        </w:rPr>
        <w:t>和质</w:t>
      </w:r>
      <w:r>
        <w:rPr>
          <w:rFonts w:hint="eastAsia" w:ascii="宋体" w:hAnsi="宋体" w:cs="宋体"/>
          <w:b/>
          <w:bCs/>
          <w:spacing w:val="-3"/>
          <w:sz w:val="28"/>
        </w:rPr>
        <w:t>量标</w:t>
      </w:r>
      <w:r>
        <w:rPr>
          <w:rFonts w:hint="eastAsia" w:ascii="宋体" w:hAnsi="宋体" w:cs="宋体"/>
          <w:b/>
          <w:bCs/>
          <w:sz w:val="28"/>
        </w:rPr>
        <w:t>准</w:t>
      </w:r>
    </w:p>
    <w:p>
      <w:pPr>
        <w:spacing w:line="360" w:lineRule="auto"/>
        <w:ind w:left="520" w:right="-20"/>
        <w:jc w:val="left"/>
        <w:rPr>
          <w:rFonts w:ascii="宋体" w:hAnsi="宋体" w:cs="宋体"/>
        </w:rPr>
      </w:pPr>
      <w:r>
        <w:rPr>
          <w:rFonts w:hint="eastAsia" w:ascii="宋体" w:hAnsi="宋体" w:cs="宋体"/>
        </w:rPr>
        <w:t>1.3.1招</w:t>
      </w:r>
      <w:r>
        <w:rPr>
          <w:rFonts w:hint="eastAsia" w:ascii="宋体" w:hAnsi="宋体" w:cs="宋体"/>
          <w:spacing w:val="-2"/>
        </w:rPr>
        <w:t>标</w:t>
      </w:r>
      <w:r>
        <w:rPr>
          <w:rFonts w:hint="eastAsia" w:ascii="宋体" w:hAnsi="宋体" w:cs="宋体"/>
        </w:rPr>
        <w:t>范</w:t>
      </w:r>
      <w:r>
        <w:rPr>
          <w:rFonts w:hint="eastAsia" w:ascii="宋体" w:hAnsi="宋体" w:cs="宋体"/>
          <w:spacing w:val="-2"/>
        </w:rPr>
        <w:t>围</w:t>
      </w:r>
      <w:r>
        <w:rPr>
          <w:rFonts w:hint="eastAsia" w:ascii="宋体" w:hAnsi="宋体" w:cs="宋体"/>
        </w:rPr>
        <w:t>：</w:t>
      </w:r>
      <w:r>
        <w:rPr>
          <w:rFonts w:hint="eastAsia" w:ascii="宋体" w:hAnsi="宋体" w:cs="宋体"/>
          <w:spacing w:val="-2"/>
        </w:rPr>
        <w:t>见</w:t>
      </w:r>
      <w:r>
        <w:rPr>
          <w:rFonts w:hint="eastAsia" w:ascii="宋体" w:hAnsi="宋体" w:cs="宋体"/>
        </w:rPr>
        <w:t>投</w:t>
      </w:r>
      <w:r>
        <w:rPr>
          <w:rFonts w:hint="eastAsia" w:ascii="宋体" w:hAnsi="宋体" w:cs="宋体"/>
          <w:spacing w:val="-2"/>
        </w:rPr>
        <w:t>标人</w:t>
      </w:r>
      <w:r>
        <w:rPr>
          <w:rFonts w:hint="eastAsia" w:ascii="宋体" w:hAnsi="宋体" w:cs="宋体"/>
        </w:rPr>
        <w:t>须知</w:t>
      </w:r>
      <w:r>
        <w:rPr>
          <w:rFonts w:hint="eastAsia" w:ascii="宋体" w:hAnsi="宋体" w:cs="宋体"/>
          <w:spacing w:val="-2"/>
        </w:rPr>
        <w:t>前</w:t>
      </w:r>
      <w:r>
        <w:rPr>
          <w:rFonts w:hint="eastAsia" w:ascii="宋体" w:hAnsi="宋体" w:cs="宋体"/>
        </w:rPr>
        <w:t>附</w:t>
      </w:r>
      <w:r>
        <w:rPr>
          <w:rFonts w:hint="eastAsia" w:ascii="宋体" w:hAnsi="宋体" w:cs="宋体"/>
          <w:spacing w:val="-2"/>
        </w:rPr>
        <w:t>表</w:t>
      </w:r>
      <w:r>
        <w:rPr>
          <w:rFonts w:hint="eastAsia" w:ascii="宋体" w:hAnsi="宋体" w:cs="宋体"/>
        </w:rPr>
        <w:t>。</w:t>
      </w:r>
    </w:p>
    <w:p>
      <w:pPr>
        <w:spacing w:line="360" w:lineRule="auto"/>
        <w:ind w:left="520" w:right="-20"/>
        <w:jc w:val="left"/>
        <w:rPr>
          <w:rFonts w:ascii="宋体" w:hAnsi="宋体" w:cs="宋体"/>
        </w:rPr>
      </w:pPr>
      <w:r>
        <w:rPr>
          <w:rFonts w:hint="eastAsia" w:ascii="宋体" w:hAnsi="宋体" w:cs="宋体"/>
        </w:rPr>
        <w:t>1.3.2服</w:t>
      </w:r>
      <w:r>
        <w:rPr>
          <w:rFonts w:hint="eastAsia" w:ascii="宋体" w:hAnsi="宋体" w:cs="宋体"/>
          <w:spacing w:val="-2"/>
        </w:rPr>
        <w:t>务</w:t>
      </w:r>
      <w:r>
        <w:rPr>
          <w:rFonts w:hint="eastAsia" w:ascii="宋体" w:hAnsi="宋体" w:cs="宋体"/>
        </w:rPr>
        <w:t>期</w:t>
      </w:r>
      <w:r>
        <w:rPr>
          <w:rFonts w:hint="eastAsia" w:ascii="宋体" w:hAnsi="宋体" w:cs="宋体"/>
          <w:spacing w:val="-2"/>
        </w:rPr>
        <w:t>限</w:t>
      </w:r>
      <w:r>
        <w:rPr>
          <w:rFonts w:hint="eastAsia" w:ascii="宋体" w:hAnsi="宋体" w:cs="宋体"/>
        </w:rPr>
        <w:t>：</w:t>
      </w:r>
      <w:r>
        <w:rPr>
          <w:rFonts w:hint="eastAsia" w:ascii="宋体" w:hAnsi="宋体" w:cs="宋体"/>
          <w:spacing w:val="-2"/>
        </w:rPr>
        <w:t>见投</w:t>
      </w:r>
      <w:r>
        <w:rPr>
          <w:rFonts w:hint="eastAsia" w:ascii="宋体" w:hAnsi="宋体" w:cs="宋体"/>
        </w:rPr>
        <w:t>标人</w:t>
      </w:r>
      <w:r>
        <w:rPr>
          <w:rFonts w:hint="eastAsia" w:ascii="宋体" w:hAnsi="宋体" w:cs="宋体"/>
          <w:spacing w:val="-2"/>
        </w:rPr>
        <w:t>须</w:t>
      </w:r>
      <w:r>
        <w:rPr>
          <w:rFonts w:hint="eastAsia" w:ascii="宋体" w:hAnsi="宋体" w:cs="宋体"/>
        </w:rPr>
        <w:t>知</w:t>
      </w:r>
      <w:r>
        <w:rPr>
          <w:rFonts w:hint="eastAsia" w:ascii="宋体" w:hAnsi="宋体" w:cs="宋体"/>
          <w:spacing w:val="-2"/>
        </w:rPr>
        <w:t>前</w:t>
      </w:r>
      <w:r>
        <w:rPr>
          <w:rFonts w:hint="eastAsia" w:ascii="宋体" w:hAnsi="宋体" w:cs="宋体"/>
        </w:rPr>
        <w:t>附</w:t>
      </w:r>
      <w:r>
        <w:rPr>
          <w:rFonts w:hint="eastAsia" w:ascii="宋体" w:hAnsi="宋体" w:cs="宋体"/>
          <w:spacing w:val="-2"/>
        </w:rPr>
        <w:t>表</w:t>
      </w:r>
      <w:r>
        <w:rPr>
          <w:rFonts w:hint="eastAsia" w:ascii="宋体" w:hAnsi="宋体" w:cs="宋体"/>
        </w:rPr>
        <w:t>。</w:t>
      </w:r>
    </w:p>
    <w:p>
      <w:pPr>
        <w:spacing w:line="360" w:lineRule="auto"/>
        <w:ind w:left="520" w:right="-20"/>
        <w:jc w:val="left"/>
        <w:rPr>
          <w:rFonts w:ascii="宋体" w:hAnsi="宋体" w:cs="宋体"/>
        </w:rPr>
      </w:pPr>
      <w:r>
        <w:rPr>
          <w:rFonts w:hint="eastAsia" w:ascii="宋体" w:hAnsi="宋体" w:cs="宋体"/>
        </w:rPr>
        <w:t>1.3.3质</w:t>
      </w:r>
      <w:r>
        <w:rPr>
          <w:rFonts w:hint="eastAsia" w:ascii="宋体" w:hAnsi="宋体" w:cs="宋体"/>
          <w:spacing w:val="-2"/>
        </w:rPr>
        <w:t>量</w:t>
      </w:r>
      <w:r>
        <w:rPr>
          <w:rFonts w:hint="eastAsia" w:ascii="宋体" w:hAnsi="宋体" w:cs="宋体"/>
        </w:rPr>
        <w:t>标</w:t>
      </w:r>
      <w:r>
        <w:rPr>
          <w:rFonts w:hint="eastAsia" w:ascii="宋体" w:hAnsi="宋体" w:cs="宋体"/>
          <w:spacing w:val="-2"/>
        </w:rPr>
        <w:t>准</w:t>
      </w:r>
      <w:r>
        <w:rPr>
          <w:rFonts w:hint="eastAsia" w:ascii="宋体" w:hAnsi="宋体" w:cs="宋体"/>
        </w:rPr>
        <w:t>：</w:t>
      </w:r>
      <w:r>
        <w:rPr>
          <w:rFonts w:hint="eastAsia" w:ascii="宋体" w:hAnsi="宋体" w:cs="宋体"/>
          <w:spacing w:val="-2"/>
        </w:rPr>
        <w:t>见</w:t>
      </w:r>
      <w:r>
        <w:rPr>
          <w:rFonts w:hint="eastAsia" w:ascii="宋体" w:hAnsi="宋体" w:cs="宋体"/>
        </w:rPr>
        <w:t>投</w:t>
      </w:r>
      <w:r>
        <w:rPr>
          <w:rFonts w:hint="eastAsia" w:ascii="宋体" w:hAnsi="宋体" w:cs="宋体"/>
          <w:spacing w:val="-2"/>
        </w:rPr>
        <w:t>标人</w:t>
      </w:r>
      <w:r>
        <w:rPr>
          <w:rFonts w:hint="eastAsia" w:ascii="宋体" w:hAnsi="宋体" w:cs="宋体"/>
        </w:rPr>
        <w:t>须知</w:t>
      </w:r>
      <w:r>
        <w:rPr>
          <w:rFonts w:hint="eastAsia" w:ascii="宋体" w:hAnsi="宋体" w:cs="宋体"/>
          <w:spacing w:val="-2"/>
        </w:rPr>
        <w:t>前</w:t>
      </w:r>
      <w:r>
        <w:rPr>
          <w:rFonts w:hint="eastAsia" w:ascii="宋体" w:hAnsi="宋体" w:cs="宋体"/>
        </w:rPr>
        <w:t>附</w:t>
      </w:r>
      <w:r>
        <w:rPr>
          <w:rFonts w:hint="eastAsia" w:ascii="宋体" w:hAnsi="宋体" w:cs="宋体"/>
          <w:spacing w:val="-2"/>
        </w:rPr>
        <w:t>表</w:t>
      </w:r>
      <w:r>
        <w:rPr>
          <w:rFonts w:hint="eastAsia" w:ascii="宋体" w:hAnsi="宋体" w:cs="宋体"/>
        </w:rPr>
        <w:t>。</w:t>
      </w:r>
    </w:p>
    <w:p>
      <w:pPr>
        <w:spacing w:line="360" w:lineRule="auto"/>
        <w:ind w:left="237" w:right="-20"/>
        <w:jc w:val="left"/>
        <w:rPr>
          <w:rFonts w:ascii="宋体" w:hAnsi="宋体" w:cs="宋体"/>
          <w:b/>
          <w:bCs/>
          <w:sz w:val="28"/>
        </w:rPr>
      </w:pPr>
      <w:r>
        <w:rPr>
          <w:rFonts w:hint="eastAsia" w:ascii="宋体" w:hAnsi="宋体" w:cs="宋体"/>
          <w:b/>
          <w:bCs/>
          <w:spacing w:val="1"/>
          <w:sz w:val="28"/>
        </w:rPr>
        <w:t>1</w:t>
      </w:r>
      <w:r>
        <w:rPr>
          <w:rFonts w:hint="eastAsia" w:ascii="宋体" w:hAnsi="宋体" w:cs="宋体"/>
          <w:b/>
          <w:bCs/>
          <w:sz w:val="28"/>
        </w:rPr>
        <w:t>.4投标人</w:t>
      </w:r>
      <w:r>
        <w:rPr>
          <w:rFonts w:hint="eastAsia" w:ascii="宋体" w:hAnsi="宋体" w:cs="宋体"/>
          <w:b/>
          <w:bCs/>
          <w:spacing w:val="-3"/>
          <w:sz w:val="28"/>
        </w:rPr>
        <w:t>资</w:t>
      </w:r>
      <w:r>
        <w:rPr>
          <w:rFonts w:hint="eastAsia" w:ascii="宋体" w:hAnsi="宋体" w:cs="宋体"/>
          <w:b/>
          <w:bCs/>
          <w:sz w:val="28"/>
        </w:rPr>
        <w:t>格要求</w:t>
      </w:r>
    </w:p>
    <w:p>
      <w:pPr>
        <w:spacing w:line="360" w:lineRule="auto"/>
        <w:ind w:left="520" w:right="-20"/>
        <w:jc w:val="left"/>
        <w:rPr>
          <w:rFonts w:ascii="宋体" w:hAnsi="宋体" w:cs="宋体"/>
        </w:rPr>
      </w:pPr>
      <w:r>
        <w:rPr>
          <w:rFonts w:hint="eastAsia" w:ascii="宋体" w:hAnsi="宋体" w:cs="宋体"/>
        </w:rPr>
        <w:t>1.4.1 投标人应具备承担本招标项目资质条件、能力和信誉：</w:t>
      </w:r>
    </w:p>
    <w:p>
      <w:pPr>
        <w:spacing w:line="360" w:lineRule="auto"/>
        <w:ind w:left="378" w:right="4711"/>
        <w:jc w:val="center"/>
        <w:rPr>
          <w:rFonts w:ascii="宋体" w:hAnsi="宋体" w:cs="宋体"/>
        </w:rPr>
      </w:pPr>
      <w:r>
        <w:rPr>
          <w:rFonts w:hint="eastAsia" w:ascii="宋体" w:hAnsi="宋体" w:cs="宋体"/>
        </w:rPr>
        <w:t>（1）资质要求：见投标人须知前附表；</w:t>
      </w:r>
    </w:p>
    <w:p>
      <w:pPr>
        <w:spacing w:line="360" w:lineRule="auto"/>
        <w:ind w:left="378" w:right="4711"/>
        <w:jc w:val="center"/>
        <w:rPr>
          <w:rFonts w:ascii="宋体" w:hAnsi="宋体" w:cs="宋体"/>
        </w:rPr>
      </w:pPr>
      <w:r>
        <w:rPr>
          <w:rFonts w:hint="eastAsia" w:ascii="宋体" w:hAnsi="宋体" w:cs="宋体"/>
        </w:rPr>
        <w:t>（2）财务要求：见投标人须知前附表；</w:t>
      </w:r>
    </w:p>
    <w:p>
      <w:pPr>
        <w:spacing w:line="360" w:lineRule="auto"/>
        <w:ind w:left="378" w:right="4711"/>
        <w:jc w:val="center"/>
        <w:rPr>
          <w:rFonts w:ascii="宋体" w:hAnsi="宋体" w:cs="宋体"/>
        </w:rPr>
      </w:pPr>
      <w:r>
        <w:rPr>
          <w:rFonts w:hint="eastAsia" w:ascii="宋体" w:hAnsi="宋体" w:cs="宋体"/>
        </w:rPr>
        <w:t>（3）业绩要求：见投标人须知前附表；</w:t>
      </w:r>
    </w:p>
    <w:p>
      <w:pPr>
        <w:spacing w:line="360" w:lineRule="auto"/>
        <w:ind w:left="378" w:right="4711"/>
        <w:jc w:val="center"/>
        <w:rPr>
          <w:rFonts w:ascii="宋体" w:hAnsi="宋体" w:cs="宋体"/>
        </w:rPr>
      </w:pPr>
      <w:r>
        <w:rPr>
          <w:rFonts w:hint="eastAsia" w:ascii="宋体" w:hAnsi="宋体" w:cs="宋体"/>
        </w:rPr>
        <w:t>（4）信誉要求：见投标人须知前附表；</w:t>
      </w:r>
    </w:p>
    <w:p>
      <w:pPr>
        <w:spacing w:line="360" w:lineRule="auto"/>
        <w:ind w:left="10" w:leftChars="5" w:right="28" w:firstLine="516" w:firstLineChars="246"/>
        <w:rPr>
          <w:rFonts w:ascii="宋体" w:hAnsi="宋体" w:cs="宋体"/>
        </w:rPr>
      </w:pPr>
      <w:r>
        <w:rPr>
          <w:rFonts w:hint="eastAsia" w:ascii="宋体" w:hAnsi="宋体" w:cs="宋体"/>
        </w:rPr>
        <w:t>（5）总监理工程师的资格要求：</w:t>
      </w:r>
      <w:r>
        <w:rPr>
          <w:rFonts w:hint="eastAsia" w:ascii="宋体" w:hAnsi="宋体" w:cs="宋体"/>
          <w:color w:val="000000"/>
          <w:highlight w:val="none"/>
          <w:u w:val="single"/>
        </w:rPr>
        <w:t>具体要求见投标人须知前附表</w:t>
      </w:r>
      <w:r>
        <w:rPr>
          <w:rFonts w:hint="eastAsia" w:ascii="宋体" w:hAnsi="宋体" w:cs="宋体"/>
        </w:rPr>
        <w:t>；</w:t>
      </w:r>
    </w:p>
    <w:p>
      <w:pPr>
        <w:spacing w:line="360" w:lineRule="auto"/>
        <w:ind w:left="10" w:leftChars="5" w:right="28" w:firstLine="516" w:firstLineChars="246"/>
        <w:rPr>
          <w:rFonts w:hint="eastAsia" w:ascii="宋体" w:hAnsi="宋体" w:cs="宋体"/>
        </w:rPr>
      </w:pPr>
      <w:r>
        <w:rPr>
          <w:rFonts w:hint="eastAsia" w:ascii="宋体" w:hAnsi="宋体" w:cs="宋体"/>
        </w:rPr>
        <w:t>（6）其他主要人员要求：见投标人须知前附表。</w:t>
      </w:r>
    </w:p>
    <w:p>
      <w:pPr>
        <w:spacing w:line="360" w:lineRule="auto"/>
        <w:ind w:left="10" w:leftChars="5" w:right="28" w:firstLine="516" w:firstLineChars="246"/>
        <w:rPr>
          <w:rFonts w:hint="eastAsia" w:ascii="宋体" w:hAnsi="宋体" w:cs="宋体"/>
        </w:rPr>
      </w:pPr>
      <w:r>
        <w:rPr>
          <w:rFonts w:hint="eastAsia" w:ascii="宋体" w:hAnsi="宋体" w:cs="宋体"/>
        </w:rPr>
        <w:t>（7）试验检测仪器设备要求：见投标人须知前附表。</w:t>
      </w:r>
    </w:p>
    <w:p>
      <w:pPr>
        <w:spacing w:line="360" w:lineRule="auto"/>
        <w:ind w:left="10" w:leftChars="5" w:right="28" w:firstLine="516" w:firstLineChars="246"/>
        <w:rPr>
          <w:rFonts w:hint="eastAsia" w:ascii="宋体" w:hAnsi="宋体" w:cs="宋体"/>
        </w:rPr>
      </w:pPr>
      <w:r>
        <w:rPr>
          <w:rFonts w:hint="eastAsia" w:ascii="宋体" w:hAnsi="宋体" w:cs="宋体"/>
        </w:rPr>
        <w:t>（8）其他要求：见投标人须知前附表。</w:t>
      </w:r>
    </w:p>
    <w:p>
      <w:pPr>
        <w:spacing w:line="360" w:lineRule="auto"/>
        <w:ind w:left="520" w:right="40" w:hanging="106"/>
        <w:jc w:val="left"/>
        <w:rPr>
          <w:rFonts w:ascii="宋体" w:hAnsi="宋体" w:cs="宋体"/>
        </w:rPr>
      </w:pPr>
      <w:r>
        <w:rPr>
          <w:rFonts w:hint="eastAsia" w:ascii="宋体" w:hAnsi="宋体" w:cs="宋体"/>
        </w:rPr>
        <w:t>需要提交的相关证明材料见本章第 3.5 款的规定。</w:t>
      </w:r>
    </w:p>
    <w:p>
      <w:pPr>
        <w:spacing w:line="360" w:lineRule="auto"/>
        <w:ind w:left="100" w:right="40" w:firstLine="420"/>
        <w:jc w:val="left"/>
        <w:rPr>
          <w:rFonts w:ascii="宋体" w:hAnsi="宋体" w:cs="宋体"/>
        </w:rPr>
      </w:pPr>
      <w:r>
        <w:rPr>
          <w:rFonts w:hint="eastAsia" w:ascii="宋体" w:hAnsi="宋体" w:cs="宋体"/>
        </w:rPr>
        <w:t>1.4.2 投标人须知前附表规定接受联合体投标的，联合体除应符合本章第 1.4.1 项和投标人须知前附表的要求外，还应遵守以下规定：</w:t>
      </w:r>
    </w:p>
    <w:p>
      <w:pPr>
        <w:spacing w:line="360" w:lineRule="auto"/>
        <w:ind w:left="100" w:right="43" w:firstLine="314"/>
        <w:jc w:val="left"/>
        <w:rPr>
          <w:rFonts w:ascii="宋体" w:hAnsi="宋体" w:cs="宋体"/>
        </w:rPr>
      </w:pPr>
      <w:r>
        <w:rPr>
          <w:rFonts w:hint="eastAsia" w:ascii="宋体" w:hAnsi="宋体" w:cs="宋体"/>
        </w:rPr>
        <w:t>（1）联合体各方应按招标文件提供的格式签订联合体协议书，明确联合体牵头人和各方权利义务，并承诺就中标项目向招标人承担连带责任；</w:t>
      </w:r>
    </w:p>
    <w:p>
      <w:pPr>
        <w:spacing w:line="360" w:lineRule="auto"/>
        <w:ind w:left="415" w:right="-20"/>
        <w:jc w:val="left"/>
        <w:rPr>
          <w:rFonts w:ascii="宋体" w:hAnsi="宋体" w:cs="宋体"/>
        </w:rPr>
      </w:pPr>
      <w:r>
        <w:rPr>
          <w:rFonts w:hint="eastAsia" w:ascii="宋体" w:hAnsi="宋体" w:cs="宋体"/>
        </w:rPr>
        <w:t>（2）由同一专业的单位组成的联合体，按照资质等级较低的单位确定资质等级；</w:t>
      </w:r>
    </w:p>
    <w:p>
      <w:pPr>
        <w:spacing w:line="360" w:lineRule="auto"/>
        <w:ind w:left="100" w:right="43" w:firstLine="314"/>
        <w:jc w:val="left"/>
        <w:rPr>
          <w:rFonts w:ascii="宋体" w:hAnsi="宋体" w:cs="宋体"/>
        </w:rPr>
      </w:pPr>
      <w:r>
        <w:rPr>
          <w:rFonts w:hint="eastAsia" w:ascii="宋体" w:hAnsi="宋体" w:cs="宋体"/>
        </w:rPr>
        <w:t>（3）联合体各方不得再以自己名义单独或参加其他联合体在本招标项目中投标，否则各相关投标均无效。</w:t>
      </w:r>
    </w:p>
    <w:p>
      <w:pPr>
        <w:spacing w:line="360" w:lineRule="auto"/>
        <w:ind w:left="520" w:right="-20"/>
        <w:jc w:val="left"/>
        <w:rPr>
          <w:rFonts w:ascii="宋体" w:hAnsi="宋体" w:cs="宋体"/>
        </w:rPr>
      </w:pPr>
      <w:r>
        <w:rPr>
          <w:rFonts w:hint="eastAsia" w:ascii="宋体" w:hAnsi="宋体" w:cs="宋体"/>
        </w:rPr>
        <w:t>1.4.3 投标人不得存在下列情形之一：</w:t>
      </w:r>
    </w:p>
    <w:p>
      <w:pPr>
        <w:spacing w:line="360" w:lineRule="auto"/>
        <w:ind w:left="520" w:right="-20"/>
        <w:jc w:val="left"/>
        <w:rPr>
          <w:rFonts w:ascii="宋体" w:hAnsi="宋体" w:cs="宋体"/>
        </w:rPr>
      </w:pPr>
      <w:r>
        <w:rPr>
          <w:rFonts w:hint="eastAsia" w:ascii="宋体" w:hAnsi="宋体" w:cs="宋体"/>
        </w:rPr>
        <w:t>（1）为招标人不具有独立法人资格的附属机构（单位）；</w:t>
      </w:r>
    </w:p>
    <w:p>
      <w:pPr>
        <w:spacing w:line="360" w:lineRule="auto"/>
        <w:ind w:left="520" w:right="-20"/>
        <w:jc w:val="left"/>
        <w:rPr>
          <w:rFonts w:ascii="宋体" w:hAnsi="宋体" w:cs="宋体"/>
        </w:rPr>
      </w:pPr>
      <w:r>
        <w:rPr>
          <w:rFonts w:hint="eastAsia" w:ascii="宋体" w:hAnsi="宋体" w:cs="宋体"/>
        </w:rPr>
        <w:t>（2）与招标人存在利害关系且可能影响招标公正性；</w:t>
      </w:r>
    </w:p>
    <w:p>
      <w:pPr>
        <w:spacing w:line="360" w:lineRule="auto"/>
        <w:ind w:left="520" w:right="-20"/>
        <w:jc w:val="left"/>
        <w:rPr>
          <w:rFonts w:ascii="宋体" w:hAnsi="宋体" w:cs="宋体"/>
        </w:rPr>
      </w:pPr>
      <w:r>
        <w:rPr>
          <w:rFonts w:hint="eastAsia" w:ascii="宋体" w:hAnsi="宋体" w:cs="宋体"/>
        </w:rPr>
        <w:t>（3）与本招标项目的其他投标人为同一个单位负责人；</w:t>
      </w:r>
    </w:p>
    <w:p>
      <w:pPr>
        <w:spacing w:line="360" w:lineRule="auto"/>
        <w:ind w:left="520" w:right="-20"/>
        <w:jc w:val="left"/>
        <w:rPr>
          <w:rFonts w:ascii="宋体" w:hAnsi="宋体" w:cs="宋体"/>
        </w:rPr>
      </w:pPr>
      <w:r>
        <w:rPr>
          <w:rFonts w:hint="eastAsia" w:ascii="宋体" w:hAnsi="宋体" w:cs="宋体"/>
        </w:rPr>
        <w:t>（4）与本招标项目的其他投标人存在控股、管理关系；</w:t>
      </w:r>
    </w:p>
    <w:p>
      <w:pPr>
        <w:spacing w:line="360" w:lineRule="auto"/>
        <w:ind w:left="520" w:right="-20"/>
        <w:jc w:val="left"/>
        <w:rPr>
          <w:rFonts w:ascii="宋体" w:hAnsi="宋体" w:cs="宋体"/>
        </w:rPr>
      </w:pPr>
      <w:r>
        <w:rPr>
          <w:rFonts w:hint="eastAsia" w:ascii="宋体" w:hAnsi="宋体" w:cs="宋体"/>
        </w:rPr>
        <w:t>（5）为本招标项目的代建人；</w:t>
      </w:r>
    </w:p>
    <w:p>
      <w:pPr>
        <w:spacing w:line="360" w:lineRule="auto"/>
        <w:ind w:left="520" w:right="-20"/>
        <w:jc w:val="left"/>
        <w:rPr>
          <w:rFonts w:ascii="宋体" w:hAnsi="宋体" w:cs="宋体"/>
        </w:rPr>
      </w:pPr>
      <w:r>
        <w:rPr>
          <w:rFonts w:hint="eastAsia" w:ascii="宋体" w:hAnsi="宋体" w:cs="宋体"/>
        </w:rPr>
        <w:t>（6）为本招标项目的招标代理机构；</w:t>
      </w:r>
    </w:p>
    <w:p>
      <w:pPr>
        <w:spacing w:line="360" w:lineRule="auto"/>
        <w:ind w:left="520" w:right="-20"/>
        <w:jc w:val="left"/>
        <w:rPr>
          <w:rFonts w:ascii="宋体" w:hAnsi="宋体" w:cs="宋体"/>
        </w:rPr>
      </w:pPr>
      <w:r>
        <w:rPr>
          <w:rFonts w:hint="eastAsia" w:ascii="宋体" w:hAnsi="宋体" w:cs="宋体"/>
        </w:rPr>
        <w:t>（7）与本招标项目的代建人或招标代理机构同为一个法定代表人；</w:t>
      </w:r>
    </w:p>
    <w:p>
      <w:pPr>
        <w:spacing w:line="360" w:lineRule="auto"/>
        <w:ind w:left="520" w:right="-20"/>
        <w:jc w:val="left"/>
        <w:rPr>
          <w:rFonts w:ascii="宋体" w:hAnsi="宋体" w:cs="宋体"/>
        </w:rPr>
      </w:pPr>
      <w:r>
        <w:rPr>
          <w:rFonts w:hint="eastAsia" w:ascii="宋体" w:hAnsi="宋体" w:cs="宋体"/>
        </w:rPr>
        <w:t>（8）与本招标项目的代建人或招标代理机构存在控股或参股关系；</w:t>
      </w:r>
    </w:p>
    <w:p>
      <w:pPr>
        <w:spacing w:line="360" w:lineRule="auto"/>
        <w:ind w:left="100" w:right="39" w:firstLine="420"/>
        <w:jc w:val="left"/>
        <w:rPr>
          <w:rFonts w:ascii="宋体" w:hAnsi="宋体" w:cs="宋体"/>
        </w:rPr>
      </w:pPr>
      <w:r>
        <w:rPr>
          <w:rFonts w:hint="eastAsia" w:ascii="宋体" w:hAnsi="宋体" w:cs="宋体"/>
        </w:rPr>
        <w:t>（9）与本招标项目的施工承包人以及建筑材料、建筑构配件和设备供应商有隶属关系或者其他利害关系；</w:t>
      </w:r>
    </w:p>
    <w:p>
      <w:pPr>
        <w:spacing w:line="360" w:lineRule="auto"/>
        <w:ind w:left="520" w:right="-20"/>
        <w:jc w:val="left"/>
        <w:rPr>
          <w:rFonts w:ascii="宋体" w:hAnsi="宋体" w:cs="宋体"/>
          <w:u w:val="none"/>
        </w:rPr>
      </w:pPr>
      <w:r>
        <w:rPr>
          <w:rFonts w:hint="eastAsia" w:ascii="宋体" w:hAnsi="宋体" w:cs="宋体"/>
          <w:u w:val="none"/>
        </w:rPr>
        <w:t>（10）被依法暂停或者取消投标资格；</w:t>
      </w:r>
      <w:r>
        <w:rPr>
          <w:rFonts w:hint="eastAsia" w:ascii="宋体" w:hAnsi="宋体"/>
          <w:color w:val="auto"/>
          <w:highlight w:val="none"/>
          <w:u w:val="non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pPr>
        <w:spacing w:line="360" w:lineRule="auto"/>
        <w:ind w:left="520" w:right="-20"/>
        <w:jc w:val="left"/>
        <w:rPr>
          <w:rFonts w:ascii="宋体" w:hAnsi="宋体" w:cs="宋体"/>
          <w:u w:val="none"/>
        </w:rPr>
      </w:pPr>
      <w:r>
        <w:rPr>
          <w:rFonts w:hint="eastAsia" w:ascii="宋体" w:hAnsi="宋体" w:cs="宋体"/>
          <w:u w:val="none"/>
        </w:rPr>
        <w:t>（11）被责令停产停业、暂扣或者吊销许可证、暂扣或者吊销执照；</w:t>
      </w:r>
      <w:r>
        <w:rPr>
          <w:rFonts w:hint="eastAsia" w:ascii="宋体" w:hAnsi="宋体"/>
          <w:color w:val="auto"/>
          <w:highlight w:val="none"/>
          <w:u w:val="none"/>
        </w:rPr>
        <w:t>（本项事实应当以根据《中华人民共和国行政处罚法》依法作出并已经生效的行政处罚决定为认定依据。）</w:t>
      </w:r>
    </w:p>
    <w:p>
      <w:pPr>
        <w:spacing w:line="360" w:lineRule="auto"/>
        <w:ind w:left="520" w:right="-20"/>
        <w:jc w:val="left"/>
        <w:rPr>
          <w:rFonts w:ascii="宋体" w:hAnsi="宋体" w:cs="宋体"/>
          <w:u w:val="none"/>
        </w:rPr>
      </w:pPr>
      <w:r>
        <w:rPr>
          <w:rFonts w:hint="eastAsia" w:ascii="宋体" w:hAnsi="宋体" w:cs="宋体"/>
          <w:u w:val="none"/>
        </w:rPr>
        <w:t>（12）进入清算程序，或被宣告破产，或其他丧失履约能力的情形；</w:t>
      </w:r>
    </w:p>
    <w:p>
      <w:pPr>
        <w:spacing w:line="360" w:lineRule="auto"/>
        <w:ind w:left="100" w:right="42" w:firstLine="420"/>
        <w:jc w:val="left"/>
        <w:rPr>
          <w:rFonts w:ascii="宋体" w:hAnsi="宋体" w:cs="宋体"/>
          <w:u w:val="none"/>
        </w:rPr>
      </w:pPr>
      <w:r>
        <w:rPr>
          <w:rFonts w:hint="eastAsia" w:ascii="宋体" w:hAnsi="宋体" w:cs="宋体"/>
          <w:u w:val="none"/>
        </w:rPr>
        <w:t>（13）在最近三年内发生重大监理质量问题</w:t>
      </w:r>
      <w:r>
        <w:rPr>
          <w:rFonts w:hint="eastAsia"/>
          <w:u w:val="none"/>
        </w:rPr>
        <w:t>（以相关行业主管部门的行政处罚决定或司法机关出具的有关法律文书为准）</w:t>
      </w:r>
      <w:r>
        <w:rPr>
          <w:rFonts w:hint="eastAsia"/>
          <w:szCs w:val="21"/>
          <w:u w:val="none"/>
        </w:rPr>
        <w:t>，“最近三年”是指从投标截止时间之日起逆推三年，以相关行业主管部门、司法机关、仲裁机构出具的生效文件的落款时间起计算）</w:t>
      </w:r>
      <w:r>
        <w:rPr>
          <w:rFonts w:hint="eastAsia"/>
          <w:u w:val="none"/>
        </w:rPr>
        <w:t>；</w:t>
      </w:r>
    </w:p>
    <w:p>
      <w:pPr>
        <w:spacing w:line="360" w:lineRule="auto"/>
        <w:ind w:left="100" w:right="42" w:firstLine="420"/>
        <w:jc w:val="left"/>
        <w:rPr>
          <w:rFonts w:hint="eastAsia" w:ascii="宋体" w:hAnsi="宋体" w:eastAsia="宋体" w:cs="宋体"/>
        </w:rPr>
      </w:pPr>
      <w:r>
        <w:rPr>
          <w:rFonts w:hint="eastAsia" w:ascii="宋体" w:hAnsi="宋体" w:eastAsia="宋体" w:cs="宋体"/>
        </w:rPr>
        <w:t>（1</w:t>
      </w:r>
      <w:r>
        <w:rPr>
          <w:rFonts w:hint="eastAsia" w:ascii="宋体" w:hAnsi="宋体" w:cs="宋体"/>
          <w:lang w:val="en-US" w:eastAsia="zh-CN"/>
        </w:rPr>
        <w:t>4</w:t>
      </w:r>
      <w:r>
        <w:rPr>
          <w:rFonts w:hint="eastAsia" w:ascii="宋体" w:hAnsi="宋体" w:eastAsia="宋体" w:cs="宋体"/>
        </w:rPr>
        <w:t>）法律法规或投标人须知前附表规定的其他情形。</w:t>
      </w:r>
    </w:p>
    <w:p>
      <w:pPr>
        <w:spacing w:line="360" w:lineRule="auto"/>
        <w:ind w:left="237" w:right="-20"/>
        <w:jc w:val="left"/>
        <w:rPr>
          <w:rFonts w:ascii="宋体" w:hAnsi="宋体" w:cs="宋体"/>
          <w:b/>
          <w:bCs/>
          <w:sz w:val="28"/>
        </w:rPr>
      </w:pPr>
      <w:r>
        <w:rPr>
          <w:rFonts w:hint="eastAsia" w:ascii="宋体" w:hAnsi="宋体" w:cs="宋体"/>
          <w:b/>
          <w:bCs/>
          <w:spacing w:val="1"/>
          <w:sz w:val="28"/>
        </w:rPr>
        <w:t>1</w:t>
      </w:r>
      <w:r>
        <w:rPr>
          <w:rFonts w:hint="eastAsia" w:ascii="宋体" w:hAnsi="宋体" w:cs="宋体"/>
          <w:b/>
          <w:bCs/>
          <w:sz w:val="28"/>
        </w:rPr>
        <w:t>.5费用承担</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投标人准备和参加投标活动发生的费用自理。</w:t>
      </w:r>
    </w:p>
    <w:p>
      <w:pPr>
        <w:spacing w:line="360" w:lineRule="auto"/>
        <w:ind w:left="237" w:right="-20"/>
        <w:jc w:val="left"/>
        <w:rPr>
          <w:rFonts w:ascii="宋体" w:hAnsi="宋体" w:cs="宋体"/>
          <w:b/>
          <w:bCs/>
          <w:sz w:val="28"/>
        </w:rPr>
      </w:pPr>
      <w:r>
        <w:rPr>
          <w:rFonts w:hint="eastAsia" w:ascii="宋体" w:hAnsi="宋体" w:cs="宋体"/>
          <w:b/>
          <w:bCs/>
          <w:spacing w:val="1"/>
          <w:sz w:val="28"/>
        </w:rPr>
        <w:t>1</w:t>
      </w:r>
      <w:r>
        <w:rPr>
          <w:rFonts w:hint="eastAsia" w:ascii="宋体" w:hAnsi="宋体" w:cs="宋体"/>
          <w:b/>
          <w:bCs/>
          <w:sz w:val="28"/>
        </w:rPr>
        <w:t>.6保密</w:t>
      </w:r>
    </w:p>
    <w:p>
      <w:pPr>
        <w:spacing w:line="360" w:lineRule="auto"/>
        <w:ind w:left="100" w:right="43" w:firstLine="420"/>
        <w:jc w:val="left"/>
        <w:rPr>
          <w:rFonts w:ascii="宋体" w:hAnsi="宋体" w:cs="宋体"/>
        </w:rPr>
      </w:pPr>
      <w:r>
        <w:rPr>
          <w:rFonts w:hint="eastAsia" w:ascii="宋体" w:hAnsi="宋体" w:cs="宋体"/>
        </w:rPr>
        <w:t>参与招标投标活动</w:t>
      </w:r>
      <w:r>
        <w:rPr>
          <w:rFonts w:hint="eastAsia" w:ascii="宋体" w:hAnsi="宋体" w:cs="宋体"/>
          <w:spacing w:val="-2"/>
        </w:rPr>
        <w:t>的</w:t>
      </w:r>
      <w:r>
        <w:rPr>
          <w:rFonts w:hint="eastAsia" w:ascii="宋体" w:hAnsi="宋体" w:cs="宋体"/>
        </w:rPr>
        <w:t>各</w:t>
      </w:r>
      <w:r>
        <w:rPr>
          <w:rFonts w:hint="eastAsia" w:ascii="宋体" w:hAnsi="宋体" w:cs="宋体"/>
          <w:spacing w:val="-2"/>
        </w:rPr>
        <w:t>方</w:t>
      </w:r>
      <w:r>
        <w:rPr>
          <w:rFonts w:hint="eastAsia" w:ascii="宋体" w:hAnsi="宋体" w:cs="宋体"/>
        </w:rPr>
        <w:t>应对招标文件和投</w:t>
      </w:r>
      <w:r>
        <w:rPr>
          <w:rFonts w:hint="eastAsia" w:ascii="宋体" w:hAnsi="宋体" w:cs="宋体"/>
          <w:spacing w:val="-2"/>
        </w:rPr>
        <w:t>标</w:t>
      </w:r>
      <w:r>
        <w:rPr>
          <w:rFonts w:hint="eastAsia" w:ascii="宋体" w:hAnsi="宋体" w:cs="宋体"/>
        </w:rPr>
        <w:t>文</w:t>
      </w:r>
      <w:r>
        <w:rPr>
          <w:rFonts w:hint="eastAsia" w:ascii="宋体" w:hAnsi="宋体" w:cs="宋体"/>
          <w:spacing w:val="-2"/>
        </w:rPr>
        <w:t>件</w:t>
      </w:r>
      <w:r>
        <w:rPr>
          <w:rFonts w:hint="eastAsia" w:ascii="宋体" w:hAnsi="宋体" w:cs="宋体"/>
        </w:rPr>
        <w:t>中的商业和技术等</w:t>
      </w:r>
      <w:r>
        <w:rPr>
          <w:rFonts w:hint="eastAsia" w:ascii="宋体" w:hAnsi="宋体" w:cs="宋体"/>
          <w:spacing w:val="-2"/>
        </w:rPr>
        <w:t>秘</w:t>
      </w:r>
      <w:r>
        <w:rPr>
          <w:rFonts w:hint="eastAsia" w:ascii="宋体" w:hAnsi="宋体" w:cs="宋体"/>
        </w:rPr>
        <w:t>密</w:t>
      </w:r>
      <w:r>
        <w:rPr>
          <w:rFonts w:hint="eastAsia" w:ascii="宋体" w:hAnsi="宋体" w:cs="宋体"/>
          <w:spacing w:val="-2"/>
        </w:rPr>
        <w:t>保</w:t>
      </w:r>
      <w:r>
        <w:rPr>
          <w:rFonts w:hint="eastAsia" w:ascii="宋体" w:hAnsi="宋体" w:cs="宋体"/>
        </w:rPr>
        <w:t>密，否则应承担相</w:t>
      </w:r>
      <w:r>
        <w:rPr>
          <w:rFonts w:hint="eastAsia" w:ascii="宋体" w:hAnsi="宋体" w:cs="宋体"/>
          <w:spacing w:val="-2"/>
        </w:rPr>
        <w:t>应</w:t>
      </w:r>
      <w:r>
        <w:rPr>
          <w:rFonts w:hint="eastAsia" w:ascii="宋体" w:hAnsi="宋体" w:cs="宋体"/>
        </w:rPr>
        <w:t>的</w:t>
      </w:r>
      <w:r>
        <w:rPr>
          <w:rFonts w:hint="eastAsia" w:ascii="宋体" w:hAnsi="宋体" w:cs="宋体"/>
          <w:spacing w:val="-2"/>
        </w:rPr>
        <w:t>法</w:t>
      </w:r>
      <w:r>
        <w:rPr>
          <w:rFonts w:hint="eastAsia" w:ascii="宋体" w:hAnsi="宋体" w:cs="宋体"/>
        </w:rPr>
        <w:t>律</w:t>
      </w:r>
      <w:r>
        <w:rPr>
          <w:rFonts w:hint="eastAsia" w:ascii="宋体" w:hAnsi="宋体" w:cs="宋体"/>
          <w:spacing w:val="-2"/>
        </w:rPr>
        <w:t>责</w:t>
      </w:r>
      <w:r>
        <w:rPr>
          <w:rFonts w:hint="eastAsia" w:ascii="宋体" w:hAnsi="宋体" w:cs="宋体"/>
        </w:rPr>
        <w:t>任。</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1.7 语言文字</w:t>
      </w:r>
    </w:p>
    <w:p>
      <w:pPr>
        <w:spacing w:line="360" w:lineRule="auto"/>
        <w:ind w:left="520" w:right="-20"/>
        <w:jc w:val="left"/>
        <w:rPr>
          <w:rFonts w:ascii="宋体" w:hAnsi="宋体" w:cs="宋体"/>
          <w:kern w:val="21"/>
        </w:rPr>
      </w:pPr>
      <w:r>
        <w:rPr>
          <w:rFonts w:hint="eastAsia" w:ascii="宋体" w:hAnsi="宋体" w:cs="宋体"/>
          <w:kern w:val="21"/>
        </w:rPr>
        <w:t>招标投标文件使用的语言文字为中文。专用术语使用外文的，应附有中文注释。</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1.8 计量单位</w:t>
      </w:r>
    </w:p>
    <w:p>
      <w:pPr>
        <w:spacing w:line="360" w:lineRule="auto"/>
        <w:ind w:left="520" w:right="-20"/>
        <w:jc w:val="left"/>
        <w:rPr>
          <w:rFonts w:ascii="宋体" w:hAnsi="宋体" w:cs="宋体"/>
          <w:kern w:val="21"/>
        </w:rPr>
      </w:pPr>
      <w:r>
        <w:rPr>
          <w:rFonts w:hint="eastAsia" w:ascii="宋体" w:hAnsi="宋体" w:cs="宋体"/>
          <w:kern w:val="21"/>
        </w:rPr>
        <w:t>所有计量均采用中华人民共和国法定计量单位。</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1.9 踏勘现场</w:t>
      </w:r>
    </w:p>
    <w:p>
      <w:pPr>
        <w:spacing w:line="360" w:lineRule="auto"/>
        <w:ind w:left="100" w:right="42" w:firstLine="420"/>
        <w:jc w:val="left"/>
        <w:rPr>
          <w:rFonts w:ascii="宋体" w:hAnsi="宋体" w:cs="宋体"/>
          <w:kern w:val="21"/>
        </w:rPr>
      </w:pPr>
      <w:r>
        <w:rPr>
          <w:rFonts w:hint="eastAsia" w:ascii="宋体" w:hAnsi="宋体" w:cs="宋体"/>
          <w:kern w:val="21"/>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left="520" w:right="-20"/>
        <w:jc w:val="left"/>
        <w:rPr>
          <w:rFonts w:ascii="宋体" w:hAnsi="宋体" w:cs="宋体"/>
          <w:kern w:val="21"/>
        </w:rPr>
      </w:pPr>
      <w:r>
        <w:rPr>
          <w:rFonts w:hint="eastAsia" w:ascii="宋体" w:hAnsi="宋体" w:cs="宋体"/>
          <w:kern w:val="21"/>
        </w:rPr>
        <w:t>1.9.2 投标人踏勘现场发生的费用自理。</w:t>
      </w:r>
    </w:p>
    <w:p>
      <w:pPr>
        <w:spacing w:line="360" w:lineRule="auto"/>
        <w:ind w:left="520" w:right="-20"/>
        <w:jc w:val="left"/>
        <w:rPr>
          <w:rFonts w:ascii="宋体" w:hAnsi="宋体" w:cs="宋体"/>
          <w:kern w:val="21"/>
        </w:rPr>
      </w:pPr>
      <w:r>
        <w:rPr>
          <w:rFonts w:hint="eastAsia" w:ascii="宋体" w:hAnsi="宋体" w:cs="宋体"/>
          <w:kern w:val="21"/>
        </w:rPr>
        <w:t>1.9.3 除招标人的原因外，投标人自行负责在踏勘现场中所发生的人员伤亡和财产损失。</w:t>
      </w:r>
    </w:p>
    <w:p>
      <w:pPr>
        <w:spacing w:line="360" w:lineRule="auto"/>
        <w:ind w:left="100" w:right="39" w:firstLine="420"/>
        <w:jc w:val="left"/>
        <w:rPr>
          <w:rFonts w:ascii="宋体" w:hAnsi="宋体" w:cs="宋体"/>
          <w:kern w:val="21"/>
        </w:rPr>
      </w:pPr>
      <w:r>
        <w:rPr>
          <w:rFonts w:hint="eastAsia" w:ascii="宋体" w:hAnsi="宋体" w:cs="宋体"/>
          <w:kern w:val="21"/>
        </w:rPr>
        <w:t>1.9.4 招标人在踏勘现场中介绍的工程场地和相关的周边环境情况，供投标人在编制投标文件时参考，招标人不对投标人据此作出的判断和决策负责。</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1.10 投标预备会</w:t>
      </w:r>
    </w:p>
    <w:p>
      <w:pPr>
        <w:spacing w:line="360" w:lineRule="auto"/>
        <w:ind w:left="100" w:right="43" w:firstLine="420"/>
        <w:jc w:val="left"/>
        <w:rPr>
          <w:rFonts w:ascii="宋体" w:hAnsi="宋体" w:cs="宋体"/>
          <w:kern w:val="21"/>
        </w:rPr>
      </w:pPr>
      <w:r>
        <w:rPr>
          <w:rFonts w:hint="eastAsia" w:ascii="宋体" w:hAnsi="宋体" w:cs="宋体"/>
          <w:kern w:val="21"/>
        </w:rPr>
        <w:t>1.10.1  投标人须知前附表规定召开投标预备会的，招标人按投标人须知前附表规定的时间和地点召开投标预备会，澄清投标人提出的问题。</w:t>
      </w:r>
    </w:p>
    <w:p>
      <w:pPr>
        <w:spacing w:line="360" w:lineRule="auto"/>
        <w:ind w:left="100" w:right="42" w:firstLine="420"/>
        <w:jc w:val="left"/>
        <w:rPr>
          <w:rFonts w:ascii="宋体" w:hAnsi="宋体" w:cs="宋体"/>
          <w:kern w:val="21"/>
        </w:rPr>
      </w:pPr>
      <w:r>
        <w:rPr>
          <w:rFonts w:hint="eastAsia" w:ascii="宋体" w:hAnsi="宋体" w:cs="宋体"/>
          <w:kern w:val="21"/>
        </w:rPr>
        <w:t>1.10.2  投标人应按投标人须知前附表规定的时间和形式将提出的问题送达招标人，以便招标人在会议期间澄清。</w:t>
      </w:r>
    </w:p>
    <w:p>
      <w:pPr>
        <w:spacing w:line="360" w:lineRule="auto"/>
        <w:ind w:left="100" w:right="43" w:firstLine="420"/>
        <w:jc w:val="left"/>
        <w:rPr>
          <w:rFonts w:ascii="宋体" w:hAnsi="宋体" w:cs="宋体"/>
          <w:kern w:val="21"/>
        </w:rPr>
      </w:pPr>
      <w:r>
        <w:rPr>
          <w:rFonts w:hint="eastAsia" w:ascii="宋体" w:hAnsi="宋体" w:cs="宋体"/>
          <w:kern w:val="21"/>
        </w:rPr>
        <w:t>1.10.3  投标预备会后，招标人将对投标人所提问题的澄清，以投标人须知前附表规定的形式通知所有购买招标文件的投标人。该澄清内容为招标文件的组成部分。</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1.11 分包</w:t>
      </w:r>
    </w:p>
    <w:p>
      <w:pPr>
        <w:spacing w:line="360" w:lineRule="auto"/>
        <w:ind w:left="520" w:right="-20"/>
        <w:jc w:val="left"/>
        <w:rPr>
          <w:rFonts w:ascii="宋体" w:hAnsi="宋体" w:cs="宋体"/>
          <w:kern w:val="21"/>
        </w:rPr>
      </w:pPr>
      <w:r>
        <w:rPr>
          <w:rFonts w:hint="eastAsia" w:ascii="宋体" w:hAnsi="宋体" w:cs="宋体"/>
          <w:kern w:val="21"/>
        </w:rPr>
        <w:t>本项目严禁分包。</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1.12 响应和偏差</w:t>
      </w:r>
    </w:p>
    <w:p>
      <w:pPr>
        <w:spacing w:line="360" w:lineRule="auto"/>
        <w:ind w:left="100" w:right="34" w:firstLine="420"/>
        <w:jc w:val="left"/>
        <w:rPr>
          <w:rFonts w:ascii="宋体" w:hAnsi="宋体" w:cs="宋体"/>
          <w:kern w:val="21"/>
        </w:rPr>
      </w:pPr>
      <w:r>
        <w:rPr>
          <w:rFonts w:hint="eastAsia" w:ascii="宋体" w:hAnsi="宋体" w:cs="宋体"/>
          <w:kern w:val="21"/>
        </w:rPr>
        <w:t xml:space="preserve">1.12.1 </w:t>
      </w:r>
      <w:r>
        <w:rPr>
          <w:rFonts w:hint="eastAsia" w:ascii="宋体" w:hAnsi="宋体" w:cs="宋体"/>
          <w:color w:val="000000"/>
          <w:highlight w:val="none"/>
        </w:rPr>
        <w:t>投标文件应当对招标文件的实质性要求和条件作出满足性或更有利于招标人的响应，否则，投标人的投标将被否决。实质性要求和条件见投标人须知前附表</w:t>
      </w:r>
      <w:r>
        <w:rPr>
          <w:rFonts w:hint="eastAsia" w:ascii="宋体" w:hAnsi="宋体" w:cs="宋体"/>
          <w:kern w:val="21"/>
        </w:rPr>
        <w:t>。</w:t>
      </w:r>
    </w:p>
    <w:p>
      <w:pPr>
        <w:spacing w:line="360" w:lineRule="auto"/>
        <w:ind w:left="520" w:right="-20"/>
        <w:jc w:val="left"/>
        <w:rPr>
          <w:rFonts w:ascii="宋体" w:hAnsi="宋体" w:cs="宋体"/>
          <w:kern w:val="21"/>
        </w:rPr>
      </w:pPr>
      <w:r>
        <w:rPr>
          <w:rFonts w:hint="eastAsia" w:ascii="宋体" w:hAnsi="宋体" w:cs="宋体"/>
          <w:kern w:val="21"/>
        </w:rPr>
        <w:t xml:space="preserve">1.12.2 </w:t>
      </w:r>
      <w:r>
        <w:rPr>
          <w:rFonts w:hint="eastAsia" w:ascii="宋体" w:hAnsi="宋体" w:cs="宋体"/>
          <w:color w:val="000000"/>
          <w:highlight w:val="none"/>
        </w:rPr>
        <w:t>投标人应根据招标文件的要求提供投标方案等内容以对招标文件作出响应。</w:t>
      </w:r>
    </w:p>
    <w:p>
      <w:pPr>
        <w:spacing w:line="360" w:lineRule="auto"/>
        <w:ind w:left="100" w:right="145" w:firstLine="434"/>
        <w:rPr>
          <w:rFonts w:ascii="宋体" w:hAnsi="宋体" w:cs="宋体"/>
          <w:kern w:val="21"/>
        </w:rPr>
      </w:pPr>
      <w:r>
        <w:rPr>
          <w:rFonts w:hint="eastAsia" w:ascii="宋体" w:hAnsi="宋体" w:cs="宋体"/>
          <w:kern w:val="21"/>
        </w:rPr>
        <w:t xml:space="preserve">1.12.3 </w:t>
      </w:r>
      <w:r>
        <w:rPr>
          <w:rFonts w:hint="eastAsia" w:ascii="宋体" w:hAnsi="宋体" w:cs="宋体"/>
          <w:color w:val="000000"/>
          <w:highlight w:val="none"/>
        </w:rPr>
        <w:t>投标人须知前附表允许投标文件偏离招标文件某些要求的，偏差应当符合招标文件规定的偏差范围和幅度</w:t>
      </w:r>
      <w:r>
        <w:rPr>
          <w:rFonts w:hint="eastAsia" w:ascii="宋体" w:hAnsi="宋体" w:cs="宋体"/>
          <w:kern w:val="21"/>
        </w:rPr>
        <w:t>。</w:t>
      </w:r>
    </w:p>
    <w:p>
      <w:pPr>
        <w:spacing w:line="360" w:lineRule="auto"/>
        <w:ind w:left="100" w:right="-20"/>
        <w:jc w:val="left"/>
        <w:outlineLvl w:val="2"/>
        <w:rPr>
          <w:rFonts w:ascii="宋体" w:hAnsi="宋体" w:cs="宋体"/>
          <w:b/>
          <w:kern w:val="21"/>
          <w:sz w:val="30"/>
          <w:szCs w:val="30"/>
        </w:rPr>
      </w:pPr>
      <w:bookmarkStart w:id="85" w:name="_Toc18733"/>
      <w:bookmarkStart w:id="86" w:name="_Toc31325"/>
      <w:bookmarkStart w:id="87" w:name="_Toc31531"/>
      <w:bookmarkStart w:id="88" w:name="_Toc11842"/>
      <w:bookmarkStart w:id="89" w:name="_Toc14973"/>
      <w:bookmarkStart w:id="90" w:name="_Toc32161"/>
      <w:bookmarkStart w:id="91" w:name="_Toc15215"/>
      <w:bookmarkStart w:id="92" w:name="_Toc27319"/>
      <w:bookmarkStart w:id="93" w:name="_Toc16934"/>
      <w:bookmarkStart w:id="94" w:name="_Toc24453"/>
      <w:bookmarkStart w:id="95" w:name="_Toc16547"/>
      <w:bookmarkStart w:id="96" w:name="_Toc11074"/>
      <w:r>
        <w:rPr>
          <w:rFonts w:hint="eastAsia" w:ascii="宋体" w:hAnsi="宋体" w:cs="宋体"/>
          <w:b/>
          <w:kern w:val="21"/>
          <w:sz w:val="30"/>
          <w:szCs w:val="30"/>
        </w:rPr>
        <w:t>2. 招标文件</w:t>
      </w:r>
      <w:bookmarkEnd w:id="85"/>
      <w:bookmarkEnd w:id="86"/>
      <w:bookmarkEnd w:id="87"/>
      <w:bookmarkEnd w:id="88"/>
      <w:bookmarkEnd w:id="89"/>
      <w:bookmarkEnd w:id="90"/>
      <w:bookmarkEnd w:id="91"/>
      <w:bookmarkEnd w:id="92"/>
      <w:bookmarkEnd w:id="93"/>
      <w:bookmarkEnd w:id="94"/>
      <w:bookmarkEnd w:id="95"/>
      <w:bookmarkEnd w:id="96"/>
    </w:p>
    <w:p>
      <w:pPr>
        <w:spacing w:line="360" w:lineRule="auto"/>
        <w:ind w:left="237" w:right="-20"/>
        <w:jc w:val="left"/>
        <w:rPr>
          <w:rFonts w:ascii="宋体" w:hAnsi="宋体" w:cs="宋体"/>
          <w:b/>
          <w:bCs/>
          <w:kern w:val="21"/>
          <w:sz w:val="28"/>
        </w:rPr>
      </w:pPr>
      <w:r>
        <w:rPr>
          <w:rFonts w:hint="eastAsia" w:ascii="宋体" w:hAnsi="宋体" w:cs="宋体"/>
          <w:b/>
          <w:bCs/>
          <w:kern w:val="21"/>
          <w:sz w:val="28"/>
        </w:rPr>
        <w:t>2.1 招标文件的组成</w:t>
      </w:r>
    </w:p>
    <w:p>
      <w:pPr>
        <w:spacing w:line="360" w:lineRule="auto"/>
        <w:ind w:left="460" w:right="-20"/>
        <w:jc w:val="left"/>
        <w:rPr>
          <w:rFonts w:ascii="宋体" w:hAnsi="宋体" w:cs="宋体"/>
          <w:kern w:val="21"/>
        </w:rPr>
      </w:pPr>
      <w:r>
        <w:rPr>
          <w:rFonts w:hint="eastAsia" w:ascii="宋体" w:hAnsi="宋体" w:cs="宋体"/>
          <w:kern w:val="21"/>
        </w:rPr>
        <w:t>本招标文件包括：</w:t>
      </w:r>
    </w:p>
    <w:p>
      <w:pPr>
        <w:spacing w:line="360" w:lineRule="auto"/>
        <w:ind w:left="460" w:right="-20"/>
        <w:jc w:val="left"/>
        <w:rPr>
          <w:rFonts w:ascii="宋体" w:hAnsi="宋体" w:cs="宋体"/>
          <w:kern w:val="21"/>
        </w:rPr>
      </w:pPr>
      <w:r>
        <w:rPr>
          <w:rFonts w:hint="eastAsia" w:ascii="宋体" w:hAnsi="宋体" w:cs="宋体"/>
          <w:kern w:val="21"/>
        </w:rPr>
        <w:t>（1）招标公告；</w:t>
      </w:r>
    </w:p>
    <w:p>
      <w:pPr>
        <w:spacing w:line="360" w:lineRule="auto"/>
        <w:ind w:left="460" w:right="-20"/>
        <w:jc w:val="left"/>
        <w:rPr>
          <w:rFonts w:ascii="宋体" w:hAnsi="宋体" w:cs="宋体"/>
          <w:kern w:val="21"/>
        </w:rPr>
      </w:pPr>
      <w:r>
        <w:rPr>
          <w:rFonts w:hint="eastAsia" w:ascii="宋体" w:hAnsi="宋体" w:cs="宋体"/>
          <w:kern w:val="21"/>
        </w:rPr>
        <w:t>（2）投标人须知；</w:t>
      </w:r>
    </w:p>
    <w:p>
      <w:pPr>
        <w:spacing w:line="360" w:lineRule="auto"/>
        <w:ind w:left="460" w:right="-20"/>
        <w:jc w:val="left"/>
        <w:rPr>
          <w:rFonts w:ascii="宋体" w:hAnsi="宋体" w:cs="宋体"/>
          <w:kern w:val="21"/>
        </w:rPr>
      </w:pPr>
      <w:r>
        <w:rPr>
          <w:rFonts w:hint="eastAsia" w:ascii="宋体" w:hAnsi="宋体" w:cs="宋体"/>
          <w:kern w:val="21"/>
        </w:rPr>
        <w:t>（3）评标办法；</w:t>
      </w:r>
    </w:p>
    <w:p>
      <w:pPr>
        <w:spacing w:line="360" w:lineRule="auto"/>
        <w:ind w:left="460" w:right="-20"/>
        <w:jc w:val="left"/>
        <w:rPr>
          <w:rFonts w:ascii="宋体" w:hAnsi="宋体" w:cs="宋体"/>
          <w:kern w:val="21"/>
        </w:rPr>
      </w:pPr>
      <w:r>
        <w:rPr>
          <w:rFonts w:hint="eastAsia" w:ascii="宋体" w:hAnsi="宋体" w:cs="宋体"/>
          <w:kern w:val="21"/>
        </w:rPr>
        <w:t>（4）合同条款及格式；</w:t>
      </w:r>
    </w:p>
    <w:p>
      <w:pPr>
        <w:spacing w:line="360" w:lineRule="auto"/>
        <w:ind w:left="460" w:right="-20"/>
        <w:jc w:val="left"/>
        <w:rPr>
          <w:rFonts w:ascii="宋体" w:hAnsi="宋体" w:cs="宋体"/>
          <w:kern w:val="21"/>
        </w:rPr>
      </w:pPr>
      <w:r>
        <w:rPr>
          <w:rFonts w:hint="eastAsia" w:ascii="宋体" w:hAnsi="宋体" w:cs="宋体"/>
          <w:kern w:val="21"/>
        </w:rPr>
        <w:t>（5）委托人要求；</w:t>
      </w:r>
    </w:p>
    <w:p>
      <w:pPr>
        <w:spacing w:line="360" w:lineRule="auto"/>
        <w:ind w:left="460" w:right="-20"/>
        <w:jc w:val="left"/>
        <w:rPr>
          <w:rFonts w:ascii="宋体" w:hAnsi="宋体" w:cs="宋体"/>
          <w:kern w:val="21"/>
        </w:rPr>
      </w:pPr>
      <w:r>
        <w:rPr>
          <w:rFonts w:hint="eastAsia" w:ascii="宋体" w:hAnsi="宋体" w:cs="宋体"/>
          <w:kern w:val="21"/>
        </w:rPr>
        <w:t>（6）投标文件格式；</w:t>
      </w:r>
    </w:p>
    <w:p>
      <w:pPr>
        <w:spacing w:line="360" w:lineRule="auto"/>
        <w:ind w:left="460" w:right="-20"/>
        <w:jc w:val="left"/>
        <w:rPr>
          <w:rFonts w:ascii="宋体" w:hAnsi="宋体" w:cs="宋体"/>
          <w:kern w:val="21"/>
        </w:rPr>
      </w:pPr>
      <w:r>
        <w:rPr>
          <w:rFonts w:hint="eastAsia" w:ascii="宋体" w:hAnsi="宋体" w:cs="宋体"/>
          <w:kern w:val="21"/>
        </w:rPr>
        <w:t>（7）投标人须知前附表规定的其他资料。</w:t>
      </w:r>
    </w:p>
    <w:p>
      <w:pPr>
        <w:spacing w:line="360" w:lineRule="auto"/>
        <w:ind w:left="100" w:right="139" w:firstLine="420"/>
        <w:rPr>
          <w:rFonts w:ascii="宋体" w:hAnsi="宋体" w:cs="宋体"/>
          <w:kern w:val="21"/>
        </w:rPr>
      </w:pPr>
      <w:r>
        <w:rPr>
          <w:rFonts w:hint="eastAsia" w:ascii="宋体" w:hAnsi="宋体" w:cs="宋体"/>
          <w:kern w:val="21"/>
        </w:rPr>
        <w:t>根据本章第 1.10 款、第 2.2 款和第 2.3 款对招标文件所作的澄清、修改，构成招标文件的组成部分。</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2.2 招标文件的澄清</w:t>
      </w:r>
    </w:p>
    <w:p>
      <w:pPr>
        <w:spacing w:line="360" w:lineRule="auto"/>
        <w:ind w:left="100" w:right="139" w:firstLine="420"/>
        <w:rPr>
          <w:rFonts w:ascii="宋体" w:hAnsi="宋体" w:cs="宋体"/>
          <w:kern w:val="21"/>
        </w:rPr>
      </w:pPr>
      <w:r>
        <w:rPr>
          <w:rFonts w:hint="eastAsia" w:ascii="宋体" w:hAnsi="宋体" w:cs="宋体"/>
          <w:kern w:val="2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left="100" w:right="139" w:firstLine="420"/>
        <w:rPr>
          <w:rFonts w:ascii="宋体" w:hAnsi="宋体" w:cs="宋体"/>
          <w:kern w:val="21"/>
        </w:rPr>
      </w:pPr>
      <w:r>
        <w:rPr>
          <w:rFonts w:hint="eastAsia" w:ascii="宋体" w:hAnsi="宋体" w:cs="宋体"/>
          <w:kern w:val="21"/>
        </w:rPr>
        <w:t>2.2.2 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pPr>
        <w:spacing w:line="360" w:lineRule="auto"/>
        <w:ind w:left="100" w:right="44" w:firstLine="420"/>
        <w:rPr>
          <w:rFonts w:ascii="宋体" w:hAnsi="宋体" w:cs="宋体"/>
          <w:kern w:val="21"/>
        </w:rPr>
      </w:pPr>
      <w:r>
        <w:rPr>
          <w:rFonts w:hint="eastAsia" w:ascii="宋体" w:hAnsi="宋体" w:cs="宋体"/>
          <w:kern w:val="21"/>
        </w:rPr>
        <w:t>2.2.3 投标人在收到澄清后，应按投标人须知前附表规定的时间和形式通知招标人，确认已收到该澄清。</w:t>
      </w:r>
    </w:p>
    <w:p>
      <w:pPr>
        <w:spacing w:line="360" w:lineRule="auto"/>
        <w:ind w:left="100" w:right="39" w:firstLine="420"/>
        <w:rPr>
          <w:rFonts w:ascii="宋体" w:hAnsi="宋体" w:cs="宋体"/>
          <w:kern w:val="21"/>
        </w:rPr>
      </w:pPr>
      <w:r>
        <w:rPr>
          <w:rFonts w:hint="eastAsia" w:ascii="宋体" w:hAnsi="宋体" w:cs="宋体"/>
          <w:kern w:val="21"/>
        </w:rPr>
        <w:t>2.2.4 除非招标人认为确有必要答复，否则，招标人有权拒绝回复投标人在本章第 2.2.1 项 规定的时间后的任何澄清要求。</w:t>
      </w:r>
    </w:p>
    <w:p>
      <w:pPr>
        <w:spacing w:line="360" w:lineRule="auto"/>
        <w:ind w:left="195" w:right="5700"/>
        <w:jc w:val="center"/>
        <w:rPr>
          <w:rFonts w:ascii="宋体" w:hAnsi="宋体" w:cs="宋体"/>
          <w:b/>
          <w:bCs/>
          <w:kern w:val="21"/>
          <w:sz w:val="28"/>
        </w:rPr>
      </w:pPr>
      <w:r>
        <w:rPr>
          <w:rFonts w:hint="eastAsia" w:ascii="宋体" w:hAnsi="宋体" w:cs="宋体"/>
          <w:b/>
          <w:bCs/>
          <w:kern w:val="21"/>
          <w:sz w:val="28"/>
        </w:rPr>
        <w:t>2.3 招标文件的修改</w:t>
      </w:r>
    </w:p>
    <w:p>
      <w:pPr>
        <w:spacing w:line="360" w:lineRule="auto"/>
        <w:ind w:left="100" w:right="39" w:firstLine="420"/>
        <w:rPr>
          <w:rFonts w:ascii="宋体" w:hAnsi="宋体" w:cs="宋体"/>
          <w:kern w:val="21"/>
        </w:rPr>
      </w:pPr>
      <w:r>
        <w:rPr>
          <w:rFonts w:hint="eastAsia" w:ascii="宋体" w:hAnsi="宋体" w:cs="宋体"/>
          <w:kern w:val="21"/>
        </w:rPr>
        <w:t>2.3.1 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pPr>
        <w:spacing w:line="360" w:lineRule="auto"/>
        <w:ind w:left="100" w:right="42" w:firstLine="184"/>
        <w:rPr>
          <w:rFonts w:ascii="宋体" w:hAnsi="宋体" w:cs="宋体"/>
          <w:kern w:val="21"/>
        </w:rPr>
      </w:pPr>
      <w:r>
        <w:rPr>
          <w:rFonts w:hint="eastAsia" w:ascii="宋体" w:hAnsi="宋体" w:cs="宋体"/>
          <w:kern w:val="21"/>
        </w:rPr>
        <w:t>2.3.2 投标人收到修改内容后，应按投标人须知前附表规定的时间和形式通知招标人，确认已收到该修改。</w:t>
      </w:r>
    </w:p>
    <w:p>
      <w:pPr>
        <w:spacing w:line="360" w:lineRule="auto"/>
        <w:ind w:left="190" w:right="5700"/>
        <w:jc w:val="center"/>
        <w:rPr>
          <w:rFonts w:ascii="宋体" w:hAnsi="宋体" w:cs="宋体"/>
          <w:b/>
          <w:bCs/>
          <w:kern w:val="21"/>
          <w:sz w:val="28"/>
        </w:rPr>
      </w:pPr>
      <w:r>
        <w:rPr>
          <w:rFonts w:hint="eastAsia" w:ascii="宋体" w:hAnsi="宋体" w:cs="宋体"/>
          <w:b/>
          <w:bCs/>
          <w:kern w:val="21"/>
          <w:sz w:val="28"/>
        </w:rPr>
        <w:t>2.4 招标文件的异议</w:t>
      </w:r>
    </w:p>
    <w:p>
      <w:pPr>
        <w:spacing w:line="360" w:lineRule="auto"/>
        <w:ind w:left="100" w:right="39" w:firstLine="420"/>
        <w:rPr>
          <w:rFonts w:ascii="宋体" w:hAnsi="宋体" w:cs="宋体"/>
          <w:kern w:val="21"/>
        </w:rPr>
      </w:pPr>
      <w:r>
        <w:rPr>
          <w:rFonts w:hint="eastAsia" w:ascii="宋体" w:hAnsi="宋体" w:cs="宋体"/>
          <w:kern w:val="21"/>
        </w:rPr>
        <w:t>投标人或者其他利害关系人对招标文件有异议的，应当在投标截止时间 10 日前以书面形式提出。招标人将在收到异议之日起 3 日内作出答复；作出答复前，将暂停招标投标活动。</w:t>
      </w:r>
    </w:p>
    <w:p>
      <w:pPr>
        <w:spacing w:line="360" w:lineRule="auto"/>
        <w:ind w:left="100" w:right="-20"/>
        <w:jc w:val="left"/>
        <w:outlineLvl w:val="2"/>
        <w:rPr>
          <w:rFonts w:ascii="宋体" w:hAnsi="宋体" w:cs="宋体"/>
          <w:b/>
          <w:kern w:val="21"/>
          <w:sz w:val="30"/>
          <w:szCs w:val="30"/>
        </w:rPr>
      </w:pPr>
      <w:bookmarkStart w:id="97" w:name="_Toc9833"/>
      <w:bookmarkStart w:id="98" w:name="_Toc29173"/>
      <w:bookmarkStart w:id="99" w:name="_Toc27338"/>
      <w:bookmarkStart w:id="100" w:name="_Toc14593"/>
      <w:bookmarkStart w:id="101" w:name="_Toc18335"/>
      <w:bookmarkStart w:id="102" w:name="_Toc32384"/>
      <w:bookmarkStart w:id="103" w:name="_Toc10752"/>
      <w:bookmarkStart w:id="104" w:name="_Toc21687"/>
      <w:bookmarkStart w:id="105" w:name="_Toc17465"/>
      <w:bookmarkStart w:id="106" w:name="_Toc15298"/>
      <w:bookmarkStart w:id="107" w:name="_Toc9161"/>
      <w:bookmarkStart w:id="108" w:name="_Toc14674"/>
      <w:r>
        <w:rPr>
          <w:rFonts w:hint="eastAsia" w:ascii="宋体" w:hAnsi="宋体" w:cs="宋体"/>
          <w:b/>
          <w:kern w:val="21"/>
          <w:sz w:val="30"/>
          <w:szCs w:val="30"/>
        </w:rPr>
        <w:t>3. 投标文件</w:t>
      </w:r>
      <w:bookmarkEnd w:id="97"/>
      <w:bookmarkEnd w:id="98"/>
      <w:bookmarkEnd w:id="99"/>
      <w:bookmarkEnd w:id="100"/>
      <w:bookmarkEnd w:id="101"/>
      <w:bookmarkEnd w:id="102"/>
      <w:bookmarkEnd w:id="103"/>
      <w:bookmarkEnd w:id="104"/>
      <w:bookmarkEnd w:id="105"/>
      <w:bookmarkEnd w:id="106"/>
      <w:bookmarkEnd w:id="107"/>
      <w:bookmarkEnd w:id="108"/>
    </w:p>
    <w:p>
      <w:pPr>
        <w:spacing w:line="360" w:lineRule="auto"/>
        <w:ind w:left="195" w:right="5920"/>
        <w:jc w:val="center"/>
        <w:rPr>
          <w:rFonts w:ascii="宋体" w:hAnsi="宋体" w:cs="宋体"/>
          <w:b/>
          <w:bCs/>
          <w:kern w:val="21"/>
          <w:sz w:val="28"/>
        </w:rPr>
      </w:pPr>
      <w:r>
        <w:rPr>
          <w:rFonts w:hint="eastAsia" w:ascii="宋体" w:hAnsi="宋体" w:cs="宋体"/>
          <w:b/>
          <w:bCs/>
          <w:kern w:val="21"/>
          <w:sz w:val="28"/>
        </w:rPr>
        <w:t>3.1 投标文件的组成</w:t>
      </w:r>
    </w:p>
    <w:p>
      <w:pPr>
        <w:spacing w:line="360" w:lineRule="auto"/>
        <w:ind w:left="523" w:right="-20"/>
        <w:jc w:val="left"/>
        <w:rPr>
          <w:rFonts w:ascii="宋体" w:hAnsi="宋体" w:cs="宋体"/>
          <w:kern w:val="21"/>
        </w:rPr>
      </w:pPr>
      <w:r>
        <w:rPr>
          <w:rFonts w:hint="eastAsia" w:ascii="宋体" w:hAnsi="宋体" w:cs="宋体"/>
          <w:kern w:val="21"/>
        </w:rPr>
        <w:t>3.1.1 投标文件应包括下列内容：</w:t>
      </w:r>
    </w:p>
    <w:p>
      <w:pPr>
        <w:spacing w:line="360" w:lineRule="auto"/>
        <w:ind w:left="99" w:leftChars="47" w:right="3389" w:firstLine="313" w:firstLineChars="152"/>
        <w:jc w:val="left"/>
        <w:rPr>
          <w:rFonts w:ascii="宋体" w:hAnsi="宋体" w:cs="宋体"/>
          <w:spacing w:val="-2"/>
        </w:rPr>
      </w:pPr>
      <w:r>
        <w:rPr>
          <w:rFonts w:hint="eastAsia" w:ascii="宋体" w:hAnsi="宋体" w:cs="宋体"/>
          <w:spacing w:val="-2"/>
        </w:rPr>
        <w:t>（1）投标函及投标函附录</w:t>
      </w:r>
    </w:p>
    <w:p>
      <w:pPr>
        <w:spacing w:line="360" w:lineRule="auto"/>
        <w:ind w:left="99" w:leftChars="47" w:right="3389" w:firstLine="313" w:firstLineChars="152"/>
        <w:jc w:val="left"/>
        <w:rPr>
          <w:rFonts w:ascii="宋体" w:hAnsi="宋体" w:cs="宋体"/>
        </w:rPr>
      </w:pPr>
      <w:r>
        <w:rPr>
          <w:rFonts w:hint="eastAsia" w:ascii="宋体" w:hAnsi="宋体" w:cs="宋体"/>
          <w:spacing w:val="-2"/>
        </w:rPr>
        <w:t>（2）法</w:t>
      </w:r>
      <w:r>
        <w:rPr>
          <w:rFonts w:hint="eastAsia" w:ascii="宋体" w:hAnsi="宋体" w:cs="宋体"/>
        </w:rPr>
        <w:t>定</w:t>
      </w:r>
      <w:r>
        <w:rPr>
          <w:rFonts w:hint="eastAsia" w:ascii="宋体" w:hAnsi="宋体" w:cs="宋体"/>
          <w:spacing w:val="-2"/>
        </w:rPr>
        <w:t>代</w:t>
      </w:r>
      <w:r>
        <w:rPr>
          <w:rFonts w:hint="eastAsia" w:ascii="宋体" w:hAnsi="宋体" w:cs="宋体"/>
        </w:rPr>
        <w:t>表</w:t>
      </w:r>
      <w:r>
        <w:rPr>
          <w:rFonts w:hint="eastAsia" w:ascii="宋体" w:hAnsi="宋体" w:cs="宋体"/>
          <w:spacing w:val="-2"/>
        </w:rPr>
        <w:t>人</w:t>
      </w:r>
      <w:r>
        <w:rPr>
          <w:rFonts w:hint="eastAsia" w:ascii="宋体" w:hAnsi="宋体" w:cs="宋体"/>
        </w:rPr>
        <w:t>身</w:t>
      </w:r>
      <w:r>
        <w:rPr>
          <w:rFonts w:hint="eastAsia" w:ascii="宋体" w:hAnsi="宋体" w:cs="宋体"/>
          <w:spacing w:val="-2"/>
        </w:rPr>
        <w:t>份</w:t>
      </w:r>
      <w:r>
        <w:rPr>
          <w:rFonts w:hint="eastAsia" w:ascii="宋体" w:hAnsi="宋体" w:cs="宋体"/>
        </w:rPr>
        <w:t>证</w:t>
      </w:r>
      <w:r>
        <w:rPr>
          <w:rFonts w:hint="eastAsia" w:ascii="宋体" w:hAnsi="宋体" w:cs="宋体"/>
          <w:spacing w:val="-2"/>
        </w:rPr>
        <w:t>明书</w:t>
      </w:r>
      <w:r>
        <w:rPr>
          <w:rFonts w:hint="eastAsia" w:ascii="宋体" w:hAnsi="宋体" w:cs="宋体"/>
          <w:lang w:val="en-US" w:eastAsia="zh-CN"/>
        </w:rPr>
        <w:t>或</w:t>
      </w:r>
      <w:r>
        <w:rPr>
          <w:rFonts w:hint="eastAsia" w:ascii="宋体" w:hAnsi="宋体" w:cs="宋体"/>
          <w:spacing w:val="-2"/>
        </w:rPr>
        <w:t>授</w:t>
      </w:r>
      <w:r>
        <w:rPr>
          <w:rFonts w:hint="eastAsia" w:ascii="宋体" w:hAnsi="宋体" w:cs="宋体"/>
        </w:rPr>
        <w:t>权</w:t>
      </w:r>
      <w:r>
        <w:rPr>
          <w:rFonts w:hint="eastAsia" w:ascii="宋体" w:hAnsi="宋体" w:cs="宋体"/>
          <w:spacing w:val="-2"/>
        </w:rPr>
        <w:t>委</w:t>
      </w:r>
      <w:r>
        <w:rPr>
          <w:rFonts w:hint="eastAsia" w:ascii="宋体" w:hAnsi="宋体" w:cs="宋体"/>
        </w:rPr>
        <w:t>托</w:t>
      </w:r>
      <w:r>
        <w:rPr>
          <w:rFonts w:hint="eastAsia" w:ascii="宋体" w:hAnsi="宋体" w:cs="宋体"/>
          <w:spacing w:val="-2"/>
        </w:rPr>
        <w:t>书</w:t>
      </w:r>
    </w:p>
    <w:p>
      <w:pPr>
        <w:spacing w:line="360" w:lineRule="auto"/>
        <w:ind w:left="99" w:leftChars="47" w:right="3389" w:firstLine="313" w:firstLineChars="152"/>
        <w:jc w:val="left"/>
        <w:rPr>
          <w:rFonts w:hint="default" w:ascii="宋体" w:hAnsi="宋体" w:eastAsia="宋体" w:cs="宋体"/>
          <w:spacing w:val="-2"/>
          <w:lang w:val="en-US" w:eastAsia="zh-CN"/>
        </w:rPr>
      </w:pPr>
      <w:r>
        <w:rPr>
          <w:rFonts w:hint="eastAsia" w:ascii="宋体" w:hAnsi="宋体" w:cs="宋体"/>
          <w:spacing w:val="-2"/>
        </w:rPr>
        <w:t>（3）</w:t>
      </w:r>
      <w:r>
        <w:rPr>
          <w:rFonts w:hint="eastAsia" w:ascii="宋体" w:hAnsi="宋体" w:cs="宋体"/>
          <w:spacing w:val="-2"/>
          <w:lang w:val="en-US" w:eastAsia="zh-CN"/>
        </w:rPr>
        <w:t>联合体协议书（如有）</w:t>
      </w:r>
    </w:p>
    <w:p>
      <w:pPr>
        <w:spacing w:line="360" w:lineRule="auto"/>
        <w:ind w:left="99" w:leftChars="47" w:right="3389" w:firstLine="313" w:firstLineChars="152"/>
        <w:jc w:val="left"/>
        <w:rPr>
          <w:rFonts w:ascii="宋体" w:hAnsi="宋体" w:cs="宋体"/>
          <w:spacing w:val="-2"/>
        </w:rPr>
      </w:pPr>
      <w:r>
        <w:rPr>
          <w:rFonts w:hint="eastAsia" w:ascii="宋体" w:hAnsi="宋体" w:cs="宋体"/>
          <w:spacing w:val="-2"/>
        </w:rPr>
        <w:t>（</w:t>
      </w:r>
      <w:r>
        <w:rPr>
          <w:rFonts w:hint="eastAsia" w:ascii="宋体" w:hAnsi="宋体" w:cs="宋体"/>
          <w:spacing w:val="-2"/>
          <w:lang w:val="en-US" w:eastAsia="zh-CN"/>
        </w:rPr>
        <w:t>4</w:t>
      </w:r>
      <w:r>
        <w:rPr>
          <w:rFonts w:hint="eastAsia" w:ascii="宋体" w:hAnsi="宋体" w:cs="宋体"/>
          <w:spacing w:val="-2"/>
        </w:rPr>
        <w:t>）资格审查资料</w:t>
      </w:r>
    </w:p>
    <w:p>
      <w:pPr>
        <w:spacing w:line="360" w:lineRule="auto"/>
        <w:ind w:left="99" w:leftChars="47" w:right="3389" w:firstLine="313" w:firstLineChars="152"/>
        <w:jc w:val="left"/>
        <w:rPr>
          <w:rFonts w:ascii="宋体" w:hAnsi="宋体" w:cs="宋体"/>
          <w:spacing w:val="-2"/>
        </w:rPr>
      </w:pPr>
      <w:r>
        <w:rPr>
          <w:rFonts w:hint="eastAsia" w:ascii="宋体" w:hAnsi="宋体" w:cs="宋体"/>
          <w:spacing w:val="-2"/>
        </w:rPr>
        <w:t>（</w:t>
      </w:r>
      <w:r>
        <w:rPr>
          <w:rFonts w:hint="eastAsia" w:ascii="宋体" w:hAnsi="宋体" w:cs="宋体"/>
          <w:spacing w:val="-2"/>
          <w:lang w:val="en-US" w:eastAsia="zh-CN"/>
        </w:rPr>
        <w:t>5</w:t>
      </w:r>
      <w:r>
        <w:rPr>
          <w:rFonts w:hint="eastAsia" w:ascii="宋体" w:hAnsi="宋体" w:cs="宋体"/>
          <w:spacing w:val="-2"/>
        </w:rPr>
        <w:t>）服务团队人员汇总表</w:t>
      </w:r>
    </w:p>
    <w:p>
      <w:pPr>
        <w:spacing w:line="360" w:lineRule="auto"/>
        <w:ind w:left="99" w:leftChars="47" w:right="3389" w:firstLine="313" w:firstLineChars="152"/>
        <w:jc w:val="left"/>
        <w:rPr>
          <w:rFonts w:hint="default" w:ascii="宋体" w:hAnsi="宋体" w:eastAsia="宋体" w:cs="宋体"/>
          <w:spacing w:val="-2"/>
          <w:lang w:val="en-US" w:eastAsia="zh-CN"/>
        </w:rPr>
      </w:pPr>
      <w:r>
        <w:rPr>
          <w:rFonts w:hint="eastAsia" w:ascii="宋体" w:hAnsi="宋体" w:cs="宋体"/>
          <w:spacing w:val="-2"/>
        </w:rPr>
        <w:t>（</w:t>
      </w:r>
      <w:r>
        <w:rPr>
          <w:rFonts w:hint="eastAsia" w:ascii="宋体" w:hAnsi="宋体" w:cs="宋体"/>
          <w:spacing w:val="-2"/>
          <w:lang w:val="en-US" w:eastAsia="zh-CN"/>
        </w:rPr>
        <w:t>6</w:t>
      </w:r>
      <w:r>
        <w:rPr>
          <w:rFonts w:hint="eastAsia" w:ascii="宋体" w:hAnsi="宋体" w:cs="宋体"/>
          <w:spacing w:val="-2"/>
        </w:rPr>
        <w:t>）主要人员简历表</w:t>
      </w:r>
    </w:p>
    <w:p>
      <w:pPr>
        <w:spacing w:line="360" w:lineRule="auto"/>
        <w:ind w:left="99" w:leftChars="47" w:right="3389" w:firstLine="313" w:firstLineChars="152"/>
        <w:jc w:val="left"/>
      </w:pPr>
      <w:r>
        <w:rPr>
          <w:rFonts w:hint="eastAsia" w:ascii="宋体" w:hAnsi="宋体" w:cs="宋体"/>
          <w:spacing w:val="-2"/>
        </w:rPr>
        <w:t>（</w:t>
      </w:r>
      <w:r>
        <w:rPr>
          <w:rFonts w:hint="eastAsia" w:ascii="宋体" w:hAnsi="宋体" w:cs="宋体"/>
          <w:spacing w:val="-2"/>
          <w:lang w:val="en-US" w:eastAsia="zh-CN"/>
        </w:rPr>
        <w:t>7</w:t>
      </w:r>
      <w:r>
        <w:rPr>
          <w:rFonts w:hint="eastAsia" w:ascii="宋体" w:hAnsi="宋体" w:cs="宋体"/>
          <w:spacing w:val="-2"/>
        </w:rPr>
        <w:t>）拟投入本项目的主要设备表</w:t>
      </w:r>
    </w:p>
    <w:p>
      <w:pPr>
        <w:spacing w:line="360" w:lineRule="auto"/>
        <w:ind w:left="99" w:leftChars="47" w:right="3389" w:firstLine="313" w:firstLineChars="152"/>
        <w:jc w:val="left"/>
        <w:rPr>
          <w:rFonts w:ascii="宋体" w:hAnsi="宋体" w:cs="宋体"/>
          <w:spacing w:val="-2"/>
        </w:rPr>
      </w:pPr>
      <w:r>
        <w:rPr>
          <w:rFonts w:hint="eastAsia" w:ascii="宋体" w:hAnsi="宋体" w:cs="宋体"/>
          <w:spacing w:val="-2"/>
        </w:rPr>
        <w:t>（</w:t>
      </w:r>
      <w:r>
        <w:rPr>
          <w:rFonts w:hint="eastAsia" w:ascii="宋体" w:hAnsi="宋体" w:cs="宋体"/>
          <w:spacing w:val="-2"/>
          <w:lang w:val="en-US" w:eastAsia="zh-CN"/>
        </w:rPr>
        <w:t>8</w:t>
      </w:r>
      <w:r>
        <w:rPr>
          <w:rFonts w:hint="eastAsia" w:ascii="宋体" w:hAnsi="宋体" w:cs="宋体"/>
          <w:spacing w:val="-2"/>
        </w:rPr>
        <w:t>）服务方案</w:t>
      </w:r>
    </w:p>
    <w:p>
      <w:pPr>
        <w:snapToGrid w:val="0"/>
        <w:spacing w:line="340" w:lineRule="exact"/>
        <w:ind w:firstLine="420" w:firstLineChars="200"/>
        <w:rPr>
          <w:rFonts w:hint="eastAsia" w:ascii="宋体" w:hAnsi="宋体"/>
          <w:bCs/>
          <w:color w:val="000000"/>
          <w:highlight w:val="none"/>
        </w:rPr>
      </w:pPr>
      <w:r>
        <w:rPr>
          <w:rFonts w:hint="eastAsia" w:ascii="宋体" w:hAnsi="宋体"/>
          <w:bCs/>
          <w:color w:val="000000"/>
          <w:highlight w:val="none"/>
        </w:rPr>
        <w:t>（</w:t>
      </w:r>
      <w:r>
        <w:rPr>
          <w:rFonts w:hint="eastAsia" w:ascii="宋体" w:hAnsi="宋体"/>
          <w:bCs/>
          <w:color w:val="000000"/>
          <w:highlight w:val="none"/>
          <w:lang w:val="en-US" w:eastAsia="zh-CN"/>
        </w:rPr>
        <w:t>9</w:t>
      </w:r>
      <w:r>
        <w:rPr>
          <w:rFonts w:hint="eastAsia" w:ascii="宋体" w:hAnsi="宋体"/>
          <w:bCs/>
          <w:color w:val="000000"/>
          <w:highlight w:val="none"/>
        </w:rPr>
        <w:t>）</w:t>
      </w:r>
      <w:r>
        <w:rPr>
          <w:rFonts w:hint="eastAsia" w:ascii="宋体" w:hAnsi="宋体" w:eastAsia="宋体" w:cs="宋体"/>
          <w:color w:val="auto"/>
          <w:highlight w:val="none"/>
        </w:rPr>
        <w:t>投标人认为需要提供的其他资料。</w:t>
      </w:r>
    </w:p>
    <w:p>
      <w:pPr>
        <w:spacing w:line="360" w:lineRule="auto"/>
        <w:ind w:left="-2" w:leftChars="-1" w:right="-20" w:firstLine="140" w:firstLineChars="67"/>
        <w:jc w:val="left"/>
        <w:rPr>
          <w:rFonts w:ascii="宋体" w:hAnsi="宋体" w:cs="宋体"/>
          <w:kern w:val="21"/>
        </w:rPr>
      </w:pPr>
      <w:r>
        <w:rPr>
          <w:rFonts w:hint="eastAsia" w:ascii="宋体" w:hAnsi="宋体" w:cs="宋体"/>
          <w:kern w:val="21"/>
        </w:rPr>
        <w:t>投标人在评标过程中作出的符合法律法规和招标文件规定的澄清确认，构成投标文件的组成部分。</w:t>
      </w:r>
    </w:p>
    <w:p>
      <w:pPr>
        <w:spacing w:line="360" w:lineRule="auto"/>
        <w:ind w:left="460" w:right="-20" w:firstLine="105" w:firstLineChars="50"/>
        <w:jc w:val="left"/>
        <w:rPr>
          <w:rFonts w:ascii="宋体" w:hAnsi="宋体" w:cs="宋体"/>
          <w:kern w:val="21"/>
        </w:rPr>
      </w:pPr>
      <w:r>
        <w:rPr>
          <w:rFonts w:hint="eastAsia" w:ascii="宋体" w:hAnsi="宋体" w:cs="宋体"/>
          <w:kern w:val="21"/>
        </w:rPr>
        <w:t xml:space="preserve">3.1.2 </w:t>
      </w:r>
      <w:r>
        <w:rPr>
          <w:rFonts w:hint="eastAsia" w:ascii="宋体" w:hAnsi="宋体"/>
          <w:color w:val="000000"/>
          <w:highlight w:val="none"/>
        </w:rPr>
        <w:t>投标人须知前附表规定不接受联合体投标的，或投标人没有组成联合体的，投标文件不包括</w:t>
      </w:r>
      <w:r>
        <w:rPr>
          <w:rFonts w:hint="eastAsia" w:ascii="宋体" w:hAnsi="宋体"/>
          <w:color w:val="000000"/>
          <w:highlight w:val="none"/>
          <w:u w:val="single"/>
        </w:rPr>
        <w:t>联合体协议书</w:t>
      </w:r>
      <w:r>
        <w:rPr>
          <w:rFonts w:hint="eastAsia" w:ascii="宋体" w:hAnsi="宋体"/>
          <w:color w:val="000000"/>
          <w:highlight w:val="none"/>
        </w:rPr>
        <w:t>。</w:t>
      </w:r>
    </w:p>
    <w:p>
      <w:pPr>
        <w:spacing w:line="360" w:lineRule="auto"/>
        <w:ind w:left="100" w:right="41" w:firstLine="360"/>
        <w:rPr>
          <w:rFonts w:hint="eastAsia" w:ascii="宋体" w:hAnsi="宋体"/>
          <w:strike w:val="0"/>
          <w:color w:val="000000"/>
          <w:highlight w:val="none"/>
        </w:rPr>
      </w:pPr>
      <w:r>
        <w:rPr>
          <w:rFonts w:hint="eastAsia" w:ascii="宋体" w:hAnsi="宋体" w:cs="宋体"/>
          <w:kern w:val="21"/>
        </w:rPr>
        <w:t xml:space="preserve">3.1.3 </w:t>
      </w:r>
      <w:r>
        <w:rPr>
          <w:rFonts w:hint="eastAsia" w:ascii="宋体" w:hAnsi="宋体"/>
          <w:strike w:val="0"/>
          <w:color w:val="000000"/>
          <w:highlight w:val="none"/>
        </w:rPr>
        <w:t>投标人须知前附表未要求提交投标保证金的，投标文件不包括</w:t>
      </w:r>
      <w:r>
        <w:rPr>
          <w:rFonts w:hint="eastAsia" w:ascii="宋体" w:hAnsi="宋体"/>
          <w:strike w:val="0"/>
          <w:color w:val="000000"/>
          <w:highlight w:val="none"/>
          <w:u w:val="single"/>
        </w:rPr>
        <w:t>投标保证金</w:t>
      </w:r>
      <w:r>
        <w:rPr>
          <w:rFonts w:hint="eastAsia" w:ascii="宋体" w:hAnsi="宋体"/>
          <w:strike w:val="0"/>
          <w:color w:val="000000"/>
          <w:highlight w:val="none"/>
        </w:rPr>
        <w:t>。</w:t>
      </w:r>
    </w:p>
    <w:p>
      <w:pPr>
        <w:spacing w:line="360" w:lineRule="auto"/>
        <w:ind w:left="100" w:right="41" w:firstLine="360"/>
        <w:rPr>
          <w:rFonts w:hint="eastAsia" w:ascii="宋体" w:hAnsi="宋体" w:eastAsia="宋体" w:cs="宋体"/>
          <w:kern w:val="21"/>
        </w:rPr>
      </w:pPr>
      <w:r>
        <w:rPr>
          <w:rFonts w:hint="eastAsia" w:ascii="宋体" w:hAnsi="宋体" w:eastAsia="宋体" w:cs="宋体"/>
          <w:kern w:val="21"/>
        </w:rPr>
        <w:t>3.1.4 若招标文件中有提供格式的，投标文件相应内容按格式填报；没有格式提供的资料，格式自拟。</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3.2 投标报价</w:t>
      </w:r>
    </w:p>
    <w:p>
      <w:pPr>
        <w:spacing w:line="360" w:lineRule="auto"/>
        <w:ind w:left="100" w:right="40" w:firstLine="420"/>
        <w:rPr>
          <w:rFonts w:ascii="宋体" w:hAnsi="宋体" w:cs="宋体"/>
          <w:kern w:val="21"/>
        </w:rPr>
      </w:pPr>
      <w:r>
        <w:rPr>
          <w:rFonts w:hint="eastAsia" w:ascii="宋体" w:hAnsi="宋体" w:cs="宋体"/>
          <w:kern w:val="21"/>
        </w:rPr>
        <w:t>3.2.1 投标报价应包括国家规定的增值税税金，除投标人须知前附表另有规定外，增值税税金按一般计税方法计算。投标人应按第六章“投标文件格式”的要求在投标函中进行报价并填写</w:t>
      </w:r>
      <w:r>
        <w:rPr>
          <w:rFonts w:hint="eastAsia" w:ascii="宋体" w:hAnsi="宋体" w:cs="宋体"/>
          <w:kern w:val="21"/>
          <w:lang w:val="en-US" w:eastAsia="zh-CN"/>
        </w:rPr>
        <w:t>投标函附录</w:t>
      </w:r>
      <w:r>
        <w:rPr>
          <w:rFonts w:hint="eastAsia" w:ascii="宋体" w:hAnsi="宋体" w:cs="宋体"/>
          <w:kern w:val="21"/>
        </w:rPr>
        <w:t>。</w:t>
      </w:r>
    </w:p>
    <w:p>
      <w:pPr>
        <w:spacing w:line="360" w:lineRule="auto"/>
        <w:ind w:left="520" w:right="-20"/>
        <w:jc w:val="left"/>
        <w:rPr>
          <w:rFonts w:ascii="宋体" w:hAnsi="宋体" w:cs="宋体"/>
          <w:kern w:val="21"/>
        </w:rPr>
      </w:pPr>
      <w:r>
        <w:rPr>
          <w:rFonts w:hint="eastAsia" w:ascii="宋体" w:hAnsi="宋体" w:cs="宋体"/>
          <w:kern w:val="21"/>
        </w:rPr>
        <w:t>3.2.2 投标人应充分了解该项目的总体情况以及影响投标报价的其他要素。</w:t>
      </w:r>
    </w:p>
    <w:p>
      <w:pPr>
        <w:spacing w:line="360" w:lineRule="auto"/>
        <w:ind w:left="100" w:right="39" w:firstLine="420"/>
        <w:rPr>
          <w:rFonts w:ascii="宋体" w:hAnsi="宋体" w:cs="宋体"/>
          <w:kern w:val="21"/>
        </w:rPr>
      </w:pPr>
      <w:r>
        <w:rPr>
          <w:rFonts w:hint="eastAsia" w:ascii="宋体" w:hAnsi="宋体" w:cs="宋体"/>
          <w:kern w:val="21"/>
        </w:rPr>
        <w:t>3.2.3 本项目的报价方式见投标人须知前附表。</w:t>
      </w:r>
      <w:r>
        <w:rPr>
          <w:spacing w:val="-2"/>
          <w:sz w:val="21"/>
          <w:szCs w:val="21"/>
        </w:rPr>
        <w:t>投标人在投标截止时间前修改投标函中的投</w:t>
      </w:r>
      <w:r>
        <w:rPr>
          <w:spacing w:val="9"/>
          <w:sz w:val="21"/>
          <w:szCs w:val="21"/>
        </w:rPr>
        <w:t xml:space="preserve"> </w:t>
      </w:r>
      <w:r>
        <w:rPr>
          <w:spacing w:val="-2"/>
          <w:sz w:val="21"/>
          <w:szCs w:val="21"/>
        </w:rPr>
        <w:t>标报价总额，应同时修改投标文件</w:t>
      </w:r>
      <w:r>
        <w:rPr>
          <w:rFonts w:ascii="Times New Roman" w:hAnsi="Times New Roman" w:eastAsia="Times New Roman" w:cs="Times New Roman"/>
          <w:spacing w:val="-2"/>
          <w:sz w:val="21"/>
          <w:szCs w:val="21"/>
        </w:rPr>
        <w:t>“</w:t>
      </w:r>
      <w:r>
        <w:rPr>
          <w:rFonts w:hint="eastAsia" w:eastAsia="宋体"/>
          <w:spacing w:val="-2"/>
          <w:sz w:val="21"/>
          <w:szCs w:val="21"/>
          <w:lang w:eastAsia="zh-CN"/>
        </w:rPr>
        <w:t>投标函附录</w:t>
      </w:r>
      <w:r>
        <w:rPr>
          <w:rFonts w:ascii="Times New Roman" w:hAnsi="Times New Roman" w:eastAsia="Times New Roman" w:cs="Times New Roman"/>
          <w:spacing w:val="-2"/>
          <w:sz w:val="21"/>
          <w:szCs w:val="21"/>
        </w:rPr>
        <w:t>”</w:t>
      </w:r>
      <w:r>
        <w:rPr>
          <w:spacing w:val="-3"/>
          <w:sz w:val="21"/>
          <w:szCs w:val="21"/>
        </w:rPr>
        <w:t>中的相应报价。此修改须符合本章第</w:t>
      </w:r>
      <w:r>
        <w:rPr>
          <w:spacing w:val="-49"/>
          <w:sz w:val="21"/>
          <w:szCs w:val="21"/>
        </w:rPr>
        <w:t xml:space="preserve"> </w:t>
      </w:r>
      <w:r>
        <w:rPr>
          <w:rFonts w:ascii="Times New Roman" w:hAnsi="Times New Roman" w:eastAsia="Times New Roman" w:cs="Times New Roman"/>
          <w:spacing w:val="-3"/>
          <w:sz w:val="21"/>
          <w:szCs w:val="21"/>
        </w:rPr>
        <w:t xml:space="preserve">4.3 </w:t>
      </w:r>
      <w:r>
        <w:rPr>
          <w:spacing w:val="-3"/>
          <w:sz w:val="21"/>
          <w:szCs w:val="21"/>
        </w:rPr>
        <w:t>款的</w:t>
      </w:r>
      <w:r>
        <w:rPr>
          <w:sz w:val="21"/>
          <w:szCs w:val="21"/>
        </w:rPr>
        <w:t xml:space="preserve"> </w:t>
      </w:r>
      <w:r>
        <w:rPr>
          <w:spacing w:val="-5"/>
          <w:sz w:val="21"/>
          <w:szCs w:val="21"/>
        </w:rPr>
        <w:t>有关要求。</w:t>
      </w:r>
    </w:p>
    <w:p>
      <w:pPr>
        <w:spacing w:line="360" w:lineRule="auto"/>
        <w:ind w:left="100" w:right="42" w:firstLine="420"/>
        <w:rPr>
          <w:rFonts w:ascii="宋体" w:hAnsi="宋体" w:cs="宋体"/>
          <w:kern w:val="21"/>
        </w:rPr>
      </w:pPr>
      <w:r>
        <w:rPr>
          <w:rFonts w:hint="eastAsia" w:ascii="宋体" w:hAnsi="宋体" w:cs="宋体"/>
          <w:kern w:val="21"/>
        </w:rPr>
        <w:t>3.2.4 招标人设有最高投标限价的，投标人的投标报价不得超过最高投标限价，最高投标限价在投标人须知前附表中载明。</w:t>
      </w:r>
    </w:p>
    <w:p>
      <w:pPr>
        <w:spacing w:line="360" w:lineRule="auto"/>
        <w:ind w:left="520" w:right="-20"/>
        <w:jc w:val="left"/>
        <w:rPr>
          <w:rFonts w:ascii="宋体" w:hAnsi="宋体" w:cs="宋体"/>
          <w:kern w:val="21"/>
        </w:rPr>
      </w:pPr>
      <w:r>
        <w:rPr>
          <w:rFonts w:hint="eastAsia" w:ascii="宋体" w:hAnsi="宋体" w:cs="宋体"/>
          <w:kern w:val="21"/>
        </w:rPr>
        <w:t>3.2.5 投标报价的其他要求见投标人须知前附表。</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3.3 投标有效期</w:t>
      </w:r>
    </w:p>
    <w:p>
      <w:pPr>
        <w:spacing w:line="360" w:lineRule="auto"/>
        <w:ind w:left="520" w:right="-20"/>
        <w:jc w:val="left"/>
        <w:rPr>
          <w:rFonts w:ascii="宋体" w:hAnsi="宋体" w:cs="宋体"/>
          <w:kern w:val="21"/>
        </w:rPr>
      </w:pPr>
      <w:r>
        <w:rPr>
          <w:rFonts w:hint="eastAsia" w:ascii="宋体" w:hAnsi="宋体" w:cs="宋体"/>
          <w:kern w:val="21"/>
        </w:rPr>
        <w:t>3.3.1 除投标人须知前附表另有规定外，投标有效期为 90 天。</w:t>
      </w:r>
    </w:p>
    <w:p>
      <w:pPr>
        <w:spacing w:line="360" w:lineRule="auto"/>
        <w:ind w:left="520" w:right="-20"/>
        <w:jc w:val="left"/>
        <w:rPr>
          <w:rFonts w:ascii="宋体" w:hAnsi="宋体" w:cs="宋体"/>
          <w:kern w:val="21"/>
        </w:rPr>
      </w:pPr>
      <w:r>
        <w:rPr>
          <w:rFonts w:hint="eastAsia" w:ascii="宋体" w:hAnsi="宋体" w:cs="宋体"/>
          <w:kern w:val="21"/>
        </w:rPr>
        <w:t>3.3.2 在投标有效期内，投标人撤销投标文件的，应承担招标文件和法律规定的责任。</w:t>
      </w:r>
    </w:p>
    <w:p>
      <w:pPr>
        <w:spacing w:line="360" w:lineRule="auto"/>
        <w:ind w:left="100" w:right="39" w:firstLine="420"/>
        <w:rPr>
          <w:rFonts w:ascii="宋体" w:hAnsi="宋体" w:cs="宋体"/>
          <w:kern w:val="21"/>
          <w:sz w:val="12"/>
        </w:rPr>
      </w:pPr>
      <w:r>
        <w:rPr>
          <w:rFonts w:hint="eastAsia" w:ascii="宋体" w:hAnsi="宋体" w:cs="宋体"/>
          <w:kern w:val="21"/>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3.4 投标保证金</w:t>
      </w:r>
    </w:p>
    <w:p>
      <w:pPr>
        <w:spacing w:line="360" w:lineRule="auto"/>
        <w:ind w:left="100" w:right="41" w:firstLine="420"/>
        <w:rPr>
          <w:rFonts w:ascii="宋体" w:hAnsi="宋体" w:cs="宋体"/>
          <w:strike w:val="0"/>
          <w:dstrike w:val="0"/>
          <w:kern w:val="21"/>
        </w:rPr>
      </w:pPr>
      <w:r>
        <w:rPr>
          <w:rFonts w:hint="eastAsia" w:ascii="宋体" w:hAnsi="宋体" w:cs="宋体"/>
          <w:strike w:val="0"/>
          <w:dstrike w:val="0"/>
          <w:kern w:val="21"/>
        </w:rPr>
        <w:t>3.4.1 投标人在递交投标文件的同时，应按投标人须知前附表规定的金额、形式和第六章“投标文件格式”规定的投标保证金格式递交投标保证金，并作为其投标文件的组成部分</w:t>
      </w:r>
      <w:r>
        <w:rPr>
          <w:rFonts w:hint="eastAsia" w:ascii="宋体" w:hAnsi="宋体" w:cs="宋体"/>
          <w:strike w:val="0"/>
          <w:dstrike w:val="0"/>
          <w:kern w:val="21"/>
          <w:szCs w:val="21"/>
        </w:rPr>
        <w:t>。境内投标人以现金或者支票形式提交的投标保证金，应当从其基本账户转出并在投标文件中附上基本账户开户证明。联合体投标的，其投标保证金可以由牵头人递交，并应符合投标人须知前附表的规定</w:t>
      </w:r>
      <w:r>
        <w:rPr>
          <w:rFonts w:hint="eastAsia" w:ascii="宋体" w:hAnsi="宋体" w:cs="宋体"/>
          <w:strike w:val="0"/>
          <w:dstrike w:val="0"/>
          <w:spacing w:val="-2"/>
          <w:szCs w:val="21"/>
          <w:u w:val="none"/>
        </w:rPr>
        <w:t>。</w:t>
      </w:r>
    </w:p>
    <w:p>
      <w:pPr>
        <w:spacing w:line="360" w:lineRule="auto"/>
        <w:ind w:left="520" w:right="-20"/>
        <w:jc w:val="left"/>
        <w:rPr>
          <w:rFonts w:ascii="宋体" w:hAnsi="宋体" w:cs="宋体"/>
          <w:strike w:val="0"/>
          <w:dstrike w:val="0"/>
          <w:kern w:val="21"/>
        </w:rPr>
      </w:pPr>
      <w:r>
        <w:rPr>
          <w:rFonts w:hint="eastAsia" w:ascii="宋体" w:hAnsi="宋体" w:cs="宋体"/>
          <w:strike w:val="0"/>
          <w:dstrike w:val="0"/>
          <w:kern w:val="21"/>
        </w:rPr>
        <w:t>3.4.2 投标人不按本章第 3.4.1 项要求提交投标保证金的，评标委员会将否决其投标。</w:t>
      </w:r>
    </w:p>
    <w:p>
      <w:pPr>
        <w:spacing w:line="360" w:lineRule="auto"/>
        <w:ind w:left="100" w:right="119" w:firstLine="420"/>
        <w:rPr>
          <w:rFonts w:ascii="宋体" w:hAnsi="宋体" w:cs="宋体"/>
          <w:strike w:val="0"/>
          <w:dstrike w:val="0"/>
          <w:kern w:val="21"/>
        </w:rPr>
      </w:pPr>
      <w:r>
        <w:rPr>
          <w:rFonts w:hint="eastAsia" w:ascii="宋体" w:hAnsi="宋体" w:cs="宋体"/>
          <w:strike w:val="0"/>
          <w:dstrike w:val="0"/>
          <w:kern w:val="21"/>
        </w:rPr>
        <w:t>3.4.3 招标人最迟将在与中标人签订合同后 5 日内，向未中标的投标人和中标人退还投标保证金。投标保证金以现金或者支票形式递交的，还应退还银行同期存款利息。</w:t>
      </w:r>
    </w:p>
    <w:p>
      <w:pPr>
        <w:spacing w:line="360" w:lineRule="auto"/>
        <w:ind w:left="520" w:right="-20"/>
        <w:jc w:val="left"/>
        <w:rPr>
          <w:rFonts w:ascii="宋体" w:hAnsi="宋体" w:cs="宋体"/>
          <w:strike w:val="0"/>
          <w:dstrike w:val="0"/>
          <w:kern w:val="21"/>
        </w:rPr>
      </w:pPr>
      <w:r>
        <w:rPr>
          <w:rFonts w:hint="eastAsia" w:ascii="宋体" w:hAnsi="宋体" w:cs="宋体"/>
          <w:strike w:val="0"/>
          <w:dstrike w:val="0"/>
          <w:kern w:val="21"/>
        </w:rPr>
        <w:t>3.4.4 有下列情形之一的，投标保证金将不予退还：</w:t>
      </w:r>
    </w:p>
    <w:p>
      <w:pPr>
        <w:spacing w:line="360" w:lineRule="auto"/>
        <w:ind w:left="415" w:right="-20"/>
        <w:jc w:val="left"/>
        <w:rPr>
          <w:rFonts w:ascii="宋体" w:hAnsi="宋体" w:cs="宋体"/>
          <w:strike w:val="0"/>
          <w:dstrike w:val="0"/>
          <w:kern w:val="21"/>
        </w:rPr>
      </w:pPr>
      <w:r>
        <w:rPr>
          <w:rFonts w:hint="eastAsia" w:ascii="宋体" w:hAnsi="宋体" w:cs="宋体"/>
          <w:strike w:val="0"/>
          <w:dstrike w:val="0"/>
          <w:kern w:val="21"/>
        </w:rPr>
        <w:t>（1）投标人在投标有效期内撤销投标文件；</w:t>
      </w:r>
    </w:p>
    <w:p>
      <w:pPr>
        <w:spacing w:line="360" w:lineRule="auto"/>
        <w:ind w:left="100" w:right="123" w:firstLine="314"/>
        <w:jc w:val="left"/>
        <w:rPr>
          <w:rFonts w:ascii="宋体" w:hAnsi="宋体" w:cs="宋体"/>
          <w:strike w:val="0"/>
          <w:dstrike w:val="0"/>
          <w:kern w:val="21"/>
        </w:rPr>
      </w:pPr>
      <w:r>
        <w:rPr>
          <w:rFonts w:hint="eastAsia" w:ascii="宋体" w:hAnsi="宋体" w:cs="宋体"/>
          <w:strike w:val="0"/>
          <w:dstrike w:val="0"/>
          <w:kern w:val="21"/>
        </w:rPr>
        <w:t>（2）中标人在收到中标通知书后，无正当理由不与招标人订立合同，在签订合同时向招标人提出附加条件，或者不按照招标文件要求提交履约保证金；</w:t>
      </w:r>
    </w:p>
    <w:p>
      <w:pPr>
        <w:spacing w:line="360" w:lineRule="auto"/>
        <w:ind w:left="415" w:right="-20"/>
        <w:jc w:val="left"/>
        <w:rPr>
          <w:rFonts w:ascii="宋体" w:hAnsi="宋体" w:cs="宋体"/>
          <w:strike w:val="0"/>
          <w:dstrike w:val="0"/>
          <w:kern w:val="21"/>
        </w:rPr>
      </w:pPr>
      <w:r>
        <w:rPr>
          <w:rFonts w:hint="eastAsia" w:ascii="宋体" w:hAnsi="宋体" w:cs="宋体"/>
          <w:strike w:val="0"/>
          <w:dstrike w:val="0"/>
          <w:kern w:val="21"/>
        </w:rPr>
        <w:t>（3）发生投标人须知前附表规定的其他可以不予退还投标保证金的情形。</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3.5 资格审查资料（适用于未进行资格预审的）</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除投标人须知前附表另有规定外，投标人应按下列规定提供资格审查资料，以证明其满足本章第 1.4 款规定的资质、财务、业绩、信誉等要求。</w:t>
      </w:r>
    </w:p>
    <w:p>
      <w:pPr>
        <w:autoSpaceDE w:val="0"/>
        <w:spacing w:line="360" w:lineRule="auto"/>
        <w:ind w:firstLine="420" w:firstLineChars="200"/>
        <w:jc w:val="left"/>
        <w:rPr>
          <w:rFonts w:hint="eastAsia" w:ascii="宋体" w:hAnsi="宋体" w:cs="宋体"/>
          <w:color w:val="000000"/>
          <w:highlight w:val="none"/>
          <w:u w:val="single"/>
        </w:rPr>
      </w:pPr>
      <w:r>
        <w:rPr>
          <w:rFonts w:hint="eastAsia" w:ascii="宋体" w:hAnsi="宋体" w:cs="宋体"/>
          <w:color w:val="000000"/>
          <w:highlight w:val="none"/>
          <w:u w:val="single"/>
          <w:lang w:val="en-US" w:eastAsia="zh-CN"/>
        </w:rPr>
        <w:t>3.5.1</w:t>
      </w:r>
      <w:r>
        <w:rPr>
          <w:rFonts w:hint="eastAsia" w:ascii="宋体" w:hAnsi="宋体"/>
          <w:color w:val="auto"/>
          <w:highlight w:val="none"/>
          <w:u w:val="single"/>
        </w:rPr>
        <w:t>投标人参加投标的意思表达清楚，投标人代表被授权有效；（按招标文件第六章所附格式内容要求签署的《投标申请公函》）</w:t>
      </w:r>
      <w:r>
        <w:rPr>
          <w:rFonts w:hint="eastAsia" w:ascii="宋体" w:hAnsi="宋体" w:cs="宋体"/>
          <w:color w:val="000000"/>
          <w:highlight w:val="none"/>
          <w:u w:val="single"/>
        </w:rPr>
        <w:t>；</w:t>
      </w:r>
    </w:p>
    <w:p>
      <w:pPr>
        <w:autoSpaceDE w:val="0"/>
        <w:spacing w:line="360" w:lineRule="auto"/>
        <w:ind w:firstLine="420" w:firstLineChars="200"/>
        <w:jc w:val="left"/>
        <w:rPr>
          <w:rFonts w:hint="eastAsia" w:ascii="宋体" w:hAnsi="宋体" w:cs="宋体"/>
          <w:color w:val="000000"/>
          <w:highlight w:val="none"/>
          <w:u w:val="single"/>
        </w:rPr>
      </w:pPr>
      <w:r>
        <w:rPr>
          <w:rFonts w:hint="eastAsia" w:ascii="宋体" w:hAnsi="宋体" w:cs="宋体"/>
          <w:color w:val="000000"/>
          <w:highlight w:val="none"/>
          <w:u w:val="single"/>
          <w:lang w:val="en-US" w:eastAsia="zh-CN"/>
        </w:rPr>
        <w:t>3.5.2</w:t>
      </w:r>
      <w:r>
        <w:rPr>
          <w:rFonts w:hint="eastAsia" w:ascii="宋体" w:hAnsi="宋体" w:cs="宋体"/>
          <w:color w:val="000000"/>
          <w:highlight w:val="none"/>
          <w:u w:val="single"/>
        </w:rPr>
        <w:t>投标人法定代表人证明书或法人授权委托证明书；</w:t>
      </w:r>
    </w:p>
    <w:p>
      <w:pPr>
        <w:autoSpaceDE w:val="0"/>
        <w:spacing w:line="360" w:lineRule="auto"/>
        <w:ind w:firstLine="420" w:firstLineChars="200"/>
        <w:jc w:val="left"/>
        <w:rPr>
          <w:rFonts w:hint="eastAsia" w:ascii="宋体" w:hAnsi="宋体" w:cs="宋体"/>
          <w:color w:val="000000"/>
          <w:highlight w:val="none"/>
          <w:u w:val="single"/>
        </w:rPr>
      </w:pPr>
      <w:r>
        <w:rPr>
          <w:rFonts w:hint="eastAsia" w:ascii="宋体" w:hAnsi="宋体" w:cs="宋体"/>
          <w:color w:val="000000"/>
          <w:highlight w:val="none"/>
          <w:u w:val="single"/>
          <w:lang w:val="en-US" w:eastAsia="zh-CN"/>
        </w:rPr>
        <w:t>3.5.3</w:t>
      </w:r>
      <w:r>
        <w:rPr>
          <w:rFonts w:hint="eastAsia" w:ascii="宋体" w:hAnsi="宋体" w:cs="宋体"/>
          <w:color w:val="000000"/>
          <w:highlight w:val="none"/>
          <w:u w:val="single"/>
        </w:rPr>
        <w:t>投标人企业营业执照或事业单位登记机构核发的事业单位法人证书；香港企业参加投标的，提供已在广东省住房和城乡建设主管部门备案的相关证明材料；</w:t>
      </w:r>
    </w:p>
    <w:p>
      <w:pPr>
        <w:autoSpaceDE w:val="0"/>
        <w:spacing w:line="360" w:lineRule="auto"/>
        <w:ind w:firstLine="420" w:firstLineChars="200"/>
        <w:jc w:val="left"/>
        <w:rPr>
          <w:rFonts w:hint="eastAsia" w:ascii="宋体" w:hAnsi="宋体" w:cs="宋体"/>
          <w:color w:val="000000"/>
          <w:highlight w:val="none"/>
          <w:u w:val="single"/>
        </w:rPr>
      </w:pPr>
      <w:r>
        <w:rPr>
          <w:rFonts w:hint="eastAsia" w:ascii="宋体" w:hAnsi="宋体" w:cs="宋体"/>
          <w:color w:val="000000"/>
          <w:highlight w:val="none"/>
          <w:u w:val="single"/>
          <w:lang w:val="en-US" w:eastAsia="zh-CN"/>
        </w:rPr>
        <w:t>3.5.4</w:t>
      </w:r>
      <w:r>
        <w:rPr>
          <w:rFonts w:hint="eastAsia" w:ascii="宋体" w:hAnsi="宋体" w:cs="宋体"/>
          <w:color w:val="000000"/>
          <w:highlight w:val="none"/>
          <w:u w:val="single"/>
        </w:rPr>
        <w:t>投标人资质证书；香港企业参加投标的，提供已在广东省住房和城乡建设主管部门备案的相关证明材料；</w:t>
      </w:r>
    </w:p>
    <w:p>
      <w:pPr>
        <w:autoSpaceDE w:val="0"/>
        <w:spacing w:line="360" w:lineRule="auto"/>
        <w:ind w:firstLine="420" w:firstLineChars="200"/>
        <w:jc w:val="left"/>
        <w:rPr>
          <w:rFonts w:hint="eastAsia" w:ascii="宋体" w:hAnsi="宋体" w:cs="宋体"/>
          <w:color w:val="000000"/>
          <w:highlight w:val="none"/>
          <w:u w:val="single"/>
        </w:rPr>
      </w:pPr>
      <w:r>
        <w:rPr>
          <w:rFonts w:hint="eastAsia" w:ascii="宋体" w:hAnsi="宋体" w:cs="宋体"/>
          <w:color w:val="000000"/>
          <w:highlight w:val="none"/>
          <w:u w:val="single"/>
          <w:lang w:val="en-US" w:eastAsia="zh-CN"/>
        </w:rPr>
        <w:t>3.5.5</w:t>
      </w:r>
      <w:r>
        <w:rPr>
          <w:rFonts w:hint="eastAsia" w:ascii="宋体" w:hAnsi="宋体" w:cs="宋体"/>
          <w:color w:val="000000"/>
          <w:highlight w:val="none"/>
          <w:u w:val="single"/>
        </w:rPr>
        <w:t>投标人拟委派本项目的总监理工程师满足招标公告要求的证明材料；</w:t>
      </w:r>
    </w:p>
    <w:p>
      <w:pPr>
        <w:autoSpaceDE w:val="0"/>
        <w:spacing w:line="360" w:lineRule="auto"/>
        <w:ind w:firstLine="420" w:firstLineChars="200"/>
        <w:jc w:val="left"/>
        <w:rPr>
          <w:rFonts w:hint="eastAsia" w:ascii="宋体" w:hAnsi="宋体" w:eastAsia="宋体" w:cs="宋体"/>
          <w:color w:val="000000"/>
          <w:highlight w:val="none"/>
          <w:u w:val="single"/>
          <w:lang w:val="en-US" w:eastAsia="zh-CN"/>
        </w:rPr>
      </w:pPr>
      <w:r>
        <w:rPr>
          <w:rFonts w:hint="eastAsia" w:ascii="宋体" w:hAnsi="宋体" w:cs="宋体"/>
          <w:color w:val="000000"/>
          <w:highlight w:val="none"/>
          <w:u w:val="single"/>
          <w:lang w:val="en-US" w:eastAsia="zh-CN"/>
        </w:rPr>
        <w:t>3.5.6</w:t>
      </w:r>
      <w:r>
        <w:rPr>
          <w:rFonts w:hint="eastAsia" w:ascii="宋体" w:hAnsi="宋体"/>
          <w:color w:val="auto"/>
          <w:highlight w:val="none"/>
          <w:u w:val="single"/>
        </w:rPr>
        <w:t>投标人须在广州公共资源交易中心办理企业信息登记及拟担任本工程总监理工程师须是本企业信息登记中的在册人员</w:t>
      </w:r>
      <w:r>
        <w:rPr>
          <w:rFonts w:hint="eastAsia" w:ascii="宋体" w:hAnsi="宋体" w:cs="宋体"/>
          <w:color w:val="000000"/>
          <w:highlight w:val="none"/>
          <w:u w:val="single"/>
          <w:lang w:eastAsia="zh-CN"/>
        </w:rPr>
        <w:t>，</w:t>
      </w:r>
      <w:r>
        <w:rPr>
          <w:rFonts w:hint="eastAsia" w:ascii="宋体" w:hAnsi="宋体" w:cs="宋体"/>
          <w:color w:val="000000"/>
          <w:highlight w:val="none"/>
          <w:u w:val="single"/>
        </w:rPr>
        <w:t>提供证明文件或网上查询结果打印页面</w:t>
      </w:r>
      <w:r>
        <w:rPr>
          <w:rFonts w:hint="eastAsia" w:ascii="宋体" w:hAnsi="宋体" w:cs="宋体"/>
          <w:color w:val="000000"/>
          <w:highlight w:val="none"/>
          <w:u w:val="single"/>
          <w:lang w:eastAsia="zh-CN"/>
        </w:rPr>
        <w:t>。</w:t>
      </w:r>
    </w:p>
    <w:p>
      <w:pPr>
        <w:autoSpaceDE w:val="0"/>
        <w:spacing w:line="360" w:lineRule="auto"/>
        <w:ind w:firstLine="420" w:firstLineChars="200"/>
        <w:jc w:val="left"/>
        <w:rPr>
          <w:rFonts w:hint="eastAsia" w:ascii="宋体" w:hAnsi="宋体" w:eastAsia="宋体" w:cs="宋体"/>
          <w:color w:val="000000"/>
          <w:highlight w:val="none"/>
          <w:u w:val="single"/>
          <w:lang w:eastAsia="zh-CN"/>
        </w:rPr>
      </w:pPr>
      <w:r>
        <w:rPr>
          <w:rFonts w:hint="eastAsia" w:ascii="宋体" w:hAnsi="宋体" w:cs="宋体"/>
          <w:color w:val="000000"/>
          <w:highlight w:val="none"/>
          <w:u w:val="single"/>
          <w:lang w:val="en-US" w:eastAsia="zh-CN"/>
        </w:rPr>
        <w:t>3.5.7</w:t>
      </w:r>
      <w:r>
        <w:rPr>
          <w:rFonts w:hint="eastAsia" w:ascii="宋体" w:hAnsi="宋体" w:cs="宋体"/>
          <w:color w:val="000000"/>
          <w:highlight w:val="none"/>
          <w:u w:val="single"/>
        </w:rPr>
        <w:t>投标人已按照招标公告附件一的内容签署盖章的《投标人声明》</w:t>
      </w:r>
      <w:r>
        <w:rPr>
          <w:rFonts w:hint="eastAsia" w:ascii="宋体" w:hAnsi="宋体" w:cs="宋体"/>
          <w:color w:val="000000"/>
          <w:highlight w:val="none"/>
          <w:u w:val="single"/>
          <w:lang w:eastAsia="zh-CN"/>
        </w:rPr>
        <w:t>；</w:t>
      </w:r>
    </w:p>
    <w:p>
      <w:pPr>
        <w:autoSpaceDE w:val="0"/>
        <w:spacing w:line="360" w:lineRule="auto"/>
        <w:ind w:firstLine="420" w:firstLineChars="200"/>
        <w:jc w:val="left"/>
        <w:rPr>
          <w:rFonts w:hint="eastAsia" w:ascii="宋体" w:hAnsi="宋体" w:eastAsia="宋体" w:cs="宋体"/>
          <w:color w:val="000000"/>
          <w:highlight w:val="none"/>
          <w:u w:val="single"/>
          <w:lang w:eastAsia="zh-CN"/>
        </w:rPr>
      </w:pPr>
      <w:r>
        <w:rPr>
          <w:rFonts w:hint="eastAsia" w:ascii="宋体" w:hAnsi="宋体" w:cs="宋体"/>
          <w:color w:val="000000"/>
          <w:highlight w:val="none"/>
          <w:u w:val="single"/>
          <w:lang w:val="en-US" w:eastAsia="zh-CN"/>
        </w:rPr>
        <w:t>3.5.8</w:t>
      </w:r>
      <w:r>
        <w:rPr>
          <w:rFonts w:hint="eastAsia" w:ascii="宋体" w:hAnsi="宋体" w:cs="宋体"/>
          <w:color w:val="000000"/>
          <w:highlight w:val="none"/>
          <w:u w:val="single"/>
        </w:rPr>
        <w:t>联合体协议书（如有）</w:t>
      </w:r>
      <w:r>
        <w:rPr>
          <w:rFonts w:hint="eastAsia" w:ascii="宋体" w:hAnsi="宋体" w:cs="宋体"/>
          <w:color w:val="000000"/>
          <w:highlight w:val="none"/>
          <w:u w:val="single"/>
          <w:lang w:eastAsia="zh-CN"/>
        </w:rPr>
        <w:t>；</w:t>
      </w:r>
    </w:p>
    <w:p>
      <w:pPr>
        <w:autoSpaceDE w:val="0"/>
        <w:spacing w:line="360" w:lineRule="auto"/>
        <w:ind w:firstLine="420" w:firstLineChars="200"/>
        <w:jc w:val="left"/>
        <w:rPr>
          <w:rFonts w:hint="eastAsia" w:ascii="宋体" w:hAnsi="宋体" w:cs="宋体"/>
          <w:color w:val="000000"/>
          <w:highlight w:val="none"/>
          <w:u w:val="single"/>
        </w:rPr>
      </w:pPr>
      <w:r>
        <w:rPr>
          <w:rFonts w:hint="eastAsia" w:ascii="宋体" w:hAnsi="宋体" w:cs="宋体"/>
          <w:color w:val="000000"/>
          <w:highlight w:val="none"/>
          <w:u w:val="single"/>
          <w:lang w:val="en-US" w:eastAsia="zh-CN"/>
        </w:rPr>
        <w:t>3.5.9</w:t>
      </w:r>
      <w:r>
        <w:rPr>
          <w:rFonts w:hint="eastAsia" w:ascii="宋体" w:hAnsi="宋体" w:cs="宋体"/>
          <w:color w:val="000000"/>
          <w:highlight w:val="none"/>
          <w:u w:val="single"/>
        </w:rPr>
        <w:t xml:space="preserve">其他满足投标人资格要求的证明材料（如有）。 </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3.6 备选投标方案</w:t>
      </w:r>
    </w:p>
    <w:p>
      <w:pPr>
        <w:spacing w:line="360" w:lineRule="auto"/>
        <w:ind w:left="100" w:right="142" w:firstLine="420"/>
        <w:rPr>
          <w:rFonts w:ascii="宋体" w:hAnsi="宋体" w:cs="宋体"/>
          <w:kern w:val="21"/>
        </w:rPr>
      </w:pPr>
      <w:r>
        <w:rPr>
          <w:rFonts w:hint="eastAsia" w:ascii="宋体" w:hAnsi="宋体" w:cs="宋体"/>
          <w:kern w:val="21"/>
        </w:rPr>
        <w:t>3.6.1 除投标人须知前附表规定允许外，投标人不得递交备选投标方案，否则其投标将被否决。</w:t>
      </w:r>
    </w:p>
    <w:p>
      <w:pPr>
        <w:spacing w:line="360" w:lineRule="auto"/>
        <w:ind w:left="100" w:right="37" w:firstLine="420"/>
        <w:jc w:val="left"/>
        <w:rPr>
          <w:rFonts w:ascii="宋体" w:hAnsi="宋体" w:cs="宋体"/>
          <w:kern w:val="21"/>
        </w:rPr>
      </w:pPr>
      <w:r>
        <w:rPr>
          <w:rFonts w:hint="eastAsia" w:ascii="宋体" w:hAnsi="宋体" w:cs="宋体"/>
          <w:kern w:val="21"/>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left="100" w:right="142" w:firstLine="420"/>
        <w:rPr>
          <w:rFonts w:ascii="宋体" w:hAnsi="宋体" w:cs="宋体"/>
          <w:kern w:val="21"/>
        </w:rPr>
      </w:pPr>
      <w:r>
        <w:rPr>
          <w:rFonts w:hint="eastAsia" w:ascii="宋体" w:hAnsi="宋体" w:cs="宋体"/>
          <w:kern w:val="21"/>
        </w:rPr>
        <w:t>3.6.3 投标人提供两个或两个以上投标报价，或者在投标文件中提供一个报价，但同时提供两个或两个以上</w:t>
      </w:r>
      <w:r>
        <w:rPr>
          <w:rFonts w:hint="eastAsia" w:ascii="宋体" w:hAnsi="宋体" w:cs="宋体"/>
          <w:kern w:val="21"/>
          <w:lang w:val="en-US" w:eastAsia="zh-CN"/>
        </w:rPr>
        <w:t>投标</w:t>
      </w:r>
      <w:r>
        <w:rPr>
          <w:rFonts w:hint="eastAsia" w:ascii="宋体" w:hAnsi="宋体" w:cs="宋体"/>
          <w:kern w:val="21"/>
        </w:rPr>
        <w:t>方案的，视为提供备选方案。</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3.7 投标文件的编制</w:t>
      </w:r>
    </w:p>
    <w:p>
      <w:pPr>
        <w:spacing w:line="360" w:lineRule="auto"/>
        <w:ind w:left="100" w:right="142" w:firstLine="420"/>
        <w:rPr>
          <w:rFonts w:ascii="宋体" w:hAnsi="宋体" w:cs="宋体"/>
          <w:kern w:val="21"/>
        </w:rPr>
      </w:pPr>
      <w:r>
        <w:rPr>
          <w:rFonts w:hint="eastAsia" w:ascii="宋体" w:hAnsi="宋体" w:cs="宋体"/>
          <w:kern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left="100" w:right="142" w:firstLine="420"/>
        <w:rPr>
          <w:rFonts w:ascii="宋体" w:hAnsi="宋体" w:cs="宋体"/>
          <w:kern w:val="21"/>
        </w:rPr>
      </w:pPr>
      <w:r>
        <w:rPr>
          <w:rFonts w:hint="eastAsia" w:ascii="宋体" w:hAnsi="宋体" w:cs="宋体"/>
          <w:kern w:val="21"/>
        </w:rPr>
        <w:t>3.7.2 投标文件应当对招标文件有关服务期限、投标有效期、委托人要求、招标范围等实质性内容作出响应。</w:t>
      </w:r>
    </w:p>
    <w:p>
      <w:pPr>
        <w:spacing w:line="360" w:lineRule="auto"/>
        <w:ind w:left="100" w:right="142" w:firstLine="420"/>
        <w:rPr>
          <w:rFonts w:hint="eastAsia" w:ascii="宋体" w:hAnsi="宋体" w:eastAsia="宋体" w:cs="宋体"/>
          <w:kern w:val="21"/>
        </w:rPr>
      </w:pPr>
      <w:r>
        <w:rPr>
          <w:rFonts w:hint="eastAsia" w:ascii="宋体" w:hAnsi="宋体" w:eastAsia="宋体" w:cs="宋体"/>
          <w:kern w:val="21"/>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ind w:left="100" w:right="142" w:firstLine="420"/>
        <w:rPr>
          <w:rFonts w:ascii="宋体" w:hAnsi="宋体" w:cs="宋体"/>
          <w:kern w:val="21"/>
        </w:rPr>
      </w:pPr>
      <w:r>
        <w:rPr>
          <w:rFonts w:hint="eastAsia" w:ascii="宋体" w:hAnsi="宋体" w:eastAsia="宋体" w:cs="宋体"/>
          <w:kern w:val="21"/>
        </w:rPr>
        <w:t>3.7.4联合体投标时，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成)单位全称】，由联合体主办方签字或盖章即可。</w:t>
      </w:r>
    </w:p>
    <w:p>
      <w:pPr>
        <w:spacing w:line="360" w:lineRule="auto"/>
        <w:ind w:left="100" w:right="-20"/>
        <w:jc w:val="left"/>
        <w:outlineLvl w:val="2"/>
        <w:rPr>
          <w:rFonts w:ascii="宋体" w:hAnsi="宋体" w:cs="宋体"/>
          <w:b/>
          <w:kern w:val="21"/>
          <w:sz w:val="30"/>
          <w:szCs w:val="30"/>
        </w:rPr>
      </w:pPr>
      <w:bookmarkStart w:id="109" w:name="_Toc22261"/>
      <w:bookmarkStart w:id="110" w:name="_Toc24792"/>
      <w:bookmarkStart w:id="111" w:name="_Toc11658"/>
      <w:bookmarkStart w:id="112" w:name="_Toc19134"/>
      <w:bookmarkStart w:id="113" w:name="_Toc13722"/>
      <w:bookmarkStart w:id="114" w:name="_Toc7479"/>
      <w:bookmarkStart w:id="115" w:name="_Toc29242"/>
      <w:bookmarkStart w:id="116" w:name="_Toc25687"/>
      <w:bookmarkStart w:id="117" w:name="_Toc20965"/>
      <w:bookmarkStart w:id="118" w:name="_Toc2229"/>
      <w:bookmarkStart w:id="119" w:name="_Toc6107"/>
      <w:bookmarkStart w:id="120" w:name="_Toc18951"/>
      <w:r>
        <w:rPr>
          <w:rFonts w:hint="eastAsia" w:ascii="宋体" w:hAnsi="宋体" w:cs="宋体"/>
          <w:b/>
          <w:kern w:val="21"/>
          <w:sz w:val="30"/>
          <w:szCs w:val="30"/>
        </w:rPr>
        <w:t>4. 投标</w:t>
      </w:r>
      <w:bookmarkEnd w:id="109"/>
      <w:bookmarkEnd w:id="110"/>
      <w:bookmarkEnd w:id="111"/>
      <w:bookmarkEnd w:id="112"/>
      <w:bookmarkEnd w:id="113"/>
      <w:bookmarkEnd w:id="114"/>
      <w:bookmarkEnd w:id="115"/>
      <w:bookmarkEnd w:id="116"/>
      <w:bookmarkEnd w:id="117"/>
      <w:bookmarkEnd w:id="118"/>
      <w:bookmarkEnd w:id="119"/>
      <w:bookmarkEnd w:id="120"/>
    </w:p>
    <w:p>
      <w:pPr>
        <w:spacing w:line="360" w:lineRule="auto"/>
        <w:ind w:left="237" w:right="-20"/>
        <w:jc w:val="left"/>
        <w:rPr>
          <w:rFonts w:ascii="宋体" w:hAnsi="宋体" w:cs="宋体"/>
          <w:strike/>
          <w:kern w:val="21"/>
        </w:rPr>
      </w:pPr>
      <w:r>
        <w:rPr>
          <w:rFonts w:hint="eastAsia" w:ascii="宋体" w:hAnsi="宋体" w:cs="宋体"/>
          <w:b/>
          <w:bCs/>
          <w:kern w:val="21"/>
          <w:sz w:val="28"/>
        </w:rPr>
        <w:t>4.1 投标文件的密封和标记</w:t>
      </w:r>
    </w:p>
    <w:p>
      <w:pPr>
        <w:spacing w:line="360" w:lineRule="auto"/>
        <w:ind w:left="100" w:right="39" w:firstLine="420"/>
        <w:rPr>
          <w:rFonts w:ascii="宋体" w:hAnsi="宋体" w:cs="宋体"/>
          <w:kern w:val="21"/>
        </w:rPr>
      </w:pPr>
      <w:r>
        <w:rPr>
          <w:rFonts w:hint="eastAsia" w:ascii="宋体" w:hAnsi="宋体" w:cs="宋体"/>
          <w:kern w:val="21"/>
        </w:rPr>
        <w:t>4.1.1 投标人应当按照招标文件和电子招标投标交易平台的要求加密投标文件，具体要求见投标人须知前附表。</w:t>
      </w:r>
    </w:p>
    <w:p>
      <w:pPr>
        <w:spacing w:line="360" w:lineRule="auto"/>
        <w:ind w:left="520" w:right="-20"/>
        <w:jc w:val="left"/>
        <w:rPr>
          <w:rFonts w:ascii="宋体" w:hAnsi="宋体" w:cs="宋体"/>
          <w:kern w:val="21"/>
        </w:rPr>
      </w:pPr>
      <w:r>
        <w:rPr>
          <w:rFonts w:hint="eastAsia" w:ascii="宋体" w:hAnsi="宋体" w:cs="宋体"/>
          <w:kern w:val="21"/>
        </w:rPr>
        <w:t>4.1.2 投标文件封套上应写明的内容见投标人须知前附表。</w:t>
      </w:r>
    </w:p>
    <w:p>
      <w:pPr>
        <w:spacing w:line="360" w:lineRule="auto"/>
        <w:ind w:left="100" w:right="42" w:firstLine="420"/>
        <w:rPr>
          <w:rFonts w:ascii="宋体" w:hAnsi="宋体" w:cs="宋体"/>
          <w:kern w:val="21"/>
        </w:rPr>
      </w:pPr>
      <w:r>
        <w:rPr>
          <w:rFonts w:hint="eastAsia" w:ascii="宋体" w:hAnsi="宋体" w:cs="宋体"/>
          <w:kern w:val="21"/>
        </w:rPr>
        <w:t>4.1.3 未按本章第 4.1.1 项要求密封的投标文件，招标人将予以拒收。</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4.2 投标文件的递交</w:t>
      </w:r>
    </w:p>
    <w:p>
      <w:pPr>
        <w:spacing w:line="360" w:lineRule="auto"/>
        <w:ind w:left="520" w:right="-20"/>
        <w:jc w:val="left"/>
        <w:rPr>
          <w:rFonts w:ascii="宋体" w:hAnsi="宋体" w:cs="宋体"/>
          <w:strike/>
          <w:kern w:val="21"/>
        </w:rPr>
      </w:pPr>
      <w:r>
        <w:rPr>
          <w:rFonts w:hint="eastAsia" w:ascii="宋体" w:hAnsi="宋体" w:cs="宋体"/>
          <w:kern w:val="21"/>
        </w:rPr>
        <w:t>4.2.1 投标人应在投标人须知前附表规定的投标截止时间前递交投标文件。</w:t>
      </w:r>
    </w:p>
    <w:p>
      <w:pPr>
        <w:spacing w:line="360" w:lineRule="auto"/>
        <w:ind w:left="520" w:right="-20"/>
        <w:jc w:val="left"/>
        <w:rPr>
          <w:rFonts w:ascii="宋体" w:hAnsi="宋体" w:cs="宋体"/>
          <w:kern w:val="21"/>
        </w:rPr>
      </w:pPr>
      <w:r>
        <w:rPr>
          <w:rFonts w:hint="eastAsia" w:ascii="宋体" w:hAnsi="宋体" w:cs="宋体"/>
          <w:kern w:val="21"/>
        </w:rPr>
        <w:t>4.2.2 投标人通过下载招标文件的电子招标投标交易平台递交电子投标文件。</w:t>
      </w:r>
    </w:p>
    <w:p>
      <w:pPr>
        <w:spacing w:line="360" w:lineRule="auto"/>
        <w:ind w:left="520" w:right="-20"/>
        <w:jc w:val="left"/>
        <w:rPr>
          <w:rFonts w:ascii="宋体" w:hAnsi="宋体" w:cs="宋体"/>
          <w:kern w:val="21"/>
        </w:rPr>
      </w:pPr>
      <w:r>
        <w:rPr>
          <w:rFonts w:hint="eastAsia" w:ascii="宋体" w:hAnsi="宋体" w:cs="宋体"/>
          <w:kern w:val="21"/>
        </w:rPr>
        <w:t>4.2.3 除投标人须知前附表另有规定外，投标人所递交的投标文件不予退还。</w:t>
      </w:r>
    </w:p>
    <w:p>
      <w:pPr>
        <w:spacing w:line="360" w:lineRule="auto"/>
        <w:ind w:left="100" w:right="39" w:firstLine="420"/>
        <w:jc w:val="left"/>
        <w:rPr>
          <w:rFonts w:ascii="宋体" w:hAnsi="宋体" w:cs="宋体"/>
          <w:strike/>
          <w:kern w:val="21"/>
        </w:rPr>
      </w:pPr>
      <w:r>
        <w:rPr>
          <w:rFonts w:hint="eastAsia" w:ascii="宋体" w:hAnsi="宋体" w:cs="宋体"/>
          <w:kern w:val="21"/>
        </w:rPr>
        <w:t>4.2.4 投标人完成电子投标文件上传后，电子招标投标交易平台即时向投标人发出递交回执通知。递交时间以递交回执通知载明的传输完成时间为准。</w:t>
      </w:r>
    </w:p>
    <w:p>
      <w:pPr>
        <w:spacing w:line="360" w:lineRule="auto"/>
        <w:ind w:left="100" w:right="42" w:firstLine="420"/>
        <w:rPr>
          <w:rFonts w:ascii="宋体" w:hAnsi="宋体" w:cs="宋体"/>
          <w:kern w:val="21"/>
        </w:rPr>
      </w:pPr>
      <w:r>
        <w:rPr>
          <w:rFonts w:hint="eastAsia" w:ascii="宋体" w:hAnsi="宋体" w:cs="宋体"/>
          <w:kern w:val="21"/>
        </w:rPr>
        <w:t>4.2.5 逾期送达的投标文件，电子招标投标交易平台将予以拒收。</w:t>
      </w:r>
    </w:p>
    <w:p>
      <w:pPr>
        <w:spacing w:line="360" w:lineRule="auto"/>
        <w:ind w:left="100" w:right="42" w:firstLine="420"/>
        <w:rPr>
          <w:rFonts w:ascii="宋体" w:hAnsi="宋体" w:cs="宋体"/>
          <w:b/>
          <w:bCs/>
          <w:kern w:val="21"/>
          <w:sz w:val="28"/>
        </w:rPr>
      </w:pPr>
      <w:r>
        <w:rPr>
          <w:rFonts w:hint="eastAsia" w:ascii="宋体" w:hAnsi="宋体" w:cs="宋体"/>
          <w:b/>
          <w:bCs/>
          <w:kern w:val="21"/>
          <w:sz w:val="28"/>
        </w:rPr>
        <w:t>4.3 投标文件的修改与撤回</w:t>
      </w:r>
    </w:p>
    <w:p>
      <w:pPr>
        <w:spacing w:line="360" w:lineRule="auto"/>
        <w:ind w:left="100" w:right="34" w:firstLine="420"/>
        <w:jc w:val="left"/>
        <w:rPr>
          <w:rFonts w:ascii="宋体" w:hAnsi="宋体" w:cs="宋体"/>
          <w:strike/>
          <w:kern w:val="21"/>
        </w:rPr>
      </w:pPr>
      <w:r>
        <w:rPr>
          <w:rFonts w:hint="eastAsia" w:ascii="宋体" w:hAnsi="宋体" w:cs="宋体"/>
          <w:kern w:val="21"/>
        </w:rPr>
        <w:t>4.3.1 在本章第 4.2.1 项规定的投标截止时间前，投标人可以修改或撤回已递交的投标文件，但应以书面形式通知招标人。</w:t>
      </w:r>
    </w:p>
    <w:p>
      <w:pPr>
        <w:spacing w:line="360" w:lineRule="auto"/>
        <w:ind w:left="100" w:right="139" w:firstLine="420"/>
        <w:rPr>
          <w:rFonts w:ascii="宋体" w:hAnsi="宋体" w:cs="宋体"/>
          <w:kern w:val="21"/>
        </w:rPr>
      </w:pPr>
      <w:r>
        <w:rPr>
          <w:rFonts w:hint="eastAsia" w:ascii="宋体" w:hAnsi="宋体" w:cs="宋体"/>
          <w:kern w:val="21"/>
        </w:rPr>
        <w:t>4.3.2 投标人修改或撤回已递交投标文件的通知，应按照本章第 3.7.3（B）项的要求加盖电子印章。电子招标投标交易平台收到通知后，即时向投标人发出确认回执通知。</w:t>
      </w:r>
    </w:p>
    <w:p>
      <w:pPr>
        <w:spacing w:line="360" w:lineRule="auto"/>
        <w:ind w:left="100" w:right="139" w:firstLine="420"/>
        <w:rPr>
          <w:rFonts w:ascii="宋体" w:hAnsi="宋体" w:cs="宋体"/>
          <w:kern w:val="21"/>
        </w:rPr>
      </w:pPr>
      <w:r>
        <w:rPr>
          <w:rFonts w:hint="eastAsia" w:ascii="宋体" w:hAnsi="宋体" w:cs="宋体"/>
          <w:kern w:val="21"/>
        </w:rPr>
        <w:t>4.3.3 投标人撤回投标文件的，招标人自收到投标人书面撤回通知之日起 5 日内退还已收取的投标保证金。</w:t>
      </w:r>
    </w:p>
    <w:p>
      <w:pPr>
        <w:spacing w:line="360" w:lineRule="auto"/>
        <w:ind w:left="100" w:right="141" w:firstLine="420"/>
        <w:rPr>
          <w:rFonts w:ascii="宋体" w:hAnsi="宋体" w:cs="宋体"/>
          <w:kern w:val="21"/>
        </w:rPr>
      </w:pPr>
      <w:r>
        <w:rPr>
          <w:rFonts w:hint="eastAsia" w:ascii="宋体" w:hAnsi="宋体" w:cs="宋体"/>
          <w:kern w:val="21"/>
        </w:rPr>
        <w:t>4.3.4 修改的内容为投标文件的组成部分。修改的投标文件应按照本章第 3 条、第 4 条的规定进行编制、密封、标记和递交，并标明“修改”字样。</w:t>
      </w:r>
    </w:p>
    <w:p>
      <w:pPr>
        <w:spacing w:line="360" w:lineRule="auto"/>
        <w:ind w:left="100" w:right="-20"/>
        <w:jc w:val="left"/>
        <w:outlineLvl w:val="2"/>
        <w:rPr>
          <w:rFonts w:ascii="宋体" w:hAnsi="宋体" w:cs="宋体"/>
          <w:b/>
          <w:kern w:val="21"/>
          <w:sz w:val="30"/>
          <w:szCs w:val="30"/>
        </w:rPr>
      </w:pPr>
      <w:bookmarkStart w:id="121" w:name="_Toc22131"/>
      <w:bookmarkStart w:id="122" w:name="_Toc27052"/>
      <w:bookmarkStart w:id="123" w:name="_Toc18757"/>
      <w:bookmarkStart w:id="124" w:name="_Toc2977"/>
      <w:bookmarkStart w:id="125" w:name="_Toc18809"/>
      <w:bookmarkStart w:id="126" w:name="_Toc19637"/>
      <w:bookmarkStart w:id="127" w:name="_Toc8073"/>
      <w:bookmarkStart w:id="128" w:name="_Toc23198"/>
      <w:bookmarkStart w:id="129" w:name="_Toc18398"/>
      <w:bookmarkStart w:id="130" w:name="_Toc22417"/>
      <w:bookmarkStart w:id="131" w:name="_Toc1885"/>
      <w:bookmarkStart w:id="132" w:name="_Toc12408"/>
      <w:r>
        <w:rPr>
          <w:rFonts w:hint="eastAsia" w:ascii="宋体" w:hAnsi="宋体" w:cs="宋体"/>
          <w:b/>
          <w:kern w:val="21"/>
          <w:sz w:val="30"/>
          <w:szCs w:val="30"/>
        </w:rPr>
        <w:t>5. 开标</w:t>
      </w:r>
      <w:bookmarkEnd w:id="121"/>
      <w:bookmarkEnd w:id="122"/>
      <w:bookmarkEnd w:id="123"/>
      <w:bookmarkEnd w:id="124"/>
      <w:bookmarkEnd w:id="125"/>
      <w:bookmarkEnd w:id="126"/>
      <w:bookmarkEnd w:id="127"/>
      <w:bookmarkEnd w:id="128"/>
      <w:bookmarkEnd w:id="129"/>
      <w:bookmarkEnd w:id="130"/>
      <w:bookmarkEnd w:id="131"/>
      <w:bookmarkEnd w:id="132"/>
    </w:p>
    <w:p>
      <w:pPr>
        <w:spacing w:line="360" w:lineRule="auto"/>
        <w:ind w:left="237" w:right="-20"/>
        <w:jc w:val="left"/>
        <w:rPr>
          <w:rFonts w:ascii="宋体" w:hAnsi="宋体" w:cs="宋体"/>
          <w:b/>
          <w:bCs/>
          <w:kern w:val="21"/>
          <w:sz w:val="28"/>
        </w:rPr>
      </w:pPr>
      <w:r>
        <w:rPr>
          <w:rFonts w:hint="eastAsia" w:ascii="宋体" w:hAnsi="宋体" w:cs="宋体"/>
          <w:b/>
          <w:bCs/>
          <w:kern w:val="21"/>
          <w:sz w:val="28"/>
        </w:rPr>
        <w:t>5.1 开标时间和地点</w:t>
      </w:r>
    </w:p>
    <w:p>
      <w:pPr>
        <w:spacing w:line="360" w:lineRule="auto"/>
        <w:ind w:left="100" w:right="142" w:firstLine="420"/>
        <w:rPr>
          <w:rFonts w:ascii="宋体" w:hAnsi="宋体" w:cs="宋体"/>
          <w:kern w:val="21"/>
          <w:u w:val="none"/>
        </w:rPr>
      </w:pPr>
      <w:r>
        <w:rPr>
          <w:rFonts w:hint="eastAsia" w:ascii="宋体" w:hAnsi="宋体" w:cs="宋体"/>
          <w:kern w:val="21"/>
        </w:rPr>
        <w:t>招标人在本章第 4.2.1 项规定的投标截止时间（开标时间）,通过电子招标投标交易平台公开开标，</w:t>
      </w:r>
      <w:r>
        <w:rPr>
          <w:rFonts w:hint="eastAsia" w:ascii="宋体" w:hAnsi="宋体" w:eastAsia="宋体" w:cs="宋体"/>
          <w:color w:val="auto"/>
          <w:highlight w:val="none"/>
        </w:rPr>
        <w:t>开标时，投标人代表有权</w:t>
      </w:r>
      <w:r>
        <w:rPr>
          <w:rFonts w:hint="eastAsia" w:ascii="宋体" w:hAnsi="宋体" w:eastAsia="宋体" w:cs="宋体"/>
          <w:color w:val="auto"/>
          <w:highlight w:val="none"/>
          <w:lang w:val="en-US" w:eastAsia="zh-CN"/>
        </w:rPr>
        <w:t>参加现场开标或在线开标，也可以自主决定不参加开标</w:t>
      </w:r>
      <w:r>
        <w:rPr>
          <w:rFonts w:hint="eastAsia" w:ascii="宋体" w:hAnsi="宋体" w:cs="宋体"/>
          <w:kern w:val="21"/>
          <w:u w:val="none"/>
        </w:rPr>
        <w:t>。</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5.2 开标程序</w:t>
      </w:r>
    </w:p>
    <w:p>
      <w:pPr>
        <w:autoSpaceDE w:val="0"/>
        <w:spacing w:line="360" w:lineRule="auto"/>
        <w:ind w:firstLine="420" w:firstLineChars="200"/>
        <w:jc w:val="left"/>
        <w:rPr>
          <w:rFonts w:ascii="宋体" w:hAnsi="宋体" w:cs="宋体"/>
          <w:szCs w:val="21"/>
        </w:rPr>
      </w:pPr>
      <w:r>
        <w:rPr>
          <w:rFonts w:hint="eastAsia" w:ascii="宋体" w:hAnsi="宋体" w:cs="宋体"/>
          <w:szCs w:val="21"/>
        </w:rPr>
        <w:t>5.2.1主持人按下列程序进行开标：</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（1）宣布开标纪律；</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（2）公布在投标截止时间前递交投标文件的投标人名称；</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（3）宣布开标人、唱标人、记录人、监标人等有关人员姓名；</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（4）（B）投标人通过电子招标投标交易平台对已递交的电子投标文件进行解密，公布招标项目名称、投标人名称、投标报价、服务期限及其他内容，并记录在案；</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（5）（B）投标人代表、招标人代表、监标人、记录人等有关人员在开标记录上签字确认；若有关人员不签字的，不影响开标程序；</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（6）开标结束。</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5.2.2投标截止时间前未完成投标文件传输的或因投标人之外的原因造成投标文件未解密</w:t>
      </w:r>
      <w:r>
        <w:rPr>
          <w:rFonts w:hint="eastAsia" w:ascii="宋体" w:hAnsi="宋体" w:eastAsia="宋体" w:cs="宋体"/>
          <w:color w:val="auto"/>
          <w:highlight w:val="none"/>
          <w:u w:val="single"/>
          <w:lang w:val="en-US" w:eastAsia="zh-CN"/>
        </w:rPr>
        <w:t>且未递交电子光盘</w:t>
      </w:r>
      <w:r>
        <w:rPr>
          <w:rFonts w:hint="eastAsia" w:ascii="宋体" w:hAnsi="宋体" w:eastAsia="宋体" w:cs="宋体"/>
          <w:color w:val="auto"/>
          <w:highlight w:val="none"/>
          <w:u w:val="single"/>
        </w:rPr>
        <w:t>的</w:t>
      </w:r>
      <w:r>
        <w:rPr>
          <w:rFonts w:hint="eastAsia" w:ascii="宋体" w:hAnsi="宋体" w:cs="宋体"/>
          <w:color w:val="000000"/>
          <w:highlight w:val="none"/>
        </w:rPr>
        <w:t>，视为投标人其撤回投标文件。因投标人原因造成投标文件未解密的或未在投标截止时间后半小时解密的，视为撤销其投标文件。</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5.2.3开标时，两个（含两个）以上的投标人加密打包投标文件电脑机器特征码一致的，不参与下一程序，并由评标委员会否决其投标。</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5.3 开标异议</w:t>
      </w:r>
    </w:p>
    <w:p>
      <w:pPr>
        <w:spacing w:line="360" w:lineRule="auto"/>
        <w:ind w:firstLine="420" w:firstLineChars="200"/>
        <w:rPr>
          <w:rFonts w:hint="eastAsia" w:ascii="宋体" w:hAnsi="宋体" w:eastAsia="宋体" w:cs="宋体"/>
          <w:color w:val="000000"/>
          <w:highlight w:val="none"/>
        </w:rPr>
      </w:pPr>
      <w:r>
        <w:rPr>
          <w:rFonts w:hint="eastAsia" w:ascii="宋体" w:hAnsi="宋体" w:eastAsia="宋体" w:cs="宋体"/>
          <w:color w:val="000000"/>
          <w:highlight w:val="none"/>
        </w:rPr>
        <w:t>投标人</w:t>
      </w:r>
      <w:r>
        <w:rPr>
          <w:rFonts w:hint="eastAsia" w:ascii="宋体" w:hAnsi="宋体" w:eastAsia="宋体" w:cs="宋体"/>
          <w:color w:val="000000"/>
          <w:highlight w:val="none"/>
          <w:lang w:val="en-US" w:eastAsia="zh-CN"/>
        </w:rPr>
        <w:t>代表</w:t>
      </w:r>
      <w:r>
        <w:rPr>
          <w:rFonts w:hint="eastAsia" w:ascii="宋体" w:hAnsi="宋体" w:eastAsia="宋体" w:cs="宋体"/>
          <w:color w:val="000000"/>
          <w:highlight w:val="none"/>
        </w:rPr>
        <w:t>对开标</w:t>
      </w:r>
      <w:r>
        <w:rPr>
          <w:rFonts w:hint="eastAsia" w:ascii="宋体" w:hAnsi="宋体" w:eastAsia="宋体" w:cs="宋体"/>
          <w:color w:val="000000"/>
          <w:highlight w:val="none"/>
          <w:lang w:val="en-US" w:eastAsia="zh-CN"/>
        </w:rPr>
        <w:t>过程</w:t>
      </w:r>
      <w:r>
        <w:rPr>
          <w:rFonts w:hint="eastAsia" w:ascii="宋体" w:hAnsi="宋体" w:eastAsia="宋体" w:cs="宋体"/>
          <w:color w:val="000000"/>
          <w:highlight w:val="none"/>
        </w:rPr>
        <w:t>有异议的，</w:t>
      </w:r>
      <w:r>
        <w:rPr>
          <w:rFonts w:hint="eastAsia" w:ascii="宋体" w:hAnsi="宋体" w:eastAsia="宋体" w:cs="宋体"/>
          <w:color w:val="000000"/>
          <w:highlight w:val="none"/>
          <w:lang w:val="en-US" w:eastAsia="zh-CN"/>
        </w:rPr>
        <w:t>参加现场开标的应当</w:t>
      </w:r>
      <w:r>
        <w:rPr>
          <w:rFonts w:hint="eastAsia" w:ascii="宋体" w:hAnsi="宋体" w:eastAsia="宋体" w:cs="宋体"/>
          <w:color w:val="000000"/>
          <w:highlight w:val="none"/>
        </w:rPr>
        <w:t>在开标现场提出，</w:t>
      </w:r>
      <w:r>
        <w:rPr>
          <w:rFonts w:hint="eastAsia" w:ascii="宋体" w:hAnsi="宋体" w:eastAsia="宋体" w:cs="宋体"/>
          <w:color w:val="000000"/>
          <w:highlight w:val="none"/>
          <w:lang w:val="en-US" w:eastAsia="zh-CN"/>
        </w:rPr>
        <w:t>同时出示本人身份证原件，</w:t>
      </w:r>
      <w:r>
        <w:rPr>
          <w:rFonts w:hint="eastAsia" w:ascii="宋体" w:hAnsi="宋体" w:eastAsia="宋体" w:cs="宋体"/>
          <w:color w:val="000000"/>
          <w:highlight w:val="none"/>
        </w:rPr>
        <w:t>招标人</w:t>
      </w:r>
      <w:r>
        <w:rPr>
          <w:rFonts w:hint="eastAsia" w:ascii="宋体" w:hAnsi="宋体" w:eastAsia="宋体" w:cs="宋体"/>
          <w:color w:val="000000"/>
          <w:highlight w:val="none"/>
          <w:lang w:val="en-US" w:eastAsia="zh-CN"/>
        </w:rPr>
        <w:t>应当</w:t>
      </w:r>
      <w:r>
        <w:rPr>
          <w:rFonts w:hint="eastAsia" w:ascii="宋体" w:hAnsi="宋体" w:eastAsia="宋体" w:cs="宋体"/>
          <w:color w:val="000000"/>
          <w:highlight w:val="none"/>
        </w:rPr>
        <w:t>当场作出答复，并制作记录</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参加在线开标的，投标人应通过交易平台在线提出，招标人应通过交易平台答复，答复后方可结束开标</w:t>
      </w:r>
      <w:r>
        <w:rPr>
          <w:rFonts w:hint="eastAsia" w:ascii="宋体" w:hAnsi="宋体" w:eastAsia="宋体" w:cs="宋体"/>
          <w:color w:val="000000"/>
          <w:highlight w:val="none"/>
        </w:rPr>
        <w:t>。</w:t>
      </w:r>
    </w:p>
    <w:p>
      <w:pPr>
        <w:spacing w:line="360" w:lineRule="auto"/>
        <w:ind w:left="100" w:right="-20"/>
        <w:jc w:val="left"/>
        <w:outlineLvl w:val="2"/>
        <w:rPr>
          <w:rFonts w:ascii="宋体" w:hAnsi="宋体" w:cs="宋体"/>
          <w:b/>
          <w:kern w:val="21"/>
          <w:sz w:val="30"/>
          <w:szCs w:val="30"/>
        </w:rPr>
      </w:pPr>
      <w:bookmarkStart w:id="133" w:name="_Toc11458"/>
      <w:bookmarkStart w:id="134" w:name="_Toc8980"/>
      <w:bookmarkStart w:id="135" w:name="_Toc5554"/>
      <w:bookmarkStart w:id="136" w:name="_Toc14670"/>
      <w:bookmarkStart w:id="137" w:name="_Toc31484"/>
      <w:bookmarkStart w:id="138" w:name="_Toc16309"/>
      <w:bookmarkStart w:id="139" w:name="_Toc12149"/>
      <w:bookmarkStart w:id="140" w:name="_Toc17440"/>
      <w:bookmarkStart w:id="141" w:name="_Toc19236"/>
      <w:bookmarkStart w:id="142" w:name="_Toc2076"/>
      <w:bookmarkStart w:id="143" w:name="_Toc11422"/>
      <w:bookmarkStart w:id="144" w:name="_Toc8246"/>
      <w:r>
        <w:rPr>
          <w:rFonts w:hint="eastAsia" w:ascii="宋体" w:hAnsi="宋体" w:cs="宋体"/>
          <w:b/>
          <w:kern w:val="21"/>
          <w:sz w:val="30"/>
          <w:szCs w:val="30"/>
        </w:rPr>
        <w:t>6. 评标</w:t>
      </w:r>
      <w:bookmarkEnd w:id="133"/>
      <w:bookmarkEnd w:id="134"/>
      <w:bookmarkEnd w:id="135"/>
      <w:bookmarkEnd w:id="136"/>
      <w:bookmarkEnd w:id="137"/>
      <w:bookmarkEnd w:id="138"/>
      <w:bookmarkEnd w:id="139"/>
      <w:bookmarkEnd w:id="140"/>
      <w:bookmarkEnd w:id="141"/>
      <w:bookmarkEnd w:id="142"/>
      <w:bookmarkEnd w:id="143"/>
      <w:bookmarkEnd w:id="144"/>
    </w:p>
    <w:p>
      <w:pPr>
        <w:spacing w:line="360" w:lineRule="auto"/>
        <w:ind w:left="237" w:right="-20"/>
        <w:jc w:val="left"/>
        <w:rPr>
          <w:rFonts w:ascii="宋体" w:hAnsi="宋体" w:cs="宋体"/>
          <w:b/>
          <w:bCs/>
          <w:kern w:val="21"/>
          <w:sz w:val="28"/>
        </w:rPr>
      </w:pPr>
      <w:r>
        <w:rPr>
          <w:rFonts w:hint="eastAsia" w:ascii="宋体" w:hAnsi="宋体" w:cs="宋体"/>
          <w:b/>
          <w:bCs/>
          <w:kern w:val="21"/>
          <w:sz w:val="28"/>
        </w:rPr>
        <w:t>6.1 评标委员会</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6.1.2 评标委员会成员有下列情形之一的，应当回避：</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（1）投标人或投标人主要负责人的近亲属；</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（2）项目主管部门或者行政监督部门的人员；</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（3）与投标人有经济利益关系，可能影响对投标公正评审的；</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（4）曾因在招标、评标以及其他与招标投标有关活动中从事违法行为而受过行政处罚或刑事处罚的；</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（5）与投标人有其他利害关系。</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6.2 评标原则</w:t>
      </w:r>
    </w:p>
    <w:p>
      <w:pPr>
        <w:spacing w:line="360" w:lineRule="auto"/>
        <w:ind w:left="520" w:right="-20"/>
        <w:jc w:val="left"/>
        <w:rPr>
          <w:rFonts w:ascii="宋体" w:hAnsi="宋体" w:cs="宋体"/>
          <w:kern w:val="21"/>
        </w:rPr>
      </w:pPr>
      <w:r>
        <w:rPr>
          <w:rFonts w:hint="eastAsia" w:ascii="宋体" w:hAnsi="宋体" w:cs="宋体"/>
          <w:kern w:val="21"/>
        </w:rPr>
        <w:t>评标活动遵循公平、公正、科学和择优的原则。</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6.3 评标</w:t>
      </w:r>
    </w:p>
    <w:p>
      <w:pPr>
        <w:spacing w:line="360" w:lineRule="auto"/>
        <w:ind w:firstLine="420" w:firstLineChars="200"/>
        <w:rPr>
          <w:rFonts w:hint="eastAsia" w:ascii="宋体" w:hAnsi="宋体" w:cs="宋体"/>
          <w:color w:val="000000"/>
          <w:highlight w:val="none"/>
        </w:rPr>
      </w:pPr>
      <w:bookmarkStart w:id="145" w:name="_Toc22404"/>
      <w:bookmarkStart w:id="146" w:name="_Toc13361"/>
      <w:bookmarkStart w:id="147" w:name="_Toc3140"/>
      <w:bookmarkStart w:id="148" w:name="_Toc17505"/>
      <w:bookmarkStart w:id="149" w:name="_Toc20086"/>
      <w:bookmarkStart w:id="150" w:name="_Toc15375"/>
      <w:bookmarkStart w:id="151" w:name="_Toc25117"/>
      <w:bookmarkStart w:id="152" w:name="_Toc29116"/>
      <w:bookmarkStart w:id="153" w:name="_Toc19423"/>
      <w:bookmarkStart w:id="154" w:name="_Toc13150"/>
      <w:r>
        <w:rPr>
          <w:rFonts w:hint="eastAsia" w:ascii="宋体" w:hAnsi="宋体" w:cs="宋体"/>
          <w:color w:val="000000"/>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6.3.2 评标完成后，评标委员会应当向招标人提交书面评标报告和中标候选人名单。评标委员会推荐中标候选人的人数见投标人须知前附表。</w:t>
      </w:r>
    </w:p>
    <w:p>
      <w:pPr>
        <w:spacing w:line="360" w:lineRule="auto"/>
        <w:ind w:left="100" w:right="-20"/>
        <w:jc w:val="left"/>
        <w:outlineLvl w:val="2"/>
        <w:rPr>
          <w:rFonts w:ascii="宋体" w:hAnsi="宋体" w:cs="宋体"/>
          <w:b/>
          <w:kern w:val="21"/>
          <w:sz w:val="30"/>
          <w:szCs w:val="30"/>
        </w:rPr>
      </w:pPr>
      <w:bookmarkStart w:id="155" w:name="_Toc22890"/>
      <w:bookmarkStart w:id="156" w:name="_Toc11228"/>
      <w:r>
        <w:rPr>
          <w:rFonts w:hint="eastAsia" w:ascii="宋体" w:hAnsi="宋体" w:cs="宋体"/>
          <w:b/>
          <w:kern w:val="21"/>
          <w:sz w:val="30"/>
          <w:szCs w:val="30"/>
        </w:rPr>
        <w:t>7. 合同授予</w:t>
      </w:r>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ind w:left="237" w:right="-20"/>
        <w:jc w:val="left"/>
        <w:rPr>
          <w:rFonts w:ascii="宋体" w:hAnsi="宋体" w:cs="宋体"/>
          <w:b/>
          <w:bCs/>
          <w:kern w:val="21"/>
          <w:sz w:val="28"/>
        </w:rPr>
      </w:pPr>
      <w:r>
        <w:rPr>
          <w:rFonts w:hint="eastAsia" w:ascii="宋体" w:hAnsi="宋体" w:cs="宋体"/>
          <w:b/>
          <w:bCs/>
          <w:kern w:val="21"/>
          <w:sz w:val="28"/>
        </w:rPr>
        <w:t>7.1 中标候选人公示</w:t>
      </w:r>
    </w:p>
    <w:p>
      <w:pPr>
        <w:spacing w:line="360" w:lineRule="auto"/>
        <w:ind w:left="100" w:right="39" w:firstLine="420"/>
        <w:rPr>
          <w:rFonts w:ascii="宋体" w:hAnsi="宋体" w:cs="宋体"/>
          <w:kern w:val="21"/>
        </w:rPr>
      </w:pPr>
      <w:r>
        <w:rPr>
          <w:rFonts w:hint="eastAsia" w:ascii="宋体" w:hAnsi="宋体" w:cs="宋体"/>
          <w:kern w:val="21"/>
        </w:rPr>
        <w:t>招标人在收到评标报告之日起 3 日内，按照投标人须知前附表规定的公示媒介和期限公示中标候选人，公示期不得少于 3 天。</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7.2 评标结果异议</w:t>
      </w:r>
    </w:p>
    <w:p>
      <w:pPr>
        <w:spacing w:line="360" w:lineRule="auto"/>
        <w:ind w:left="100" w:right="43" w:firstLine="420"/>
        <w:rPr>
          <w:rFonts w:ascii="宋体" w:hAnsi="宋体" w:cs="宋体"/>
          <w:kern w:val="21"/>
        </w:rPr>
      </w:pPr>
      <w:r>
        <w:rPr>
          <w:rFonts w:hint="eastAsia" w:ascii="宋体" w:hAnsi="宋体" w:cs="宋体"/>
          <w:kern w:val="21"/>
        </w:rPr>
        <w:t>投标人或者其他利害关系人对评标结果有异议的，应当在中标候选人公示期间提出。招标人将在收到异议之日起 3 日内作出答复；作出答复前，将暂停招标投标活动。</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7.3 中标候选人履约能力审查</w:t>
      </w:r>
    </w:p>
    <w:p>
      <w:pPr>
        <w:spacing w:line="360" w:lineRule="auto"/>
        <w:ind w:left="100" w:right="42" w:firstLine="420"/>
        <w:rPr>
          <w:rFonts w:ascii="宋体" w:hAnsi="宋体" w:cs="宋体"/>
          <w:kern w:val="21"/>
        </w:rPr>
      </w:pPr>
      <w:r>
        <w:rPr>
          <w:rFonts w:hint="eastAsia" w:ascii="宋体" w:hAnsi="宋体" w:cs="宋体"/>
          <w:kern w:val="21"/>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7.4 定标</w:t>
      </w:r>
    </w:p>
    <w:p>
      <w:pPr>
        <w:spacing w:line="360" w:lineRule="auto"/>
        <w:ind w:left="520" w:right="-20"/>
        <w:jc w:val="left"/>
        <w:rPr>
          <w:rFonts w:ascii="宋体" w:hAnsi="宋体" w:cs="宋体"/>
          <w:kern w:val="21"/>
        </w:rPr>
      </w:pPr>
      <w:r>
        <w:rPr>
          <w:rFonts w:hint="eastAsia" w:ascii="宋体" w:hAnsi="宋体" w:cs="宋体"/>
          <w:kern w:val="21"/>
        </w:rPr>
        <w:t>按照投标人须知前附表的规定，招标人或招标人授权的评标委员会依法确定中标人。</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7.5 中标通知</w:t>
      </w:r>
    </w:p>
    <w:p>
      <w:pPr>
        <w:spacing w:line="360" w:lineRule="auto"/>
        <w:ind w:left="100" w:right="39" w:firstLine="420"/>
        <w:rPr>
          <w:rFonts w:ascii="宋体" w:hAnsi="宋体" w:cs="宋体"/>
          <w:kern w:val="21"/>
        </w:rPr>
      </w:pPr>
      <w:r>
        <w:rPr>
          <w:rFonts w:hint="eastAsia" w:ascii="宋体" w:hAnsi="宋体" w:cs="宋体"/>
          <w:kern w:val="21"/>
        </w:rPr>
        <w:t>在本章第 3.3 款规定的投标有效期内，招标人以书面形式向中标人发出中标通知书，同时将中标结果通知未中标的投标人。</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7.6 履约保证金</w:t>
      </w:r>
    </w:p>
    <w:p>
      <w:pPr>
        <w:spacing w:line="360" w:lineRule="auto"/>
        <w:ind w:right="-20" w:firstLine="420" w:firstLineChars="200"/>
        <w:jc w:val="left"/>
        <w:rPr>
          <w:rFonts w:ascii="宋体" w:hAnsi="宋体" w:cs="宋体"/>
          <w:strike/>
          <w:dstrike w:val="0"/>
          <w:kern w:val="21"/>
        </w:rPr>
      </w:pPr>
      <w:r>
        <w:rPr>
          <w:rFonts w:hint="eastAsia" w:ascii="宋体" w:hAnsi="宋体" w:cs="宋体"/>
          <w:strike/>
          <w:dstrike w:val="0"/>
          <w:kern w:val="21"/>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10%。联合体中标的，其履约保证金以联合体各方或者联合体中牵头人的名义提交。</w:t>
      </w:r>
    </w:p>
    <w:p>
      <w:pPr>
        <w:spacing w:line="360" w:lineRule="auto"/>
        <w:ind w:left="100" w:right="139" w:firstLine="420"/>
        <w:rPr>
          <w:rFonts w:ascii="宋体" w:hAnsi="宋体" w:cs="宋体"/>
          <w:strike/>
          <w:dstrike w:val="0"/>
          <w:kern w:val="21"/>
        </w:rPr>
      </w:pPr>
      <w:r>
        <w:rPr>
          <w:rFonts w:hint="eastAsia" w:ascii="宋体" w:hAnsi="宋体" w:cs="宋体"/>
          <w:strike/>
          <w:dstrike w:val="0"/>
          <w:kern w:val="21"/>
        </w:rPr>
        <w:t>7.6.2 中标人不能按本章第 7.6.1 项要求提交履约保证金的，视为放弃中标，其投标保证金不予退还，给招标人造成的损失超过投标保证金数额的，中标人还应当对超过部分予以赔偿。</w:t>
      </w:r>
    </w:p>
    <w:p>
      <w:pPr>
        <w:spacing w:line="360" w:lineRule="auto"/>
        <w:ind w:left="237" w:right="-20"/>
        <w:jc w:val="left"/>
        <w:rPr>
          <w:rFonts w:ascii="宋体" w:hAnsi="宋体" w:cs="宋体"/>
          <w:b/>
          <w:bCs/>
          <w:kern w:val="21"/>
          <w:sz w:val="28"/>
        </w:rPr>
      </w:pPr>
      <w:r>
        <w:rPr>
          <w:rFonts w:hint="eastAsia" w:ascii="宋体" w:hAnsi="宋体" w:cs="宋体"/>
          <w:b/>
          <w:bCs/>
          <w:kern w:val="21"/>
          <w:sz w:val="28"/>
        </w:rPr>
        <w:t>7.7 签订合同</w:t>
      </w:r>
    </w:p>
    <w:p>
      <w:pPr>
        <w:spacing w:line="360" w:lineRule="auto"/>
        <w:ind w:left="100" w:right="139" w:firstLine="420"/>
        <w:rPr>
          <w:rFonts w:ascii="宋体" w:hAnsi="宋体" w:cs="宋体"/>
          <w:kern w:val="21"/>
        </w:rPr>
      </w:pPr>
      <w:bookmarkStart w:id="157" w:name="_Toc14835"/>
      <w:bookmarkStart w:id="158" w:name="_Toc14285"/>
      <w:bookmarkStart w:id="159" w:name="_Toc3077"/>
      <w:bookmarkStart w:id="160" w:name="_Toc13200"/>
      <w:bookmarkStart w:id="161" w:name="_Toc18550"/>
      <w:bookmarkStart w:id="162" w:name="_Toc3249"/>
      <w:bookmarkStart w:id="163" w:name="_Toc14269"/>
      <w:bookmarkStart w:id="164" w:name="_Toc26319"/>
      <w:bookmarkStart w:id="165" w:name="_Toc2296"/>
      <w:bookmarkStart w:id="166" w:name="_Toc20173"/>
      <w:bookmarkStart w:id="167" w:name="_Toc19446"/>
      <w:r>
        <w:rPr>
          <w:rFonts w:hint="eastAsia" w:ascii="宋体" w:hAnsi="宋体" w:cs="宋体"/>
          <w:kern w:val="21"/>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pacing w:line="360" w:lineRule="auto"/>
        <w:ind w:left="100" w:right="139" w:firstLine="420"/>
        <w:rPr>
          <w:rFonts w:ascii="宋体" w:hAnsi="宋体" w:cs="宋体"/>
          <w:kern w:val="21"/>
        </w:rPr>
      </w:pPr>
      <w:r>
        <w:rPr>
          <w:rFonts w:hint="eastAsia" w:ascii="宋体" w:hAnsi="宋体" w:cs="宋体"/>
          <w:kern w:val="21"/>
        </w:rPr>
        <w:t>7.7.2 发出中标通知书后，招标人无正当理由拒签合同，或者在签订合同时向中标人提出附加条件的，招标人向中标人退还投标保证金；给中标人造成损失的，还应当赔偿损失。</w:t>
      </w:r>
    </w:p>
    <w:p>
      <w:pPr>
        <w:spacing w:line="348" w:lineRule="auto"/>
        <w:ind w:left="100" w:right="139" w:firstLine="420"/>
        <w:rPr>
          <w:rFonts w:ascii="宋体" w:hAnsi="宋体" w:cs="宋体"/>
          <w:kern w:val="21"/>
        </w:rPr>
      </w:pPr>
      <w:r>
        <w:rPr>
          <w:rFonts w:hint="eastAsia" w:ascii="宋体" w:hAnsi="宋体" w:cs="宋体"/>
          <w:kern w:val="21"/>
        </w:rPr>
        <w:t>7.7.3 联合体中标的，联合体各方应当共同与招标人签订合同，就中标项目向招标人承担连带责任。</w:t>
      </w:r>
    </w:p>
    <w:p>
      <w:pPr>
        <w:spacing w:line="360" w:lineRule="auto"/>
        <w:ind w:left="100" w:right="-20"/>
        <w:jc w:val="left"/>
        <w:outlineLvl w:val="2"/>
        <w:rPr>
          <w:rFonts w:ascii="宋体" w:hAnsi="宋体" w:cs="宋体"/>
          <w:b/>
          <w:kern w:val="21"/>
          <w:sz w:val="30"/>
          <w:szCs w:val="30"/>
        </w:rPr>
      </w:pPr>
      <w:bookmarkStart w:id="168" w:name="_Toc31950"/>
      <w:r>
        <w:rPr>
          <w:rFonts w:hint="eastAsia" w:ascii="宋体" w:hAnsi="宋体" w:cs="宋体"/>
          <w:b/>
          <w:kern w:val="21"/>
          <w:sz w:val="30"/>
          <w:szCs w:val="30"/>
        </w:rPr>
        <w:t>8.纪律和监督</w:t>
      </w:r>
      <w:bookmarkEnd w:id="157"/>
      <w:bookmarkEnd w:id="158"/>
      <w:bookmarkEnd w:id="159"/>
      <w:bookmarkEnd w:id="160"/>
      <w:bookmarkEnd w:id="161"/>
      <w:bookmarkEnd w:id="162"/>
      <w:bookmarkEnd w:id="163"/>
      <w:bookmarkEnd w:id="164"/>
      <w:bookmarkEnd w:id="165"/>
      <w:bookmarkEnd w:id="166"/>
      <w:bookmarkEnd w:id="167"/>
      <w:bookmarkEnd w:id="168"/>
    </w:p>
    <w:p>
      <w:pPr>
        <w:spacing w:line="348" w:lineRule="auto"/>
        <w:ind w:left="237" w:right="-20"/>
        <w:jc w:val="left"/>
        <w:rPr>
          <w:rFonts w:ascii="宋体" w:hAnsi="宋体" w:cs="宋体"/>
          <w:b/>
          <w:bCs/>
          <w:kern w:val="21"/>
          <w:sz w:val="28"/>
        </w:rPr>
      </w:pPr>
      <w:r>
        <w:rPr>
          <w:rFonts w:hint="eastAsia" w:ascii="宋体" w:hAnsi="宋体" w:cs="宋体"/>
          <w:b/>
          <w:bCs/>
          <w:kern w:val="21"/>
          <w:sz w:val="28"/>
        </w:rPr>
        <w:t>8.1 对招标人的纪律要求</w:t>
      </w:r>
    </w:p>
    <w:p>
      <w:pPr>
        <w:spacing w:line="348" w:lineRule="auto"/>
        <w:ind w:left="100" w:right="34" w:firstLine="420"/>
        <w:jc w:val="left"/>
        <w:rPr>
          <w:rFonts w:ascii="宋体" w:hAnsi="宋体" w:cs="宋体"/>
          <w:kern w:val="21"/>
        </w:rPr>
      </w:pPr>
      <w:r>
        <w:rPr>
          <w:rFonts w:hint="eastAsia" w:ascii="宋体" w:hAnsi="宋体" w:cs="宋体"/>
          <w:kern w:val="21"/>
        </w:rPr>
        <w:t>招标人不得泄露招标投标活动中应当保密的情况和资料，不得与投标人串通损害国家利益、社会公共利益或者他人合法权益。</w:t>
      </w:r>
    </w:p>
    <w:p>
      <w:pPr>
        <w:spacing w:line="348" w:lineRule="auto"/>
        <w:ind w:left="237" w:right="-20"/>
        <w:jc w:val="left"/>
        <w:rPr>
          <w:rFonts w:ascii="宋体" w:hAnsi="宋体" w:cs="宋体"/>
          <w:b/>
          <w:bCs/>
          <w:kern w:val="21"/>
          <w:sz w:val="28"/>
        </w:rPr>
      </w:pPr>
      <w:r>
        <w:rPr>
          <w:rFonts w:hint="eastAsia" w:ascii="宋体" w:hAnsi="宋体" w:cs="宋体"/>
          <w:b/>
          <w:bCs/>
          <w:kern w:val="21"/>
          <w:sz w:val="28"/>
        </w:rPr>
        <w:t>8.2 对投标人的纪律要求</w:t>
      </w:r>
    </w:p>
    <w:p>
      <w:pPr>
        <w:spacing w:line="348" w:lineRule="auto"/>
        <w:ind w:left="100" w:right="142" w:firstLine="420"/>
        <w:rPr>
          <w:rFonts w:ascii="宋体" w:hAnsi="宋体" w:cs="宋体"/>
          <w:kern w:val="21"/>
        </w:rPr>
      </w:pPr>
      <w:r>
        <w:rPr>
          <w:rFonts w:hint="eastAsia" w:ascii="宋体" w:hAnsi="宋体" w:cs="宋体"/>
          <w:kern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48" w:lineRule="auto"/>
        <w:ind w:left="237" w:right="-20"/>
        <w:jc w:val="left"/>
        <w:rPr>
          <w:rFonts w:ascii="宋体" w:hAnsi="宋体" w:cs="宋体"/>
          <w:b/>
          <w:bCs/>
          <w:kern w:val="21"/>
          <w:sz w:val="28"/>
        </w:rPr>
      </w:pPr>
      <w:r>
        <w:rPr>
          <w:rFonts w:hint="eastAsia" w:ascii="宋体" w:hAnsi="宋体" w:cs="宋体"/>
          <w:b/>
          <w:bCs/>
          <w:kern w:val="21"/>
          <w:sz w:val="28"/>
        </w:rPr>
        <w:t>8.3 对评标委员会成员的纪律要求</w:t>
      </w:r>
    </w:p>
    <w:p>
      <w:pPr>
        <w:spacing w:line="348" w:lineRule="auto"/>
        <w:ind w:left="100" w:right="-20" w:firstLine="420" w:firstLineChars="200"/>
        <w:jc w:val="left"/>
        <w:rPr>
          <w:rFonts w:ascii="宋体" w:hAnsi="宋体" w:cs="宋体"/>
          <w:kern w:val="21"/>
        </w:rPr>
      </w:pPr>
      <w:r>
        <w:rPr>
          <w:rFonts w:hint="eastAsia" w:ascii="宋体" w:hAnsi="宋体" w:cs="宋体"/>
          <w:kern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48" w:lineRule="auto"/>
        <w:ind w:left="237" w:right="-20"/>
        <w:jc w:val="left"/>
        <w:rPr>
          <w:rFonts w:ascii="宋体" w:hAnsi="宋体" w:cs="宋体"/>
          <w:b/>
          <w:bCs/>
          <w:kern w:val="21"/>
          <w:sz w:val="28"/>
        </w:rPr>
      </w:pPr>
      <w:r>
        <w:rPr>
          <w:rFonts w:hint="eastAsia" w:ascii="宋体" w:hAnsi="宋体" w:cs="宋体"/>
          <w:b/>
          <w:bCs/>
          <w:kern w:val="21"/>
          <w:sz w:val="28"/>
        </w:rPr>
        <w:t>8.4 对与评标活动有关的工作人员的纪律要求</w:t>
      </w:r>
    </w:p>
    <w:p>
      <w:pPr>
        <w:spacing w:line="348" w:lineRule="auto"/>
        <w:ind w:left="100" w:right="42" w:firstLine="420"/>
        <w:rPr>
          <w:rFonts w:ascii="宋体" w:hAnsi="宋体" w:cs="宋体"/>
          <w:kern w:val="21"/>
        </w:rPr>
      </w:pPr>
      <w:r>
        <w:rPr>
          <w:rFonts w:hint="eastAsia" w:ascii="宋体" w:hAnsi="宋体" w:cs="宋体"/>
          <w:kern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48" w:lineRule="auto"/>
        <w:ind w:left="237" w:right="-20"/>
        <w:jc w:val="left"/>
        <w:rPr>
          <w:rFonts w:ascii="宋体" w:hAnsi="宋体" w:cs="宋体"/>
          <w:b/>
          <w:bCs/>
          <w:kern w:val="21"/>
          <w:sz w:val="28"/>
        </w:rPr>
      </w:pPr>
      <w:r>
        <w:rPr>
          <w:rFonts w:hint="eastAsia" w:ascii="宋体" w:hAnsi="宋体" w:cs="宋体"/>
          <w:b/>
          <w:bCs/>
          <w:kern w:val="21"/>
          <w:sz w:val="28"/>
        </w:rPr>
        <w:t>8.5 投诉</w:t>
      </w:r>
    </w:p>
    <w:p>
      <w:pPr>
        <w:spacing w:line="348" w:lineRule="auto"/>
        <w:ind w:left="100" w:right="42" w:firstLine="420"/>
        <w:rPr>
          <w:rFonts w:ascii="宋体" w:hAnsi="宋体" w:cs="宋体"/>
          <w:kern w:val="21"/>
        </w:rPr>
      </w:pPr>
      <w:r>
        <w:rPr>
          <w:rFonts w:hint="eastAsia" w:ascii="宋体" w:hAnsi="宋体" w:cs="宋体"/>
          <w:kern w:val="21"/>
        </w:rPr>
        <w:t>8.5.1 投标人或者其他利害关系人认为招标投标活动不符合法律、行政法规规定的，可以自知道或者应当知道之日起10日内向有关行政监督部门投诉。投诉应当有明确的请求和必要的证明材料。</w:t>
      </w:r>
    </w:p>
    <w:p>
      <w:pPr>
        <w:spacing w:line="348" w:lineRule="auto"/>
        <w:ind w:left="100" w:right="41" w:firstLine="420"/>
        <w:rPr>
          <w:rFonts w:ascii="宋体" w:hAnsi="宋体" w:cs="宋体"/>
          <w:kern w:val="21"/>
        </w:rPr>
      </w:pPr>
      <w:r>
        <w:rPr>
          <w:rFonts w:hint="eastAsia" w:ascii="宋体" w:hAnsi="宋体" w:cs="宋体"/>
          <w:kern w:val="21"/>
        </w:rPr>
        <w:t>8.5.2 投标人或者其他利害关系人对招标文件、开标和评标结果提出投诉的，应当按照投标人须知第 2.4 款、第 5.3 款和第 7.2 款的规定先向招标人提出异议。异议答复期间不计算在第 8.5.1 项规定的期限内。</w:t>
      </w:r>
    </w:p>
    <w:p>
      <w:pPr>
        <w:spacing w:line="360" w:lineRule="auto"/>
        <w:ind w:left="100" w:right="-20"/>
        <w:jc w:val="left"/>
        <w:outlineLvl w:val="2"/>
        <w:rPr>
          <w:rFonts w:ascii="宋体" w:hAnsi="宋体" w:cs="宋体"/>
          <w:b/>
          <w:kern w:val="21"/>
          <w:sz w:val="30"/>
          <w:szCs w:val="30"/>
        </w:rPr>
      </w:pPr>
      <w:bookmarkStart w:id="169" w:name="_Toc14025"/>
      <w:bookmarkStart w:id="170" w:name="_Toc19276"/>
      <w:bookmarkStart w:id="171" w:name="_Toc32737"/>
      <w:bookmarkStart w:id="172" w:name="_Toc25187"/>
      <w:bookmarkStart w:id="173" w:name="_Toc23692"/>
      <w:bookmarkStart w:id="174" w:name="_Toc27042"/>
      <w:bookmarkStart w:id="175" w:name="_Toc17964"/>
      <w:bookmarkStart w:id="176" w:name="_Toc2193"/>
      <w:bookmarkStart w:id="177" w:name="_Toc23499"/>
      <w:bookmarkStart w:id="178" w:name="_Toc6040"/>
      <w:bookmarkStart w:id="179" w:name="_Toc28791"/>
      <w:bookmarkStart w:id="180" w:name="_Toc10260"/>
      <w:r>
        <w:rPr>
          <w:rFonts w:hint="eastAsia" w:ascii="宋体" w:hAnsi="宋体" w:cs="宋体"/>
          <w:b/>
          <w:kern w:val="21"/>
          <w:sz w:val="30"/>
          <w:szCs w:val="30"/>
        </w:rPr>
        <w:t>9. 是否采用电子招标投标</w:t>
      </w:r>
      <w:bookmarkEnd w:id="169"/>
      <w:bookmarkEnd w:id="170"/>
      <w:bookmarkEnd w:id="171"/>
      <w:bookmarkEnd w:id="172"/>
      <w:bookmarkEnd w:id="173"/>
      <w:bookmarkEnd w:id="174"/>
      <w:bookmarkEnd w:id="175"/>
      <w:bookmarkEnd w:id="176"/>
      <w:bookmarkEnd w:id="177"/>
      <w:bookmarkEnd w:id="178"/>
      <w:bookmarkEnd w:id="179"/>
      <w:bookmarkEnd w:id="180"/>
    </w:p>
    <w:p>
      <w:pPr>
        <w:spacing w:line="348" w:lineRule="auto"/>
        <w:ind w:left="520" w:right="-20"/>
        <w:jc w:val="left"/>
        <w:rPr>
          <w:rFonts w:ascii="宋体" w:hAnsi="宋体" w:cs="宋体"/>
          <w:kern w:val="21"/>
        </w:rPr>
      </w:pPr>
      <w:r>
        <w:rPr>
          <w:rFonts w:hint="eastAsia" w:ascii="宋体" w:hAnsi="宋体" w:cs="宋体"/>
          <w:kern w:val="21"/>
        </w:rPr>
        <w:t>本招标项目是否采用电子招标投标方式，见投标人须知前附表。</w:t>
      </w:r>
    </w:p>
    <w:p>
      <w:pPr>
        <w:spacing w:line="360" w:lineRule="auto"/>
        <w:ind w:left="100" w:right="-20"/>
        <w:jc w:val="left"/>
        <w:outlineLvl w:val="2"/>
        <w:rPr>
          <w:rFonts w:ascii="宋体" w:hAnsi="宋体" w:cs="宋体"/>
          <w:b/>
          <w:kern w:val="21"/>
          <w:sz w:val="30"/>
          <w:szCs w:val="30"/>
        </w:rPr>
      </w:pPr>
      <w:bookmarkStart w:id="181" w:name="_Toc24920"/>
      <w:bookmarkStart w:id="182" w:name="_Toc31872"/>
      <w:bookmarkStart w:id="183" w:name="_Toc5878"/>
      <w:bookmarkStart w:id="184" w:name="_Toc10896"/>
      <w:bookmarkStart w:id="185" w:name="_Toc11965"/>
      <w:bookmarkStart w:id="186" w:name="_Toc4976"/>
      <w:bookmarkStart w:id="187" w:name="_Toc29981"/>
      <w:bookmarkStart w:id="188" w:name="_Toc1488"/>
      <w:bookmarkStart w:id="189" w:name="_Toc25106"/>
      <w:bookmarkStart w:id="190" w:name="_Toc18446"/>
      <w:bookmarkStart w:id="191" w:name="_Toc29351"/>
      <w:bookmarkStart w:id="192" w:name="_Toc24045"/>
      <w:r>
        <w:rPr>
          <w:rFonts w:hint="eastAsia" w:ascii="宋体" w:hAnsi="宋体" w:cs="宋体"/>
          <w:b/>
          <w:kern w:val="21"/>
          <w:sz w:val="30"/>
          <w:szCs w:val="30"/>
        </w:rPr>
        <w:t>10. 需要补充的其他内容</w:t>
      </w:r>
      <w:bookmarkEnd w:id="181"/>
      <w:bookmarkEnd w:id="182"/>
      <w:bookmarkEnd w:id="183"/>
      <w:bookmarkEnd w:id="184"/>
      <w:bookmarkEnd w:id="185"/>
      <w:bookmarkEnd w:id="186"/>
      <w:bookmarkEnd w:id="187"/>
      <w:bookmarkEnd w:id="188"/>
      <w:bookmarkEnd w:id="189"/>
      <w:bookmarkEnd w:id="190"/>
      <w:bookmarkEnd w:id="191"/>
      <w:bookmarkEnd w:id="192"/>
    </w:p>
    <w:p>
      <w:pPr>
        <w:spacing w:line="348" w:lineRule="auto"/>
        <w:ind w:left="520" w:right="-20"/>
        <w:jc w:val="left"/>
        <w:rPr>
          <w:rFonts w:ascii="宋体" w:hAnsi="宋体" w:cs="宋体"/>
        </w:rPr>
      </w:pPr>
      <w:r>
        <w:rPr>
          <w:rFonts w:hint="eastAsia" w:ascii="宋体" w:hAnsi="宋体" w:cs="宋体"/>
          <w:kern w:val="21"/>
        </w:rPr>
        <w:t>需要补充的其他内容：见投标人须知前附表。</w:t>
      </w:r>
    </w:p>
    <w:p>
      <w:pPr>
        <w:tabs>
          <w:tab w:val="left" w:pos="1950"/>
        </w:tabs>
        <w:rPr>
          <w:rFonts w:ascii="宋体" w:hAnsi="宋体" w:cs="宋体"/>
        </w:rPr>
        <w:sectPr>
          <w:pgSz w:w="11906" w:h="16838"/>
          <w:pgMar w:top="1417" w:right="1417" w:bottom="1276" w:left="1417" w:header="850" w:footer="992" w:gutter="0"/>
          <w:cols w:space="720" w:num="1"/>
          <w:docGrid w:linePitch="285" w:charSpace="0"/>
        </w:sectPr>
      </w:pPr>
    </w:p>
    <w:p>
      <w:pPr>
        <w:pStyle w:val="3"/>
      </w:pPr>
      <w:bookmarkStart w:id="193" w:name="_Toc9630"/>
      <w:bookmarkStart w:id="194" w:name="_Toc30494"/>
      <w:r>
        <w:rPr>
          <w:rFonts w:hint="eastAsia"/>
        </w:rPr>
        <w:t>附件一</w:t>
      </w:r>
      <w:r>
        <w:rPr>
          <w:rFonts w:hint="eastAsia"/>
          <w:spacing w:val="-3"/>
        </w:rPr>
        <w:t>：</w:t>
      </w:r>
      <w:r>
        <w:rPr>
          <w:rFonts w:hint="eastAsia"/>
        </w:rPr>
        <w:t>开标</w:t>
      </w:r>
      <w:r>
        <w:rPr>
          <w:rFonts w:hint="eastAsia"/>
          <w:spacing w:val="-3"/>
        </w:rPr>
        <w:t>记录</w:t>
      </w:r>
      <w:r>
        <w:rPr>
          <w:rFonts w:hint="eastAsia"/>
        </w:rPr>
        <w:t>表</w:t>
      </w:r>
      <w:bookmarkEnd w:id="193"/>
      <w:bookmarkEnd w:id="194"/>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开标记录表</w:t>
      </w:r>
    </w:p>
    <w:p>
      <w:pPr>
        <w:spacing w:line="360" w:lineRule="auto"/>
        <w:jc w:val="right"/>
        <w:rPr>
          <w:rFonts w:hint="eastAsia" w:ascii="宋体" w:hAnsi="宋体" w:cs="宋体"/>
          <w:color w:val="000000"/>
          <w:highlight w:val="none"/>
        </w:rPr>
      </w:pPr>
      <w:r>
        <w:rPr>
          <w:rFonts w:hint="eastAsia" w:ascii="宋体" w:hAnsi="宋体" w:cs="宋体"/>
          <w:color w:val="000000"/>
          <w:highlight w:val="none"/>
        </w:rPr>
        <w:t>开标时间：</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r>
        <w:rPr>
          <w:rFonts w:hint="eastAsia" w:ascii="宋体" w:hAnsi="宋体" w:cs="宋体"/>
          <w:color w:val="000000"/>
          <w:highlight w:val="none"/>
          <w:u w:val="single"/>
        </w:rPr>
        <w:t xml:space="preserve">         </w:t>
      </w:r>
      <w:r>
        <w:rPr>
          <w:rFonts w:hint="eastAsia" w:ascii="宋体" w:hAnsi="宋体" w:cs="宋体"/>
          <w:color w:val="000000"/>
          <w:highlight w:val="none"/>
        </w:rPr>
        <w:t>时</w:t>
      </w:r>
      <w:r>
        <w:rPr>
          <w:rFonts w:hint="eastAsia" w:ascii="宋体" w:hAnsi="宋体" w:cs="宋体"/>
          <w:color w:val="000000"/>
          <w:highlight w:val="none"/>
          <w:u w:val="single"/>
        </w:rPr>
        <w:t xml:space="preserve">         </w:t>
      </w:r>
      <w:r>
        <w:rPr>
          <w:rFonts w:hint="eastAsia" w:ascii="宋体" w:hAnsi="宋体" w:cs="宋体"/>
          <w:color w:val="000000"/>
          <w:highlight w:val="none"/>
        </w:rPr>
        <w:t>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01"/>
        <w:gridCol w:w="791"/>
        <w:gridCol w:w="1266"/>
        <w:gridCol w:w="848"/>
        <w:gridCol w:w="807"/>
        <w:gridCol w:w="1083"/>
        <w:gridCol w:w="870"/>
        <w:gridCol w:w="60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line="360" w:lineRule="auto"/>
              <w:jc w:val="center"/>
              <w:rPr>
                <w:rFonts w:hint="eastAsia" w:ascii="宋体" w:hAnsi="宋体" w:cs="宋体"/>
                <w:color w:val="000000"/>
                <w:highlight w:val="none"/>
              </w:rPr>
            </w:pPr>
            <w:r>
              <w:rPr>
                <w:rFonts w:hint="eastAsia" w:ascii="宋体" w:hAnsi="宋体" w:cs="宋体"/>
                <w:color w:val="000000"/>
                <w:highlight w:val="none"/>
              </w:rPr>
              <w:t>序号</w:t>
            </w:r>
          </w:p>
        </w:tc>
        <w:tc>
          <w:tcPr>
            <w:tcW w:w="801" w:type="dxa"/>
            <w:noWrap w:val="0"/>
            <w:vAlign w:val="center"/>
          </w:tcPr>
          <w:p>
            <w:pPr>
              <w:spacing w:line="360" w:lineRule="auto"/>
              <w:jc w:val="center"/>
              <w:rPr>
                <w:rFonts w:hint="eastAsia" w:ascii="宋体" w:hAnsi="宋体" w:cs="宋体"/>
                <w:color w:val="000000"/>
                <w:highlight w:val="none"/>
              </w:rPr>
            </w:pPr>
            <w:r>
              <w:rPr>
                <w:rFonts w:hint="eastAsia" w:ascii="宋体" w:hAnsi="宋体" w:cs="宋体"/>
                <w:color w:val="000000"/>
                <w:highlight w:val="none"/>
              </w:rPr>
              <w:t>投标人</w:t>
            </w:r>
          </w:p>
        </w:tc>
        <w:tc>
          <w:tcPr>
            <w:tcW w:w="791" w:type="dxa"/>
            <w:noWrap w:val="0"/>
            <w:vAlign w:val="center"/>
          </w:tcPr>
          <w:p>
            <w:pPr>
              <w:spacing w:line="360" w:lineRule="auto"/>
              <w:jc w:val="center"/>
              <w:rPr>
                <w:rFonts w:hint="eastAsia" w:ascii="宋体" w:hAnsi="宋体" w:cs="宋体"/>
                <w:color w:val="000000"/>
                <w:highlight w:val="none"/>
              </w:rPr>
            </w:pPr>
            <w:r>
              <w:rPr>
                <w:rFonts w:hint="eastAsia" w:ascii="宋体" w:hAnsi="宋体" w:cs="宋体"/>
                <w:color w:val="000000"/>
                <w:highlight w:val="none"/>
              </w:rPr>
              <w:t>密封情况</w:t>
            </w:r>
          </w:p>
        </w:tc>
        <w:tc>
          <w:tcPr>
            <w:tcW w:w="1266" w:type="dxa"/>
            <w:noWrap w:val="0"/>
            <w:vAlign w:val="center"/>
          </w:tcPr>
          <w:p>
            <w:pPr>
              <w:spacing w:line="360" w:lineRule="auto"/>
              <w:jc w:val="center"/>
              <w:rPr>
                <w:rFonts w:hint="eastAsia" w:ascii="宋体" w:hAnsi="宋体" w:cs="宋体"/>
                <w:color w:val="000000"/>
                <w:highlight w:val="none"/>
              </w:rPr>
            </w:pPr>
            <w:r>
              <w:rPr>
                <w:rFonts w:hint="eastAsia" w:ascii="宋体" w:hAnsi="宋体" w:cs="宋体"/>
                <w:color w:val="000000"/>
                <w:highlight w:val="none"/>
              </w:rPr>
              <w:t>投标</w:t>
            </w:r>
            <w:r>
              <w:rPr>
                <w:rFonts w:hint="eastAsia" w:ascii="宋体" w:hAnsi="宋体" w:cs="宋体"/>
                <w:color w:val="000000"/>
                <w:highlight w:val="none"/>
                <w:lang w:val="en-US" w:eastAsia="zh-CN"/>
              </w:rPr>
              <w:t>总</w:t>
            </w:r>
            <w:r>
              <w:rPr>
                <w:rFonts w:hint="eastAsia" w:ascii="宋体" w:hAnsi="宋体" w:cs="宋体"/>
                <w:color w:val="000000"/>
                <w:highlight w:val="none"/>
              </w:rPr>
              <w:t>报价（元）</w:t>
            </w:r>
          </w:p>
        </w:tc>
        <w:tc>
          <w:tcPr>
            <w:tcW w:w="848" w:type="dxa"/>
            <w:noWrap w:val="0"/>
            <w:vAlign w:val="center"/>
          </w:tcPr>
          <w:p>
            <w:pPr>
              <w:spacing w:line="360" w:lineRule="auto"/>
              <w:jc w:val="center"/>
              <w:rPr>
                <w:rFonts w:hint="eastAsia" w:ascii="宋体" w:hAnsi="宋体" w:cs="宋体"/>
                <w:color w:val="000000"/>
                <w:highlight w:val="none"/>
              </w:rPr>
            </w:pPr>
            <w:r>
              <w:rPr>
                <w:rFonts w:hint="eastAsia" w:ascii="宋体" w:hAnsi="宋体" w:cs="宋体"/>
                <w:color w:val="000000"/>
                <w:highlight w:val="none"/>
              </w:rPr>
              <w:t>总监理工程师</w:t>
            </w:r>
          </w:p>
        </w:tc>
        <w:tc>
          <w:tcPr>
            <w:tcW w:w="807" w:type="dxa"/>
            <w:noWrap w:val="0"/>
            <w:vAlign w:val="center"/>
          </w:tcPr>
          <w:p>
            <w:pPr>
              <w:spacing w:line="360" w:lineRule="auto"/>
              <w:jc w:val="center"/>
              <w:rPr>
                <w:rFonts w:hint="eastAsia" w:ascii="宋体" w:hAnsi="宋体" w:cs="宋体"/>
                <w:color w:val="000000"/>
                <w:highlight w:val="none"/>
              </w:rPr>
            </w:pPr>
            <w:r>
              <w:rPr>
                <w:rFonts w:hint="eastAsia" w:ascii="宋体" w:hAnsi="宋体" w:cs="宋体"/>
                <w:color w:val="000000"/>
                <w:highlight w:val="none"/>
              </w:rPr>
              <w:t>服务期限</w:t>
            </w:r>
          </w:p>
        </w:tc>
        <w:tc>
          <w:tcPr>
            <w:tcW w:w="1083" w:type="dxa"/>
            <w:noWrap w:val="0"/>
            <w:vAlign w:val="center"/>
          </w:tcPr>
          <w:p>
            <w:pPr>
              <w:spacing w:line="360" w:lineRule="auto"/>
              <w:jc w:val="center"/>
              <w:rPr>
                <w:rFonts w:hint="eastAsia" w:ascii="宋体" w:hAnsi="宋体" w:cs="宋体"/>
                <w:color w:val="000000"/>
                <w:highlight w:val="none"/>
              </w:rPr>
            </w:pPr>
            <w:r>
              <w:rPr>
                <w:rFonts w:hint="eastAsia" w:ascii="宋体" w:hAnsi="宋体" w:cs="宋体"/>
                <w:color w:val="000000"/>
                <w:highlight w:val="none"/>
              </w:rPr>
              <w:t>投标文件递交情况</w:t>
            </w:r>
          </w:p>
        </w:tc>
        <w:tc>
          <w:tcPr>
            <w:tcW w:w="870" w:type="dxa"/>
            <w:noWrap w:val="0"/>
            <w:vAlign w:val="top"/>
          </w:tcPr>
          <w:p>
            <w:pPr>
              <w:spacing w:line="360" w:lineRule="auto"/>
              <w:jc w:val="center"/>
              <w:rPr>
                <w:rFonts w:hint="eastAsia" w:ascii="宋体" w:hAnsi="宋体" w:cs="宋体"/>
                <w:color w:val="000000"/>
                <w:highlight w:val="none"/>
              </w:rPr>
            </w:pPr>
            <w:r>
              <w:rPr>
                <w:rFonts w:hint="eastAsia" w:ascii="宋体" w:hAnsi="宋体" w:cs="宋体"/>
                <w:color w:val="000000"/>
                <w:highlight w:val="none"/>
              </w:rPr>
              <w:t>投标文件解密情况</w:t>
            </w:r>
          </w:p>
        </w:tc>
        <w:tc>
          <w:tcPr>
            <w:tcW w:w="604" w:type="dxa"/>
            <w:noWrap w:val="0"/>
            <w:vAlign w:val="center"/>
          </w:tcPr>
          <w:p>
            <w:pPr>
              <w:spacing w:line="360" w:lineRule="auto"/>
              <w:jc w:val="center"/>
              <w:rPr>
                <w:rFonts w:hint="eastAsia" w:ascii="宋体" w:hAnsi="宋体" w:cs="宋体"/>
                <w:color w:val="000000"/>
                <w:highlight w:val="none"/>
              </w:rPr>
            </w:pPr>
            <w:r>
              <w:rPr>
                <w:rFonts w:hint="eastAsia" w:ascii="宋体" w:hAnsi="宋体" w:cs="宋体"/>
                <w:color w:val="000000"/>
                <w:highlight w:val="none"/>
              </w:rPr>
              <w:t>备注</w:t>
            </w:r>
          </w:p>
        </w:tc>
        <w:tc>
          <w:tcPr>
            <w:tcW w:w="1163" w:type="dxa"/>
            <w:noWrap w:val="0"/>
            <w:vAlign w:val="center"/>
          </w:tcPr>
          <w:p>
            <w:pPr>
              <w:spacing w:line="360" w:lineRule="auto"/>
              <w:jc w:val="center"/>
              <w:rPr>
                <w:rFonts w:hint="eastAsia" w:ascii="宋体" w:hAnsi="宋体" w:cs="宋体"/>
                <w:color w:val="000000"/>
                <w:highlight w:val="none"/>
              </w:rPr>
            </w:pPr>
            <w:r>
              <w:rPr>
                <w:rFonts w:hint="eastAsia" w:ascii="宋体" w:hAnsi="宋体" w:cs="宋体"/>
                <w:color w:val="000000"/>
                <w:highlight w:val="none"/>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360" w:lineRule="auto"/>
              <w:rPr>
                <w:rFonts w:hint="eastAsia" w:ascii="宋体" w:hAnsi="宋体" w:cs="宋体"/>
                <w:color w:val="000000"/>
                <w:highlight w:val="none"/>
              </w:rPr>
            </w:pPr>
          </w:p>
        </w:tc>
        <w:tc>
          <w:tcPr>
            <w:tcW w:w="801" w:type="dxa"/>
            <w:noWrap w:val="0"/>
            <w:vAlign w:val="top"/>
          </w:tcPr>
          <w:p>
            <w:pPr>
              <w:spacing w:line="360" w:lineRule="auto"/>
              <w:rPr>
                <w:rFonts w:hint="eastAsia" w:ascii="宋体" w:hAnsi="宋体" w:cs="宋体"/>
                <w:color w:val="000000"/>
                <w:highlight w:val="none"/>
              </w:rPr>
            </w:pPr>
          </w:p>
        </w:tc>
        <w:tc>
          <w:tcPr>
            <w:tcW w:w="791" w:type="dxa"/>
            <w:noWrap w:val="0"/>
            <w:vAlign w:val="top"/>
          </w:tcPr>
          <w:p>
            <w:pPr>
              <w:spacing w:line="360" w:lineRule="auto"/>
              <w:rPr>
                <w:rFonts w:hint="eastAsia" w:ascii="宋体" w:hAnsi="宋体" w:cs="宋体"/>
                <w:color w:val="000000"/>
                <w:highlight w:val="none"/>
              </w:rPr>
            </w:pP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2" w:type="dxa"/>
            <w:gridSpan w:val="3"/>
            <w:noWrap w:val="0"/>
            <w:vAlign w:val="top"/>
          </w:tcPr>
          <w:p>
            <w:pPr>
              <w:spacing w:line="360" w:lineRule="auto"/>
              <w:rPr>
                <w:rFonts w:hint="eastAsia" w:ascii="宋体" w:hAnsi="宋体" w:cs="宋体"/>
                <w:color w:val="000000"/>
                <w:highlight w:val="none"/>
              </w:rPr>
            </w:pPr>
            <w:r>
              <w:rPr>
                <w:rFonts w:hint="eastAsia" w:ascii="宋体" w:hAnsi="宋体" w:cs="宋体"/>
                <w:color w:val="000000"/>
                <w:highlight w:val="none"/>
              </w:rPr>
              <w:t>最高投标限价：</w:t>
            </w:r>
          </w:p>
        </w:tc>
        <w:tc>
          <w:tcPr>
            <w:tcW w:w="1266" w:type="dxa"/>
            <w:noWrap w:val="0"/>
            <w:vAlign w:val="top"/>
          </w:tcPr>
          <w:p>
            <w:pPr>
              <w:spacing w:line="360" w:lineRule="auto"/>
              <w:rPr>
                <w:rFonts w:hint="eastAsia" w:ascii="宋体" w:hAnsi="宋体" w:cs="宋体"/>
                <w:color w:val="000000"/>
                <w:highlight w:val="none"/>
              </w:rPr>
            </w:pPr>
          </w:p>
        </w:tc>
        <w:tc>
          <w:tcPr>
            <w:tcW w:w="848" w:type="dxa"/>
            <w:noWrap w:val="0"/>
            <w:vAlign w:val="top"/>
          </w:tcPr>
          <w:p>
            <w:pPr>
              <w:spacing w:line="360" w:lineRule="auto"/>
              <w:rPr>
                <w:rFonts w:hint="eastAsia" w:ascii="宋体" w:hAnsi="宋体" w:cs="宋体"/>
                <w:color w:val="000000"/>
                <w:highlight w:val="none"/>
              </w:rPr>
            </w:pPr>
          </w:p>
        </w:tc>
        <w:tc>
          <w:tcPr>
            <w:tcW w:w="807" w:type="dxa"/>
            <w:noWrap w:val="0"/>
            <w:vAlign w:val="top"/>
          </w:tcPr>
          <w:p>
            <w:pPr>
              <w:spacing w:line="360" w:lineRule="auto"/>
              <w:rPr>
                <w:rFonts w:hint="eastAsia" w:ascii="宋体" w:hAnsi="宋体" w:cs="宋体"/>
                <w:color w:val="000000"/>
                <w:highlight w:val="none"/>
              </w:rPr>
            </w:pPr>
          </w:p>
        </w:tc>
        <w:tc>
          <w:tcPr>
            <w:tcW w:w="1083" w:type="dxa"/>
            <w:noWrap w:val="0"/>
            <w:vAlign w:val="top"/>
          </w:tcPr>
          <w:p>
            <w:pPr>
              <w:spacing w:line="360" w:lineRule="auto"/>
              <w:rPr>
                <w:rFonts w:hint="eastAsia" w:ascii="宋体" w:hAnsi="宋体" w:cs="宋体"/>
                <w:color w:val="000000"/>
                <w:highlight w:val="none"/>
              </w:rPr>
            </w:pPr>
          </w:p>
        </w:tc>
        <w:tc>
          <w:tcPr>
            <w:tcW w:w="870" w:type="dxa"/>
            <w:noWrap w:val="0"/>
            <w:vAlign w:val="top"/>
          </w:tcPr>
          <w:p>
            <w:pPr>
              <w:spacing w:line="360" w:lineRule="auto"/>
              <w:rPr>
                <w:rFonts w:hint="eastAsia" w:ascii="宋体" w:hAnsi="宋体" w:cs="宋体"/>
                <w:color w:val="000000"/>
                <w:highlight w:val="none"/>
              </w:rPr>
            </w:pPr>
          </w:p>
        </w:tc>
        <w:tc>
          <w:tcPr>
            <w:tcW w:w="604" w:type="dxa"/>
            <w:noWrap w:val="0"/>
            <w:vAlign w:val="top"/>
          </w:tcPr>
          <w:p>
            <w:pPr>
              <w:spacing w:line="360" w:lineRule="auto"/>
              <w:rPr>
                <w:rFonts w:hint="eastAsia" w:ascii="宋体" w:hAnsi="宋体" w:cs="宋体"/>
                <w:color w:val="000000"/>
                <w:highlight w:val="none"/>
              </w:rPr>
            </w:pPr>
          </w:p>
        </w:tc>
        <w:tc>
          <w:tcPr>
            <w:tcW w:w="1163" w:type="dxa"/>
            <w:noWrap w:val="0"/>
            <w:vAlign w:val="top"/>
          </w:tcPr>
          <w:p>
            <w:pPr>
              <w:spacing w:line="360" w:lineRule="auto"/>
              <w:rPr>
                <w:rFonts w:hint="eastAsia" w:ascii="宋体" w:hAnsi="宋体" w:cs="宋体"/>
                <w:color w:val="000000"/>
                <w:highlight w:val="none"/>
              </w:rPr>
            </w:pPr>
          </w:p>
        </w:tc>
      </w:tr>
    </w:tbl>
    <w:p>
      <w:pPr>
        <w:spacing w:line="360" w:lineRule="auto"/>
        <w:rPr>
          <w:rFonts w:hint="eastAsia" w:ascii="宋体" w:hAnsi="宋体" w:cs="宋体"/>
          <w:color w:val="000000"/>
          <w:highlight w:val="none"/>
        </w:rPr>
      </w:pPr>
    </w:p>
    <w:p>
      <w:pPr>
        <w:pStyle w:val="9"/>
        <w:rPr>
          <w:rFonts w:hint="eastAsia" w:ascii="宋体" w:hAnsi="宋体" w:cs="宋体"/>
          <w:color w:val="000000"/>
          <w:highlight w:val="none"/>
        </w:rPr>
      </w:pPr>
    </w:p>
    <w:p>
      <w:pPr>
        <w:pStyle w:val="9"/>
        <w:rPr>
          <w:rFonts w:hint="eastAsia" w:ascii="宋体" w:hAnsi="宋体" w:cs="宋体"/>
          <w:color w:val="000000"/>
          <w:highlight w:val="none"/>
        </w:rPr>
      </w:pPr>
    </w:p>
    <w:p>
      <w:pPr>
        <w:rPr>
          <w:rFonts w:hint="eastAsia"/>
        </w:rPr>
      </w:pPr>
    </w:p>
    <w:p>
      <w:pPr>
        <w:spacing w:line="360" w:lineRule="auto"/>
        <w:rPr>
          <w:rFonts w:hint="eastAsia" w:ascii="宋体" w:hAnsi="宋体" w:cs="宋体"/>
          <w:color w:val="000000"/>
          <w:highlight w:val="none"/>
        </w:rPr>
      </w:pPr>
      <w:r>
        <w:rPr>
          <w:rFonts w:hint="eastAsia" w:ascii="宋体" w:hAnsi="宋体" w:cs="宋体"/>
          <w:color w:val="000000"/>
          <w:highlight w:val="none"/>
        </w:rPr>
        <w:t>招标人代表：</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记录人：</w:t>
      </w:r>
      <w:r>
        <w:rPr>
          <w:rFonts w:hint="eastAsia" w:ascii="宋体" w:hAnsi="宋体" w:cs="宋体"/>
          <w:color w:val="000000"/>
          <w:highlight w:val="none"/>
          <w:u w:val="single"/>
        </w:rPr>
        <w:t xml:space="preserve">          </w:t>
      </w:r>
      <w:r>
        <w:rPr>
          <w:rFonts w:hint="eastAsia" w:ascii="宋体" w:hAnsi="宋体" w:cs="宋体"/>
          <w:color w:val="000000"/>
          <w:highlight w:val="none"/>
        </w:rPr>
        <w:t xml:space="preserve">         监标人：</w:t>
      </w:r>
      <w:r>
        <w:rPr>
          <w:rFonts w:hint="eastAsia" w:ascii="宋体" w:hAnsi="宋体" w:cs="宋体"/>
          <w:color w:val="000000"/>
          <w:highlight w:val="none"/>
          <w:u w:val="single"/>
        </w:rPr>
        <w:t xml:space="preserve">          </w:t>
      </w:r>
    </w:p>
    <w:p>
      <w:pPr>
        <w:spacing w:line="360" w:lineRule="auto"/>
        <w:ind w:firstLine="420" w:firstLineChars="200"/>
        <w:jc w:val="right"/>
        <w:rPr>
          <w:rFonts w:hint="eastAsia" w:ascii="宋体" w:hAnsi="宋体" w:cs="宋体"/>
          <w:color w:val="000000"/>
          <w:highlight w:val="none"/>
        </w:rPr>
      </w:pP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p>
    <w:p>
      <w:pPr>
        <w:spacing w:line="360" w:lineRule="auto"/>
        <w:ind w:right="210"/>
        <w:rPr>
          <w:rFonts w:hint="eastAsia" w:ascii="宋体" w:hAnsi="宋体" w:cs="宋体"/>
          <w:color w:val="000000"/>
          <w:highlight w:val="none"/>
        </w:rPr>
      </w:pPr>
      <w:r>
        <w:rPr>
          <w:rFonts w:hint="eastAsia" w:ascii="宋体" w:hAnsi="宋体" w:cs="宋体"/>
          <w:color w:val="000000"/>
          <w:highlight w:val="none"/>
          <w:u w:val="single"/>
        </w:rPr>
        <w:t>本表仅供参考，具体以开标时的开标记录表为准。</w:t>
      </w:r>
    </w:p>
    <w:p>
      <w:pPr>
        <w:tabs>
          <w:tab w:val="left" w:pos="1950"/>
        </w:tabs>
        <w:ind w:firstLine="420" w:firstLineChars="200"/>
        <w:rPr>
          <w:rFonts w:ascii="宋体" w:hAnsi="宋体" w:cs="宋体"/>
        </w:rPr>
        <w:sectPr>
          <w:pgSz w:w="11906" w:h="16838"/>
          <w:pgMar w:top="1417" w:right="1417" w:bottom="1276" w:left="1417" w:header="850" w:footer="992" w:gutter="0"/>
          <w:cols w:space="720" w:num="1"/>
          <w:docGrid w:linePitch="285" w:charSpace="0"/>
        </w:sectPr>
      </w:pPr>
    </w:p>
    <w:bookmarkEnd w:id="64"/>
    <w:bookmarkEnd w:id="65"/>
    <w:bookmarkEnd w:id="66"/>
    <w:bookmarkEnd w:id="67"/>
    <w:bookmarkEnd w:id="68"/>
    <w:bookmarkEnd w:id="69"/>
    <w:bookmarkEnd w:id="70"/>
    <w:bookmarkEnd w:id="71"/>
    <w:bookmarkEnd w:id="72"/>
    <w:p>
      <w:pPr>
        <w:tabs>
          <w:tab w:val="left" w:pos="1950"/>
        </w:tabs>
        <w:jc w:val="left"/>
        <w:rPr>
          <w:rFonts w:ascii="宋体" w:hAnsi="宋体" w:cs="宋体"/>
          <w:sz w:val="28"/>
        </w:rPr>
      </w:pPr>
      <w:r>
        <w:rPr>
          <w:rFonts w:hint="eastAsia" w:ascii="宋体" w:hAnsi="宋体" w:cs="宋体"/>
          <w:position w:val="-4"/>
          <w:sz w:val="28"/>
        </w:rPr>
        <w:t>附件二</w:t>
      </w:r>
      <w:r>
        <w:rPr>
          <w:rFonts w:hint="eastAsia" w:ascii="宋体" w:hAnsi="宋体" w:cs="宋体"/>
          <w:spacing w:val="-3"/>
          <w:position w:val="-4"/>
          <w:sz w:val="28"/>
        </w:rPr>
        <w:t>：</w:t>
      </w:r>
      <w:r>
        <w:rPr>
          <w:rFonts w:hint="eastAsia" w:ascii="宋体" w:hAnsi="宋体" w:cs="宋体"/>
          <w:position w:val="-4"/>
          <w:sz w:val="28"/>
        </w:rPr>
        <w:t>问题</w:t>
      </w:r>
      <w:r>
        <w:rPr>
          <w:rFonts w:hint="eastAsia" w:ascii="宋体" w:hAnsi="宋体" w:cs="宋体"/>
          <w:spacing w:val="-3"/>
          <w:position w:val="-4"/>
          <w:sz w:val="28"/>
        </w:rPr>
        <w:t>澄清</w:t>
      </w:r>
      <w:r>
        <w:rPr>
          <w:rFonts w:hint="eastAsia" w:ascii="宋体" w:hAnsi="宋体" w:cs="宋体"/>
          <w:position w:val="-4"/>
          <w:sz w:val="28"/>
        </w:rPr>
        <w:t>通知</w:t>
      </w:r>
    </w:p>
    <w:p>
      <w:pPr>
        <w:spacing w:line="200" w:lineRule="exact"/>
        <w:jc w:val="left"/>
        <w:rPr>
          <w:rFonts w:ascii="宋体" w:hAnsi="宋体" w:cs="宋体"/>
          <w:sz w:val="20"/>
        </w:rPr>
      </w:pP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问题澄清通知</w:t>
      </w: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（按广州公共资源交易中心的版式为准）</w:t>
      </w:r>
    </w:p>
    <w:p>
      <w:pPr>
        <w:tabs>
          <w:tab w:val="left" w:pos="5800"/>
          <w:tab w:val="left" w:pos="6740"/>
          <w:tab w:val="left" w:pos="7680"/>
        </w:tabs>
        <w:spacing w:line="295" w:lineRule="exact"/>
        <w:ind w:left="4961" w:right="-20"/>
        <w:jc w:val="left"/>
        <w:rPr>
          <w:rFonts w:ascii="宋体" w:hAnsi="宋体" w:cs="宋体"/>
          <w:szCs w:val="21"/>
        </w:rPr>
        <w:sectPr>
          <w:pgSz w:w="11906" w:h="16838"/>
          <w:pgMar w:top="1417" w:right="1417" w:bottom="1417" w:left="1417" w:header="850" w:footer="992" w:gutter="0"/>
          <w:cols w:space="720" w:num="1"/>
          <w:docGrid w:linePitch="285" w:charSpace="0"/>
        </w:sectPr>
      </w:pPr>
    </w:p>
    <w:p>
      <w:pPr>
        <w:spacing w:line="383" w:lineRule="exact"/>
        <w:ind w:left="237" w:right="-20"/>
        <w:jc w:val="left"/>
        <w:rPr>
          <w:rFonts w:ascii="宋体" w:hAnsi="宋体" w:cs="宋体"/>
          <w:sz w:val="28"/>
        </w:rPr>
      </w:pPr>
      <w:r>
        <w:rPr>
          <w:rFonts w:hint="eastAsia" w:ascii="宋体" w:hAnsi="宋体" w:cs="宋体"/>
          <w:position w:val="-4"/>
          <w:sz w:val="28"/>
        </w:rPr>
        <w:t>附件三</w:t>
      </w:r>
      <w:r>
        <w:rPr>
          <w:rFonts w:hint="eastAsia" w:ascii="宋体" w:hAnsi="宋体" w:cs="宋体"/>
          <w:spacing w:val="-3"/>
          <w:position w:val="-4"/>
          <w:sz w:val="28"/>
        </w:rPr>
        <w:t>：</w:t>
      </w:r>
      <w:r>
        <w:rPr>
          <w:rFonts w:hint="eastAsia" w:ascii="宋体" w:hAnsi="宋体" w:cs="宋体"/>
          <w:position w:val="-4"/>
          <w:sz w:val="28"/>
        </w:rPr>
        <w:t>问题</w:t>
      </w:r>
      <w:r>
        <w:rPr>
          <w:rFonts w:hint="eastAsia" w:ascii="宋体" w:hAnsi="宋体" w:cs="宋体"/>
          <w:spacing w:val="-3"/>
          <w:position w:val="-4"/>
          <w:sz w:val="28"/>
        </w:rPr>
        <w:t>的澄</w:t>
      </w:r>
      <w:r>
        <w:rPr>
          <w:rFonts w:hint="eastAsia" w:ascii="宋体" w:hAnsi="宋体" w:cs="宋体"/>
          <w:position w:val="-4"/>
          <w:sz w:val="28"/>
        </w:rPr>
        <w:t>清</w:t>
      </w:r>
    </w:p>
    <w:p>
      <w:pPr>
        <w:spacing w:before="9" w:line="170" w:lineRule="exact"/>
        <w:jc w:val="left"/>
        <w:rPr>
          <w:rFonts w:ascii="宋体" w:hAnsi="宋体" w:cs="宋体"/>
          <w:sz w:val="17"/>
        </w:rPr>
      </w:pPr>
    </w:p>
    <w:p>
      <w:pPr>
        <w:spacing w:line="200" w:lineRule="exact"/>
        <w:jc w:val="left"/>
        <w:rPr>
          <w:rFonts w:ascii="宋体" w:hAnsi="宋体" w:cs="宋体"/>
          <w:sz w:val="20"/>
        </w:rPr>
      </w:pP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问题的澄清</w:t>
      </w:r>
    </w:p>
    <w:p>
      <w:pPr>
        <w:spacing w:line="360" w:lineRule="auto"/>
        <w:jc w:val="center"/>
        <w:rPr>
          <w:rFonts w:hint="eastAsia" w:ascii="宋体" w:hAnsi="宋体" w:cs="宋体"/>
          <w:b/>
          <w:color w:val="000000"/>
          <w:sz w:val="32"/>
          <w:szCs w:val="32"/>
          <w:highlight w:val="none"/>
        </w:rPr>
      </w:pPr>
      <w:bookmarkStart w:id="195" w:name="OLE_LINK1"/>
      <w:r>
        <w:rPr>
          <w:rFonts w:hint="eastAsia" w:ascii="宋体" w:hAnsi="宋体" w:cs="宋体"/>
          <w:b/>
          <w:color w:val="000000"/>
          <w:sz w:val="32"/>
          <w:szCs w:val="32"/>
          <w:highlight w:val="none"/>
        </w:rPr>
        <w:t>（按广州公共资源交易中心的版式为准）</w:t>
      </w:r>
    </w:p>
    <w:bookmarkEnd w:id="195"/>
    <w:p>
      <w:pPr>
        <w:spacing w:line="383" w:lineRule="exact"/>
        <w:ind w:right="-20"/>
        <w:jc w:val="left"/>
        <w:rPr>
          <w:rFonts w:ascii="宋体" w:hAnsi="宋体"/>
          <w:color w:val="auto"/>
          <w:position w:val="-4"/>
          <w:sz w:val="28"/>
          <w:highlight w:val="none"/>
        </w:rPr>
      </w:pPr>
      <w:r>
        <w:rPr>
          <w:rFonts w:ascii="宋体" w:hAnsi="宋体"/>
          <w:color w:val="auto"/>
          <w:position w:val="-4"/>
          <w:sz w:val="28"/>
          <w:highlight w:val="none"/>
        </w:rPr>
        <w:t>附件四：中标通知书</w:t>
      </w:r>
    </w:p>
    <w:p>
      <w:pPr>
        <w:spacing w:line="383" w:lineRule="exact"/>
        <w:ind w:left="237" w:right="-20"/>
        <w:jc w:val="left"/>
        <w:rPr>
          <w:rFonts w:ascii="宋体" w:hAnsi="宋体"/>
          <w:color w:val="auto"/>
          <w:position w:val="-4"/>
          <w:sz w:val="28"/>
          <w:highlight w:val="none"/>
        </w:rPr>
      </w:pPr>
    </w:p>
    <w:p>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（按广州公共资源交易中心的版式为准）</w:t>
      </w:r>
    </w:p>
    <w:p>
      <w:pPr>
        <w:rPr>
          <w:rFonts w:ascii="宋体" w:hAnsi="宋体" w:cs="宋体"/>
          <w:szCs w:val="21"/>
        </w:rPr>
      </w:pPr>
    </w:p>
    <w:p>
      <w:pPr>
        <w:rPr>
          <w:rFonts w:ascii="宋体" w:hAnsi="宋体" w:cs="宋体"/>
        </w:rPr>
      </w:pPr>
    </w:p>
    <w:p>
      <w:pPr>
        <w:pStyle w:val="2"/>
        <w:rPr>
          <w:rFonts w:ascii="宋体" w:hAnsi="宋体" w:eastAsia="宋体" w:cs="宋体"/>
        </w:rPr>
        <w:sectPr>
          <w:pgSz w:w="11906" w:h="16838"/>
          <w:pgMar w:top="1417" w:right="1417" w:bottom="1417" w:left="1417" w:header="850" w:footer="992" w:gutter="0"/>
          <w:cols w:space="720" w:num="1"/>
          <w:docGrid w:linePitch="285" w:charSpace="0"/>
        </w:sectPr>
      </w:pPr>
    </w:p>
    <w:p>
      <w:pPr>
        <w:pStyle w:val="2"/>
        <w:spacing w:before="0" w:after="0" w:line="360" w:lineRule="auto"/>
        <w:jc w:val="center"/>
        <w:rPr>
          <w:rFonts w:ascii="宋体" w:hAnsi="宋体" w:eastAsia="宋体" w:cs="宋体"/>
        </w:rPr>
      </w:pPr>
      <w:bookmarkStart w:id="196" w:name="_Toc23508"/>
      <w:bookmarkStart w:id="197" w:name="_Toc28172"/>
      <w:bookmarkStart w:id="198" w:name="_Toc10968"/>
      <w:bookmarkStart w:id="199" w:name="_Toc1324"/>
      <w:bookmarkStart w:id="200" w:name="_Toc27162"/>
      <w:bookmarkStart w:id="201" w:name="_Toc10780"/>
      <w:bookmarkStart w:id="202" w:name="_Toc10625"/>
      <w:bookmarkStart w:id="203" w:name="_Toc32244"/>
      <w:bookmarkStart w:id="204" w:name="_Toc10286"/>
      <w:bookmarkStart w:id="205" w:name="_Toc6739"/>
      <w:bookmarkStart w:id="206" w:name="_Toc179"/>
      <w:bookmarkStart w:id="207" w:name="_Toc393961876"/>
      <w:bookmarkStart w:id="208" w:name="_Toc19513"/>
      <w:bookmarkStart w:id="209" w:name="_Toc16484"/>
      <w:bookmarkStart w:id="210" w:name="_Toc8129"/>
      <w:bookmarkStart w:id="211" w:name="_Toc31846"/>
      <w:bookmarkStart w:id="212" w:name="_Toc514170131"/>
      <w:bookmarkStart w:id="213" w:name="_Toc19607"/>
      <w:bookmarkStart w:id="214" w:name="_Toc9728"/>
      <w:bookmarkStart w:id="215" w:name="_Toc15544"/>
      <w:bookmarkStart w:id="216" w:name="_Toc13048"/>
      <w:r>
        <w:rPr>
          <w:rFonts w:hint="eastAsia" w:ascii="宋体" w:hAnsi="宋体" w:eastAsia="宋体" w:cs="宋体"/>
        </w:rPr>
        <w:t>第三章  评标办法（综合评估法）</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jc w:val="center"/>
        <w:rPr>
          <w:rFonts w:ascii="宋体" w:hAnsi="宋体" w:cs="宋体"/>
          <w:b/>
          <w:bCs/>
          <w:sz w:val="28"/>
          <w:szCs w:val="28"/>
        </w:rPr>
      </w:pPr>
      <w:bookmarkStart w:id="217" w:name="_Toc15676"/>
      <w:bookmarkStart w:id="218" w:name="_Toc5789"/>
      <w:bookmarkStart w:id="219" w:name="_Toc28666"/>
      <w:bookmarkStart w:id="220" w:name="_Toc28569"/>
      <w:bookmarkStart w:id="221" w:name="_Toc22116"/>
      <w:bookmarkStart w:id="222" w:name="_Toc5818"/>
      <w:bookmarkStart w:id="223" w:name="_Toc393961877"/>
      <w:bookmarkStart w:id="224" w:name="_Toc2997"/>
      <w:bookmarkStart w:id="225" w:name="_Toc28209"/>
      <w:bookmarkStart w:id="226" w:name="_Toc32266"/>
      <w:bookmarkStart w:id="227" w:name="_Toc10610"/>
      <w:bookmarkStart w:id="228" w:name="_Toc21364"/>
      <w:bookmarkStart w:id="229" w:name="_Toc14511"/>
      <w:bookmarkStart w:id="230" w:name="_Toc9919"/>
      <w:bookmarkStart w:id="231" w:name="_Toc18570"/>
      <w:bookmarkStart w:id="232" w:name="_Toc24228"/>
      <w:bookmarkStart w:id="233" w:name="_Toc248"/>
      <w:bookmarkStart w:id="234" w:name="_Toc514170132"/>
      <w:bookmarkStart w:id="235" w:name="_Toc16683"/>
      <w:bookmarkStart w:id="236" w:name="_Toc30974"/>
      <w:bookmarkStart w:id="237" w:name="_Toc184635089"/>
      <w:bookmarkStart w:id="238" w:name="_Toc393961878"/>
      <w:r>
        <w:rPr>
          <w:rFonts w:hint="eastAsia" w:ascii="宋体" w:hAnsi="宋体" w:cs="宋体"/>
          <w:b/>
          <w:bCs/>
          <w:sz w:val="28"/>
          <w:szCs w:val="28"/>
        </w:rPr>
        <w:t>评标办法前附表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tbl>
      <w:tblPr>
        <w:tblStyle w:val="20"/>
        <w:tblW w:w="93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89"/>
        <w:gridCol w:w="1098"/>
        <w:gridCol w:w="2132"/>
        <w:gridCol w:w="5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78" w:type="dxa"/>
            <w:gridSpan w:val="3"/>
            <w:noWrap/>
            <w:vAlign w:val="center"/>
          </w:tcPr>
          <w:p>
            <w:pPr>
              <w:snapToGrid w:val="0"/>
              <w:spacing w:line="312" w:lineRule="auto"/>
              <w:jc w:val="center"/>
              <w:rPr>
                <w:rFonts w:ascii="宋体" w:hAnsi="宋体"/>
                <w:b/>
                <w:szCs w:val="21"/>
              </w:rPr>
            </w:pPr>
            <w:bookmarkStart w:id="239" w:name="_Toc6837"/>
            <w:bookmarkStart w:id="240" w:name="_Toc32130"/>
            <w:bookmarkStart w:id="241" w:name="_Toc14335"/>
            <w:bookmarkStart w:id="242" w:name="_Toc20250"/>
            <w:bookmarkStart w:id="243" w:name="_Toc8146"/>
            <w:bookmarkStart w:id="244" w:name="_Toc3992"/>
            <w:bookmarkStart w:id="245" w:name="_Toc18778"/>
            <w:bookmarkStart w:id="246" w:name="_Toc32699"/>
            <w:bookmarkStart w:id="247" w:name="_Toc514170133"/>
            <w:bookmarkStart w:id="248" w:name="_Toc2468"/>
            <w:bookmarkStart w:id="249" w:name="_Toc19290"/>
            <w:bookmarkStart w:id="250" w:name="_Toc24248"/>
            <w:bookmarkStart w:id="251" w:name="_Toc12886"/>
            <w:bookmarkStart w:id="252" w:name="_Toc22155"/>
            <w:bookmarkStart w:id="253" w:name="_Toc13470"/>
            <w:r>
              <w:rPr>
                <w:rFonts w:ascii="宋体" w:hAnsi="宋体"/>
                <w:b/>
                <w:szCs w:val="21"/>
              </w:rPr>
              <w:t>条款号</w:t>
            </w:r>
          </w:p>
        </w:tc>
        <w:tc>
          <w:tcPr>
            <w:tcW w:w="2132" w:type="dxa"/>
            <w:noWrap/>
            <w:vAlign w:val="center"/>
          </w:tcPr>
          <w:p>
            <w:pPr>
              <w:snapToGrid w:val="0"/>
              <w:spacing w:line="312" w:lineRule="auto"/>
              <w:jc w:val="center"/>
              <w:rPr>
                <w:rFonts w:ascii="宋体" w:hAnsi="宋体"/>
                <w:b/>
                <w:szCs w:val="21"/>
              </w:rPr>
            </w:pPr>
            <w:r>
              <w:rPr>
                <w:rFonts w:ascii="宋体" w:hAnsi="宋体"/>
                <w:b/>
                <w:szCs w:val="21"/>
              </w:rPr>
              <w:t>评审因素</w:t>
            </w:r>
          </w:p>
        </w:tc>
        <w:tc>
          <w:tcPr>
            <w:tcW w:w="5252" w:type="dxa"/>
            <w:noWrap/>
            <w:vAlign w:val="center"/>
          </w:tcPr>
          <w:p>
            <w:pPr>
              <w:snapToGrid w:val="0"/>
              <w:spacing w:line="312" w:lineRule="auto"/>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80" w:type="dxa"/>
            <w:gridSpan w:val="2"/>
            <w:noWrap/>
            <w:vAlign w:val="center"/>
          </w:tcPr>
          <w:p>
            <w:pPr>
              <w:spacing w:line="312" w:lineRule="auto"/>
              <w:jc w:val="center"/>
              <w:rPr>
                <w:rFonts w:ascii="宋体" w:hAnsi="宋体"/>
                <w:szCs w:val="21"/>
              </w:rPr>
            </w:pPr>
            <w:r>
              <w:rPr>
                <w:rFonts w:ascii="宋体" w:hAnsi="宋体"/>
                <w:szCs w:val="21"/>
              </w:rPr>
              <w:t>1</w:t>
            </w:r>
          </w:p>
        </w:tc>
        <w:tc>
          <w:tcPr>
            <w:tcW w:w="1098" w:type="dxa"/>
            <w:noWrap/>
            <w:vAlign w:val="center"/>
          </w:tcPr>
          <w:p>
            <w:pPr>
              <w:snapToGrid w:val="0"/>
              <w:spacing w:line="312" w:lineRule="auto"/>
              <w:rPr>
                <w:rFonts w:ascii="宋体" w:hAnsi="宋体"/>
                <w:szCs w:val="21"/>
              </w:rPr>
            </w:pPr>
            <w:r>
              <w:rPr>
                <w:rFonts w:ascii="宋体" w:hAnsi="宋体"/>
                <w:szCs w:val="21"/>
              </w:rPr>
              <w:t>评标方法</w:t>
            </w:r>
          </w:p>
        </w:tc>
        <w:tc>
          <w:tcPr>
            <w:tcW w:w="2132" w:type="dxa"/>
            <w:noWrap/>
            <w:vAlign w:val="center"/>
          </w:tcPr>
          <w:p>
            <w:pPr>
              <w:snapToGrid w:val="0"/>
              <w:spacing w:line="312" w:lineRule="auto"/>
              <w:rPr>
                <w:rFonts w:ascii="宋体" w:hAnsi="宋体"/>
                <w:szCs w:val="21"/>
              </w:rPr>
            </w:pPr>
            <w:r>
              <w:rPr>
                <w:rFonts w:ascii="宋体" w:hAnsi="宋体"/>
                <w:szCs w:val="21"/>
              </w:rPr>
              <w:t>中标候选人排序方法</w:t>
            </w:r>
          </w:p>
        </w:tc>
        <w:tc>
          <w:tcPr>
            <w:tcW w:w="5252" w:type="dxa"/>
            <w:noWrap/>
            <w:vAlign w:val="top"/>
          </w:tcPr>
          <w:p>
            <w:pPr>
              <w:snapToGrid w:val="0"/>
              <w:spacing w:line="312" w:lineRule="auto"/>
              <w:rPr>
                <w:rFonts w:ascii="宋体" w:hAnsi="宋体"/>
                <w:szCs w:val="21"/>
              </w:rPr>
            </w:pPr>
            <w:r>
              <w:rPr>
                <w:rFonts w:hint="eastAsia" w:ascii="宋体" w:hAnsi="宋体"/>
                <w:szCs w:val="21"/>
              </w:rPr>
              <w:t>本次评标采用综合评估法。评标委员会对满足招标文件实质性要求的投标文件，按照本章第2.2 款规定的评分标准进行打分，并按得分由高到低顺序推荐前三名作为中标候选人。综合评分相等时，以投标报价低的优先；投标报价也相等的，以技术方案得分高的优先；如果技术方案得分也相等，由评标委员会采用记名投票方式，不得弃权，以得票多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restart"/>
            <w:noWrap/>
            <w:vAlign w:val="center"/>
          </w:tcPr>
          <w:p>
            <w:pPr>
              <w:spacing w:line="312" w:lineRule="auto"/>
              <w:jc w:val="center"/>
              <w:rPr>
                <w:rFonts w:ascii="宋体" w:hAnsi="宋体"/>
                <w:szCs w:val="21"/>
              </w:rPr>
            </w:pPr>
            <w:r>
              <w:rPr>
                <w:rFonts w:ascii="宋体" w:hAnsi="宋体"/>
                <w:szCs w:val="21"/>
              </w:rPr>
              <w:t>2.1.1</w:t>
            </w:r>
          </w:p>
        </w:tc>
        <w:tc>
          <w:tcPr>
            <w:tcW w:w="1098" w:type="dxa"/>
            <w:vMerge w:val="restart"/>
            <w:noWrap/>
            <w:vAlign w:val="center"/>
          </w:tcPr>
          <w:p>
            <w:pPr>
              <w:snapToGrid w:val="0"/>
              <w:spacing w:line="312" w:lineRule="auto"/>
              <w:rPr>
                <w:rFonts w:ascii="宋体" w:hAnsi="宋体"/>
                <w:szCs w:val="21"/>
              </w:rPr>
            </w:pPr>
            <w:r>
              <w:rPr>
                <w:rFonts w:ascii="宋体" w:hAnsi="宋体"/>
                <w:szCs w:val="21"/>
              </w:rPr>
              <w:t>形式评审标准</w:t>
            </w:r>
          </w:p>
        </w:tc>
        <w:tc>
          <w:tcPr>
            <w:tcW w:w="2132" w:type="dxa"/>
            <w:noWrap/>
            <w:vAlign w:val="center"/>
          </w:tcPr>
          <w:p>
            <w:pPr>
              <w:snapToGrid w:val="0"/>
              <w:spacing w:line="312" w:lineRule="auto"/>
              <w:jc w:val="center"/>
              <w:rPr>
                <w:rFonts w:ascii="宋体" w:hAnsi="宋体"/>
                <w:szCs w:val="21"/>
              </w:rPr>
            </w:pPr>
            <w:r>
              <w:rPr>
                <w:rFonts w:ascii="宋体" w:hAnsi="宋体"/>
                <w:szCs w:val="21"/>
              </w:rPr>
              <w:t>投标人名称</w:t>
            </w:r>
          </w:p>
        </w:tc>
        <w:tc>
          <w:tcPr>
            <w:tcW w:w="5252" w:type="dxa"/>
            <w:noWrap/>
            <w:vAlign w:val="center"/>
          </w:tcPr>
          <w:p>
            <w:pPr>
              <w:snapToGrid w:val="0"/>
              <w:spacing w:line="312" w:lineRule="auto"/>
              <w:rPr>
                <w:rFonts w:ascii="宋体" w:hAnsi="宋体"/>
                <w:szCs w:val="21"/>
              </w:rPr>
            </w:pPr>
            <w:r>
              <w:rPr>
                <w:rFonts w:hint="eastAsia" w:ascii="宋体"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napToGrid w:val="0"/>
              <w:spacing w:line="312" w:lineRule="auto"/>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ascii="宋体" w:hAnsi="宋体"/>
                <w:szCs w:val="21"/>
              </w:rPr>
              <w:t>投标函</w:t>
            </w:r>
            <w:r>
              <w:rPr>
                <w:rFonts w:hint="eastAsia" w:ascii="宋体" w:hAnsi="宋体"/>
                <w:szCs w:val="21"/>
              </w:rPr>
              <w:t>及投标函附录</w:t>
            </w:r>
            <w:r>
              <w:rPr>
                <w:rFonts w:ascii="宋体" w:hAnsi="宋体"/>
                <w:szCs w:val="21"/>
              </w:rPr>
              <w:t>签字盖章</w:t>
            </w:r>
          </w:p>
        </w:tc>
        <w:tc>
          <w:tcPr>
            <w:tcW w:w="5252" w:type="dxa"/>
            <w:noWrap/>
            <w:vAlign w:val="center"/>
          </w:tcPr>
          <w:p>
            <w:pPr>
              <w:snapToGrid w:val="0"/>
              <w:spacing w:line="312" w:lineRule="auto"/>
              <w:rPr>
                <w:rFonts w:ascii="宋体" w:hAnsi="宋体"/>
                <w:szCs w:val="21"/>
              </w:rPr>
            </w:pPr>
            <w:r>
              <w:rPr>
                <w:rFonts w:ascii="宋体" w:hAnsi="宋体"/>
                <w:szCs w:val="21"/>
              </w:rPr>
              <w:t>有法定代表人或其委托代理人签字或加盖单位章。由法定代表人签字的，应附法定代表人身份证明，由代理人签字的，应附授权委托书，身份证明或授权委托书应符合第六章“投标文件格式”的规定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napToGrid w:val="0"/>
              <w:spacing w:line="312" w:lineRule="auto"/>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ascii="宋体" w:hAnsi="宋体"/>
                <w:szCs w:val="21"/>
              </w:rPr>
              <w:t>投标文件格式</w:t>
            </w:r>
          </w:p>
        </w:tc>
        <w:tc>
          <w:tcPr>
            <w:tcW w:w="5252" w:type="dxa"/>
            <w:noWrap/>
            <w:vAlign w:val="center"/>
          </w:tcPr>
          <w:p>
            <w:pPr>
              <w:snapToGrid w:val="0"/>
              <w:spacing w:line="312" w:lineRule="auto"/>
              <w:rPr>
                <w:rFonts w:ascii="宋体" w:hAnsi="宋体"/>
                <w:szCs w:val="21"/>
              </w:rPr>
            </w:pPr>
            <w:r>
              <w:rPr>
                <w:rFonts w:ascii="宋体" w:hAnsi="宋体"/>
                <w:szCs w:val="21"/>
              </w:rPr>
              <w:t>符合第六章“投标文件格式”的规定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napToGrid w:val="0"/>
              <w:spacing w:line="312" w:lineRule="auto"/>
              <w:rPr>
                <w:rFonts w:ascii="宋体" w:hAnsi="宋体"/>
                <w:szCs w:val="21"/>
              </w:rPr>
            </w:pPr>
          </w:p>
        </w:tc>
        <w:tc>
          <w:tcPr>
            <w:tcW w:w="2132" w:type="dxa"/>
            <w:noWrap/>
            <w:vAlign w:val="center"/>
          </w:tcPr>
          <w:p>
            <w:pPr>
              <w:spacing w:line="312" w:lineRule="auto"/>
              <w:jc w:val="center"/>
              <w:rPr>
                <w:rFonts w:ascii="宋体" w:hAnsi="宋体"/>
                <w:szCs w:val="21"/>
              </w:rPr>
            </w:pPr>
            <w:r>
              <w:rPr>
                <w:rFonts w:ascii="宋体" w:hAnsi="宋体"/>
                <w:szCs w:val="21"/>
              </w:rPr>
              <w:t>联合体投标人</w:t>
            </w:r>
          </w:p>
        </w:tc>
        <w:tc>
          <w:tcPr>
            <w:tcW w:w="5252" w:type="dxa"/>
            <w:noWrap/>
            <w:vAlign w:val="center"/>
          </w:tcPr>
          <w:p>
            <w:pPr>
              <w:snapToGrid w:val="0"/>
              <w:spacing w:line="312" w:lineRule="auto"/>
              <w:rPr>
                <w:rFonts w:ascii="宋体" w:hAnsi="宋体"/>
                <w:szCs w:val="21"/>
              </w:rPr>
            </w:pPr>
            <w:r>
              <w:rPr>
                <w:rFonts w:hint="eastAsia" w:ascii="宋体" w:hAnsi="宋体" w:cs="宋体"/>
                <w:szCs w:val="21"/>
              </w:rPr>
              <w:t>提交符合招标文件要求的联合体协议书，明确各方承担连带责任，并明确联合体主办方。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napToGrid w:val="0"/>
              <w:spacing w:line="312" w:lineRule="auto"/>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hint="eastAsia" w:ascii="宋体" w:hAnsi="宋体"/>
                <w:szCs w:val="21"/>
              </w:rPr>
              <w:t>投标人机器码</w:t>
            </w:r>
          </w:p>
        </w:tc>
        <w:tc>
          <w:tcPr>
            <w:tcW w:w="5252" w:type="dxa"/>
            <w:noWrap/>
            <w:vAlign w:val="center"/>
          </w:tcPr>
          <w:p>
            <w:pPr>
              <w:snapToGrid w:val="0"/>
              <w:spacing w:line="312" w:lineRule="auto"/>
              <w:rPr>
                <w:rFonts w:ascii="宋体" w:hAnsi="宋体" w:cs="宋体"/>
                <w:szCs w:val="21"/>
              </w:rPr>
            </w:pPr>
            <w:r>
              <w:rPr>
                <w:rFonts w:hint="eastAsia" w:ascii="宋体" w:hAnsi="宋体" w:cs="宋体"/>
                <w:szCs w:val="21"/>
              </w:rPr>
              <w:t>投标人与其他投标人加密打包投标文件电脑机器特征码一致的(以广州公共资源交易中心评标系统的检索信息为准)将被否决。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napToGrid w:val="0"/>
              <w:spacing w:line="312" w:lineRule="auto"/>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ascii="宋体" w:hAnsi="宋体"/>
                <w:szCs w:val="21"/>
              </w:rPr>
              <w:t>备选投标方案</w:t>
            </w:r>
          </w:p>
        </w:tc>
        <w:tc>
          <w:tcPr>
            <w:tcW w:w="5252" w:type="dxa"/>
            <w:noWrap/>
            <w:vAlign w:val="center"/>
          </w:tcPr>
          <w:p>
            <w:pPr>
              <w:snapToGrid w:val="0"/>
              <w:spacing w:line="312" w:lineRule="auto"/>
              <w:rPr>
                <w:rFonts w:ascii="宋体" w:hAnsi="宋体"/>
                <w:szCs w:val="21"/>
              </w:rPr>
            </w:pPr>
            <w:r>
              <w:rPr>
                <w:rFonts w:hint="eastAsia" w:ascii="宋体" w:hAnsi="宋体"/>
                <w:szCs w:val="21"/>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napToGrid w:val="0"/>
              <w:spacing w:line="312" w:lineRule="auto"/>
              <w:rPr>
                <w:rFonts w:ascii="宋体" w:hAnsi="宋体"/>
                <w:szCs w:val="21"/>
              </w:rPr>
            </w:pPr>
          </w:p>
        </w:tc>
        <w:tc>
          <w:tcPr>
            <w:tcW w:w="2132" w:type="dxa"/>
            <w:noWrap/>
            <w:vAlign w:val="center"/>
          </w:tcPr>
          <w:p>
            <w:pPr>
              <w:spacing w:line="440" w:lineRule="exact"/>
              <w:jc w:val="center"/>
              <w:rPr>
                <w:rFonts w:ascii="宋体" w:hAnsi="宋体"/>
                <w:szCs w:val="21"/>
              </w:rPr>
            </w:pPr>
            <w:r>
              <w:rPr>
                <w:rFonts w:hint="eastAsia" w:ascii="宋体" w:hAnsi="宋体" w:eastAsia="宋体" w:cs="Times New Roman"/>
                <w:szCs w:val="21"/>
              </w:rPr>
              <w:t>串通投标情形</w:t>
            </w:r>
          </w:p>
        </w:tc>
        <w:tc>
          <w:tcPr>
            <w:tcW w:w="5252" w:type="dxa"/>
            <w:noWrap/>
            <w:vAlign w:val="center"/>
          </w:tcPr>
          <w:p>
            <w:pPr>
              <w:rPr>
                <w:rFonts w:hint="eastAsia" w:ascii="宋体" w:hAnsi="宋体"/>
                <w:szCs w:val="21"/>
              </w:rPr>
            </w:pPr>
            <w:r>
              <w:rPr>
                <w:rFonts w:hint="eastAsia" w:ascii="宋体" w:hAnsi="宋体" w:eastAsia="宋体" w:cs="Times New Roman"/>
                <w:szCs w:val="21"/>
              </w:rPr>
              <w:t>不存在串通投标情形（串通投标情形以《中华人民共和国招标投标法实施条例》和《广东省实施&lt;中华人民共和国招标投标法&gt;》办法的规定为准）；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restart"/>
            <w:noWrap/>
            <w:vAlign w:val="center"/>
          </w:tcPr>
          <w:p>
            <w:pPr>
              <w:spacing w:line="312" w:lineRule="auto"/>
              <w:jc w:val="center"/>
              <w:rPr>
                <w:rFonts w:ascii="宋体" w:hAnsi="宋体"/>
                <w:szCs w:val="21"/>
              </w:rPr>
            </w:pPr>
            <w:r>
              <w:rPr>
                <w:rFonts w:ascii="宋体" w:hAnsi="宋体"/>
                <w:szCs w:val="21"/>
              </w:rPr>
              <w:t>2.1.2</w:t>
            </w:r>
          </w:p>
        </w:tc>
        <w:tc>
          <w:tcPr>
            <w:tcW w:w="1098" w:type="dxa"/>
            <w:vMerge w:val="restart"/>
            <w:noWrap/>
            <w:vAlign w:val="center"/>
          </w:tcPr>
          <w:p>
            <w:pPr>
              <w:snapToGrid w:val="0"/>
              <w:spacing w:line="312" w:lineRule="auto"/>
              <w:jc w:val="center"/>
              <w:rPr>
                <w:rFonts w:ascii="宋体" w:hAnsi="宋体"/>
                <w:szCs w:val="21"/>
              </w:rPr>
            </w:pPr>
            <w:r>
              <w:rPr>
                <w:rFonts w:hint="eastAsia" w:ascii="宋体" w:hAnsi="宋体"/>
                <w:szCs w:val="21"/>
              </w:rPr>
              <w:t>资格评审标准</w:t>
            </w:r>
          </w:p>
        </w:tc>
        <w:tc>
          <w:tcPr>
            <w:tcW w:w="2132" w:type="dxa"/>
            <w:noWrap/>
            <w:vAlign w:val="center"/>
          </w:tcPr>
          <w:p>
            <w:pPr>
              <w:snapToGrid w:val="0"/>
              <w:spacing w:line="312" w:lineRule="auto"/>
              <w:jc w:val="center"/>
              <w:rPr>
                <w:rFonts w:ascii="宋体" w:hAnsi="宋体"/>
                <w:szCs w:val="21"/>
              </w:rPr>
            </w:pPr>
            <w:r>
              <w:rPr>
                <w:rFonts w:ascii="宋体" w:hAnsi="宋体"/>
                <w:szCs w:val="21"/>
              </w:rPr>
              <w:t>营业执照和组织机构代码证</w:t>
            </w:r>
          </w:p>
        </w:tc>
        <w:tc>
          <w:tcPr>
            <w:tcW w:w="5252" w:type="dxa"/>
            <w:noWrap/>
            <w:vAlign w:val="center"/>
          </w:tcPr>
          <w:p>
            <w:pPr>
              <w:snapToGrid w:val="0"/>
              <w:spacing w:line="312" w:lineRule="auto"/>
              <w:rPr>
                <w:rFonts w:ascii="宋体" w:hAnsi="宋体"/>
                <w:szCs w:val="21"/>
              </w:rPr>
            </w:pPr>
            <w:r>
              <w:rPr>
                <w:rFonts w:hint="eastAsia" w:ascii="宋体" w:hAnsi="宋体"/>
                <w:szCs w:val="21"/>
              </w:rPr>
              <w:t>符合第二章“投标人须知”第3.5.</w:t>
            </w:r>
            <w:r>
              <w:rPr>
                <w:rFonts w:hint="eastAsia" w:ascii="宋体" w:hAnsi="宋体"/>
                <w:szCs w:val="21"/>
                <w:lang w:val="en-US" w:eastAsia="zh-CN"/>
              </w:rPr>
              <w:t>3</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napToGrid w:val="0"/>
              <w:spacing w:line="312" w:lineRule="auto"/>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ascii="宋体" w:hAnsi="宋体"/>
                <w:szCs w:val="21"/>
              </w:rPr>
              <w:t>资质要求</w:t>
            </w:r>
          </w:p>
        </w:tc>
        <w:tc>
          <w:tcPr>
            <w:tcW w:w="5252" w:type="dxa"/>
            <w:noWrap/>
            <w:vAlign w:val="center"/>
          </w:tcPr>
          <w:p>
            <w:pPr>
              <w:snapToGrid w:val="0"/>
              <w:spacing w:line="312" w:lineRule="auto"/>
              <w:rPr>
                <w:rFonts w:ascii="宋体" w:hAnsi="宋体"/>
                <w:szCs w:val="21"/>
              </w:rPr>
            </w:pPr>
            <w:r>
              <w:rPr>
                <w:rFonts w:ascii="宋体" w:hAnsi="宋体"/>
                <w:szCs w:val="21"/>
              </w:rPr>
              <w:t>符合第二章“投标人须知”第1.4.1项规定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napToGrid w:val="0"/>
              <w:spacing w:line="312" w:lineRule="auto"/>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hint="eastAsia" w:ascii="宋体" w:hAnsi="宋体"/>
                <w:szCs w:val="21"/>
              </w:rPr>
              <w:t>总监理工程师</w:t>
            </w:r>
          </w:p>
        </w:tc>
        <w:tc>
          <w:tcPr>
            <w:tcW w:w="5252" w:type="dxa"/>
            <w:noWrap/>
            <w:vAlign w:val="center"/>
          </w:tcPr>
          <w:p>
            <w:pPr>
              <w:snapToGrid w:val="0"/>
              <w:spacing w:line="312" w:lineRule="auto"/>
              <w:rPr>
                <w:rFonts w:ascii="宋体" w:hAnsi="宋体"/>
                <w:szCs w:val="21"/>
              </w:rPr>
            </w:pPr>
            <w:r>
              <w:rPr>
                <w:rFonts w:ascii="宋体" w:hAnsi="宋体"/>
                <w:szCs w:val="21"/>
              </w:rPr>
              <w:t>符合第二章“投标人须知”第1.4.1项规定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napToGrid w:val="0"/>
              <w:spacing w:line="312" w:lineRule="auto"/>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ascii="宋体" w:hAnsi="宋体"/>
                <w:szCs w:val="21"/>
              </w:rPr>
              <w:t>其他要求</w:t>
            </w:r>
          </w:p>
        </w:tc>
        <w:tc>
          <w:tcPr>
            <w:tcW w:w="5252" w:type="dxa"/>
            <w:noWrap/>
            <w:vAlign w:val="center"/>
          </w:tcPr>
          <w:p>
            <w:pPr>
              <w:snapToGrid w:val="0"/>
              <w:spacing w:line="312" w:lineRule="auto"/>
              <w:rPr>
                <w:rFonts w:ascii="宋体" w:hAnsi="宋体"/>
                <w:szCs w:val="21"/>
              </w:rPr>
            </w:pPr>
            <w:r>
              <w:rPr>
                <w:rFonts w:hint="eastAsia" w:ascii="宋体" w:hAnsi="宋体"/>
                <w:szCs w:val="21"/>
              </w:rPr>
              <w:t>符合第二章“投标人须知”第</w:t>
            </w:r>
            <w:r>
              <w:rPr>
                <w:rFonts w:ascii="宋体" w:hAnsi="宋体"/>
                <w:szCs w:val="21"/>
              </w:rPr>
              <w:t>1.4.1</w:t>
            </w:r>
            <w:r>
              <w:rPr>
                <w:rFonts w:hint="eastAsia" w:ascii="宋体" w:hAnsi="宋体"/>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napToGrid w:val="0"/>
              <w:spacing w:line="312" w:lineRule="auto"/>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ascii="宋体" w:hAnsi="宋体"/>
                <w:szCs w:val="21"/>
              </w:rPr>
              <w:t>联合体投标人</w:t>
            </w:r>
          </w:p>
        </w:tc>
        <w:tc>
          <w:tcPr>
            <w:tcW w:w="5252" w:type="dxa"/>
            <w:noWrap/>
            <w:vAlign w:val="center"/>
          </w:tcPr>
          <w:p>
            <w:pPr>
              <w:snapToGrid w:val="0"/>
              <w:spacing w:line="312" w:lineRule="auto"/>
              <w:rPr>
                <w:rFonts w:ascii="宋体" w:hAnsi="宋体" w:cs="Arial"/>
                <w:szCs w:val="21"/>
              </w:rPr>
            </w:pPr>
            <w:r>
              <w:rPr>
                <w:rFonts w:ascii="宋体" w:hAnsi="宋体"/>
                <w:szCs w:val="21"/>
              </w:rPr>
              <w:t>符合第二章“投标人须知”第1.4.</w:t>
            </w:r>
            <w:r>
              <w:rPr>
                <w:rFonts w:hint="eastAsia" w:ascii="宋体" w:hAnsi="宋体"/>
                <w:szCs w:val="21"/>
              </w:rPr>
              <w:t>2</w:t>
            </w:r>
            <w:r>
              <w:rPr>
                <w:rFonts w:ascii="宋体" w:hAnsi="宋体"/>
                <w:szCs w:val="21"/>
              </w:rPr>
              <w:t>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rPr>
                <w:rFonts w:ascii="宋体" w:hAnsi="宋体"/>
                <w:szCs w:val="21"/>
              </w:rPr>
            </w:pPr>
          </w:p>
        </w:tc>
        <w:tc>
          <w:tcPr>
            <w:tcW w:w="1098" w:type="dxa"/>
            <w:vMerge w:val="continue"/>
            <w:noWrap/>
            <w:vAlign w:val="center"/>
          </w:tcPr>
          <w:p>
            <w:pPr>
              <w:spacing w:line="312" w:lineRule="auto"/>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ascii="宋体" w:hAnsi="宋体"/>
                <w:szCs w:val="21"/>
              </w:rPr>
              <w:t>不存在禁止投标的情形</w:t>
            </w:r>
          </w:p>
        </w:tc>
        <w:tc>
          <w:tcPr>
            <w:tcW w:w="5252" w:type="dxa"/>
            <w:noWrap/>
            <w:vAlign w:val="center"/>
          </w:tcPr>
          <w:p>
            <w:pPr>
              <w:snapToGrid w:val="0"/>
              <w:spacing w:line="312" w:lineRule="auto"/>
              <w:rPr>
                <w:rFonts w:ascii="宋体" w:hAnsi="宋体"/>
                <w:szCs w:val="21"/>
              </w:rPr>
            </w:pPr>
            <w:r>
              <w:rPr>
                <w:rFonts w:ascii="宋体" w:hAnsi="宋体"/>
                <w:szCs w:val="21"/>
              </w:rPr>
              <w:t>不存在第二章“投标人须知”第1.4.3项规定的任何一种情形</w:t>
            </w:r>
            <w:r>
              <w:rPr>
                <w:rFonts w:hint="eastAsia" w:ascii="宋体" w:hAnsi="宋体" w:cs="宋体"/>
                <w:szCs w:val="21"/>
              </w:rPr>
              <w:t>（以《投标人声明》为准）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restart"/>
            <w:noWrap/>
            <w:vAlign w:val="center"/>
          </w:tcPr>
          <w:p>
            <w:pPr>
              <w:spacing w:line="312" w:lineRule="auto"/>
              <w:jc w:val="center"/>
              <w:rPr>
                <w:rFonts w:ascii="宋体" w:hAnsi="宋体"/>
                <w:szCs w:val="21"/>
              </w:rPr>
            </w:pPr>
            <w:r>
              <w:rPr>
                <w:rFonts w:ascii="宋体" w:hAnsi="宋体"/>
                <w:szCs w:val="21"/>
              </w:rPr>
              <w:t>2.1.3</w:t>
            </w:r>
          </w:p>
        </w:tc>
        <w:tc>
          <w:tcPr>
            <w:tcW w:w="1098" w:type="dxa"/>
            <w:vMerge w:val="restart"/>
            <w:noWrap/>
            <w:vAlign w:val="center"/>
          </w:tcPr>
          <w:p>
            <w:pPr>
              <w:spacing w:line="312" w:lineRule="auto"/>
              <w:jc w:val="center"/>
              <w:rPr>
                <w:rFonts w:ascii="宋体" w:hAnsi="宋体"/>
                <w:szCs w:val="21"/>
              </w:rPr>
            </w:pPr>
            <w:r>
              <w:rPr>
                <w:rFonts w:ascii="宋体" w:hAnsi="宋体"/>
                <w:szCs w:val="21"/>
              </w:rPr>
              <w:t>响应性评审标准</w:t>
            </w:r>
          </w:p>
        </w:tc>
        <w:tc>
          <w:tcPr>
            <w:tcW w:w="2132" w:type="dxa"/>
            <w:noWrap/>
            <w:vAlign w:val="center"/>
          </w:tcPr>
          <w:p>
            <w:pPr>
              <w:snapToGrid w:val="0"/>
              <w:spacing w:line="312" w:lineRule="auto"/>
              <w:jc w:val="center"/>
              <w:rPr>
                <w:rFonts w:ascii="宋体" w:hAnsi="宋体"/>
                <w:szCs w:val="21"/>
              </w:rPr>
            </w:pPr>
            <w:r>
              <w:rPr>
                <w:rFonts w:ascii="宋体" w:hAnsi="宋体"/>
                <w:szCs w:val="21"/>
              </w:rPr>
              <w:t>投标报价</w:t>
            </w:r>
          </w:p>
        </w:tc>
        <w:tc>
          <w:tcPr>
            <w:tcW w:w="5252" w:type="dxa"/>
            <w:noWrap/>
            <w:vAlign w:val="center"/>
          </w:tcPr>
          <w:p>
            <w:pPr>
              <w:snapToGrid w:val="0"/>
              <w:spacing w:line="312" w:lineRule="auto"/>
              <w:rPr>
                <w:rFonts w:ascii="宋体" w:hAnsi="宋体"/>
                <w:szCs w:val="21"/>
              </w:rPr>
            </w:pPr>
            <w:r>
              <w:rPr>
                <w:rFonts w:ascii="宋体" w:hAnsi="宋体"/>
                <w:szCs w:val="21"/>
              </w:rPr>
              <w:t>符合第二章“投标人须知”第3.2款规定</w:t>
            </w:r>
            <w:r>
              <w:rPr>
                <w:rFonts w:hint="eastAsia" w:ascii="宋体" w:hAnsi="宋体"/>
                <w:szCs w:val="21"/>
              </w:rPr>
              <w:t>进行投标报价的；对同一招标项目没有出现两个或以上的投标报价，且修正无依据。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jc w:val="center"/>
              <w:rPr>
                <w:rFonts w:ascii="宋体" w:hAnsi="宋体"/>
                <w:szCs w:val="21"/>
              </w:rPr>
            </w:pPr>
          </w:p>
        </w:tc>
        <w:tc>
          <w:tcPr>
            <w:tcW w:w="1098" w:type="dxa"/>
            <w:vMerge w:val="continue"/>
            <w:noWrap/>
            <w:vAlign w:val="center"/>
          </w:tcPr>
          <w:p>
            <w:pPr>
              <w:spacing w:line="312" w:lineRule="auto"/>
              <w:jc w:val="center"/>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ascii="宋体" w:hAnsi="宋体"/>
                <w:szCs w:val="21"/>
              </w:rPr>
              <w:t>投标内容</w:t>
            </w:r>
          </w:p>
        </w:tc>
        <w:tc>
          <w:tcPr>
            <w:tcW w:w="5252" w:type="dxa"/>
            <w:noWrap/>
            <w:vAlign w:val="center"/>
          </w:tcPr>
          <w:p>
            <w:pPr>
              <w:snapToGrid w:val="0"/>
              <w:spacing w:line="312" w:lineRule="auto"/>
              <w:jc w:val="left"/>
              <w:rPr>
                <w:rFonts w:ascii="宋体" w:hAnsi="宋体"/>
                <w:szCs w:val="21"/>
              </w:rPr>
            </w:pPr>
            <w:r>
              <w:rPr>
                <w:rFonts w:hint="eastAsia" w:ascii="宋体" w:hAnsi="宋体"/>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jc w:val="center"/>
              <w:rPr>
                <w:rFonts w:ascii="宋体" w:hAnsi="宋体"/>
                <w:szCs w:val="21"/>
              </w:rPr>
            </w:pPr>
          </w:p>
        </w:tc>
        <w:tc>
          <w:tcPr>
            <w:tcW w:w="1098" w:type="dxa"/>
            <w:vMerge w:val="continue"/>
            <w:noWrap/>
            <w:vAlign w:val="center"/>
          </w:tcPr>
          <w:p>
            <w:pPr>
              <w:spacing w:line="312" w:lineRule="auto"/>
              <w:jc w:val="center"/>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ascii="宋体" w:hAnsi="宋体"/>
                <w:szCs w:val="21"/>
              </w:rPr>
              <w:t>服务期限</w:t>
            </w:r>
          </w:p>
        </w:tc>
        <w:tc>
          <w:tcPr>
            <w:tcW w:w="5252" w:type="dxa"/>
            <w:noWrap/>
            <w:vAlign w:val="center"/>
          </w:tcPr>
          <w:p>
            <w:pPr>
              <w:snapToGrid w:val="0"/>
              <w:spacing w:line="312" w:lineRule="auto"/>
              <w:jc w:val="left"/>
              <w:rPr>
                <w:rFonts w:ascii="宋体" w:hAnsi="宋体"/>
                <w:szCs w:val="21"/>
              </w:rPr>
            </w:pPr>
            <w:r>
              <w:rPr>
                <w:rFonts w:ascii="宋体" w:hAnsi="宋体"/>
                <w:szCs w:val="21"/>
              </w:rPr>
              <w:t>符合第二章“投标人须知”第1.3.2项规定</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jc w:val="center"/>
              <w:rPr>
                <w:rFonts w:ascii="宋体" w:hAnsi="宋体"/>
                <w:szCs w:val="21"/>
              </w:rPr>
            </w:pPr>
          </w:p>
        </w:tc>
        <w:tc>
          <w:tcPr>
            <w:tcW w:w="1098" w:type="dxa"/>
            <w:vMerge w:val="continue"/>
            <w:noWrap/>
            <w:vAlign w:val="center"/>
          </w:tcPr>
          <w:p>
            <w:pPr>
              <w:spacing w:line="312" w:lineRule="auto"/>
              <w:jc w:val="center"/>
              <w:rPr>
                <w:rFonts w:ascii="宋体" w:hAnsi="宋体"/>
                <w:szCs w:val="21"/>
              </w:rPr>
            </w:pPr>
          </w:p>
        </w:tc>
        <w:tc>
          <w:tcPr>
            <w:tcW w:w="2132" w:type="dxa"/>
            <w:noWrap/>
            <w:vAlign w:val="center"/>
          </w:tcPr>
          <w:p>
            <w:pPr>
              <w:snapToGrid w:val="0"/>
              <w:spacing w:line="312" w:lineRule="auto"/>
              <w:jc w:val="center"/>
              <w:rPr>
                <w:rFonts w:ascii="宋体" w:hAnsi="宋体"/>
                <w:szCs w:val="21"/>
              </w:rPr>
            </w:pPr>
            <w:r>
              <w:rPr>
                <w:rFonts w:hint="eastAsia" w:ascii="宋体" w:hAnsi="宋体"/>
                <w:szCs w:val="21"/>
              </w:rPr>
              <w:t>质量标准</w:t>
            </w:r>
          </w:p>
        </w:tc>
        <w:tc>
          <w:tcPr>
            <w:tcW w:w="5252" w:type="dxa"/>
            <w:noWrap/>
            <w:vAlign w:val="center"/>
          </w:tcPr>
          <w:p>
            <w:pPr>
              <w:snapToGrid w:val="0"/>
              <w:spacing w:line="312" w:lineRule="auto"/>
              <w:jc w:val="left"/>
              <w:rPr>
                <w:rFonts w:ascii="宋体" w:hAnsi="宋体"/>
                <w:szCs w:val="21"/>
              </w:rPr>
            </w:pPr>
            <w:r>
              <w:rPr>
                <w:rFonts w:hint="eastAsia" w:ascii="宋体" w:hAnsi="宋体"/>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jc w:val="center"/>
              <w:rPr>
                <w:rFonts w:ascii="宋体" w:hAnsi="宋体"/>
                <w:szCs w:val="21"/>
              </w:rPr>
            </w:pPr>
          </w:p>
        </w:tc>
        <w:tc>
          <w:tcPr>
            <w:tcW w:w="1098" w:type="dxa"/>
            <w:vMerge w:val="continue"/>
            <w:noWrap/>
            <w:vAlign w:val="center"/>
          </w:tcPr>
          <w:p>
            <w:pPr>
              <w:spacing w:line="312" w:lineRule="auto"/>
              <w:jc w:val="center"/>
              <w:rPr>
                <w:rFonts w:ascii="宋体" w:hAnsi="宋体"/>
                <w:szCs w:val="21"/>
              </w:rPr>
            </w:pPr>
          </w:p>
        </w:tc>
        <w:tc>
          <w:tcPr>
            <w:tcW w:w="2132" w:type="dxa"/>
            <w:noWrap/>
            <w:vAlign w:val="top"/>
          </w:tcPr>
          <w:p>
            <w:pPr>
              <w:snapToGrid w:val="0"/>
              <w:spacing w:line="312" w:lineRule="auto"/>
              <w:jc w:val="center"/>
              <w:rPr>
                <w:rFonts w:ascii="宋体" w:hAnsi="宋体"/>
                <w:szCs w:val="21"/>
              </w:rPr>
            </w:pPr>
            <w:r>
              <w:rPr>
                <w:rFonts w:ascii="宋体" w:hAnsi="宋体"/>
                <w:szCs w:val="21"/>
              </w:rPr>
              <w:t>投标有效期</w:t>
            </w:r>
          </w:p>
        </w:tc>
        <w:tc>
          <w:tcPr>
            <w:tcW w:w="5252" w:type="dxa"/>
            <w:noWrap/>
            <w:vAlign w:val="top"/>
          </w:tcPr>
          <w:p>
            <w:pPr>
              <w:snapToGrid w:val="0"/>
              <w:spacing w:line="312" w:lineRule="auto"/>
              <w:rPr>
                <w:rFonts w:ascii="宋体" w:hAnsi="宋体"/>
                <w:szCs w:val="21"/>
              </w:rPr>
            </w:pPr>
            <w:r>
              <w:rPr>
                <w:rFonts w:hint="eastAsia" w:ascii="宋体" w:hAnsi="宋体"/>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80" w:type="dxa"/>
            <w:gridSpan w:val="2"/>
            <w:vMerge w:val="continue"/>
            <w:noWrap/>
            <w:vAlign w:val="center"/>
          </w:tcPr>
          <w:p>
            <w:pPr>
              <w:spacing w:line="312" w:lineRule="auto"/>
              <w:jc w:val="center"/>
              <w:rPr>
                <w:rFonts w:ascii="宋体" w:hAnsi="宋体"/>
                <w:szCs w:val="21"/>
              </w:rPr>
            </w:pPr>
          </w:p>
        </w:tc>
        <w:tc>
          <w:tcPr>
            <w:tcW w:w="1098" w:type="dxa"/>
            <w:vMerge w:val="continue"/>
            <w:noWrap/>
            <w:vAlign w:val="center"/>
          </w:tcPr>
          <w:p>
            <w:pPr>
              <w:spacing w:line="312" w:lineRule="auto"/>
              <w:jc w:val="center"/>
              <w:rPr>
                <w:rFonts w:ascii="宋体" w:hAnsi="宋体"/>
                <w:szCs w:val="21"/>
              </w:rPr>
            </w:pPr>
          </w:p>
        </w:tc>
        <w:tc>
          <w:tcPr>
            <w:tcW w:w="2132" w:type="dxa"/>
            <w:noWrap/>
            <w:vAlign w:val="top"/>
          </w:tcPr>
          <w:p>
            <w:pPr>
              <w:snapToGrid w:val="0"/>
              <w:spacing w:line="312" w:lineRule="auto"/>
              <w:jc w:val="center"/>
              <w:rPr>
                <w:rFonts w:ascii="宋体" w:hAnsi="宋体"/>
                <w:szCs w:val="21"/>
              </w:rPr>
            </w:pPr>
            <w:r>
              <w:rPr>
                <w:rFonts w:hint="eastAsia" w:ascii="宋体" w:hAnsi="宋体"/>
                <w:szCs w:val="21"/>
              </w:rPr>
              <w:t>投标保证金</w:t>
            </w:r>
          </w:p>
        </w:tc>
        <w:tc>
          <w:tcPr>
            <w:tcW w:w="5252" w:type="dxa"/>
            <w:noWrap/>
            <w:vAlign w:val="top"/>
          </w:tcPr>
          <w:p>
            <w:pPr>
              <w:snapToGrid w:val="0"/>
              <w:spacing w:line="312" w:lineRule="auto"/>
              <w:rPr>
                <w:rFonts w:hint="eastAsia" w:ascii="宋体" w:hAnsi="宋体" w:eastAsia="宋体"/>
                <w:szCs w:val="21"/>
                <w:lang w:eastAsia="zh-CN"/>
              </w:rPr>
            </w:pPr>
            <w:r>
              <w:rPr>
                <w:rFonts w:hint="eastAsia" w:ascii="宋体" w:hAnsi="宋体"/>
                <w:szCs w:val="21"/>
              </w:rPr>
              <w:t>符合第二章“投标人须知”第3.4.1项规定</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78" w:type="dxa"/>
            <w:gridSpan w:val="3"/>
            <w:noWrap/>
            <w:vAlign w:val="center"/>
          </w:tcPr>
          <w:p>
            <w:pPr>
              <w:snapToGrid w:val="0"/>
              <w:spacing w:line="312" w:lineRule="auto"/>
              <w:jc w:val="center"/>
              <w:rPr>
                <w:rFonts w:ascii="宋体" w:hAnsi="宋体"/>
                <w:b/>
                <w:szCs w:val="21"/>
              </w:rPr>
            </w:pPr>
            <w:r>
              <w:rPr>
                <w:rFonts w:ascii="宋体" w:hAnsi="宋体"/>
                <w:b/>
                <w:szCs w:val="21"/>
              </w:rPr>
              <w:t>条款号</w:t>
            </w:r>
          </w:p>
        </w:tc>
        <w:tc>
          <w:tcPr>
            <w:tcW w:w="2132" w:type="dxa"/>
            <w:noWrap/>
            <w:vAlign w:val="center"/>
          </w:tcPr>
          <w:p>
            <w:pPr>
              <w:snapToGrid w:val="0"/>
              <w:spacing w:line="312" w:lineRule="auto"/>
              <w:jc w:val="center"/>
              <w:rPr>
                <w:rFonts w:ascii="宋体" w:hAnsi="宋体"/>
                <w:b/>
                <w:szCs w:val="21"/>
              </w:rPr>
            </w:pPr>
            <w:r>
              <w:rPr>
                <w:rFonts w:ascii="宋体" w:hAnsi="宋体"/>
                <w:b/>
                <w:szCs w:val="21"/>
              </w:rPr>
              <w:t>条款内容</w:t>
            </w:r>
          </w:p>
        </w:tc>
        <w:tc>
          <w:tcPr>
            <w:tcW w:w="5252" w:type="dxa"/>
            <w:noWrap/>
            <w:vAlign w:val="center"/>
          </w:tcPr>
          <w:p>
            <w:pPr>
              <w:snapToGrid w:val="0"/>
              <w:spacing w:line="312" w:lineRule="auto"/>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78" w:type="dxa"/>
            <w:gridSpan w:val="3"/>
            <w:noWrap/>
            <w:vAlign w:val="center"/>
          </w:tcPr>
          <w:p>
            <w:pPr>
              <w:spacing w:line="312" w:lineRule="auto"/>
              <w:jc w:val="center"/>
              <w:rPr>
                <w:rFonts w:ascii="宋体" w:hAnsi="宋体"/>
                <w:szCs w:val="21"/>
              </w:rPr>
            </w:pPr>
            <w:r>
              <w:rPr>
                <w:rFonts w:ascii="宋体" w:hAnsi="宋体"/>
                <w:szCs w:val="21"/>
              </w:rPr>
              <w:t>2.2.1</w:t>
            </w:r>
          </w:p>
        </w:tc>
        <w:tc>
          <w:tcPr>
            <w:tcW w:w="2132" w:type="dxa"/>
            <w:noWrap/>
            <w:vAlign w:val="center"/>
          </w:tcPr>
          <w:p>
            <w:pPr>
              <w:snapToGrid w:val="0"/>
              <w:spacing w:line="312" w:lineRule="auto"/>
              <w:jc w:val="center"/>
              <w:rPr>
                <w:rFonts w:ascii="宋体" w:hAnsi="宋体"/>
                <w:szCs w:val="21"/>
              </w:rPr>
            </w:pPr>
            <w:r>
              <w:rPr>
                <w:rFonts w:ascii="宋体" w:hAnsi="宋体"/>
                <w:szCs w:val="21"/>
              </w:rPr>
              <w:t>分值构成</w:t>
            </w:r>
          </w:p>
          <w:p>
            <w:pPr>
              <w:snapToGrid w:val="0"/>
              <w:spacing w:line="312" w:lineRule="auto"/>
              <w:jc w:val="center"/>
              <w:rPr>
                <w:rFonts w:ascii="宋体" w:hAnsi="宋体"/>
                <w:szCs w:val="21"/>
              </w:rPr>
            </w:pPr>
            <w:r>
              <w:rPr>
                <w:rFonts w:ascii="宋体" w:hAnsi="宋体"/>
                <w:szCs w:val="21"/>
              </w:rPr>
              <w:t>(总分100分)</w:t>
            </w:r>
          </w:p>
        </w:tc>
        <w:tc>
          <w:tcPr>
            <w:tcW w:w="5252" w:type="dxa"/>
            <w:noWrap/>
            <w:vAlign w:val="center"/>
          </w:tcPr>
          <w:p>
            <w:pPr>
              <w:spacing w:line="312" w:lineRule="auto"/>
              <w:jc w:val="left"/>
              <w:rPr>
                <w:rStyle w:val="35"/>
                <w:rFonts w:ascii="宋体" w:hAnsi="宋体"/>
                <w:szCs w:val="21"/>
              </w:rPr>
            </w:pPr>
            <w:r>
              <w:rPr>
                <w:rStyle w:val="35"/>
                <w:rFonts w:ascii="宋体" w:hAnsi="宋体"/>
                <w:szCs w:val="21"/>
              </w:rPr>
              <w:t>资信业绩部分：</w:t>
            </w:r>
            <w:r>
              <w:rPr>
                <w:rStyle w:val="35"/>
                <w:rFonts w:hint="eastAsia" w:ascii="宋体" w:hAnsi="宋体"/>
                <w:bCs/>
                <w:szCs w:val="21"/>
                <w:u w:val="single"/>
              </w:rPr>
              <w:t>45</w:t>
            </w:r>
            <w:r>
              <w:rPr>
                <w:rStyle w:val="35"/>
                <w:rFonts w:ascii="宋体" w:hAnsi="宋体"/>
                <w:bCs/>
                <w:szCs w:val="21"/>
              </w:rPr>
              <w:t>分</w:t>
            </w:r>
          </w:p>
          <w:p>
            <w:pPr>
              <w:spacing w:line="312" w:lineRule="auto"/>
              <w:jc w:val="left"/>
              <w:rPr>
                <w:rStyle w:val="35"/>
                <w:rFonts w:ascii="宋体" w:hAnsi="宋体"/>
                <w:szCs w:val="21"/>
              </w:rPr>
            </w:pPr>
            <w:r>
              <w:rPr>
                <w:rFonts w:hint="eastAsia" w:ascii="宋体" w:hAnsi="宋体"/>
                <w:szCs w:val="21"/>
              </w:rPr>
              <w:t>技术方案</w:t>
            </w:r>
            <w:r>
              <w:rPr>
                <w:rStyle w:val="35"/>
                <w:rFonts w:ascii="宋体" w:hAnsi="宋体"/>
                <w:szCs w:val="21"/>
              </w:rPr>
              <w:t>部分：</w:t>
            </w:r>
            <w:r>
              <w:rPr>
                <w:rStyle w:val="35"/>
                <w:rFonts w:hint="eastAsia" w:ascii="宋体" w:hAnsi="宋体"/>
                <w:bCs/>
                <w:szCs w:val="21"/>
                <w:u w:val="single"/>
                <w:lang w:val="en-US" w:eastAsia="zh-CN"/>
              </w:rPr>
              <w:t>35</w:t>
            </w:r>
            <w:r>
              <w:rPr>
                <w:rStyle w:val="35"/>
                <w:rFonts w:ascii="宋体" w:hAnsi="宋体"/>
                <w:bCs/>
                <w:szCs w:val="21"/>
              </w:rPr>
              <w:t>分</w:t>
            </w:r>
          </w:p>
          <w:p>
            <w:pPr>
              <w:spacing w:line="312" w:lineRule="auto"/>
              <w:jc w:val="left"/>
              <w:rPr>
                <w:rStyle w:val="35"/>
                <w:rFonts w:ascii="宋体" w:hAnsi="宋体"/>
                <w:szCs w:val="21"/>
              </w:rPr>
            </w:pPr>
            <w:r>
              <w:rPr>
                <w:rStyle w:val="35"/>
                <w:rFonts w:ascii="宋体" w:hAnsi="宋体"/>
                <w:szCs w:val="21"/>
              </w:rPr>
              <w:t>投标报价：</w:t>
            </w:r>
            <w:r>
              <w:rPr>
                <w:rStyle w:val="35"/>
                <w:rFonts w:hint="eastAsia" w:ascii="宋体" w:hAnsi="宋体"/>
                <w:bCs/>
                <w:szCs w:val="21"/>
                <w:u w:val="single"/>
                <w:lang w:val="en-US" w:eastAsia="zh-CN"/>
              </w:rPr>
              <w:t>20</w:t>
            </w:r>
            <w:r>
              <w:rPr>
                <w:rStyle w:val="35"/>
                <w:rFonts w:ascii="宋体" w:hAnsi="宋体"/>
                <w:bCs/>
                <w:szCs w:val="21"/>
              </w:rPr>
              <w:t>分</w:t>
            </w:r>
          </w:p>
          <w:p>
            <w:pPr>
              <w:spacing w:line="312" w:lineRule="auto"/>
              <w:jc w:val="left"/>
              <w:rPr>
                <w:rFonts w:ascii="宋体" w:hAnsi="宋体"/>
                <w:szCs w:val="21"/>
              </w:rPr>
            </w:pPr>
            <w:r>
              <w:rPr>
                <w:rFonts w:hint="eastAsia" w:ascii="宋体" w:hAnsi="宋体"/>
                <w:szCs w:val="21"/>
              </w:rPr>
              <w:t>投标人得分＝资信业绩部分+技术方案部分+投标报价投标报价的计算以含税的总报价作为评审价。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78" w:type="dxa"/>
            <w:gridSpan w:val="3"/>
            <w:noWrap/>
            <w:vAlign w:val="center"/>
          </w:tcPr>
          <w:p>
            <w:pPr>
              <w:spacing w:line="312" w:lineRule="auto"/>
              <w:jc w:val="center"/>
              <w:rPr>
                <w:rFonts w:ascii="宋体" w:hAnsi="宋体"/>
                <w:szCs w:val="21"/>
              </w:rPr>
            </w:pPr>
            <w:r>
              <w:rPr>
                <w:rFonts w:ascii="宋体" w:hAnsi="宋体"/>
                <w:szCs w:val="21"/>
              </w:rPr>
              <w:t>2.2.2</w:t>
            </w:r>
          </w:p>
        </w:tc>
        <w:tc>
          <w:tcPr>
            <w:tcW w:w="2132" w:type="dxa"/>
            <w:noWrap/>
            <w:vAlign w:val="center"/>
          </w:tcPr>
          <w:p>
            <w:pPr>
              <w:snapToGrid w:val="0"/>
              <w:spacing w:line="312" w:lineRule="auto"/>
              <w:jc w:val="left"/>
              <w:rPr>
                <w:rFonts w:ascii="宋体" w:hAnsi="宋体"/>
                <w:szCs w:val="21"/>
              </w:rPr>
            </w:pPr>
            <w:r>
              <w:rPr>
                <w:rFonts w:ascii="宋体" w:hAnsi="宋体"/>
                <w:szCs w:val="21"/>
              </w:rPr>
              <w:t>评标基准价计算方法</w:t>
            </w:r>
          </w:p>
        </w:tc>
        <w:tc>
          <w:tcPr>
            <w:tcW w:w="5252" w:type="dxa"/>
            <w:noWrap/>
            <w:vAlign w:val="center"/>
          </w:tcPr>
          <w:p>
            <w:pPr>
              <w:snapToGrid w:val="0"/>
              <w:spacing w:line="312" w:lineRule="auto"/>
              <w:jc w:val="left"/>
              <w:rPr>
                <w:rFonts w:hint="eastAsia" w:ascii="宋体" w:hAnsi="宋体"/>
                <w:spacing w:val="-3"/>
                <w:szCs w:val="21"/>
              </w:rPr>
            </w:pPr>
            <w:r>
              <w:rPr>
                <w:rFonts w:hint="eastAsia" w:ascii="宋体" w:hAnsi="宋体"/>
                <w:spacing w:val="-3"/>
                <w:szCs w:val="21"/>
              </w:rPr>
              <w:t>（1）当通过形式评审、资格评审、响应性评审的有效投标人且经算术校核的报价位于[最高投标限价×80%，最高投标限价]区间的投标人的报价大于或等于5个，去一个最高价和一个最低价后，剩余报价的算术平均值为评标基准价；</w:t>
            </w:r>
          </w:p>
          <w:p>
            <w:pPr>
              <w:snapToGrid w:val="0"/>
              <w:spacing w:line="312" w:lineRule="auto"/>
              <w:jc w:val="left"/>
              <w:rPr>
                <w:rFonts w:hint="eastAsia" w:ascii="宋体" w:hAnsi="宋体"/>
                <w:spacing w:val="-3"/>
                <w:szCs w:val="21"/>
              </w:rPr>
            </w:pPr>
            <w:r>
              <w:rPr>
                <w:rFonts w:hint="eastAsia" w:ascii="宋体" w:hAnsi="宋体"/>
                <w:spacing w:val="-3"/>
                <w:szCs w:val="21"/>
              </w:rPr>
              <w:t>（2）若位于[最高投标限价×80%，最高投标限价]区间的投标人的报价少于5个，直接取区间中的投标价的算术平均值为评标基准价。</w:t>
            </w:r>
          </w:p>
          <w:p>
            <w:pPr>
              <w:rPr>
                <w:rFonts w:ascii="宋体" w:hAnsi="宋体"/>
                <w:spacing w:val="-3"/>
                <w:szCs w:val="21"/>
              </w:rPr>
            </w:pPr>
            <w:r>
              <w:rPr>
                <w:rFonts w:hint="eastAsia" w:ascii="宋体" w:hAnsi="宋体"/>
                <w:spacing w:val="-3"/>
                <w:szCs w:val="21"/>
              </w:rPr>
              <w:t>（3）若没有投标报价位于[最高投标限价×80%，最高投标限价]区间，直接取投标价的算术平均值为评标参考价。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78" w:type="dxa"/>
            <w:gridSpan w:val="3"/>
            <w:noWrap/>
            <w:vAlign w:val="center"/>
          </w:tcPr>
          <w:p>
            <w:pPr>
              <w:spacing w:line="312" w:lineRule="auto"/>
              <w:jc w:val="center"/>
              <w:rPr>
                <w:rFonts w:ascii="宋体" w:hAnsi="宋体"/>
                <w:szCs w:val="21"/>
              </w:rPr>
            </w:pPr>
            <w:r>
              <w:rPr>
                <w:rFonts w:ascii="宋体" w:hAnsi="宋体"/>
                <w:szCs w:val="21"/>
              </w:rPr>
              <w:t>2.2.3</w:t>
            </w:r>
          </w:p>
        </w:tc>
        <w:tc>
          <w:tcPr>
            <w:tcW w:w="2132" w:type="dxa"/>
            <w:noWrap/>
            <w:vAlign w:val="center"/>
          </w:tcPr>
          <w:p>
            <w:pPr>
              <w:snapToGrid w:val="0"/>
              <w:spacing w:line="312" w:lineRule="auto"/>
              <w:jc w:val="center"/>
              <w:rPr>
                <w:rFonts w:ascii="宋体" w:hAnsi="宋体"/>
                <w:szCs w:val="21"/>
              </w:rPr>
            </w:pPr>
            <w:r>
              <w:rPr>
                <w:rFonts w:ascii="宋体" w:hAnsi="宋体"/>
                <w:szCs w:val="21"/>
              </w:rPr>
              <w:t>投标报价的偏差率计算公式</w:t>
            </w:r>
          </w:p>
        </w:tc>
        <w:tc>
          <w:tcPr>
            <w:tcW w:w="5252" w:type="dxa"/>
            <w:noWrap/>
            <w:vAlign w:val="center"/>
          </w:tcPr>
          <w:p>
            <w:pPr>
              <w:snapToGrid w:val="0"/>
              <w:spacing w:line="312" w:lineRule="auto"/>
              <w:jc w:val="left"/>
              <w:rPr>
                <w:rFonts w:ascii="宋体" w:hAnsi="宋体"/>
                <w:spacing w:val="-3"/>
                <w:szCs w:val="21"/>
              </w:rPr>
            </w:pPr>
            <w:r>
              <w:rPr>
                <w:rFonts w:ascii="宋体" w:hAnsi="宋体"/>
                <w:spacing w:val="-3"/>
                <w:szCs w:val="21"/>
              </w:rPr>
              <w:t>偏差率=100% ×|（投标人报价-评标基准价）|/评标基准价（偏差率出现小数点时，保留小数点后2位，第三位小数四舍五入。</w:t>
            </w:r>
            <w:r>
              <w:rPr>
                <w:rFonts w:hint="eastAsia" w:ascii="宋体" w:hAnsi="宋体"/>
                <w:spacing w:val="-3"/>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78" w:type="dxa"/>
            <w:gridSpan w:val="3"/>
            <w:noWrap/>
            <w:vAlign w:val="top"/>
          </w:tcPr>
          <w:p>
            <w:pPr>
              <w:pStyle w:val="36"/>
              <w:kinsoku w:val="0"/>
              <w:overflowPunct w:val="0"/>
              <w:spacing w:line="312" w:lineRule="auto"/>
              <w:ind w:right="309"/>
              <w:jc w:val="center"/>
              <w:rPr>
                <w:rFonts w:hint="default" w:ascii="宋体" w:hAnsi="宋体"/>
                <w:b/>
                <w:bCs/>
                <w:szCs w:val="21"/>
              </w:rPr>
            </w:pPr>
            <w:r>
              <w:rPr>
                <w:rFonts w:ascii="宋体" w:hAnsi="宋体"/>
                <w:b/>
                <w:bCs/>
                <w:szCs w:val="21"/>
              </w:rPr>
              <w:t>条款号</w:t>
            </w:r>
          </w:p>
        </w:tc>
        <w:tc>
          <w:tcPr>
            <w:tcW w:w="2132" w:type="dxa"/>
            <w:noWrap/>
            <w:vAlign w:val="top"/>
          </w:tcPr>
          <w:p>
            <w:pPr>
              <w:pStyle w:val="36"/>
              <w:kinsoku w:val="0"/>
              <w:overflowPunct w:val="0"/>
              <w:spacing w:line="312" w:lineRule="auto"/>
              <w:rPr>
                <w:rFonts w:hint="default" w:ascii="宋体" w:hAnsi="宋体"/>
                <w:b/>
                <w:bCs/>
                <w:szCs w:val="21"/>
              </w:rPr>
            </w:pPr>
            <w:r>
              <w:rPr>
                <w:rFonts w:ascii="宋体" w:hAnsi="宋体"/>
                <w:b/>
                <w:bCs/>
                <w:szCs w:val="21"/>
              </w:rPr>
              <w:t>评分因素（偏差率）</w:t>
            </w:r>
          </w:p>
        </w:tc>
        <w:tc>
          <w:tcPr>
            <w:tcW w:w="5252" w:type="dxa"/>
            <w:noWrap/>
            <w:vAlign w:val="top"/>
          </w:tcPr>
          <w:p>
            <w:pPr>
              <w:pStyle w:val="36"/>
              <w:kinsoku w:val="0"/>
              <w:overflowPunct w:val="0"/>
              <w:spacing w:line="312" w:lineRule="auto"/>
              <w:ind w:left="1895" w:right="1655"/>
              <w:jc w:val="center"/>
              <w:rPr>
                <w:rFonts w:hint="default" w:ascii="宋体" w:hAnsi="宋体"/>
                <w:b/>
                <w:bCs/>
                <w:szCs w:val="21"/>
              </w:rPr>
            </w:pPr>
            <w:r>
              <w:rPr>
                <w:rFonts w:ascii="宋体" w:hAnsi="宋体"/>
                <w:b/>
                <w:bCs/>
                <w:szCs w:val="21"/>
              </w:rPr>
              <w:t xml:space="preserve">评分标准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1" w:type="dxa"/>
            <w:vMerge w:val="restart"/>
            <w:noWrap/>
            <w:vAlign w:val="center"/>
          </w:tcPr>
          <w:p>
            <w:pPr>
              <w:pStyle w:val="36"/>
              <w:kinsoku w:val="0"/>
              <w:overflowPunct w:val="0"/>
              <w:spacing w:line="312" w:lineRule="auto"/>
              <w:ind w:left="-63" w:leftChars="-30" w:right="-111" w:rightChars="-53" w:firstLine="63" w:firstLineChars="30"/>
              <w:jc w:val="center"/>
              <w:rPr>
                <w:rFonts w:ascii="宋体" w:hAnsi="宋体"/>
                <w:szCs w:val="21"/>
              </w:rPr>
            </w:pPr>
            <w:r>
              <w:rPr>
                <w:rFonts w:ascii="宋体" w:hAnsi="宋体"/>
                <w:szCs w:val="21"/>
              </w:rPr>
              <w:t>2.2.4</w:t>
            </w:r>
          </w:p>
          <w:p>
            <w:pPr>
              <w:pStyle w:val="36"/>
              <w:kinsoku w:val="0"/>
              <w:overflowPunct w:val="0"/>
              <w:spacing w:line="312" w:lineRule="auto"/>
              <w:ind w:left="-63" w:leftChars="-30" w:right="-111" w:rightChars="-53" w:firstLine="62" w:firstLineChars="30"/>
              <w:jc w:val="center"/>
              <w:rPr>
                <w:rFonts w:hint="default" w:ascii="宋体" w:hAnsi="宋体"/>
                <w:szCs w:val="21"/>
              </w:rPr>
            </w:pPr>
            <w:r>
              <w:rPr>
                <w:rFonts w:ascii="宋体" w:hAnsi="宋体"/>
                <w:spacing w:val="-1"/>
                <w:szCs w:val="21"/>
              </w:rPr>
              <w:t>（</w:t>
            </w:r>
            <w:r>
              <w:rPr>
                <w:rFonts w:ascii="宋体" w:hAnsi="宋体"/>
                <w:szCs w:val="21"/>
              </w:rPr>
              <w:t>1）</w:t>
            </w:r>
          </w:p>
        </w:tc>
        <w:tc>
          <w:tcPr>
            <w:tcW w:w="1287" w:type="dxa"/>
            <w:gridSpan w:val="2"/>
            <w:vMerge w:val="restart"/>
            <w:noWrap/>
            <w:vAlign w:val="center"/>
          </w:tcPr>
          <w:p>
            <w:pPr>
              <w:spacing w:line="312" w:lineRule="auto"/>
              <w:ind w:left="315" w:hanging="315" w:hangingChars="150"/>
              <w:jc w:val="center"/>
              <w:rPr>
                <w:rFonts w:ascii="宋体" w:hAnsi="宋体"/>
                <w:szCs w:val="21"/>
              </w:rPr>
            </w:pPr>
            <w:r>
              <w:rPr>
                <w:rFonts w:hint="eastAsia" w:ascii="宋体" w:hAnsi="宋体"/>
                <w:szCs w:val="21"/>
              </w:rPr>
              <w:t>资信</w:t>
            </w:r>
            <w:r>
              <w:rPr>
                <w:rFonts w:hint="eastAsia" w:ascii="宋体" w:hAnsi="宋体"/>
                <w:spacing w:val="-3"/>
                <w:szCs w:val="21"/>
              </w:rPr>
              <w:t>业</w:t>
            </w:r>
            <w:r>
              <w:rPr>
                <w:rFonts w:hint="eastAsia" w:ascii="宋体" w:hAnsi="宋体"/>
                <w:szCs w:val="21"/>
              </w:rPr>
              <w:t>绩</w:t>
            </w:r>
          </w:p>
          <w:p>
            <w:pPr>
              <w:spacing w:line="312" w:lineRule="auto"/>
              <w:ind w:left="315" w:hanging="315" w:hangingChars="150"/>
              <w:jc w:val="center"/>
              <w:rPr>
                <w:rFonts w:ascii="宋体" w:hAnsi="宋体"/>
                <w:szCs w:val="21"/>
              </w:rPr>
            </w:pPr>
            <w:r>
              <w:rPr>
                <w:rFonts w:hint="eastAsia" w:ascii="宋体" w:hAnsi="宋体"/>
                <w:szCs w:val="21"/>
              </w:rPr>
              <w:t>评分</w:t>
            </w:r>
            <w:r>
              <w:rPr>
                <w:rFonts w:hint="eastAsia" w:ascii="宋体" w:hAnsi="宋体"/>
                <w:spacing w:val="-3"/>
                <w:szCs w:val="21"/>
              </w:rPr>
              <w:t>标</w:t>
            </w:r>
            <w:r>
              <w:rPr>
                <w:rFonts w:hint="eastAsia" w:ascii="宋体" w:hAnsi="宋体"/>
                <w:szCs w:val="21"/>
              </w:rPr>
              <w:t>准</w:t>
            </w:r>
          </w:p>
          <w:p>
            <w:pPr>
              <w:pStyle w:val="36"/>
              <w:kinsoku w:val="0"/>
              <w:overflowPunct w:val="0"/>
              <w:spacing w:line="312" w:lineRule="auto"/>
              <w:ind w:left="-115" w:leftChars="-55" w:right="-122" w:rightChars="-58"/>
              <w:jc w:val="center"/>
              <w:rPr>
                <w:rFonts w:hint="default" w:ascii="宋体" w:hAnsi="宋体"/>
                <w:szCs w:val="21"/>
              </w:rPr>
            </w:pPr>
            <w:r>
              <w:rPr>
                <w:rFonts w:ascii="宋体" w:hAnsi="宋体"/>
                <w:szCs w:val="21"/>
              </w:rPr>
              <w:t>（45分）</w:t>
            </w: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企业综合能力及信誉（1</w:t>
            </w:r>
            <w:r>
              <w:rPr>
                <w:rFonts w:hint="eastAsia" w:ascii="宋体" w:hAnsi="宋体"/>
                <w:szCs w:val="21"/>
                <w:lang w:val="en-US" w:eastAsia="zh-CN"/>
              </w:rPr>
              <w:t>0</w:t>
            </w:r>
            <w:r>
              <w:rPr>
                <w:rFonts w:hint="eastAsia" w:ascii="宋体" w:hAnsi="宋体"/>
                <w:szCs w:val="21"/>
              </w:rPr>
              <w:t>分）</w:t>
            </w:r>
          </w:p>
        </w:tc>
        <w:tc>
          <w:tcPr>
            <w:tcW w:w="5252" w:type="dxa"/>
            <w:noWrap/>
            <w:vAlign w:val="center"/>
          </w:tcPr>
          <w:p>
            <w:pPr>
              <w:rPr>
                <w:rFonts w:hint="eastAsia" w:ascii="宋体" w:hAnsi="宋体" w:eastAsia="宋体"/>
                <w:szCs w:val="21"/>
                <w:lang w:eastAsia="zh-CN"/>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top"/>
          </w:tcPr>
          <w:p>
            <w:pPr>
              <w:pStyle w:val="36"/>
              <w:kinsoku w:val="0"/>
              <w:overflowPunct w:val="0"/>
              <w:spacing w:line="312" w:lineRule="auto"/>
              <w:ind w:left="-63" w:leftChars="-30" w:right="-111" w:rightChars="-53" w:firstLine="63" w:firstLineChars="30"/>
              <w:jc w:val="center"/>
              <w:rPr>
                <w:rFonts w:hint="default" w:ascii="宋体" w:hAnsi="宋体"/>
                <w:szCs w:val="21"/>
              </w:rPr>
            </w:pPr>
          </w:p>
        </w:tc>
        <w:tc>
          <w:tcPr>
            <w:tcW w:w="1287" w:type="dxa"/>
            <w:gridSpan w:val="2"/>
            <w:vMerge w:val="continue"/>
            <w:noWrap/>
            <w:vAlign w:val="top"/>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项目业绩（1</w:t>
            </w:r>
            <w:r>
              <w:rPr>
                <w:rFonts w:hint="eastAsia" w:ascii="宋体" w:hAnsi="宋体"/>
                <w:szCs w:val="21"/>
                <w:lang w:val="en-US" w:eastAsia="zh-CN"/>
              </w:rPr>
              <w:t>8</w:t>
            </w:r>
            <w:r>
              <w:rPr>
                <w:rFonts w:hint="eastAsia" w:ascii="宋体" w:hAnsi="宋体"/>
                <w:szCs w:val="21"/>
              </w:rPr>
              <w:t>分）</w:t>
            </w:r>
          </w:p>
        </w:tc>
        <w:tc>
          <w:tcPr>
            <w:tcW w:w="5252" w:type="dxa"/>
            <w:noWrap/>
            <w:vAlign w:val="center"/>
          </w:tcPr>
          <w:p>
            <w:pPr>
              <w:spacing w:line="312" w:lineRule="auto"/>
              <w:contextualSpacing/>
              <w:rPr>
                <w:rFonts w:hint="eastAsia" w:ascii="宋体" w:hAnsi="宋体" w:eastAsia="宋体"/>
                <w:szCs w:val="21"/>
                <w:lang w:val="en-US" w:eastAsia="zh-CN"/>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top"/>
          </w:tcPr>
          <w:p>
            <w:pPr>
              <w:pStyle w:val="36"/>
              <w:kinsoku w:val="0"/>
              <w:overflowPunct w:val="0"/>
              <w:spacing w:line="312" w:lineRule="auto"/>
              <w:ind w:left="-63" w:leftChars="-30" w:right="-111" w:rightChars="-53" w:firstLine="63" w:firstLineChars="30"/>
              <w:jc w:val="center"/>
              <w:rPr>
                <w:rFonts w:hint="default" w:ascii="宋体" w:hAnsi="宋体"/>
                <w:szCs w:val="21"/>
              </w:rPr>
            </w:pPr>
          </w:p>
        </w:tc>
        <w:tc>
          <w:tcPr>
            <w:tcW w:w="1287" w:type="dxa"/>
            <w:gridSpan w:val="2"/>
            <w:vMerge w:val="continue"/>
            <w:noWrap/>
            <w:vAlign w:val="top"/>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hint="eastAsia" w:ascii="宋体" w:hAnsi="宋体" w:eastAsia="宋体"/>
                <w:szCs w:val="21"/>
                <w:lang w:eastAsia="zh-CN"/>
              </w:rPr>
            </w:pPr>
            <w:r>
              <w:rPr>
                <w:rFonts w:hint="eastAsia" w:ascii="宋体" w:hAnsi="宋体"/>
                <w:szCs w:val="21"/>
              </w:rPr>
              <w:t>总监理工程师资历</w:t>
            </w:r>
            <w:r>
              <w:rPr>
                <w:rFonts w:hint="eastAsia" w:ascii="宋体" w:hAnsi="宋体"/>
                <w:szCs w:val="21"/>
                <w:lang w:eastAsia="zh-CN"/>
              </w:rPr>
              <w:t>（</w:t>
            </w:r>
            <w:r>
              <w:rPr>
                <w:rFonts w:hint="eastAsia" w:ascii="宋体" w:hAnsi="宋体"/>
                <w:szCs w:val="21"/>
                <w:lang w:val="en-US" w:eastAsia="zh-CN"/>
              </w:rPr>
              <w:t>5分</w:t>
            </w:r>
            <w:r>
              <w:rPr>
                <w:rFonts w:hint="eastAsia" w:ascii="宋体" w:hAnsi="宋体"/>
                <w:szCs w:val="21"/>
                <w:lang w:eastAsia="zh-CN"/>
              </w:rPr>
              <w:t>）</w:t>
            </w:r>
          </w:p>
        </w:tc>
        <w:tc>
          <w:tcPr>
            <w:tcW w:w="5252" w:type="dxa"/>
            <w:noWrap/>
            <w:vAlign w:val="center"/>
          </w:tcPr>
          <w:p>
            <w:pPr>
              <w:spacing w:line="312" w:lineRule="auto"/>
              <w:contextualSpacing/>
              <w:jc w:val="left"/>
              <w:rPr>
                <w:rFonts w:hint="eastAsia"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91" w:type="dxa"/>
            <w:vMerge w:val="continue"/>
            <w:noWrap/>
            <w:vAlign w:val="top"/>
          </w:tcPr>
          <w:p>
            <w:pPr>
              <w:pStyle w:val="36"/>
              <w:kinsoku w:val="0"/>
              <w:overflowPunct w:val="0"/>
              <w:spacing w:line="312" w:lineRule="auto"/>
              <w:ind w:left="-63" w:leftChars="-30" w:right="-111" w:rightChars="-53" w:firstLine="63" w:firstLineChars="30"/>
              <w:jc w:val="center"/>
              <w:rPr>
                <w:rFonts w:hint="default" w:ascii="宋体" w:hAnsi="宋体"/>
                <w:szCs w:val="21"/>
              </w:rPr>
            </w:pPr>
          </w:p>
        </w:tc>
        <w:tc>
          <w:tcPr>
            <w:tcW w:w="1287" w:type="dxa"/>
            <w:gridSpan w:val="2"/>
            <w:vMerge w:val="continue"/>
            <w:noWrap/>
            <w:vAlign w:val="top"/>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hint="eastAsia" w:ascii="宋体" w:hAnsi="宋体" w:cs="宋体"/>
                <w:szCs w:val="21"/>
              </w:rPr>
            </w:pPr>
            <w:r>
              <w:rPr>
                <w:rFonts w:hint="eastAsia" w:ascii="宋体" w:hAnsi="宋体" w:cs="宋体"/>
                <w:szCs w:val="21"/>
              </w:rPr>
              <w:t>其他主要人员资历</w:t>
            </w:r>
          </w:p>
          <w:p>
            <w:pPr>
              <w:spacing w:line="312" w:lineRule="auto"/>
              <w:contextualSpacing/>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分）</w:t>
            </w:r>
          </w:p>
        </w:tc>
        <w:tc>
          <w:tcPr>
            <w:tcW w:w="5252" w:type="dxa"/>
            <w:noWrap/>
            <w:vAlign w:val="center"/>
          </w:tcPr>
          <w:p>
            <w:pPr>
              <w:spacing w:line="312" w:lineRule="auto"/>
              <w:contextualSpacing/>
              <w:jc w:val="left"/>
              <w:rPr>
                <w:rFonts w:hint="eastAsia"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restart"/>
            <w:noWrap/>
            <w:vAlign w:val="center"/>
          </w:tcPr>
          <w:p>
            <w:pPr>
              <w:pStyle w:val="36"/>
              <w:kinsoku w:val="0"/>
              <w:overflowPunct w:val="0"/>
              <w:spacing w:line="312" w:lineRule="auto"/>
              <w:ind w:left="-63" w:leftChars="-30" w:right="-111" w:rightChars="-53" w:firstLine="63" w:firstLineChars="30"/>
              <w:jc w:val="center"/>
              <w:rPr>
                <w:rFonts w:ascii="宋体" w:hAnsi="宋体"/>
                <w:szCs w:val="21"/>
              </w:rPr>
            </w:pPr>
            <w:r>
              <w:rPr>
                <w:rFonts w:ascii="宋体" w:hAnsi="宋体"/>
                <w:szCs w:val="21"/>
              </w:rPr>
              <w:t>2.2.4</w:t>
            </w:r>
          </w:p>
          <w:p>
            <w:pPr>
              <w:pStyle w:val="36"/>
              <w:kinsoku w:val="0"/>
              <w:overflowPunct w:val="0"/>
              <w:spacing w:line="312" w:lineRule="auto"/>
              <w:ind w:left="-63" w:leftChars="-30" w:right="-111" w:rightChars="-53" w:firstLine="62" w:firstLineChars="30"/>
              <w:jc w:val="center"/>
              <w:rPr>
                <w:rFonts w:hint="default" w:ascii="宋体" w:hAnsi="宋体"/>
                <w:szCs w:val="21"/>
              </w:rPr>
            </w:pPr>
            <w:r>
              <w:rPr>
                <w:rFonts w:ascii="宋体" w:hAnsi="宋体"/>
                <w:spacing w:val="-1"/>
                <w:szCs w:val="21"/>
              </w:rPr>
              <w:t>（</w:t>
            </w:r>
            <w:r>
              <w:rPr>
                <w:rFonts w:ascii="宋体" w:hAnsi="宋体"/>
                <w:szCs w:val="21"/>
              </w:rPr>
              <w:t>2）</w:t>
            </w:r>
          </w:p>
        </w:tc>
        <w:tc>
          <w:tcPr>
            <w:tcW w:w="1287" w:type="dxa"/>
            <w:gridSpan w:val="2"/>
            <w:vMerge w:val="restart"/>
            <w:noWrap/>
            <w:vAlign w:val="center"/>
          </w:tcPr>
          <w:p>
            <w:pPr>
              <w:spacing w:line="312" w:lineRule="auto"/>
              <w:ind w:left="315" w:hanging="315" w:hangingChars="150"/>
              <w:jc w:val="center"/>
              <w:rPr>
                <w:rFonts w:ascii="宋体" w:hAnsi="宋体"/>
                <w:szCs w:val="21"/>
              </w:rPr>
            </w:pPr>
            <w:r>
              <w:rPr>
                <w:rFonts w:hint="eastAsia" w:ascii="宋体" w:hAnsi="宋体"/>
                <w:szCs w:val="21"/>
              </w:rPr>
              <w:t>技术方案</w:t>
            </w:r>
          </w:p>
          <w:p>
            <w:pPr>
              <w:spacing w:line="312" w:lineRule="auto"/>
              <w:ind w:left="315" w:hanging="315" w:hangingChars="150"/>
              <w:jc w:val="center"/>
              <w:rPr>
                <w:rFonts w:ascii="宋体" w:hAnsi="宋体"/>
                <w:szCs w:val="21"/>
              </w:rPr>
            </w:pPr>
            <w:r>
              <w:rPr>
                <w:rFonts w:hint="eastAsia" w:ascii="宋体" w:hAnsi="宋体"/>
                <w:szCs w:val="21"/>
              </w:rPr>
              <w:t>评分</w:t>
            </w:r>
            <w:r>
              <w:rPr>
                <w:rFonts w:hint="eastAsia" w:ascii="宋体" w:hAnsi="宋体"/>
                <w:spacing w:val="-3"/>
                <w:szCs w:val="21"/>
              </w:rPr>
              <w:t>标</w:t>
            </w:r>
            <w:r>
              <w:rPr>
                <w:rFonts w:hint="eastAsia" w:ascii="宋体" w:hAnsi="宋体"/>
                <w:szCs w:val="21"/>
              </w:rPr>
              <w:t>准</w:t>
            </w:r>
          </w:p>
          <w:p>
            <w:pPr>
              <w:pStyle w:val="36"/>
              <w:kinsoku w:val="0"/>
              <w:overflowPunct w:val="0"/>
              <w:spacing w:line="312" w:lineRule="auto"/>
              <w:ind w:left="-115" w:leftChars="-55" w:right="-122" w:rightChars="-58"/>
              <w:jc w:val="center"/>
              <w:rPr>
                <w:rFonts w:hint="default" w:ascii="宋体" w:hAnsi="宋体"/>
                <w:szCs w:val="21"/>
              </w:rPr>
            </w:pPr>
            <w:r>
              <w:rPr>
                <w:rFonts w:ascii="宋体" w:hAnsi="宋体"/>
                <w:szCs w:val="21"/>
              </w:rPr>
              <w:t>（</w:t>
            </w:r>
            <w:r>
              <w:rPr>
                <w:rFonts w:hint="eastAsia" w:ascii="宋体" w:hAnsi="宋体"/>
                <w:szCs w:val="21"/>
                <w:lang w:val="en-US" w:eastAsia="zh-CN"/>
              </w:rPr>
              <w:t>35</w:t>
            </w:r>
            <w:r>
              <w:rPr>
                <w:rFonts w:ascii="宋体" w:hAnsi="宋体"/>
                <w:szCs w:val="21"/>
              </w:rPr>
              <w:t>分）</w:t>
            </w: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投资控制措施（3分）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7"/>
              <w:kinsoku w:val="0"/>
              <w:overflowPunct w:val="0"/>
              <w:spacing w:before="0" w:after="0" w:line="312" w:lineRule="auto"/>
              <w:ind w:left="-63" w:leftChars="-30" w:right="-111" w:rightChars="-53" w:firstLine="63" w:firstLineChars="30"/>
              <w:jc w:val="center"/>
              <w:rPr>
                <w:sz w:val="21"/>
                <w:szCs w:val="21"/>
              </w:rPr>
            </w:pPr>
          </w:p>
        </w:tc>
        <w:tc>
          <w:tcPr>
            <w:tcW w:w="1287" w:type="dxa"/>
            <w:gridSpan w:val="2"/>
            <w:vMerge w:val="continue"/>
            <w:noWrap/>
            <w:vAlign w:val="center"/>
          </w:tcPr>
          <w:p>
            <w:pPr>
              <w:spacing w:line="312" w:lineRule="auto"/>
              <w:ind w:left="315" w:hanging="315" w:hangingChars="150"/>
              <w:jc w:val="center"/>
              <w:rPr>
                <w:rFonts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进度控制措施（3分）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gridSpan w:val="2"/>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质量控制措施（3分）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gridSpan w:val="2"/>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合同管理、信息管理</w:t>
            </w:r>
          </w:p>
          <w:p>
            <w:pPr>
              <w:spacing w:line="312" w:lineRule="auto"/>
              <w:contextualSpacing/>
              <w:jc w:val="center"/>
              <w:rPr>
                <w:rFonts w:ascii="宋体" w:hAnsi="宋体"/>
                <w:szCs w:val="21"/>
              </w:rPr>
            </w:pPr>
            <w:r>
              <w:rPr>
                <w:rFonts w:hint="eastAsia" w:ascii="宋体" w:hAnsi="宋体"/>
                <w:szCs w:val="21"/>
              </w:rPr>
              <w:t>（4分）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gridSpan w:val="2"/>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监理工作程序（4分）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gridSpan w:val="2"/>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安全、文明施工管理（4分）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gridSpan w:val="2"/>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监理重点难点监控措施（4分）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gridSpan w:val="2"/>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合理化建议（3分）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gridSpan w:val="2"/>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造价咨询工作实施方案（4分）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gridSpan w:val="2"/>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cs="等线"/>
                <w:szCs w:val="21"/>
              </w:rPr>
              <w:t>造价咨询服务质量保证措施</w:t>
            </w:r>
            <w:r>
              <w:rPr>
                <w:rFonts w:hint="eastAsia" w:ascii="宋体" w:hAnsi="宋体"/>
                <w:szCs w:val="21"/>
              </w:rPr>
              <w:t>（4分）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gridSpan w:val="2"/>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cs="等线"/>
                <w:szCs w:val="21"/>
              </w:rPr>
              <w:t>对造价咨询服务的重点、难点的理解及分析</w:t>
            </w:r>
            <w:r>
              <w:rPr>
                <w:rFonts w:hint="eastAsia" w:ascii="宋体" w:hAnsi="宋体"/>
                <w:szCs w:val="21"/>
              </w:rPr>
              <w:t>（4分）</w:t>
            </w:r>
          </w:p>
        </w:tc>
        <w:tc>
          <w:tcPr>
            <w:tcW w:w="5252" w:type="dxa"/>
            <w:noWrap/>
            <w:vAlign w:val="center"/>
          </w:tcPr>
          <w:p>
            <w:pPr>
              <w:spacing w:line="312" w:lineRule="auto"/>
              <w:rPr>
                <w:rFonts w:ascii="宋体" w:hAnsi="宋体"/>
                <w:szCs w:val="21"/>
              </w:rPr>
            </w:pPr>
            <w:r>
              <w:rPr>
                <w:rFonts w:hint="eastAsia" w:ascii="宋体" w:hAnsi="宋体" w:cs="宋体"/>
                <w:color w:val="000000" w:themeColor="text1"/>
                <w:sz w:val="18"/>
                <w:szCs w:val="18"/>
                <w14:textFill>
                  <w14:solidFill>
                    <w14:schemeClr w14:val="tx1"/>
                  </w14:solidFill>
                </w14:textFill>
              </w:rPr>
              <w:t>详见本章附表：监理综合评分表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noWrap/>
            <w:vAlign w:val="center"/>
          </w:tcPr>
          <w:p>
            <w:pPr>
              <w:pStyle w:val="36"/>
              <w:kinsoku w:val="0"/>
              <w:overflowPunct w:val="0"/>
              <w:spacing w:line="312" w:lineRule="auto"/>
              <w:ind w:left="-63" w:leftChars="-30" w:right="-111" w:rightChars="-53" w:firstLine="63" w:firstLineChars="30"/>
              <w:jc w:val="center"/>
              <w:rPr>
                <w:rFonts w:ascii="宋体" w:hAnsi="宋体"/>
                <w:szCs w:val="21"/>
              </w:rPr>
            </w:pPr>
            <w:r>
              <w:rPr>
                <w:rFonts w:ascii="宋体" w:hAnsi="宋体"/>
                <w:szCs w:val="21"/>
              </w:rPr>
              <w:t>2.2.4</w:t>
            </w:r>
          </w:p>
          <w:p>
            <w:pPr>
              <w:pStyle w:val="36"/>
              <w:kinsoku w:val="0"/>
              <w:overflowPunct w:val="0"/>
              <w:spacing w:line="312" w:lineRule="auto"/>
              <w:ind w:left="-63" w:leftChars="-30" w:right="-111" w:rightChars="-53" w:firstLine="62" w:firstLineChars="30"/>
              <w:jc w:val="center"/>
              <w:rPr>
                <w:rFonts w:hint="default" w:ascii="宋体" w:hAnsi="宋体"/>
                <w:szCs w:val="21"/>
              </w:rPr>
            </w:pPr>
            <w:r>
              <w:rPr>
                <w:rFonts w:ascii="宋体" w:hAnsi="宋体"/>
                <w:spacing w:val="-1"/>
                <w:szCs w:val="21"/>
              </w:rPr>
              <w:t>（</w:t>
            </w:r>
            <w:r>
              <w:rPr>
                <w:rFonts w:ascii="宋体" w:hAnsi="宋体"/>
                <w:szCs w:val="21"/>
              </w:rPr>
              <w:t>3）</w:t>
            </w:r>
          </w:p>
        </w:tc>
        <w:tc>
          <w:tcPr>
            <w:tcW w:w="1287" w:type="dxa"/>
            <w:gridSpan w:val="2"/>
            <w:noWrap/>
            <w:vAlign w:val="center"/>
          </w:tcPr>
          <w:p>
            <w:pPr>
              <w:spacing w:line="312" w:lineRule="auto"/>
              <w:ind w:left="315" w:hanging="315" w:hangingChars="150"/>
              <w:jc w:val="center"/>
              <w:rPr>
                <w:rFonts w:ascii="宋体" w:hAnsi="宋体"/>
                <w:szCs w:val="21"/>
              </w:rPr>
            </w:pPr>
            <w:r>
              <w:rPr>
                <w:rFonts w:hint="eastAsia" w:ascii="宋体" w:hAnsi="宋体"/>
                <w:szCs w:val="21"/>
              </w:rPr>
              <w:t>投标报价</w:t>
            </w:r>
          </w:p>
          <w:p>
            <w:pPr>
              <w:spacing w:line="312" w:lineRule="auto"/>
              <w:ind w:left="315" w:hanging="315" w:hangingChars="150"/>
              <w:jc w:val="center"/>
              <w:rPr>
                <w:rFonts w:ascii="宋体" w:hAnsi="宋体"/>
                <w:szCs w:val="21"/>
              </w:rPr>
            </w:pPr>
            <w:r>
              <w:rPr>
                <w:rFonts w:hint="eastAsia" w:ascii="宋体" w:hAnsi="宋体"/>
                <w:szCs w:val="21"/>
              </w:rPr>
              <w:t>评分</w:t>
            </w:r>
            <w:r>
              <w:rPr>
                <w:rFonts w:hint="eastAsia" w:ascii="宋体" w:hAnsi="宋体"/>
                <w:spacing w:val="-3"/>
                <w:szCs w:val="21"/>
              </w:rPr>
              <w:t>标</w:t>
            </w:r>
            <w:r>
              <w:rPr>
                <w:rFonts w:hint="eastAsia" w:ascii="宋体" w:hAnsi="宋体"/>
                <w:szCs w:val="21"/>
              </w:rPr>
              <w:t>准</w:t>
            </w:r>
          </w:p>
          <w:p>
            <w:pPr>
              <w:spacing w:line="312" w:lineRule="auto"/>
              <w:ind w:left="315" w:hanging="315" w:hangingChars="150"/>
              <w:jc w:val="center"/>
              <w:rPr>
                <w:rFonts w:ascii="宋体" w:hAnsi="宋体"/>
                <w:szCs w:val="21"/>
              </w:rPr>
            </w:pPr>
            <w:r>
              <w:rPr>
                <w:rFonts w:hint="eastAsia" w:ascii="宋体" w:hAnsi="宋体"/>
                <w:szCs w:val="21"/>
              </w:rPr>
              <w:t>（</w:t>
            </w:r>
            <w:r>
              <w:rPr>
                <w:rFonts w:hint="eastAsia" w:ascii="宋体" w:hAnsi="宋体"/>
                <w:szCs w:val="21"/>
                <w:lang w:val="en-US" w:eastAsia="zh-CN"/>
              </w:rPr>
              <w:t>20</w:t>
            </w:r>
            <w:r>
              <w:rPr>
                <w:rFonts w:hint="eastAsia" w:ascii="宋体" w:hAnsi="宋体"/>
                <w:szCs w:val="21"/>
              </w:rPr>
              <w:t>分）</w:t>
            </w:r>
          </w:p>
        </w:tc>
        <w:tc>
          <w:tcPr>
            <w:tcW w:w="2132" w:type="dxa"/>
            <w:noWrap/>
            <w:vAlign w:val="center"/>
          </w:tcPr>
          <w:p>
            <w:pPr>
              <w:pStyle w:val="36"/>
              <w:kinsoku w:val="0"/>
              <w:overflowPunct w:val="0"/>
              <w:spacing w:line="312" w:lineRule="auto"/>
              <w:ind w:left="-102" w:leftChars="-49" w:hanging="1"/>
              <w:jc w:val="center"/>
              <w:rPr>
                <w:rFonts w:hint="default" w:ascii="宋体" w:hAnsi="宋体"/>
                <w:szCs w:val="21"/>
              </w:rPr>
            </w:pPr>
            <w:r>
              <w:rPr>
                <w:rFonts w:ascii="宋体" w:hAnsi="宋体"/>
                <w:szCs w:val="21"/>
              </w:rPr>
              <w:t>报价得分</w:t>
            </w:r>
            <w:r>
              <w:rPr>
                <w:rFonts w:ascii="宋体" w:hAnsi="宋体" w:cs="宋体"/>
                <w:szCs w:val="21"/>
              </w:rPr>
              <w:t>(</w:t>
            </w:r>
            <w:r>
              <w:rPr>
                <w:rFonts w:hint="eastAsia" w:ascii="宋体" w:hAnsi="宋体" w:cs="宋体"/>
                <w:szCs w:val="21"/>
                <w:lang w:val="en-US" w:eastAsia="zh-CN"/>
              </w:rPr>
              <w:t>20</w:t>
            </w:r>
            <w:r>
              <w:rPr>
                <w:rFonts w:ascii="宋体" w:hAnsi="宋体" w:cs="宋体"/>
                <w:szCs w:val="21"/>
              </w:rPr>
              <w:t>分)</w:t>
            </w:r>
          </w:p>
        </w:tc>
        <w:tc>
          <w:tcPr>
            <w:tcW w:w="5252" w:type="dxa"/>
            <w:noWrap/>
            <w:vAlign w:val="top"/>
          </w:tcPr>
          <w:p>
            <w:pPr>
              <w:spacing w:line="312" w:lineRule="auto"/>
              <w:rPr>
                <w:rFonts w:ascii="宋体" w:hAnsi="宋体"/>
                <w:szCs w:val="21"/>
              </w:rPr>
            </w:pPr>
            <w:r>
              <w:rPr>
                <w:rFonts w:hint="eastAsia" w:ascii="宋体" w:hAnsi="宋体"/>
                <w:szCs w:val="21"/>
              </w:rPr>
              <w:t>以评标基准价作为计算各有效投标价得分的基础，当有效投标报价等于评标基准价时得</w:t>
            </w:r>
            <w:r>
              <w:rPr>
                <w:rFonts w:hint="eastAsia" w:ascii="宋体" w:hAnsi="宋体"/>
                <w:szCs w:val="21"/>
                <w:lang w:val="en-US" w:eastAsia="zh-CN"/>
              </w:rPr>
              <w:t>20</w:t>
            </w:r>
            <w:r>
              <w:rPr>
                <w:rFonts w:hint="eastAsia" w:ascii="宋体" w:hAnsi="宋体"/>
                <w:szCs w:val="21"/>
              </w:rPr>
              <w:t>分；投标有效报价与评标基准价之差，每上偏1%扣0.5分，下偏1%扣0.</w:t>
            </w:r>
            <w:r>
              <w:rPr>
                <w:rFonts w:ascii="宋体" w:hAnsi="宋体"/>
                <w:szCs w:val="21"/>
              </w:rPr>
              <w:t>3</w:t>
            </w:r>
            <w:r>
              <w:rPr>
                <w:rFonts w:hint="eastAsia" w:ascii="宋体" w:hAnsi="宋体"/>
                <w:szCs w:val="21"/>
              </w:rPr>
              <w:t>分。（得分扣至0分止）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noWrap/>
            <w:vAlign w:val="center"/>
          </w:tcPr>
          <w:p>
            <w:pPr>
              <w:pStyle w:val="36"/>
              <w:kinsoku w:val="0"/>
              <w:overflowPunct w:val="0"/>
              <w:spacing w:line="312" w:lineRule="auto"/>
              <w:ind w:left="-63" w:leftChars="-30" w:right="-111" w:rightChars="-53" w:firstLine="63" w:firstLineChars="30"/>
              <w:jc w:val="center"/>
              <w:rPr>
                <w:rFonts w:ascii="宋体" w:hAnsi="宋体"/>
                <w:spacing w:val="-1"/>
                <w:szCs w:val="21"/>
              </w:rPr>
            </w:pPr>
            <w:r>
              <w:rPr>
                <w:rFonts w:ascii="宋体" w:hAnsi="宋体"/>
                <w:szCs w:val="21"/>
              </w:rPr>
              <w:t>2.2.4</w:t>
            </w:r>
          </w:p>
        </w:tc>
        <w:tc>
          <w:tcPr>
            <w:tcW w:w="1287" w:type="dxa"/>
            <w:gridSpan w:val="2"/>
            <w:noWrap/>
            <w:vAlign w:val="center"/>
          </w:tcPr>
          <w:p>
            <w:pPr>
              <w:spacing w:line="312" w:lineRule="auto"/>
              <w:ind w:left="315" w:hanging="315" w:hangingChars="150"/>
              <w:jc w:val="center"/>
              <w:rPr>
                <w:rFonts w:hint="eastAsia" w:ascii="宋体" w:hAnsi="宋体" w:eastAsia="宋体"/>
                <w:szCs w:val="21"/>
                <w:lang w:val="en-US" w:eastAsia="zh-CN"/>
              </w:rPr>
            </w:pPr>
            <w:r>
              <w:rPr>
                <w:rFonts w:hint="eastAsia" w:ascii="宋体" w:hAnsi="宋体"/>
                <w:szCs w:val="21"/>
                <w:lang w:val="en-US" w:eastAsia="zh-CN"/>
              </w:rPr>
              <w:t>备注</w:t>
            </w:r>
          </w:p>
        </w:tc>
        <w:tc>
          <w:tcPr>
            <w:tcW w:w="7384" w:type="dxa"/>
            <w:gridSpan w:val="2"/>
            <w:noWrap/>
            <w:vAlign w:val="center"/>
          </w:tcPr>
          <w:p>
            <w:pPr>
              <w:pStyle w:val="27"/>
              <w:ind w:left="0" w:leftChars="0" w:firstLine="0" w:firstLineChars="0"/>
              <w:jc w:val="left"/>
              <w:rPr>
                <w:rFonts w:hint="default" w:eastAsia="宋体"/>
                <w:lang w:val="en-US" w:eastAsia="zh-CN"/>
              </w:rPr>
            </w:pPr>
            <w:r>
              <w:rPr>
                <w:rFonts w:hint="eastAsia" w:ascii="宋体" w:hAnsi="宋体"/>
                <w:color w:val="auto"/>
                <w:sz w:val="21"/>
                <w:szCs w:val="21"/>
                <w:highlight w:val="none"/>
                <w:lang w:val="en-US" w:eastAsia="zh-CN"/>
              </w:rPr>
              <w:t>/</w:t>
            </w:r>
          </w:p>
        </w:tc>
      </w:tr>
    </w:tbl>
    <w:p>
      <w:pPr>
        <w:spacing w:line="360" w:lineRule="auto"/>
        <w:ind w:left="100" w:right="-20"/>
        <w:jc w:val="left"/>
        <w:outlineLvl w:val="2"/>
        <w:rPr>
          <w:rFonts w:hint="eastAsia" w:ascii="宋体" w:hAnsi="宋体" w:cs="宋体"/>
          <w:spacing w:val="1"/>
        </w:rPr>
      </w:pPr>
      <w:r>
        <w:rPr>
          <w:rFonts w:hint="eastAsia" w:ascii="宋体" w:hAnsi="宋体" w:cs="宋体"/>
          <w:spacing w:val="1"/>
        </w:rPr>
        <w:br w:type="page"/>
      </w:r>
      <w:bookmarkStart w:id="254" w:name="_Toc20041"/>
      <w:bookmarkStart w:id="255" w:name="_Toc24269"/>
      <w:bookmarkStart w:id="256" w:name="_Toc6593"/>
      <w:bookmarkStart w:id="257" w:name="_Toc27158"/>
    </w:p>
    <w:p>
      <w:pPr>
        <w:spacing w:line="360" w:lineRule="auto"/>
        <w:ind w:left="100" w:right="-20"/>
        <w:jc w:val="center"/>
        <w:outlineLvl w:val="2"/>
        <w:rPr>
          <w:rFonts w:hint="eastAsia" w:ascii="宋体" w:hAnsi="宋体" w:cs="宋体"/>
          <w:spacing w:val="1"/>
        </w:rPr>
      </w:pPr>
      <w:r>
        <w:rPr>
          <w:rFonts w:hint="eastAsia" w:ascii="宋体" w:hAnsi="宋体" w:cs="宋体"/>
          <w:spacing w:val="1"/>
        </w:rPr>
        <w:t>附表：监理综合评分表</w:t>
      </w:r>
    </w:p>
    <w:tbl>
      <w:tblPr>
        <w:tblStyle w:val="20"/>
        <w:tblW w:w="93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287"/>
        <w:gridCol w:w="2132"/>
        <w:gridCol w:w="5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91" w:type="dxa"/>
            <w:vMerge w:val="restart"/>
            <w:noWrap/>
            <w:vAlign w:val="center"/>
          </w:tcPr>
          <w:p>
            <w:pPr>
              <w:pStyle w:val="36"/>
              <w:kinsoku w:val="0"/>
              <w:overflowPunct w:val="0"/>
              <w:spacing w:line="312" w:lineRule="auto"/>
              <w:ind w:left="-63" w:leftChars="-30" w:right="-111" w:rightChars="-53" w:firstLine="62" w:firstLineChars="30"/>
              <w:jc w:val="center"/>
              <w:rPr>
                <w:rFonts w:hint="default" w:ascii="宋体" w:hAnsi="宋体"/>
                <w:szCs w:val="21"/>
              </w:rPr>
            </w:pPr>
            <w:r>
              <w:rPr>
                <w:rFonts w:ascii="宋体" w:hAnsi="宋体"/>
                <w:spacing w:val="-1"/>
                <w:szCs w:val="21"/>
              </w:rPr>
              <w:t>（</w:t>
            </w:r>
            <w:r>
              <w:rPr>
                <w:rFonts w:ascii="宋体" w:hAnsi="宋体"/>
                <w:szCs w:val="21"/>
              </w:rPr>
              <w:t>1）</w:t>
            </w:r>
          </w:p>
        </w:tc>
        <w:tc>
          <w:tcPr>
            <w:tcW w:w="1287" w:type="dxa"/>
            <w:vMerge w:val="restart"/>
            <w:noWrap/>
            <w:vAlign w:val="center"/>
          </w:tcPr>
          <w:p>
            <w:pPr>
              <w:spacing w:line="312" w:lineRule="auto"/>
              <w:ind w:left="315" w:hanging="315" w:hangingChars="150"/>
              <w:jc w:val="center"/>
              <w:rPr>
                <w:rFonts w:ascii="宋体" w:hAnsi="宋体"/>
                <w:szCs w:val="21"/>
              </w:rPr>
            </w:pPr>
            <w:r>
              <w:rPr>
                <w:rFonts w:hint="eastAsia" w:ascii="宋体" w:hAnsi="宋体"/>
                <w:szCs w:val="21"/>
              </w:rPr>
              <w:t>资信</w:t>
            </w:r>
            <w:r>
              <w:rPr>
                <w:rFonts w:hint="eastAsia" w:ascii="宋体" w:hAnsi="宋体"/>
                <w:spacing w:val="-3"/>
                <w:szCs w:val="21"/>
              </w:rPr>
              <w:t>业</w:t>
            </w:r>
            <w:r>
              <w:rPr>
                <w:rFonts w:hint="eastAsia" w:ascii="宋体" w:hAnsi="宋体"/>
                <w:szCs w:val="21"/>
              </w:rPr>
              <w:t>绩</w:t>
            </w:r>
          </w:p>
          <w:p>
            <w:pPr>
              <w:spacing w:line="312" w:lineRule="auto"/>
              <w:ind w:left="315" w:hanging="315" w:hangingChars="150"/>
              <w:jc w:val="center"/>
              <w:rPr>
                <w:rFonts w:ascii="宋体" w:hAnsi="宋体"/>
                <w:szCs w:val="21"/>
              </w:rPr>
            </w:pPr>
            <w:r>
              <w:rPr>
                <w:rFonts w:hint="eastAsia" w:ascii="宋体" w:hAnsi="宋体"/>
                <w:szCs w:val="21"/>
              </w:rPr>
              <w:t>评分</w:t>
            </w:r>
            <w:r>
              <w:rPr>
                <w:rFonts w:hint="eastAsia" w:ascii="宋体" w:hAnsi="宋体"/>
                <w:spacing w:val="-3"/>
                <w:szCs w:val="21"/>
              </w:rPr>
              <w:t>标</w:t>
            </w:r>
            <w:r>
              <w:rPr>
                <w:rFonts w:hint="eastAsia" w:ascii="宋体" w:hAnsi="宋体"/>
                <w:szCs w:val="21"/>
              </w:rPr>
              <w:t>准</w:t>
            </w:r>
          </w:p>
          <w:p>
            <w:pPr>
              <w:pStyle w:val="36"/>
              <w:kinsoku w:val="0"/>
              <w:overflowPunct w:val="0"/>
              <w:spacing w:line="312" w:lineRule="auto"/>
              <w:ind w:left="-115" w:leftChars="-55" w:right="-122" w:rightChars="-58"/>
              <w:jc w:val="center"/>
              <w:rPr>
                <w:rFonts w:hint="default" w:ascii="宋体" w:hAnsi="宋体"/>
                <w:szCs w:val="21"/>
              </w:rPr>
            </w:pPr>
            <w:r>
              <w:rPr>
                <w:rFonts w:ascii="宋体" w:hAnsi="宋体"/>
                <w:szCs w:val="21"/>
              </w:rPr>
              <w:t>（45分）</w:t>
            </w: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企业综合能力及信誉（1</w:t>
            </w:r>
            <w:r>
              <w:rPr>
                <w:rFonts w:hint="eastAsia" w:ascii="宋体" w:hAnsi="宋体"/>
                <w:szCs w:val="21"/>
                <w:lang w:val="en-US" w:eastAsia="zh-CN"/>
              </w:rPr>
              <w:t>0</w:t>
            </w:r>
            <w:r>
              <w:rPr>
                <w:rFonts w:hint="eastAsia" w:ascii="宋体" w:hAnsi="宋体"/>
                <w:szCs w:val="21"/>
              </w:rPr>
              <w:t>分）</w:t>
            </w:r>
          </w:p>
        </w:tc>
        <w:tc>
          <w:tcPr>
            <w:tcW w:w="5252" w:type="dxa"/>
            <w:noWrap/>
            <w:vAlign w:val="center"/>
          </w:tcPr>
          <w:p>
            <w:pPr>
              <w:spacing w:line="312" w:lineRule="auto"/>
              <w:contextualSpacing/>
              <w:rPr>
                <w:rFonts w:hint="eastAsia" w:ascii="宋体" w:hAnsi="宋体"/>
                <w:szCs w:val="21"/>
              </w:rPr>
            </w:pPr>
            <w:r>
              <w:rPr>
                <w:rFonts w:hint="eastAsia" w:ascii="宋体" w:hAnsi="宋体"/>
                <w:szCs w:val="21"/>
              </w:rPr>
              <w:t>1、管理体系认证（</w:t>
            </w:r>
            <w:r>
              <w:rPr>
                <w:rFonts w:hint="eastAsia" w:ascii="宋体" w:hAnsi="宋体"/>
                <w:szCs w:val="21"/>
                <w:lang w:val="en-US" w:eastAsia="zh-CN"/>
              </w:rPr>
              <w:t>3</w:t>
            </w:r>
            <w:r>
              <w:rPr>
                <w:rFonts w:hint="eastAsia" w:ascii="宋体" w:hAnsi="宋体"/>
                <w:szCs w:val="21"/>
              </w:rPr>
              <w:t>分）：投标人具有有效期内的质量管理体系认证证书、环境管理体系认证证书、职业健康安全管理体系认证证书，每项得</w:t>
            </w:r>
            <w:r>
              <w:rPr>
                <w:rFonts w:hint="eastAsia" w:ascii="宋体" w:hAnsi="宋体"/>
                <w:szCs w:val="21"/>
                <w:lang w:val="en-US" w:eastAsia="zh-CN"/>
              </w:rPr>
              <w:t>1</w:t>
            </w:r>
            <w:r>
              <w:rPr>
                <w:rFonts w:hint="eastAsia" w:ascii="宋体" w:hAnsi="宋体"/>
                <w:szCs w:val="21"/>
              </w:rPr>
              <w:t>分，最多得</w:t>
            </w:r>
            <w:r>
              <w:rPr>
                <w:rFonts w:hint="eastAsia" w:ascii="宋体" w:hAnsi="宋体"/>
                <w:szCs w:val="21"/>
                <w:lang w:val="en-US" w:eastAsia="zh-CN"/>
              </w:rPr>
              <w:t>3</w:t>
            </w:r>
            <w:r>
              <w:rPr>
                <w:rFonts w:hint="eastAsia" w:ascii="宋体" w:hAnsi="宋体"/>
                <w:szCs w:val="21"/>
              </w:rPr>
              <w:t>分，没有不得分。</w:t>
            </w:r>
          </w:p>
          <w:p>
            <w:pPr>
              <w:spacing w:line="312" w:lineRule="auto"/>
              <w:contextualSpacing/>
              <w:rPr>
                <w:rFonts w:hint="eastAsia" w:ascii="宋体" w:hAnsi="宋体"/>
                <w:szCs w:val="21"/>
              </w:rPr>
            </w:pPr>
            <w:r>
              <w:rPr>
                <w:rFonts w:hint="eastAsia" w:ascii="宋体" w:hAnsi="宋体"/>
                <w:szCs w:val="21"/>
              </w:rPr>
              <w:t>2、A级纳税人（</w:t>
            </w:r>
            <w:r>
              <w:rPr>
                <w:rFonts w:hint="eastAsia" w:ascii="宋体" w:hAnsi="宋体"/>
                <w:szCs w:val="21"/>
                <w:lang w:val="en-US" w:eastAsia="zh-CN"/>
              </w:rPr>
              <w:t>7</w:t>
            </w:r>
            <w:r>
              <w:rPr>
                <w:rFonts w:hint="eastAsia" w:ascii="宋体" w:hAnsi="宋体"/>
                <w:szCs w:val="21"/>
              </w:rPr>
              <w:t>分）：</w:t>
            </w:r>
            <w:r>
              <w:rPr>
                <w:rFonts w:hint="eastAsia" w:ascii="宋体" w:hAnsi="宋体" w:cs="宋体"/>
                <w:color w:val="auto"/>
                <w:sz w:val="21"/>
                <w:szCs w:val="21"/>
                <w:highlight w:val="none"/>
              </w:rPr>
              <w:t>投标人曾经连续获得过“纳税信用A级纳税人”称号（须含202</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评审年度）的：连续5年（或以上）的得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分，连续3-4年得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分，连续1-2年的单位得2分，没有的不得分。本项最多得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p>
            <w:pPr>
              <w:spacing w:line="312" w:lineRule="auto"/>
              <w:contextualSpacing/>
              <w:rPr>
                <w:rFonts w:hint="eastAsia" w:ascii="宋体" w:hAnsi="宋体" w:eastAsia="宋体"/>
                <w:szCs w:val="21"/>
                <w:lang w:eastAsia="zh-CN"/>
              </w:rPr>
            </w:pPr>
            <w:r>
              <w:rPr>
                <w:rFonts w:hint="eastAsia" w:ascii="宋体" w:hAnsi="宋体"/>
                <w:szCs w:val="21"/>
                <w:lang w:val="en-US" w:eastAsia="zh-CN"/>
              </w:rPr>
              <w:t>注：</w:t>
            </w:r>
            <w:r>
              <w:rPr>
                <w:rFonts w:hint="eastAsia" w:ascii="宋体" w:hAnsi="宋体"/>
                <w:szCs w:val="21"/>
              </w:rPr>
              <w:t>投标人如为联合体，可由任意一方提供</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top"/>
          </w:tcPr>
          <w:p>
            <w:pPr>
              <w:pStyle w:val="36"/>
              <w:kinsoku w:val="0"/>
              <w:overflowPunct w:val="0"/>
              <w:spacing w:line="312" w:lineRule="auto"/>
              <w:ind w:left="-63" w:leftChars="-30" w:right="-111" w:rightChars="-53" w:firstLine="63" w:firstLineChars="30"/>
              <w:jc w:val="center"/>
              <w:rPr>
                <w:rFonts w:hint="default" w:ascii="宋体" w:hAnsi="宋体"/>
                <w:szCs w:val="21"/>
              </w:rPr>
            </w:pPr>
          </w:p>
        </w:tc>
        <w:tc>
          <w:tcPr>
            <w:tcW w:w="1287" w:type="dxa"/>
            <w:vMerge w:val="continue"/>
            <w:noWrap/>
            <w:vAlign w:val="top"/>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项目业绩（1</w:t>
            </w:r>
            <w:r>
              <w:rPr>
                <w:rFonts w:hint="eastAsia" w:ascii="宋体" w:hAnsi="宋体"/>
                <w:szCs w:val="21"/>
                <w:lang w:val="en-US" w:eastAsia="zh-CN"/>
              </w:rPr>
              <w:t>8</w:t>
            </w:r>
            <w:r>
              <w:rPr>
                <w:rFonts w:hint="eastAsia" w:ascii="宋体" w:hAnsi="宋体"/>
                <w:szCs w:val="21"/>
              </w:rPr>
              <w:t>分）</w:t>
            </w:r>
          </w:p>
        </w:tc>
        <w:tc>
          <w:tcPr>
            <w:tcW w:w="5252" w:type="dxa"/>
            <w:noWrap/>
            <w:vAlign w:val="center"/>
          </w:tcPr>
          <w:p>
            <w:pPr>
              <w:spacing w:line="312" w:lineRule="auto"/>
              <w:contextualSpacing/>
              <w:rPr>
                <w:rFonts w:hint="eastAsia" w:ascii="宋体" w:hAnsi="宋体"/>
                <w:szCs w:val="21"/>
              </w:rPr>
            </w:pPr>
            <w:r>
              <w:rPr>
                <w:rFonts w:hint="eastAsia" w:ascii="宋体" w:hAnsi="宋体"/>
                <w:szCs w:val="21"/>
              </w:rPr>
              <w:t>1、投标人（如为联合体，则为监理单位）自20</w:t>
            </w:r>
            <w:r>
              <w:rPr>
                <w:rFonts w:hint="eastAsia" w:ascii="宋体" w:hAnsi="宋体"/>
                <w:szCs w:val="21"/>
                <w:lang w:val="en-US" w:eastAsia="zh-CN"/>
              </w:rPr>
              <w:t>21</w:t>
            </w:r>
            <w:r>
              <w:rPr>
                <w:rFonts w:hint="eastAsia" w:ascii="宋体" w:hAnsi="宋体"/>
                <w:szCs w:val="21"/>
              </w:rPr>
              <w:t>年1月1日至今独立完成过质量合格的类似工程监理业绩</w:t>
            </w:r>
            <w:r>
              <w:rPr>
                <w:rFonts w:hint="eastAsia" w:ascii="宋体" w:hAnsi="宋体"/>
                <w:szCs w:val="21"/>
                <w:lang w:val="en-US" w:eastAsia="zh-CN"/>
              </w:rPr>
              <w:t>或全过程咨询类业绩（其中有包含类似工程监理）</w:t>
            </w:r>
            <w:r>
              <w:rPr>
                <w:rFonts w:hint="eastAsia" w:ascii="宋体" w:hAnsi="宋体"/>
                <w:szCs w:val="21"/>
              </w:rPr>
              <w:t>业绩，一项得</w:t>
            </w:r>
            <w:r>
              <w:rPr>
                <w:rFonts w:hint="eastAsia" w:ascii="宋体" w:hAnsi="宋体"/>
                <w:szCs w:val="21"/>
                <w:lang w:val="en-US" w:eastAsia="zh-CN"/>
              </w:rPr>
              <w:t>3</w:t>
            </w:r>
            <w:r>
              <w:rPr>
                <w:rFonts w:hint="eastAsia" w:ascii="宋体" w:hAnsi="宋体"/>
                <w:szCs w:val="21"/>
              </w:rPr>
              <w:t>分。本项最多得</w:t>
            </w:r>
            <w:r>
              <w:rPr>
                <w:rFonts w:hint="eastAsia" w:ascii="宋体" w:hAnsi="宋体"/>
                <w:szCs w:val="21"/>
                <w:lang w:val="en-US" w:eastAsia="zh-CN"/>
              </w:rPr>
              <w:t>14</w:t>
            </w:r>
            <w:r>
              <w:rPr>
                <w:rFonts w:hint="eastAsia" w:ascii="宋体" w:hAnsi="宋体"/>
                <w:szCs w:val="21"/>
              </w:rPr>
              <w:t>分。</w:t>
            </w:r>
          </w:p>
          <w:p>
            <w:pPr>
              <w:spacing w:line="312" w:lineRule="auto"/>
              <w:contextualSpacing/>
              <w:rPr>
                <w:rFonts w:hint="eastAsia" w:ascii="宋体" w:hAnsi="宋体" w:eastAsia="宋体"/>
                <w:szCs w:val="21"/>
                <w:lang w:val="en-US" w:eastAsia="zh-CN"/>
              </w:rPr>
            </w:pPr>
            <w:r>
              <w:rPr>
                <w:rFonts w:hint="eastAsia" w:ascii="宋体" w:hAnsi="宋体"/>
                <w:szCs w:val="21"/>
              </w:rPr>
              <w:t>2、投标人（如为联合体，则为造价咨询单位）20</w:t>
            </w:r>
            <w:r>
              <w:rPr>
                <w:rFonts w:hint="eastAsia" w:ascii="宋体" w:hAnsi="宋体"/>
                <w:szCs w:val="21"/>
                <w:lang w:val="en-US" w:eastAsia="zh-CN"/>
              </w:rPr>
              <w:t>21</w:t>
            </w:r>
            <w:r>
              <w:rPr>
                <w:rFonts w:hint="eastAsia" w:ascii="宋体" w:hAnsi="宋体"/>
                <w:szCs w:val="21"/>
              </w:rPr>
              <w:t>年1月1日至今完成工程造价咨询</w:t>
            </w:r>
            <w:r>
              <w:rPr>
                <w:rFonts w:hint="eastAsia" w:ascii="宋体" w:hAnsi="宋体"/>
                <w:szCs w:val="21"/>
                <w:lang w:val="en-US" w:eastAsia="zh-CN"/>
              </w:rPr>
              <w:t>业绩或全过程咨询类业绩（其中有包含造价咨询服务）</w:t>
            </w:r>
            <w:r>
              <w:rPr>
                <w:rFonts w:hint="eastAsia" w:ascii="宋体" w:hAnsi="宋体"/>
                <w:szCs w:val="21"/>
              </w:rPr>
              <w:t>业绩每项得</w:t>
            </w:r>
            <w:r>
              <w:rPr>
                <w:rFonts w:hint="eastAsia" w:ascii="宋体" w:hAnsi="宋体"/>
                <w:szCs w:val="21"/>
                <w:lang w:val="en-US" w:eastAsia="zh-CN"/>
              </w:rPr>
              <w:t>2</w:t>
            </w:r>
            <w:r>
              <w:rPr>
                <w:rFonts w:hint="eastAsia" w:ascii="宋体" w:hAnsi="宋体"/>
                <w:szCs w:val="21"/>
              </w:rPr>
              <w:t>分，本项最多得</w:t>
            </w:r>
            <w:r>
              <w:rPr>
                <w:rFonts w:hint="eastAsia" w:ascii="宋体" w:hAnsi="宋体"/>
                <w:szCs w:val="21"/>
                <w:lang w:val="en-US" w:eastAsia="zh-CN"/>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top"/>
          </w:tcPr>
          <w:p>
            <w:pPr>
              <w:pStyle w:val="36"/>
              <w:kinsoku w:val="0"/>
              <w:overflowPunct w:val="0"/>
              <w:spacing w:line="312" w:lineRule="auto"/>
              <w:ind w:left="-63" w:leftChars="-30" w:right="-111" w:rightChars="-53" w:firstLine="63" w:firstLineChars="30"/>
              <w:jc w:val="center"/>
              <w:rPr>
                <w:rFonts w:hint="default" w:ascii="宋体" w:hAnsi="宋体"/>
                <w:szCs w:val="21"/>
              </w:rPr>
            </w:pPr>
          </w:p>
        </w:tc>
        <w:tc>
          <w:tcPr>
            <w:tcW w:w="1287" w:type="dxa"/>
            <w:vMerge w:val="continue"/>
            <w:noWrap/>
            <w:vAlign w:val="top"/>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hint="eastAsia" w:ascii="宋体" w:hAnsi="宋体" w:eastAsia="宋体"/>
                <w:szCs w:val="21"/>
                <w:lang w:eastAsia="zh-CN"/>
              </w:rPr>
            </w:pPr>
            <w:r>
              <w:rPr>
                <w:rFonts w:hint="eastAsia" w:ascii="宋体" w:hAnsi="宋体"/>
                <w:szCs w:val="21"/>
              </w:rPr>
              <w:t>总监理工程师资历</w:t>
            </w:r>
            <w:r>
              <w:rPr>
                <w:rFonts w:hint="eastAsia" w:ascii="宋体" w:hAnsi="宋体"/>
                <w:szCs w:val="21"/>
                <w:lang w:eastAsia="zh-CN"/>
              </w:rPr>
              <w:t>（</w:t>
            </w:r>
            <w:r>
              <w:rPr>
                <w:rFonts w:hint="eastAsia" w:ascii="宋体" w:hAnsi="宋体"/>
                <w:szCs w:val="21"/>
                <w:lang w:val="en-US" w:eastAsia="zh-CN"/>
              </w:rPr>
              <w:t>5分</w:t>
            </w:r>
            <w:r>
              <w:rPr>
                <w:rFonts w:hint="eastAsia" w:ascii="宋体" w:hAnsi="宋体"/>
                <w:szCs w:val="21"/>
                <w:lang w:eastAsia="zh-CN"/>
              </w:rPr>
              <w:t>）</w:t>
            </w:r>
          </w:p>
        </w:tc>
        <w:tc>
          <w:tcPr>
            <w:tcW w:w="5252" w:type="dxa"/>
            <w:noWrap/>
            <w:vAlign w:val="center"/>
          </w:tcPr>
          <w:p>
            <w:pPr>
              <w:spacing w:line="312" w:lineRule="auto"/>
              <w:contextualSpacing/>
              <w:jc w:val="left"/>
              <w:rPr>
                <w:rFonts w:hint="eastAsia" w:ascii="宋体" w:hAnsi="宋体" w:eastAsia="宋体"/>
                <w:szCs w:val="21"/>
                <w:lang w:val="en-US" w:eastAsia="zh-CN"/>
              </w:r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年1月1日至投标截止之日，曾经担任类似工程总监理工程师的主要经历的证明，每项2分。本项最多得5分</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91" w:type="dxa"/>
            <w:vMerge w:val="continue"/>
            <w:noWrap/>
            <w:vAlign w:val="top"/>
          </w:tcPr>
          <w:p>
            <w:pPr>
              <w:pStyle w:val="36"/>
              <w:kinsoku w:val="0"/>
              <w:overflowPunct w:val="0"/>
              <w:spacing w:line="312" w:lineRule="auto"/>
              <w:ind w:left="-63" w:leftChars="-30" w:right="-111" w:rightChars="-53" w:firstLine="63" w:firstLineChars="30"/>
              <w:jc w:val="center"/>
              <w:rPr>
                <w:rFonts w:hint="default" w:ascii="宋体" w:hAnsi="宋体"/>
                <w:szCs w:val="21"/>
              </w:rPr>
            </w:pPr>
          </w:p>
        </w:tc>
        <w:tc>
          <w:tcPr>
            <w:tcW w:w="1287" w:type="dxa"/>
            <w:vMerge w:val="continue"/>
            <w:noWrap/>
            <w:vAlign w:val="top"/>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hint="eastAsia" w:ascii="宋体" w:hAnsi="宋体" w:cs="宋体"/>
                <w:szCs w:val="21"/>
              </w:rPr>
            </w:pPr>
            <w:r>
              <w:rPr>
                <w:rFonts w:hint="eastAsia" w:ascii="宋体" w:hAnsi="宋体" w:cs="宋体"/>
                <w:szCs w:val="21"/>
              </w:rPr>
              <w:t>其他主要人员资历</w:t>
            </w:r>
          </w:p>
          <w:p>
            <w:pPr>
              <w:spacing w:line="312" w:lineRule="auto"/>
              <w:contextualSpacing/>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12</w:t>
            </w:r>
            <w:r>
              <w:rPr>
                <w:rFonts w:hint="eastAsia" w:ascii="宋体" w:hAnsi="宋体" w:cs="宋体"/>
                <w:szCs w:val="21"/>
              </w:rPr>
              <w:t>分）</w:t>
            </w:r>
          </w:p>
        </w:tc>
        <w:tc>
          <w:tcPr>
            <w:tcW w:w="5252" w:type="dxa"/>
            <w:noWrap/>
            <w:vAlign w:val="center"/>
          </w:tcPr>
          <w:p>
            <w:pPr>
              <w:spacing w:line="312" w:lineRule="auto"/>
              <w:contextualSpacing/>
              <w:jc w:val="left"/>
              <w:rPr>
                <w:rFonts w:hint="default" w:ascii="宋体" w:hAnsi="宋体" w:eastAsia="宋体"/>
                <w:szCs w:val="21"/>
                <w:lang w:val="en-US" w:eastAsia="zh-CN"/>
              </w:rPr>
            </w:pPr>
            <w:r>
              <w:rPr>
                <w:rFonts w:hint="eastAsia"/>
                <w:lang w:val="en-US"/>
              </w:rPr>
              <w:t>《机构人员配备要求》</w:t>
            </w:r>
            <w:r>
              <w:rPr>
                <w:rFonts w:hint="eastAsia"/>
                <w:lang w:val="en-US" w:eastAsia="zh-CN"/>
              </w:rPr>
              <w:t>中序号第2-5项人员要求：</w:t>
            </w:r>
          </w:p>
          <w:p>
            <w:pPr>
              <w:spacing w:line="312" w:lineRule="auto"/>
              <w:contextualSpacing/>
              <w:jc w:val="left"/>
              <w:rPr>
                <w:rFonts w:hint="eastAsia" w:ascii="宋体" w:hAnsi="宋体"/>
                <w:szCs w:val="21"/>
              </w:rPr>
            </w:pPr>
            <w:r>
              <w:rPr>
                <w:rFonts w:hint="eastAsia" w:ascii="宋体" w:hAnsi="宋体"/>
                <w:szCs w:val="21"/>
              </w:rPr>
              <w:t>4项全部满足的得</w:t>
            </w:r>
            <w:r>
              <w:rPr>
                <w:rFonts w:hint="eastAsia" w:ascii="宋体" w:hAnsi="宋体"/>
                <w:szCs w:val="21"/>
                <w:lang w:val="en-US" w:eastAsia="zh-CN"/>
              </w:rPr>
              <w:t>12</w:t>
            </w:r>
            <w:r>
              <w:rPr>
                <w:rFonts w:hint="eastAsia" w:ascii="宋体" w:hAnsi="宋体"/>
                <w:szCs w:val="21"/>
              </w:rPr>
              <w:t>分；其中每出现一项不满足扣</w:t>
            </w:r>
            <w:r>
              <w:rPr>
                <w:rFonts w:hint="eastAsia" w:ascii="宋体" w:hAnsi="宋体"/>
                <w:szCs w:val="21"/>
                <w:lang w:val="en-US" w:eastAsia="zh-CN"/>
              </w:rPr>
              <w:t>3</w:t>
            </w:r>
            <w:r>
              <w:rPr>
                <w:rFonts w:hint="eastAsia" w:ascii="宋体" w:hAnsi="宋体"/>
                <w:szCs w:val="21"/>
              </w:rPr>
              <w:t>分，扣完本小项得分为止。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restart"/>
            <w:noWrap/>
            <w:vAlign w:val="center"/>
          </w:tcPr>
          <w:p>
            <w:pPr>
              <w:pStyle w:val="36"/>
              <w:kinsoku w:val="0"/>
              <w:overflowPunct w:val="0"/>
              <w:spacing w:line="312" w:lineRule="auto"/>
              <w:ind w:left="-63" w:leftChars="-30" w:right="-111" w:rightChars="-53" w:firstLine="62" w:firstLineChars="30"/>
              <w:jc w:val="center"/>
              <w:rPr>
                <w:rFonts w:hint="default" w:ascii="宋体" w:hAnsi="宋体"/>
                <w:szCs w:val="21"/>
              </w:rPr>
            </w:pPr>
            <w:r>
              <w:rPr>
                <w:rFonts w:ascii="宋体" w:hAnsi="宋体"/>
                <w:spacing w:val="-1"/>
                <w:szCs w:val="21"/>
              </w:rPr>
              <w:t>（</w:t>
            </w:r>
            <w:r>
              <w:rPr>
                <w:rFonts w:ascii="宋体" w:hAnsi="宋体"/>
                <w:szCs w:val="21"/>
              </w:rPr>
              <w:t>2）</w:t>
            </w:r>
          </w:p>
        </w:tc>
        <w:tc>
          <w:tcPr>
            <w:tcW w:w="1287" w:type="dxa"/>
            <w:vMerge w:val="restart"/>
            <w:noWrap/>
            <w:vAlign w:val="center"/>
          </w:tcPr>
          <w:p>
            <w:pPr>
              <w:spacing w:line="312" w:lineRule="auto"/>
              <w:ind w:left="315" w:hanging="315" w:hangingChars="150"/>
              <w:jc w:val="center"/>
              <w:rPr>
                <w:rFonts w:ascii="宋体" w:hAnsi="宋体"/>
                <w:szCs w:val="21"/>
              </w:rPr>
            </w:pPr>
            <w:r>
              <w:rPr>
                <w:rFonts w:hint="eastAsia" w:ascii="宋体" w:hAnsi="宋体"/>
                <w:szCs w:val="21"/>
              </w:rPr>
              <w:t>技术方案</w:t>
            </w:r>
          </w:p>
          <w:p>
            <w:pPr>
              <w:spacing w:line="312" w:lineRule="auto"/>
              <w:ind w:left="315" w:hanging="315" w:hangingChars="150"/>
              <w:jc w:val="center"/>
              <w:rPr>
                <w:rFonts w:ascii="宋体" w:hAnsi="宋体"/>
                <w:szCs w:val="21"/>
              </w:rPr>
            </w:pPr>
            <w:r>
              <w:rPr>
                <w:rFonts w:hint="eastAsia" w:ascii="宋体" w:hAnsi="宋体"/>
                <w:szCs w:val="21"/>
              </w:rPr>
              <w:t>评分</w:t>
            </w:r>
            <w:r>
              <w:rPr>
                <w:rFonts w:hint="eastAsia" w:ascii="宋体" w:hAnsi="宋体"/>
                <w:spacing w:val="-3"/>
                <w:szCs w:val="21"/>
              </w:rPr>
              <w:t>标</w:t>
            </w:r>
            <w:r>
              <w:rPr>
                <w:rFonts w:hint="eastAsia" w:ascii="宋体" w:hAnsi="宋体"/>
                <w:szCs w:val="21"/>
              </w:rPr>
              <w:t>准</w:t>
            </w:r>
          </w:p>
          <w:p>
            <w:pPr>
              <w:pStyle w:val="36"/>
              <w:kinsoku w:val="0"/>
              <w:overflowPunct w:val="0"/>
              <w:spacing w:line="312" w:lineRule="auto"/>
              <w:ind w:left="-115" w:leftChars="-55" w:right="-122" w:rightChars="-58"/>
              <w:jc w:val="center"/>
              <w:rPr>
                <w:rFonts w:hint="default" w:ascii="宋体" w:hAnsi="宋体"/>
                <w:szCs w:val="21"/>
              </w:rPr>
            </w:pPr>
            <w:r>
              <w:rPr>
                <w:rFonts w:ascii="宋体" w:hAnsi="宋体"/>
                <w:szCs w:val="21"/>
              </w:rPr>
              <w:t>（</w:t>
            </w:r>
            <w:r>
              <w:rPr>
                <w:rFonts w:hint="eastAsia" w:ascii="宋体" w:hAnsi="宋体"/>
                <w:szCs w:val="21"/>
                <w:lang w:val="en-US" w:eastAsia="zh-CN"/>
              </w:rPr>
              <w:t>35</w:t>
            </w:r>
            <w:r>
              <w:rPr>
                <w:rFonts w:ascii="宋体" w:hAnsi="宋体"/>
                <w:szCs w:val="21"/>
              </w:rPr>
              <w:t>分）</w:t>
            </w: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投资控制措施（3分）</w:t>
            </w:r>
          </w:p>
        </w:tc>
        <w:tc>
          <w:tcPr>
            <w:tcW w:w="5252" w:type="dxa"/>
            <w:noWrap/>
            <w:vAlign w:val="center"/>
          </w:tcPr>
          <w:p>
            <w:pPr>
              <w:spacing w:line="312" w:lineRule="auto"/>
              <w:rPr>
                <w:rFonts w:ascii="宋体" w:hAnsi="宋体"/>
                <w:szCs w:val="21"/>
              </w:rPr>
            </w:pPr>
            <w:r>
              <w:rPr>
                <w:rFonts w:hint="eastAsia" w:ascii="宋体" w:hAnsi="宋体"/>
                <w:szCs w:val="21"/>
              </w:rPr>
              <w:t>要求目标明确、方法合理可行、措施具体、针对性强。措施为优得3分；良得2分；一般得1分；差或无措施不得分。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7"/>
              <w:kinsoku w:val="0"/>
              <w:overflowPunct w:val="0"/>
              <w:spacing w:before="0" w:after="0" w:line="312" w:lineRule="auto"/>
              <w:ind w:left="-63" w:leftChars="-30" w:right="-111" w:rightChars="-53" w:firstLine="63" w:firstLineChars="30"/>
              <w:jc w:val="center"/>
              <w:rPr>
                <w:sz w:val="21"/>
                <w:szCs w:val="21"/>
              </w:rPr>
            </w:pPr>
          </w:p>
        </w:tc>
        <w:tc>
          <w:tcPr>
            <w:tcW w:w="1287" w:type="dxa"/>
            <w:vMerge w:val="continue"/>
            <w:noWrap/>
            <w:vAlign w:val="center"/>
          </w:tcPr>
          <w:p>
            <w:pPr>
              <w:spacing w:line="312" w:lineRule="auto"/>
              <w:ind w:left="315" w:hanging="315" w:hangingChars="150"/>
              <w:jc w:val="center"/>
              <w:rPr>
                <w:rFonts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进度控制措施（3分）</w:t>
            </w:r>
          </w:p>
        </w:tc>
        <w:tc>
          <w:tcPr>
            <w:tcW w:w="5252" w:type="dxa"/>
            <w:noWrap/>
            <w:vAlign w:val="center"/>
          </w:tcPr>
          <w:p>
            <w:pPr>
              <w:spacing w:line="312" w:lineRule="auto"/>
              <w:rPr>
                <w:rFonts w:ascii="宋体" w:hAnsi="宋体"/>
                <w:szCs w:val="21"/>
              </w:rPr>
            </w:pPr>
            <w:r>
              <w:rPr>
                <w:rFonts w:hint="eastAsia" w:ascii="宋体" w:hAnsi="宋体"/>
                <w:szCs w:val="21"/>
              </w:rPr>
              <w:t>要求目标明确、方法合理可行、措施具体、针对性强。措施为优得3分；良得2分；一般得1分；差或无措施不得分。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质量控制措施（3分）</w:t>
            </w:r>
          </w:p>
        </w:tc>
        <w:tc>
          <w:tcPr>
            <w:tcW w:w="5252" w:type="dxa"/>
            <w:noWrap/>
            <w:vAlign w:val="center"/>
          </w:tcPr>
          <w:p>
            <w:pPr>
              <w:spacing w:line="312" w:lineRule="auto"/>
              <w:rPr>
                <w:rFonts w:ascii="宋体" w:hAnsi="宋体"/>
                <w:szCs w:val="21"/>
              </w:rPr>
            </w:pPr>
            <w:r>
              <w:rPr>
                <w:rFonts w:hint="eastAsia" w:ascii="宋体" w:hAnsi="宋体"/>
                <w:szCs w:val="21"/>
              </w:rPr>
              <w:t>要求目标明确、方法合理可行、措施具体、针对性强。措施为优得3分；良得2分；一般得1分；差或无措施不得分。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合同管理、信息管理</w:t>
            </w:r>
          </w:p>
          <w:p>
            <w:pPr>
              <w:spacing w:line="312" w:lineRule="auto"/>
              <w:contextualSpacing/>
              <w:jc w:val="center"/>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分）</w:t>
            </w:r>
          </w:p>
        </w:tc>
        <w:tc>
          <w:tcPr>
            <w:tcW w:w="5252" w:type="dxa"/>
            <w:noWrap/>
            <w:vAlign w:val="center"/>
          </w:tcPr>
          <w:p>
            <w:pPr>
              <w:spacing w:line="312" w:lineRule="auto"/>
              <w:rPr>
                <w:rFonts w:ascii="宋体" w:hAnsi="宋体"/>
                <w:szCs w:val="21"/>
              </w:rPr>
            </w:pPr>
            <w:r>
              <w:rPr>
                <w:rFonts w:hint="eastAsia" w:ascii="宋体" w:hAnsi="宋体"/>
                <w:szCs w:val="21"/>
              </w:rPr>
              <w:t>合同管理、信息管理方法针对性强、措施具体得</w:t>
            </w:r>
            <w:r>
              <w:rPr>
                <w:rFonts w:hint="eastAsia" w:ascii="宋体" w:hAnsi="宋体"/>
                <w:szCs w:val="21"/>
                <w:lang w:val="en-US" w:eastAsia="zh-CN"/>
              </w:rPr>
              <w:t>3</w:t>
            </w:r>
            <w:r>
              <w:rPr>
                <w:rFonts w:hint="eastAsia" w:ascii="宋体" w:hAnsi="宋体"/>
                <w:szCs w:val="21"/>
              </w:rPr>
              <w:t>分；基本可行得</w:t>
            </w:r>
            <w:r>
              <w:rPr>
                <w:rFonts w:ascii="宋体" w:hAnsi="宋体"/>
                <w:szCs w:val="21"/>
              </w:rPr>
              <w:t>2</w:t>
            </w:r>
            <w:r>
              <w:rPr>
                <w:rFonts w:hint="eastAsia" w:ascii="宋体" w:hAnsi="宋体"/>
                <w:szCs w:val="21"/>
              </w:rPr>
              <w:t>分；一般得1分；差或无措施的不得分。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监理工作程序（</w:t>
            </w:r>
            <w:r>
              <w:rPr>
                <w:rFonts w:hint="eastAsia" w:ascii="宋体" w:hAnsi="宋体"/>
                <w:szCs w:val="21"/>
                <w:lang w:val="en-US" w:eastAsia="zh-CN"/>
              </w:rPr>
              <w:t>4</w:t>
            </w:r>
            <w:r>
              <w:rPr>
                <w:rFonts w:hint="eastAsia" w:ascii="宋体" w:hAnsi="宋体"/>
                <w:szCs w:val="21"/>
              </w:rPr>
              <w:t>分）</w:t>
            </w:r>
          </w:p>
        </w:tc>
        <w:tc>
          <w:tcPr>
            <w:tcW w:w="5252" w:type="dxa"/>
            <w:noWrap/>
            <w:vAlign w:val="center"/>
          </w:tcPr>
          <w:p>
            <w:pPr>
              <w:spacing w:line="312" w:lineRule="auto"/>
              <w:rPr>
                <w:rFonts w:ascii="宋体" w:hAnsi="宋体"/>
                <w:szCs w:val="21"/>
              </w:rPr>
            </w:pPr>
            <w:r>
              <w:rPr>
                <w:rFonts w:hint="eastAsia" w:ascii="宋体" w:hAnsi="宋体"/>
                <w:szCs w:val="21"/>
              </w:rPr>
              <w:t>有清晰的工作流程图、工作准则。程序具体可行得</w:t>
            </w:r>
            <w:r>
              <w:rPr>
                <w:rFonts w:hint="eastAsia" w:ascii="宋体" w:hAnsi="宋体"/>
                <w:szCs w:val="21"/>
                <w:lang w:val="en-US" w:eastAsia="zh-CN"/>
              </w:rPr>
              <w:t>4</w:t>
            </w:r>
            <w:r>
              <w:rPr>
                <w:rFonts w:hint="eastAsia" w:ascii="宋体" w:hAnsi="宋体"/>
                <w:szCs w:val="21"/>
              </w:rPr>
              <w:t>分；基本可行得</w:t>
            </w:r>
            <w:r>
              <w:rPr>
                <w:rFonts w:ascii="宋体" w:hAnsi="宋体"/>
                <w:szCs w:val="21"/>
              </w:rPr>
              <w:t>2</w:t>
            </w:r>
            <w:r>
              <w:rPr>
                <w:rFonts w:hint="eastAsia" w:ascii="宋体" w:hAnsi="宋体"/>
                <w:szCs w:val="21"/>
                <w:lang w:val="en-US" w:eastAsia="zh-CN"/>
              </w:rPr>
              <w:t>-3</w:t>
            </w:r>
            <w:r>
              <w:rPr>
                <w:rFonts w:hint="eastAsia" w:ascii="宋体" w:hAnsi="宋体"/>
                <w:szCs w:val="21"/>
              </w:rPr>
              <w:t>分；一般得1分；差或未提供的不得分。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安全、文明施工管理（</w:t>
            </w:r>
            <w:r>
              <w:rPr>
                <w:rFonts w:hint="eastAsia" w:ascii="宋体" w:hAnsi="宋体"/>
                <w:szCs w:val="21"/>
                <w:lang w:val="en-US" w:eastAsia="zh-CN"/>
              </w:rPr>
              <w:t>3</w:t>
            </w:r>
            <w:r>
              <w:rPr>
                <w:rFonts w:hint="eastAsia" w:ascii="宋体" w:hAnsi="宋体"/>
                <w:szCs w:val="21"/>
              </w:rPr>
              <w:t>分）</w:t>
            </w:r>
          </w:p>
        </w:tc>
        <w:tc>
          <w:tcPr>
            <w:tcW w:w="5252" w:type="dxa"/>
            <w:noWrap/>
            <w:vAlign w:val="center"/>
          </w:tcPr>
          <w:p>
            <w:pPr>
              <w:spacing w:line="312" w:lineRule="auto"/>
              <w:rPr>
                <w:rFonts w:ascii="宋体" w:hAnsi="宋体"/>
                <w:szCs w:val="21"/>
              </w:rPr>
            </w:pPr>
            <w:r>
              <w:rPr>
                <w:rFonts w:hint="eastAsia" w:ascii="宋体" w:hAnsi="宋体"/>
                <w:szCs w:val="21"/>
              </w:rPr>
              <w:t>管理措施优得</w:t>
            </w:r>
            <w:r>
              <w:rPr>
                <w:rFonts w:hint="eastAsia" w:ascii="宋体" w:hAnsi="宋体"/>
                <w:szCs w:val="21"/>
                <w:lang w:val="en-US" w:eastAsia="zh-CN"/>
              </w:rPr>
              <w:t>3</w:t>
            </w:r>
            <w:r>
              <w:rPr>
                <w:rFonts w:hint="eastAsia" w:ascii="宋体" w:hAnsi="宋体"/>
                <w:szCs w:val="21"/>
              </w:rPr>
              <w:t>分；良得</w:t>
            </w:r>
            <w:r>
              <w:rPr>
                <w:rFonts w:ascii="宋体" w:hAnsi="宋体"/>
                <w:szCs w:val="21"/>
              </w:rPr>
              <w:t>2</w:t>
            </w:r>
            <w:r>
              <w:rPr>
                <w:rFonts w:hint="eastAsia" w:ascii="宋体" w:hAnsi="宋体"/>
                <w:szCs w:val="21"/>
              </w:rPr>
              <w:t>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监理重点难点监控措施（</w:t>
            </w:r>
            <w:r>
              <w:rPr>
                <w:rFonts w:hint="eastAsia" w:ascii="宋体" w:hAnsi="宋体"/>
                <w:szCs w:val="21"/>
                <w:lang w:val="en-US" w:eastAsia="zh-CN"/>
              </w:rPr>
              <w:t>4</w:t>
            </w:r>
            <w:r>
              <w:rPr>
                <w:rFonts w:hint="eastAsia" w:ascii="宋体" w:hAnsi="宋体"/>
                <w:szCs w:val="21"/>
              </w:rPr>
              <w:t>分）</w:t>
            </w:r>
          </w:p>
        </w:tc>
        <w:tc>
          <w:tcPr>
            <w:tcW w:w="5252" w:type="dxa"/>
            <w:noWrap/>
            <w:vAlign w:val="center"/>
          </w:tcPr>
          <w:p>
            <w:pPr>
              <w:spacing w:line="312" w:lineRule="auto"/>
              <w:rPr>
                <w:rFonts w:ascii="宋体" w:hAnsi="宋体"/>
                <w:szCs w:val="21"/>
              </w:rPr>
            </w:pPr>
            <w:r>
              <w:rPr>
                <w:rFonts w:hint="eastAsia" w:ascii="宋体" w:hAnsi="宋体"/>
                <w:szCs w:val="21"/>
              </w:rPr>
              <w:t>要求针对性强、措施具体、可操作。优得</w:t>
            </w:r>
            <w:r>
              <w:rPr>
                <w:rFonts w:hint="eastAsia" w:ascii="宋体" w:hAnsi="宋体"/>
                <w:szCs w:val="21"/>
                <w:lang w:val="en-US" w:eastAsia="zh-CN"/>
              </w:rPr>
              <w:t>4</w:t>
            </w:r>
            <w:r>
              <w:rPr>
                <w:rFonts w:hint="eastAsia" w:ascii="宋体" w:hAnsi="宋体"/>
                <w:szCs w:val="21"/>
              </w:rPr>
              <w:t>分；良得</w:t>
            </w:r>
            <w:r>
              <w:rPr>
                <w:rFonts w:ascii="宋体" w:hAnsi="宋体"/>
                <w:szCs w:val="21"/>
              </w:rPr>
              <w:t>2</w:t>
            </w:r>
            <w:r>
              <w:rPr>
                <w:rFonts w:hint="eastAsia" w:ascii="宋体" w:hAnsi="宋体"/>
                <w:szCs w:val="21"/>
                <w:lang w:val="en-US" w:eastAsia="zh-CN"/>
              </w:rPr>
              <w:t>-3</w:t>
            </w:r>
            <w:r>
              <w:rPr>
                <w:rFonts w:hint="eastAsia" w:ascii="宋体" w:hAnsi="宋体"/>
                <w:szCs w:val="21"/>
              </w:rPr>
              <w:t>分；一般得1分；差或无措施不得分。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合理化建议（3分）</w:t>
            </w:r>
          </w:p>
        </w:tc>
        <w:tc>
          <w:tcPr>
            <w:tcW w:w="5252" w:type="dxa"/>
            <w:noWrap/>
            <w:vAlign w:val="center"/>
          </w:tcPr>
          <w:p>
            <w:pPr>
              <w:spacing w:line="312" w:lineRule="auto"/>
              <w:rPr>
                <w:rFonts w:ascii="宋体" w:hAnsi="宋体"/>
                <w:szCs w:val="21"/>
              </w:rPr>
            </w:pPr>
            <w:r>
              <w:rPr>
                <w:rFonts w:hint="eastAsia" w:ascii="宋体" w:hAnsi="宋体"/>
                <w:szCs w:val="21"/>
              </w:rPr>
              <w:t>具有科学、合理、可行及具体措施的建议。优得3分；良得2分；一般得1分，差或无不得分。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szCs w:val="21"/>
              </w:rPr>
              <w:t>造价咨询工作实施方案（</w:t>
            </w:r>
            <w:r>
              <w:rPr>
                <w:rFonts w:hint="eastAsia" w:ascii="宋体" w:hAnsi="宋体"/>
                <w:szCs w:val="21"/>
                <w:lang w:val="en-US" w:eastAsia="zh-CN"/>
              </w:rPr>
              <w:t>3</w:t>
            </w:r>
            <w:r>
              <w:rPr>
                <w:rFonts w:hint="eastAsia" w:ascii="宋体" w:hAnsi="宋体"/>
                <w:szCs w:val="21"/>
              </w:rPr>
              <w:t>分）</w:t>
            </w:r>
          </w:p>
        </w:tc>
        <w:tc>
          <w:tcPr>
            <w:tcW w:w="5252" w:type="dxa"/>
            <w:noWrap/>
            <w:vAlign w:val="center"/>
          </w:tcPr>
          <w:p>
            <w:pPr>
              <w:spacing w:line="312" w:lineRule="auto"/>
              <w:rPr>
                <w:rFonts w:ascii="宋体" w:hAnsi="宋体"/>
                <w:szCs w:val="21"/>
              </w:rPr>
            </w:pPr>
            <w:r>
              <w:rPr>
                <w:rFonts w:hint="eastAsia" w:ascii="宋体" w:hAnsi="宋体"/>
                <w:szCs w:val="21"/>
              </w:rPr>
              <w:t>针对本项目的特点、工作内容、服务要求的实施方案。优得</w:t>
            </w:r>
            <w:r>
              <w:rPr>
                <w:rFonts w:hint="eastAsia" w:ascii="宋体" w:hAnsi="宋体"/>
                <w:szCs w:val="21"/>
                <w:lang w:val="en-US" w:eastAsia="zh-CN"/>
              </w:rPr>
              <w:t>3</w:t>
            </w:r>
            <w:r>
              <w:rPr>
                <w:rFonts w:hint="eastAsia" w:ascii="宋体" w:hAnsi="宋体"/>
                <w:szCs w:val="21"/>
              </w:rPr>
              <w:t>分；良得</w:t>
            </w:r>
            <w:r>
              <w:rPr>
                <w:rFonts w:ascii="宋体" w:hAnsi="宋体"/>
                <w:szCs w:val="21"/>
              </w:rPr>
              <w:t>2</w:t>
            </w:r>
            <w:r>
              <w:rPr>
                <w:rFonts w:hint="eastAsia" w:ascii="宋体" w:hAnsi="宋体"/>
                <w:szCs w:val="21"/>
              </w:rPr>
              <w:t>分；一般得1分，差或无不得分。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cs="等线"/>
                <w:szCs w:val="21"/>
              </w:rPr>
              <w:t>造价咨询服务质量保证措施</w:t>
            </w:r>
            <w:r>
              <w:rPr>
                <w:rFonts w:hint="eastAsia" w:ascii="宋体" w:hAnsi="宋体"/>
                <w:szCs w:val="21"/>
              </w:rPr>
              <w:t>（</w:t>
            </w:r>
            <w:r>
              <w:rPr>
                <w:rFonts w:hint="eastAsia" w:ascii="宋体" w:hAnsi="宋体"/>
                <w:szCs w:val="21"/>
                <w:lang w:val="en-US" w:eastAsia="zh-CN"/>
              </w:rPr>
              <w:t>3</w:t>
            </w:r>
            <w:r>
              <w:rPr>
                <w:rFonts w:hint="eastAsia" w:ascii="宋体" w:hAnsi="宋体"/>
                <w:szCs w:val="21"/>
              </w:rPr>
              <w:t>分）</w:t>
            </w:r>
          </w:p>
        </w:tc>
        <w:tc>
          <w:tcPr>
            <w:tcW w:w="5252" w:type="dxa"/>
            <w:noWrap/>
            <w:vAlign w:val="center"/>
          </w:tcPr>
          <w:p>
            <w:pPr>
              <w:spacing w:line="312" w:lineRule="auto"/>
              <w:rPr>
                <w:rFonts w:ascii="宋体" w:hAnsi="宋体"/>
                <w:szCs w:val="21"/>
              </w:rPr>
            </w:pPr>
            <w:r>
              <w:rPr>
                <w:rFonts w:hint="eastAsia" w:ascii="宋体" w:hAnsi="宋体"/>
                <w:szCs w:val="21"/>
              </w:rPr>
              <w:t>针对本项目的服务质量的保证措施。优得</w:t>
            </w:r>
            <w:r>
              <w:rPr>
                <w:rFonts w:hint="eastAsia" w:ascii="宋体" w:hAnsi="宋体"/>
                <w:szCs w:val="21"/>
                <w:lang w:val="en-US" w:eastAsia="zh-CN"/>
              </w:rPr>
              <w:t>3</w:t>
            </w:r>
            <w:r>
              <w:rPr>
                <w:rFonts w:hint="eastAsia" w:ascii="宋体" w:hAnsi="宋体"/>
                <w:szCs w:val="21"/>
              </w:rPr>
              <w:t>分；良得</w:t>
            </w:r>
            <w:r>
              <w:rPr>
                <w:rFonts w:ascii="宋体" w:hAnsi="宋体"/>
                <w:szCs w:val="21"/>
              </w:rPr>
              <w:t>2</w:t>
            </w:r>
            <w:r>
              <w:rPr>
                <w:rFonts w:hint="eastAsia" w:ascii="宋体" w:hAnsi="宋体"/>
                <w:szCs w:val="21"/>
              </w:rPr>
              <w:t>分；一般得</w:t>
            </w:r>
            <w:r>
              <w:rPr>
                <w:rFonts w:ascii="宋体" w:hAnsi="宋体"/>
                <w:szCs w:val="21"/>
              </w:rPr>
              <w:t>1</w:t>
            </w:r>
            <w:r>
              <w:rPr>
                <w:rFonts w:hint="eastAsia" w:ascii="宋体" w:hAnsi="宋体"/>
                <w:szCs w:val="21"/>
              </w:rPr>
              <w:t>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91" w:type="dxa"/>
            <w:vMerge w:val="continue"/>
            <w:noWrap/>
            <w:vAlign w:val="center"/>
          </w:tcPr>
          <w:p>
            <w:pPr>
              <w:pStyle w:val="36"/>
              <w:kinsoku w:val="0"/>
              <w:overflowPunct w:val="0"/>
              <w:spacing w:line="312" w:lineRule="auto"/>
              <w:ind w:left="-63" w:leftChars="-30" w:right="-111" w:rightChars="-53" w:firstLine="62" w:firstLineChars="30"/>
              <w:jc w:val="center"/>
              <w:rPr>
                <w:rFonts w:hint="default" w:ascii="宋体" w:hAnsi="宋体"/>
                <w:spacing w:val="-1"/>
                <w:szCs w:val="21"/>
              </w:rPr>
            </w:pPr>
          </w:p>
        </w:tc>
        <w:tc>
          <w:tcPr>
            <w:tcW w:w="1287" w:type="dxa"/>
            <w:vMerge w:val="continue"/>
            <w:noWrap/>
            <w:vAlign w:val="center"/>
          </w:tcPr>
          <w:p>
            <w:pPr>
              <w:pStyle w:val="36"/>
              <w:kinsoku w:val="0"/>
              <w:overflowPunct w:val="0"/>
              <w:spacing w:line="312" w:lineRule="auto"/>
              <w:ind w:left="-115" w:leftChars="-55" w:right="-122" w:rightChars="-58"/>
              <w:jc w:val="center"/>
              <w:rPr>
                <w:rFonts w:hint="default" w:ascii="宋体" w:hAnsi="宋体"/>
                <w:szCs w:val="21"/>
              </w:rPr>
            </w:pPr>
          </w:p>
        </w:tc>
        <w:tc>
          <w:tcPr>
            <w:tcW w:w="2132" w:type="dxa"/>
            <w:noWrap/>
            <w:vAlign w:val="center"/>
          </w:tcPr>
          <w:p>
            <w:pPr>
              <w:spacing w:line="312" w:lineRule="auto"/>
              <w:contextualSpacing/>
              <w:jc w:val="center"/>
              <w:rPr>
                <w:rFonts w:ascii="宋体" w:hAnsi="宋体"/>
                <w:szCs w:val="21"/>
              </w:rPr>
            </w:pPr>
            <w:r>
              <w:rPr>
                <w:rFonts w:hint="eastAsia" w:ascii="宋体" w:hAnsi="宋体" w:cs="等线"/>
                <w:szCs w:val="21"/>
              </w:rPr>
              <w:t>对造价咨询服务的重点、难点的理解及分析</w:t>
            </w:r>
            <w:r>
              <w:rPr>
                <w:rFonts w:hint="eastAsia" w:ascii="宋体" w:hAnsi="宋体"/>
                <w:szCs w:val="21"/>
              </w:rPr>
              <w:t>（</w:t>
            </w:r>
            <w:r>
              <w:rPr>
                <w:rFonts w:hint="eastAsia" w:ascii="宋体" w:hAnsi="宋体"/>
                <w:szCs w:val="21"/>
                <w:lang w:val="en-US" w:eastAsia="zh-CN"/>
              </w:rPr>
              <w:t>3</w:t>
            </w:r>
            <w:r>
              <w:rPr>
                <w:rFonts w:hint="eastAsia" w:ascii="宋体" w:hAnsi="宋体"/>
                <w:szCs w:val="21"/>
              </w:rPr>
              <w:t>分）</w:t>
            </w:r>
          </w:p>
        </w:tc>
        <w:tc>
          <w:tcPr>
            <w:tcW w:w="5252" w:type="dxa"/>
            <w:noWrap/>
            <w:vAlign w:val="center"/>
          </w:tcPr>
          <w:p>
            <w:pPr>
              <w:spacing w:line="312" w:lineRule="auto"/>
              <w:rPr>
                <w:rFonts w:ascii="宋体" w:hAnsi="宋体"/>
                <w:szCs w:val="21"/>
              </w:rPr>
            </w:pPr>
            <w:r>
              <w:rPr>
                <w:rFonts w:hint="eastAsia" w:ascii="宋体" w:hAnsi="宋体"/>
                <w:szCs w:val="21"/>
              </w:rPr>
              <w:t>对造价咨询服务管理重点难点分析情况及拟采取的控制措施及方案。优得</w:t>
            </w:r>
            <w:r>
              <w:rPr>
                <w:rFonts w:hint="eastAsia" w:ascii="宋体" w:hAnsi="宋体"/>
                <w:szCs w:val="21"/>
                <w:lang w:val="en-US" w:eastAsia="zh-CN"/>
              </w:rPr>
              <w:t>3</w:t>
            </w:r>
            <w:r>
              <w:rPr>
                <w:rFonts w:hint="eastAsia" w:ascii="宋体" w:hAnsi="宋体"/>
                <w:szCs w:val="21"/>
              </w:rPr>
              <w:t>分；良得</w:t>
            </w:r>
            <w:r>
              <w:rPr>
                <w:rFonts w:ascii="宋体" w:hAnsi="宋体"/>
                <w:szCs w:val="21"/>
              </w:rPr>
              <w:t>2</w:t>
            </w:r>
            <w:r>
              <w:rPr>
                <w:rFonts w:hint="eastAsia" w:ascii="宋体" w:hAnsi="宋体"/>
                <w:szCs w:val="21"/>
              </w:rPr>
              <w:t>分；一般得</w:t>
            </w:r>
            <w:r>
              <w:rPr>
                <w:rFonts w:ascii="宋体" w:hAnsi="宋体"/>
                <w:szCs w:val="21"/>
              </w:rPr>
              <w:t>1</w:t>
            </w:r>
            <w:r>
              <w:rPr>
                <w:rFonts w:hint="eastAsia" w:ascii="宋体" w:hAnsi="宋体"/>
                <w:szCs w:val="21"/>
              </w:rPr>
              <w:t>分，差或无不得分。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dxa"/>
            <w:noWrap/>
            <w:vAlign w:val="center"/>
          </w:tcPr>
          <w:p>
            <w:pPr>
              <w:pStyle w:val="36"/>
              <w:kinsoku w:val="0"/>
              <w:overflowPunct w:val="0"/>
              <w:spacing w:line="312" w:lineRule="auto"/>
              <w:ind w:left="-63" w:leftChars="-30" w:right="-111" w:rightChars="-53" w:firstLine="62" w:firstLineChars="30"/>
              <w:jc w:val="center"/>
              <w:rPr>
                <w:rFonts w:hint="default" w:ascii="宋体" w:hAnsi="宋体"/>
                <w:szCs w:val="21"/>
              </w:rPr>
            </w:pPr>
            <w:r>
              <w:rPr>
                <w:rFonts w:ascii="宋体" w:hAnsi="宋体"/>
                <w:spacing w:val="-1"/>
                <w:szCs w:val="21"/>
              </w:rPr>
              <w:t>（</w:t>
            </w:r>
            <w:r>
              <w:rPr>
                <w:rFonts w:ascii="宋体" w:hAnsi="宋体"/>
                <w:szCs w:val="21"/>
              </w:rPr>
              <w:t>3）</w:t>
            </w:r>
          </w:p>
        </w:tc>
        <w:tc>
          <w:tcPr>
            <w:tcW w:w="1287" w:type="dxa"/>
            <w:noWrap/>
            <w:vAlign w:val="center"/>
          </w:tcPr>
          <w:p>
            <w:pPr>
              <w:spacing w:line="312" w:lineRule="auto"/>
              <w:ind w:left="315" w:hanging="315" w:hangingChars="150"/>
              <w:jc w:val="center"/>
              <w:rPr>
                <w:rFonts w:ascii="宋体" w:hAnsi="宋体"/>
                <w:szCs w:val="21"/>
              </w:rPr>
            </w:pPr>
            <w:r>
              <w:rPr>
                <w:rFonts w:hint="eastAsia" w:ascii="宋体" w:hAnsi="宋体"/>
                <w:szCs w:val="21"/>
              </w:rPr>
              <w:t>投标报价</w:t>
            </w:r>
          </w:p>
          <w:p>
            <w:pPr>
              <w:spacing w:line="312" w:lineRule="auto"/>
              <w:ind w:left="315" w:hanging="315" w:hangingChars="150"/>
              <w:jc w:val="center"/>
              <w:rPr>
                <w:rFonts w:ascii="宋体" w:hAnsi="宋体"/>
                <w:szCs w:val="21"/>
              </w:rPr>
            </w:pPr>
            <w:r>
              <w:rPr>
                <w:rFonts w:hint="eastAsia" w:ascii="宋体" w:hAnsi="宋体"/>
                <w:szCs w:val="21"/>
              </w:rPr>
              <w:t>评分</w:t>
            </w:r>
            <w:r>
              <w:rPr>
                <w:rFonts w:hint="eastAsia" w:ascii="宋体" w:hAnsi="宋体"/>
                <w:spacing w:val="-3"/>
                <w:szCs w:val="21"/>
              </w:rPr>
              <w:t>标</w:t>
            </w:r>
            <w:r>
              <w:rPr>
                <w:rFonts w:hint="eastAsia" w:ascii="宋体" w:hAnsi="宋体"/>
                <w:szCs w:val="21"/>
              </w:rPr>
              <w:t>准</w:t>
            </w:r>
          </w:p>
          <w:p>
            <w:pPr>
              <w:spacing w:line="312" w:lineRule="auto"/>
              <w:ind w:left="315" w:hanging="315" w:hangingChars="150"/>
              <w:jc w:val="center"/>
              <w:rPr>
                <w:rFonts w:ascii="宋体" w:hAnsi="宋体"/>
                <w:szCs w:val="21"/>
              </w:rPr>
            </w:pPr>
            <w:r>
              <w:rPr>
                <w:rFonts w:hint="eastAsia" w:ascii="宋体" w:hAnsi="宋体"/>
                <w:szCs w:val="21"/>
              </w:rPr>
              <w:t>（</w:t>
            </w:r>
            <w:r>
              <w:rPr>
                <w:rFonts w:hint="eastAsia" w:ascii="宋体" w:hAnsi="宋体"/>
                <w:szCs w:val="21"/>
                <w:lang w:val="en-US" w:eastAsia="zh-CN"/>
              </w:rPr>
              <w:t>20</w:t>
            </w:r>
            <w:r>
              <w:rPr>
                <w:rFonts w:hint="eastAsia" w:ascii="宋体" w:hAnsi="宋体"/>
                <w:szCs w:val="21"/>
              </w:rPr>
              <w:t>分）</w:t>
            </w:r>
          </w:p>
        </w:tc>
        <w:tc>
          <w:tcPr>
            <w:tcW w:w="2132" w:type="dxa"/>
            <w:noWrap/>
            <w:vAlign w:val="center"/>
          </w:tcPr>
          <w:p>
            <w:pPr>
              <w:pStyle w:val="36"/>
              <w:kinsoku w:val="0"/>
              <w:overflowPunct w:val="0"/>
              <w:spacing w:line="312" w:lineRule="auto"/>
              <w:ind w:left="-102" w:leftChars="-49" w:hanging="1"/>
              <w:jc w:val="center"/>
              <w:rPr>
                <w:rFonts w:hint="default" w:ascii="宋体" w:hAnsi="宋体"/>
                <w:szCs w:val="21"/>
              </w:rPr>
            </w:pPr>
            <w:r>
              <w:rPr>
                <w:rFonts w:ascii="宋体" w:hAnsi="宋体"/>
                <w:szCs w:val="21"/>
              </w:rPr>
              <w:t>报价得分</w:t>
            </w:r>
            <w:r>
              <w:rPr>
                <w:rFonts w:ascii="宋体" w:hAnsi="宋体" w:cs="宋体"/>
                <w:szCs w:val="21"/>
              </w:rPr>
              <w:t>(</w:t>
            </w:r>
            <w:r>
              <w:rPr>
                <w:rFonts w:hint="eastAsia" w:ascii="宋体" w:hAnsi="宋体" w:cs="宋体"/>
                <w:szCs w:val="21"/>
                <w:lang w:val="en-US" w:eastAsia="zh-CN"/>
              </w:rPr>
              <w:t>20</w:t>
            </w:r>
            <w:r>
              <w:rPr>
                <w:rFonts w:ascii="宋体" w:hAnsi="宋体" w:cs="宋体"/>
                <w:szCs w:val="21"/>
              </w:rPr>
              <w:t>分)</w:t>
            </w:r>
          </w:p>
        </w:tc>
        <w:tc>
          <w:tcPr>
            <w:tcW w:w="5252" w:type="dxa"/>
            <w:noWrap/>
            <w:vAlign w:val="top"/>
          </w:tcPr>
          <w:p>
            <w:pPr>
              <w:spacing w:line="312" w:lineRule="auto"/>
              <w:rPr>
                <w:rFonts w:ascii="宋体" w:hAnsi="宋体"/>
                <w:szCs w:val="21"/>
              </w:rPr>
            </w:pPr>
            <w:r>
              <w:rPr>
                <w:rFonts w:hint="eastAsia" w:ascii="宋体" w:hAnsi="宋体"/>
                <w:szCs w:val="21"/>
              </w:rPr>
              <w:t>以评标基准价作为计算各有效投标价得分的基础，当有效投标报价等于评标基准价时得</w:t>
            </w:r>
            <w:r>
              <w:rPr>
                <w:rFonts w:hint="eastAsia" w:ascii="宋体" w:hAnsi="宋体"/>
                <w:szCs w:val="21"/>
                <w:lang w:val="en-US" w:eastAsia="zh-CN"/>
              </w:rPr>
              <w:t>20</w:t>
            </w:r>
            <w:r>
              <w:rPr>
                <w:rFonts w:hint="eastAsia" w:ascii="宋体" w:hAnsi="宋体"/>
                <w:szCs w:val="21"/>
              </w:rPr>
              <w:t>分；投标有效报价与评标基准价之差，每上偏1%扣0.5分，下偏1%扣0.</w:t>
            </w:r>
            <w:r>
              <w:rPr>
                <w:rFonts w:ascii="宋体" w:hAnsi="宋体"/>
                <w:szCs w:val="21"/>
              </w:rPr>
              <w:t>3</w:t>
            </w:r>
            <w:r>
              <w:rPr>
                <w:rFonts w:hint="eastAsia" w:ascii="宋体" w:hAnsi="宋体"/>
                <w:szCs w:val="21"/>
              </w:rPr>
              <w:t>分。（得分扣至0分止）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978" w:type="dxa"/>
            <w:gridSpan w:val="2"/>
            <w:noWrap/>
            <w:vAlign w:val="center"/>
          </w:tcPr>
          <w:p>
            <w:pPr>
              <w:spacing w:line="312" w:lineRule="auto"/>
              <w:ind w:left="315" w:hanging="315" w:hangingChars="150"/>
              <w:jc w:val="center"/>
              <w:rPr>
                <w:rFonts w:hint="eastAsia" w:ascii="宋体" w:hAnsi="宋体" w:eastAsia="宋体"/>
                <w:szCs w:val="21"/>
                <w:lang w:val="en-US" w:eastAsia="zh-CN"/>
              </w:rPr>
            </w:pPr>
            <w:r>
              <w:rPr>
                <w:rFonts w:hint="eastAsia" w:ascii="宋体" w:hAnsi="宋体"/>
                <w:szCs w:val="21"/>
                <w:lang w:val="en-US" w:eastAsia="zh-CN"/>
              </w:rPr>
              <w:t>备注</w:t>
            </w:r>
          </w:p>
        </w:tc>
        <w:tc>
          <w:tcPr>
            <w:tcW w:w="7384" w:type="dxa"/>
            <w:gridSpan w:val="2"/>
            <w:noWrap/>
            <w:vAlign w:val="center"/>
          </w:tcPr>
          <w:p>
            <w:pPr>
              <w:spacing w:line="360" w:lineRule="auto"/>
              <w:ind w:right="10" w:rightChars="5"/>
              <w:jc w:val="left"/>
              <w:rPr>
                <w:rFonts w:hint="eastAsia" w:ascii="宋体" w:hAnsi="宋体" w:eastAsia="宋体" w:cs="@DotumChe"/>
                <w:color w:val="auto"/>
                <w:kern w:val="2"/>
                <w:sz w:val="21"/>
                <w:szCs w:val="21"/>
                <w:highlight w:val="none"/>
                <w:lang w:val="en-US" w:eastAsia="zh-CN" w:bidi="ar-SA"/>
              </w:rPr>
            </w:pPr>
            <w:r>
              <w:rPr>
                <w:rFonts w:hint="eastAsia" w:ascii="宋体" w:hAnsi="宋体" w:eastAsia="宋体" w:cs="@DotumChe"/>
                <w:color w:val="auto"/>
                <w:kern w:val="2"/>
                <w:sz w:val="21"/>
                <w:szCs w:val="21"/>
                <w:highlight w:val="none"/>
                <w:lang w:val="en-US" w:eastAsia="zh-CN" w:bidi="ar-SA"/>
              </w:rPr>
              <w:t>1、管理体系认证：须提供有效期内认证证书扫描件。</w:t>
            </w:r>
          </w:p>
          <w:p>
            <w:pPr>
              <w:spacing w:line="360" w:lineRule="auto"/>
              <w:ind w:right="10" w:rightChars="5"/>
              <w:jc w:val="left"/>
              <w:rPr>
                <w:rFonts w:hint="eastAsia" w:ascii="宋体" w:hAnsi="宋体" w:eastAsia="宋体" w:cs="@DotumChe"/>
                <w:color w:val="auto"/>
                <w:kern w:val="2"/>
                <w:sz w:val="21"/>
                <w:szCs w:val="21"/>
                <w:highlight w:val="none"/>
                <w:lang w:val="en-US" w:eastAsia="zh-CN" w:bidi="ar-SA"/>
              </w:rPr>
            </w:pPr>
            <w:r>
              <w:rPr>
                <w:rFonts w:hint="eastAsia" w:ascii="宋体" w:hAnsi="宋体" w:eastAsia="宋体" w:cs="@DotumChe"/>
                <w:color w:val="auto"/>
                <w:kern w:val="2"/>
                <w:sz w:val="21"/>
                <w:szCs w:val="21"/>
                <w:highlight w:val="none"/>
                <w:lang w:val="en-US" w:eastAsia="zh-CN" w:bidi="ar-SA"/>
              </w:rPr>
              <w:t>2、A级纳税人：只计算投标人自身（不计算投标人的分公司和子公司）。投标人须提供在税务部门官网网站的有效查询路径的查询结果网页截图或税务部门颁发证书，不符合条件的不计分。</w:t>
            </w:r>
          </w:p>
          <w:p>
            <w:pPr>
              <w:spacing w:line="360" w:lineRule="auto"/>
              <w:ind w:right="10" w:rightChars="5"/>
              <w:jc w:val="left"/>
              <w:rPr>
                <w:rFonts w:hint="eastAsia" w:ascii="宋体" w:hAnsi="宋体" w:eastAsia="宋体" w:cs="@DotumChe"/>
                <w:color w:val="auto"/>
                <w:kern w:val="2"/>
                <w:sz w:val="21"/>
                <w:szCs w:val="21"/>
                <w:highlight w:val="none"/>
                <w:lang w:val="en-US" w:eastAsia="zh-CN" w:bidi="ar-SA"/>
              </w:rPr>
            </w:pPr>
            <w:r>
              <w:rPr>
                <w:rFonts w:hint="eastAsia" w:ascii="宋体" w:hAnsi="宋体" w:eastAsia="宋体" w:cs="@DotumChe"/>
                <w:color w:val="auto"/>
                <w:kern w:val="2"/>
                <w:sz w:val="21"/>
                <w:szCs w:val="21"/>
                <w:highlight w:val="none"/>
                <w:lang w:val="en-US" w:eastAsia="zh-CN" w:bidi="ar-SA"/>
              </w:rPr>
              <w:t>3、类似工程是指：承接的110</w:t>
            </w:r>
            <w:r>
              <w:rPr>
                <w:rFonts w:hint="eastAsia" w:ascii="宋体" w:hAnsi="宋体"/>
                <w:szCs w:val="21"/>
                <w:lang w:val="en-US" w:eastAsia="zh-CN"/>
              </w:rPr>
              <w:t>kV</w:t>
            </w:r>
            <w:r>
              <w:rPr>
                <w:rFonts w:hint="eastAsia" w:ascii="宋体" w:hAnsi="宋体" w:eastAsia="宋体" w:cs="@DotumChe"/>
                <w:color w:val="auto"/>
                <w:kern w:val="2"/>
                <w:sz w:val="21"/>
                <w:szCs w:val="21"/>
                <w:highlight w:val="none"/>
                <w:lang w:val="en-US" w:eastAsia="zh-CN" w:bidi="ar-SA"/>
              </w:rPr>
              <w:t>及以上电力工程监理业绩，需提供中标通知书或免招标的相关证明、施工监理合同、竣工验收报告或竣工验收证明，业绩时间以竣工验收报告或竣工验收证明出具的时间为准。</w:t>
            </w:r>
          </w:p>
          <w:p>
            <w:pPr>
              <w:spacing w:line="360" w:lineRule="auto"/>
              <w:ind w:right="-130" w:rightChars="-62"/>
              <w:jc w:val="left"/>
              <w:rPr>
                <w:rFonts w:hint="eastAsia" w:ascii="宋体" w:hAnsi="宋体" w:eastAsia="宋体" w:cs="@DotumChe"/>
                <w:color w:val="auto"/>
                <w:kern w:val="2"/>
                <w:sz w:val="21"/>
                <w:szCs w:val="21"/>
                <w:highlight w:val="none"/>
                <w:lang w:val="en-US" w:eastAsia="zh-CN" w:bidi="ar-SA"/>
              </w:rPr>
            </w:pPr>
            <w:r>
              <w:rPr>
                <w:rFonts w:hint="eastAsia" w:ascii="宋体" w:hAnsi="宋体" w:cs="@DotumChe"/>
                <w:color w:val="auto"/>
                <w:kern w:val="2"/>
                <w:sz w:val="21"/>
                <w:szCs w:val="21"/>
                <w:highlight w:val="none"/>
                <w:lang w:val="en-US" w:eastAsia="zh-CN" w:bidi="ar-SA"/>
              </w:rPr>
              <w:t>4</w:t>
            </w:r>
            <w:r>
              <w:rPr>
                <w:rFonts w:hint="eastAsia" w:ascii="宋体" w:hAnsi="宋体" w:eastAsia="宋体" w:cs="@DotumChe"/>
                <w:color w:val="auto"/>
                <w:kern w:val="2"/>
                <w:sz w:val="21"/>
                <w:szCs w:val="21"/>
                <w:highlight w:val="none"/>
                <w:lang w:val="en-US" w:eastAsia="zh-CN" w:bidi="ar-SA"/>
              </w:rPr>
              <w:t>、总监理工程师业绩：业绩须提供竣工验收报告或竣工验收证明，时间以竣工验收报告或竣工验收证明为准。业绩证明材料须体现总监姓名，否则不予加分。</w:t>
            </w:r>
          </w:p>
          <w:p>
            <w:pPr>
              <w:tabs>
                <w:tab w:val="left" w:pos="540"/>
              </w:tabs>
              <w:snapToGrid w:val="0"/>
              <w:spacing w:line="360" w:lineRule="auto"/>
              <w:rPr>
                <w:rFonts w:hint="eastAsia" w:ascii="宋体" w:hAnsi="宋体" w:eastAsia="宋体" w:cs="@DotumChe"/>
                <w:color w:val="auto"/>
                <w:kern w:val="2"/>
                <w:sz w:val="21"/>
                <w:szCs w:val="21"/>
                <w:highlight w:val="none"/>
                <w:lang w:val="en-US" w:eastAsia="zh-CN" w:bidi="ar-SA"/>
              </w:rPr>
            </w:pPr>
            <w:r>
              <w:rPr>
                <w:rFonts w:hint="eastAsia" w:ascii="宋体" w:hAnsi="宋体" w:cs="@DotumChe"/>
                <w:color w:val="auto"/>
                <w:kern w:val="2"/>
                <w:sz w:val="21"/>
                <w:szCs w:val="21"/>
                <w:highlight w:val="none"/>
                <w:lang w:val="en-US" w:eastAsia="zh-CN" w:bidi="ar-SA"/>
              </w:rPr>
              <w:t>5</w:t>
            </w:r>
            <w:r>
              <w:rPr>
                <w:rFonts w:hint="eastAsia" w:ascii="宋体" w:hAnsi="宋体" w:eastAsia="宋体" w:cs="@DotumChe"/>
                <w:color w:val="auto"/>
                <w:kern w:val="2"/>
                <w:sz w:val="21"/>
                <w:szCs w:val="21"/>
                <w:highlight w:val="none"/>
                <w:lang w:val="en-US" w:eastAsia="zh-CN" w:bidi="ar-SA"/>
              </w:rPr>
              <w:t>、其他主要人员资历：按评分要求提供拟配团队人员的相关证明材料。</w:t>
            </w:r>
          </w:p>
          <w:p>
            <w:pPr>
              <w:tabs>
                <w:tab w:val="left" w:pos="540"/>
              </w:tabs>
              <w:snapToGrid w:val="0"/>
              <w:spacing w:line="360" w:lineRule="auto"/>
              <w:rPr>
                <w:rFonts w:hint="eastAsia" w:ascii="宋体" w:hAnsi="宋体" w:eastAsia="宋体" w:cs="@DotumChe"/>
                <w:color w:val="auto"/>
                <w:kern w:val="2"/>
                <w:sz w:val="21"/>
                <w:szCs w:val="21"/>
                <w:highlight w:val="none"/>
                <w:lang w:val="en-US" w:eastAsia="zh-CN" w:bidi="ar-SA"/>
              </w:rPr>
            </w:pPr>
            <w:r>
              <w:rPr>
                <w:rFonts w:hint="eastAsia" w:ascii="宋体" w:hAnsi="宋体" w:cs="@DotumChe"/>
                <w:color w:val="auto"/>
                <w:kern w:val="2"/>
                <w:sz w:val="21"/>
                <w:szCs w:val="21"/>
                <w:highlight w:val="none"/>
                <w:lang w:val="en-US" w:eastAsia="zh-CN" w:bidi="ar-SA"/>
              </w:rPr>
              <w:t>6</w:t>
            </w:r>
            <w:r>
              <w:rPr>
                <w:rFonts w:hint="eastAsia" w:ascii="宋体" w:hAnsi="宋体" w:eastAsia="宋体" w:cs="@DotumChe"/>
                <w:color w:val="auto"/>
                <w:kern w:val="2"/>
                <w:sz w:val="21"/>
                <w:szCs w:val="21"/>
                <w:highlight w:val="none"/>
                <w:lang w:val="en-US" w:eastAsia="zh-CN" w:bidi="ar-SA"/>
              </w:rPr>
              <w:t>、投标人提供的人员须为投标人在职员工，需按评分要求提供相关证明文件及2024年</w:t>
            </w:r>
            <w:r>
              <w:rPr>
                <w:rFonts w:hint="eastAsia" w:ascii="宋体" w:hAnsi="宋体" w:cs="@DotumChe"/>
                <w:color w:val="auto"/>
                <w:kern w:val="2"/>
                <w:sz w:val="21"/>
                <w:szCs w:val="21"/>
                <w:highlight w:val="none"/>
                <w:lang w:val="en-US" w:eastAsia="zh-CN" w:bidi="ar-SA"/>
              </w:rPr>
              <w:t>09</w:t>
            </w:r>
            <w:r>
              <w:rPr>
                <w:rFonts w:hint="eastAsia" w:ascii="宋体" w:hAnsi="宋体" w:eastAsia="宋体" w:cs="@DotumChe"/>
                <w:color w:val="auto"/>
                <w:kern w:val="2"/>
                <w:sz w:val="21"/>
                <w:szCs w:val="21"/>
                <w:highlight w:val="none"/>
                <w:lang w:val="en-US" w:eastAsia="zh-CN" w:bidi="ar-SA"/>
              </w:rPr>
              <w:t>月份的社保缴纳证明原件清晰彩色扫描件或网上查询打印件。</w:t>
            </w:r>
          </w:p>
          <w:p>
            <w:pPr>
              <w:spacing w:line="312" w:lineRule="auto"/>
              <w:rPr>
                <w:rFonts w:hint="eastAsia" w:ascii="宋体" w:hAnsi="宋体" w:eastAsia="宋体" w:cs="@DotumChe"/>
                <w:color w:val="auto"/>
                <w:kern w:val="2"/>
                <w:sz w:val="21"/>
                <w:szCs w:val="21"/>
                <w:highlight w:val="none"/>
                <w:lang w:val="en-US" w:eastAsia="zh-CN" w:bidi="ar-SA"/>
              </w:rPr>
            </w:pPr>
            <w:r>
              <w:rPr>
                <w:rFonts w:hint="eastAsia" w:ascii="宋体" w:hAnsi="宋体" w:cs="@DotumChe"/>
                <w:color w:val="auto"/>
                <w:kern w:val="2"/>
                <w:sz w:val="21"/>
                <w:szCs w:val="21"/>
                <w:highlight w:val="none"/>
                <w:lang w:val="en-US" w:eastAsia="zh-CN" w:bidi="ar-SA"/>
              </w:rPr>
              <w:t>7</w:t>
            </w:r>
            <w:r>
              <w:rPr>
                <w:rFonts w:hint="eastAsia" w:ascii="宋体" w:hAnsi="宋体" w:eastAsia="宋体" w:cs="@DotumChe"/>
                <w:color w:val="auto"/>
                <w:kern w:val="2"/>
                <w:sz w:val="21"/>
                <w:szCs w:val="21"/>
                <w:highlight w:val="none"/>
                <w:lang w:val="en-US" w:eastAsia="zh-CN" w:bidi="ar-SA"/>
              </w:rPr>
              <w:t>、投标人的综合得分为各评委的评分计取的算术平均分（分数出现小数点时，保留小数点后二位，第三位小数四舍五入）。</w:t>
            </w:r>
          </w:p>
          <w:p>
            <w:pPr>
              <w:pStyle w:val="27"/>
              <w:ind w:left="0" w:leftChars="0" w:firstLine="0" w:firstLineChars="0"/>
              <w:jc w:val="left"/>
              <w:rPr>
                <w:rFonts w:hint="eastAsia" w:eastAsia="宋体"/>
                <w:lang w:val="en-US" w:eastAsia="zh-CN"/>
              </w:rPr>
            </w:pPr>
            <w:r>
              <w:rPr>
                <w:rFonts w:hint="eastAsia" w:ascii="宋体" w:hAnsi="宋体"/>
                <w:color w:val="auto"/>
                <w:sz w:val="21"/>
                <w:szCs w:val="21"/>
                <w:highlight w:val="none"/>
                <w:lang w:val="en-US" w:eastAsia="zh-CN"/>
              </w:rPr>
              <w:t>8</w:t>
            </w:r>
            <w:r>
              <w:rPr>
                <w:rFonts w:hint="eastAsia" w:ascii="宋体" w:hAnsi="宋体" w:eastAsia="宋体"/>
                <w:color w:val="auto"/>
                <w:sz w:val="21"/>
                <w:szCs w:val="21"/>
                <w:highlight w:val="none"/>
                <w:lang w:val="en-US" w:eastAsia="zh-CN"/>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tc>
      </w:tr>
    </w:tbl>
    <w:p>
      <w:pPr>
        <w:spacing w:line="240" w:lineRule="auto"/>
        <w:ind w:left="0" w:firstLine="0" w:firstLineChars="0"/>
        <w:rPr>
          <w:rFonts w:hint="eastAsia"/>
          <w:sz w:val="24"/>
        </w:rPr>
      </w:pPr>
      <w:r>
        <w:rPr>
          <w:rFonts w:hint="eastAsia"/>
          <w:sz w:val="24"/>
        </w:rPr>
        <w:br w:type="page"/>
      </w:r>
    </w:p>
    <w:p>
      <w:pPr>
        <w:tabs>
          <w:tab w:val="left" w:pos="105"/>
        </w:tabs>
        <w:spacing w:line="360" w:lineRule="auto"/>
        <w:ind w:left="-1" w:firstLine="480" w:firstLineChars="200"/>
        <w:rPr>
          <w:sz w:val="24"/>
        </w:rPr>
      </w:pPr>
      <w:r>
        <w:rPr>
          <w:rFonts w:hint="eastAsia"/>
          <w:sz w:val="24"/>
        </w:rPr>
        <w:t>附表：人员配备要求：</w:t>
      </w:r>
    </w:p>
    <w:tbl>
      <w:tblPr>
        <w:tblStyle w:val="20"/>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006"/>
        <w:gridCol w:w="1433"/>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4" w:type="dxa"/>
            <w:vAlign w:val="center"/>
          </w:tcPr>
          <w:p>
            <w:pPr>
              <w:jc w:val="center"/>
              <w:rPr>
                <w:rFonts w:hint="eastAsia" w:eastAsia="宋体"/>
                <w:b/>
                <w:bCs/>
                <w:szCs w:val="21"/>
                <w:lang w:val="en-US" w:eastAsia="zh-CN"/>
              </w:rPr>
            </w:pPr>
            <w:r>
              <w:rPr>
                <w:rFonts w:hint="eastAsia"/>
                <w:b/>
                <w:bCs/>
                <w:szCs w:val="21"/>
                <w:lang w:val="en-US" w:eastAsia="zh-CN"/>
              </w:rPr>
              <w:t>序号</w:t>
            </w:r>
          </w:p>
        </w:tc>
        <w:tc>
          <w:tcPr>
            <w:tcW w:w="2006" w:type="dxa"/>
            <w:vAlign w:val="center"/>
          </w:tcPr>
          <w:p>
            <w:pPr>
              <w:jc w:val="center"/>
              <w:rPr>
                <w:b/>
                <w:bCs/>
                <w:szCs w:val="21"/>
              </w:rPr>
            </w:pPr>
            <w:r>
              <w:rPr>
                <w:rFonts w:hint="eastAsia"/>
                <w:b/>
                <w:bCs/>
                <w:szCs w:val="21"/>
              </w:rPr>
              <w:t>岗位</w:t>
            </w:r>
          </w:p>
        </w:tc>
        <w:tc>
          <w:tcPr>
            <w:tcW w:w="1433" w:type="dxa"/>
            <w:vAlign w:val="center"/>
          </w:tcPr>
          <w:p>
            <w:pPr>
              <w:jc w:val="center"/>
              <w:rPr>
                <w:b/>
                <w:bCs/>
                <w:szCs w:val="21"/>
              </w:rPr>
            </w:pPr>
            <w:r>
              <w:rPr>
                <w:rFonts w:hint="eastAsia"/>
                <w:b/>
                <w:bCs/>
                <w:szCs w:val="21"/>
              </w:rPr>
              <w:t>人员要求</w:t>
            </w:r>
          </w:p>
        </w:tc>
        <w:tc>
          <w:tcPr>
            <w:tcW w:w="5531" w:type="dxa"/>
            <w:vAlign w:val="center"/>
          </w:tcPr>
          <w:p>
            <w:pPr>
              <w:jc w:val="center"/>
              <w:rPr>
                <w:b/>
                <w:bCs/>
                <w:szCs w:val="21"/>
              </w:rPr>
            </w:pPr>
            <w:r>
              <w:rPr>
                <w:rFonts w:hint="eastAsia"/>
                <w:b/>
                <w:bCs/>
                <w:szCs w:val="21"/>
              </w:rPr>
              <w:t>持证上岗要求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114" w:type="dxa"/>
            <w:vAlign w:val="center"/>
          </w:tcPr>
          <w:p>
            <w:pPr>
              <w:spacing w:line="276" w:lineRule="auto"/>
              <w:jc w:val="center"/>
              <w:rPr>
                <w:rFonts w:hint="default" w:ascii="宋体" w:hAnsi="Times New Roman" w:eastAsia="宋体" w:cs="宋体"/>
                <w:szCs w:val="21"/>
                <w:highlight w:val="none"/>
                <w:lang w:val="en-US" w:eastAsia="zh-CN"/>
              </w:rPr>
            </w:pPr>
            <w:r>
              <w:rPr>
                <w:rFonts w:hint="eastAsia" w:ascii="宋体" w:cs="宋体"/>
                <w:szCs w:val="21"/>
                <w:highlight w:val="none"/>
                <w:lang w:val="en-US" w:eastAsia="zh-CN"/>
              </w:rPr>
              <w:t>1</w:t>
            </w:r>
          </w:p>
        </w:tc>
        <w:tc>
          <w:tcPr>
            <w:tcW w:w="2006" w:type="dxa"/>
            <w:vAlign w:val="center"/>
          </w:tcPr>
          <w:p>
            <w:pPr>
              <w:spacing w:line="276" w:lineRule="auto"/>
              <w:jc w:val="center"/>
              <w:rPr>
                <w:rFonts w:hint="eastAsia" w:ascii="宋体" w:hAnsi="宋体"/>
                <w:szCs w:val="21"/>
              </w:rPr>
            </w:pPr>
            <w:r>
              <w:rPr>
                <w:rFonts w:hint="eastAsia" w:ascii="宋体" w:hAnsi="Times New Roman" w:eastAsia="宋体" w:cs="宋体"/>
                <w:szCs w:val="21"/>
                <w:highlight w:val="none"/>
                <w:lang w:val="en-US" w:eastAsia="zh-CN"/>
              </w:rPr>
              <w:t>总监理工程师</w:t>
            </w:r>
          </w:p>
        </w:tc>
        <w:tc>
          <w:tcPr>
            <w:tcW w:w="1433" w:type="dxa"/>
            <w:vAlign w:val="center"/>
          </w:tcPr>
          <w:p>
            <w:pPr>
              <w:spacing w:line="276" w:lineRule="auto"/>
              <w:jc w:val="center"/>
              <w:rPr>
                <w:rFonts w:hint="default"/>
                <w:szCs w:val="21"/>
                <w:lang w:val="en-US" w:eastAsia="zh-CN"/>
              </w:rPr>
            </w:pPr>
            <w:r>
              <w:rPr>
                <w:rFonts w:hint="eastAsia"/>
                <w:szCs w:val="21"/>
                <w:lang w:val="en-US" w:eastAsia="zh-CN"/>
              </w:rPr>
              <w:t>1名</w:t>
            </w:r>
          </w:p>
        </w:tc>
        <w:tc>
          <w:tcPr>
            <w:tcW w:w="5531" w:type="dxa"/>
            <w:vAlign w:val="center"/>
          </w:tcPr>
          <w:p>
            <w:pPr>
              <w:spacing w:line="276" w:lineRule="auto"/>
              <w:rPr>
                <w:rFonts w:hint="default" w:ascii="宋体" w:hAnsi="宋体" w:eastAsia="宋体"/>
                <w:szCs w:val="21"/>
                <w:lang w:val="en-US" w:eastAsia="zh-CN"/>
              </w:rPr>
            </w:pPr>
            <w:r>
              <w:rPr>
                <w:rFonts w:hint="eastAsia" w:ascii="宋体" w:hAnsi="宋体"/>
                <w:szCs w:val="21"/>
                <w:lang w:val="en-US" w:eastAsia="zh-CN"/>
              </w:rPr>
              <w:t>按照招标公告要求。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114"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006" w:type="dxa"/>
            <w:vAlign w:val="center"/>
          </w:tcPr>
          <w:p>
            <w:pPr>
              <w:spacing w:line="276" w:lineRule="auto"/>
              <w:jc w:val="center"/>
              <w:rPr>
                <w:szCs w:val="21"/>
              </w:rPr>
            </w:pPr>
            <w:r>
              <w:rPr>
                <w:rFonts w:hint="eastAsia" w:ascii="宋体" w:hAnsi="宋体"/>
                <w:szCs w:val="21"/>
              </w:rPr>
              <w:t>电力工程专业监理工程师</w:t>
            </w:r>
          </w:p>
        </w:tc>
        <w:tc>
          <w:tcPr>
            <w:tcW w:w="1433" w:type="dxa"/>
            <w:vAlign w:val="center"/>
          </w:tcPr>
          <w:p>
            <w:pPr>
              <w:spacing w:line="276" w:lineRule="auto"/>
              <w:jc w:val="center"/>
              <w:rPr>
                <w:rFonts w:hint="default" w:eastAsia="宋体"/>
                <w:szCs w:val="21"/>
                <w:lang w:val="en-US" w:eastAsia="zh-CN"/>
              </w:rPr>
            </w:pPr>
            <w:r>
              <w:rPr>
                <w:rFonts w:hint="eastAsia"/>
                <w:szCs w:val="21"/>
                <w:lang w:val="en-US" w:eastAsia="zh-CN"/>
              </w:rPr>
              <w:t>4名</w:t>
            </w:r>
          </w:p>
        </w:tc>
        <w:tc>
          <w:tcPr>
            <w:tcW w:w="5531" w:type="dxa"/>
            <w:vAlign w:val="center"/>
          </w:tcPr>
          <w:p>
            <w:pPr>
              <w:spacing w:line="276" w:lineRule="auto"/>
              <w:rPr>
                <w:szCs w:val="21"/>
              </w:rPr>
            </w:pPr>
            <w:r>
              <w:rPr>
                <w:rFonts w:hint="eastAsia" w:ascii="宋体" w:hAnsi="宋体"/>
                <w:szCs w:val="21"/>
              </w:rPr>
              <w:t>需持有电力工程专业注册监理工程师证书或专业监理工程师证书。（如为联合体，则</w:t>
            </w:r>
            <w:r>
              <w:rPr>
                <w:rFonts w:hint="eastAsia" w:ascii="宋体" w:hAnsi="宋体"/>
                <w:szCs w:val="21"/>
                <w:lang w:val="en-US" w:eastAsia="zh-CN"/>
              </w:rPr>
              <w:t>由</w:t>
            </w:r>
            <w:r>
              <w:rPr>
                <w:rFonts w:hint="eastAsia" w:ascii="宋体" w:hAnsi="宋体"/>
                <w:szCs w:val="21"/>
              </w:rPr>
              <w:t>监理单位</w:t>
            </w:r>
            <w:r>
              <w:rPr>
                <w:rFonts w:hint="eastAsia" w:ascii="宋体" w:hAnsi="宋体"/>
                <w:szCs w:val="21"/>
                <w:lang w:val="en-US" w:eastAsia="zh-CN"/>
              </w:rPr>
              <w:t>提供</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114"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2006" w:type="dxa"/>
            <w:vAlign w:val="center"/>
          </w:tcPr>
          <w:p>
            <w:pPr>
              <w:spacing w:line="276" w:lineRule="auto"/>
              <w:jc w:val="center"/>
              <w:rPr>
                <w:szCs w:val="21"/>
              </w:rPr>
            </w:pPr>
            <w:r>
              <w:rPr>
                <w:rFonts w:hint="eastAsia" w:ascii="宋体" w:hAnsi="宋体"/>
                <w:szCs w:val="21"/>
              </w:rPr>
              <w:t>安全管理工程师</w:t>
            </w:r>
          </w:p>
        </w:tc>
        <w:tc>
          <w:tcPr>
            <w:tcW w:w="1433" w:type="dxa"/>
            <w:vAlign w:val="center"/>
          </w:tcPr>
          <w:p>
            <w:pPr>
              <w:spacing w:line="276" w:lineRule="auto"/>
              <w:jc w:val="center"/>
              <w:rPr>
                <w:szCs w:val="21"/>
              </w:rPr>
            </w:pPr>
            <w:r>
              <w:rPr>
                <w:rFonts w:hint="eastAsia" w:ascii="宋体" w:hAnsi="宋体"/>
                <w:szCs w:val="21"/>
              </w:rPr>
              <w:t>1名</w:t>
            </w:r>
          </w:p>
        </w:tc>
        <w:tc>
          <w:tcPr>
            <w:tcW w:w="5531" w:type="dxa"/>
            <w:vAlign w:val="center"/>
          </w:tcPr>
          <w:p>
            <w:pPr>
              <w:spacing w:line="276" w:lineRule="auto"/>
              <w:rPr>
                <w:szCs w:val="21"/>
              </w:rPr>
            </w:pPr>
            <w:r>
              <w:rPr>
                <w:rFonts w:hint="eastAsia"/>
                <w:szCs w:val="21"/>
              </w:rPr>
              <w:t>需持有注册安全工程师证书。（如为联合体，则由监理单位提供）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14" w:type="dxa"/>
            <w:vAlign w:val="center"/>
          </w:tcPr>
          <w:p>
            <w:pPr>
              <w:spacing w:line="276" w:lineRule="auto"/>
              <w:jc w:val="center"/>
              <w:rPr>
                <w:rFonts w:hint="eastAsia" w:eastAsia="宋体"/>
                <w:szCs w:val="21"/>
                <w:lang w:val="en-US" w:eastAsia="zh-CN"/>
              </w:rPr>
            </w:pPr>
            <w:r>
              <w:rPr>
                <w:rFonts w:hint="eastAsia"/>
                <w:szCs w:val="21"/>
                <w:lang w:val="en-US" w:eastAsia="zh-CN"/>
              </w:rPr>
              <w:t>4</w:t>
            </w:r>
          </w:p>
        </w:tc>
        <w:tc>
          <w:tcPr>
            <w:tcW w:w="2006" w:type="dxa"/>
            <w:vAlign w:val="center"/>
          </w:tcPr>
          <w:p>
            <w:pPr>
              <w:spacing w:line="276" w:lineRule="auto"/>
              <w:jc w:val="center"/>
              <w:rPr>
                <w:szCs w:val="21"/>
              </w:rPr>
            </w:pPr>
            <w:r>
              <w:rPr>
                <w:rFonts w:hint="eastAsia"/>
                <w:szCs w:val="21"/>
              </w:rPr>
              <w:t>造价工程师</w:t>
            </w:r>
          </w:p>
        </w:tc>
        <w:tc>
          <w:tcPr>
            <w:tcW w:w="1433" w:type="dxa"/>
            <w:vAlign w:val="center"/>
          </w:tcPr>
          <w:p>
            <w:pPr>
              <w:spacing w:line="276" w:lineRule="auto"/>
              <w:jc w:val="center"/>
              <w:rPr>
                <w:szCs w:val="21"/>
              </w:rPr>
            </w:pPr>
            <w:r>
              <w:rPr>
                <w:rFonts w:hint="eastAsia" w:ascii="宋体" w:hAnsi="宋体"/>
                <w:szCs w:val="21"/>
                <w:lang w:val="en-US" w:eastAsia="zh-CN"/>
              </w:rPr>
              <w:t>3</w:t>
            </w:r>
            <w:r>
              <w:rPr>
                <w:rFonts w:hint="eastAsia" w:ascii="宋体" w:hAnsi="宋体"/>
                <w:szCs w:val="21"/>
              </w:rPr>
              <w:t>名</w:t>
            </w:r>
          </w:p>
        </w:tc>
        <w:tc>
          <w:tcPr>
            <w:tcW w:w="5531" w:type="dxa"/>
            <w:vAlign w:val="center"/>
          </w:tcPr>
          <w:p>
            <w:pPr>
              <w:spacing w:line="276" w:lineRule="auto"/>
              <w:jc w:val="center"/>
              <w:rPr>
                <w:szCs w:val="21"/>
              </w:rPr>
            </w:pPr>
            <w:r>
              <w:rPr>
                <w:rFonts w:hint="eastAsia"/>
                <w:szCs w:val="21"/>
              </w:rPr>
              <w:t>需持有注册（一级）造价工程师证书。（如为联合体，则由造价咨询单位提供）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spacing w:line="276"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006" w:type="dxa"/>
            <w:vAlign w:val="center"/>
          </w:tcPr>
          <w:p>
            <w:pPr>
              <w:spacing w:line="276" w:lineRule="auto"/>
              <w:jc w:val="center"/>
              <w:rPr>
                <w:szCs w:val="21"/>
              </w:rPr>
            </w:pPr>
            <w:r>
              <w:rPr>
                <w:rFonts w:hint="eastAsia" w:ascii="宋体" w:hAnsi="宋体"/>
                <w:szCs w:val="21"/>
              </w:rPr>
              <w:t>监理员</w:t>
            </w:r>
          </w:p>
        </w:tc>
        <w:tc>
          <w:tcPr>
            <w:tcW w:w="1433" w:type="dxa"/>
            <w:vAlign w:val="center"/>
          </w:tcPr>
          <w:p>
            <w:pPr>
              <w:spacing w:line="276" w:lineRule="auto"/>
              <w:jc w:val="center"/>
              <w:rPr>
                <w:rFonts w:hint="default" w:eastAsia="宋体"/>
                <w:szCs w:val="21"/>
                <w:lang w:val="en-US" w:eastAsia="zh-CN"/>
              </w:rPr>
            </w:pPr>
            <w:r>
              <w:rPr>
                <w:rFonts w:hint="eastAsia"/>
                <w:szCs w:val="21"/>
                <w:lang w:val="en-US" w:eastAsia="zh-CN"/>
              </w:rPr>
              <w:t>共4名</w:t>
            </w:r>
          </w:p>
        </w:tc>
        <w:tc>
          <w:tcPr>
            <w:tcW w:w="5531" w:type="dxa"/>
            <w:vAlign w:val="center"/>
          </w:tcPr>
          <w:p>
            <w:pPr>
              <w:spacing w:line="276" w:lineRule="auto"/>
              <w:jc w:val="center"/>
              <w:rPr>
                <w:szCs w:val="21"/>
              </w:rPr>
            </w:pPr>
            <w:r>
              <w:rPr>
                <w:rFonts w:hint="eastAsia"/>
                <w:szCs w:val="21"/>
              </w:rPr>
              <w:t>需要持有专业监理员证书。（如为联合体，则由监理单位提供）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spacing w:line="276" w:lineRule="auto"/>
              <w:jc w:val="center"/>
              <w:rPr>
                <w:rFonts w:hint="eastAsia"/>
                <w:szCs w:val="21"/>
              </w:rPr>
            </w:pPr>
          </w:p>
        </w:tc>
        <w:tc>
          <w:tcPr>
            <w:tcW w:w="2006" w:type="dxa"/>
            <w:vAlign w:val="center"/>
          </w:tcPr>
          <w:p>
            <w:pPr>
              <w:spacing w:line="276" w:lineRule="auto"/>
              <w:jc w:val="center"/>
              <w:rPr>
                <w:szCs w:val="21"/>
              </w:rPr>
            </w:pPr>
            <w:r>
              <w:rPr>
                <w:rFonts w:hint="eastAsia"/>
                <w:szCs w:val="21"/>
              </w:rPr>
              <w:t>总计</w:t>
            </w:r>
          </w:p>
        </w:tc>
        <w:tc>
          <w:tcPr>
            <w:tcW w:w="1433" w:type="dxa"/>
            <w:vAlign w:val="center"/>
          </w:tcPr>
          <w:p>
            <w:pPr>
              <w:spacing w:line="276" w:lineRule="auto"/>
              <w:jc w:val="center"/>
              <w:rPr>
                <w:szCs w:val="21"/>
              </w:rPr>
            </w:pPr>
            <w:r>
              <w:rPr>
                <w:rFonts w:hint="eastAsia"/>
                <w:szCs w:val="21"/>
              </w:rPr>
              <w:t>不少于</w:t>
            </w:r>
            <w:r>
              <w:rPr>
                <w:rFonts w:hint="eastAsia"/>
                <w:szCs w:val="21"/>
                <w:u w:val="single"/>
                <w:lang w:val="en-US" w:eastAsia="zh-CN"/>
              </w:rPr>
              <w:t>13</w:t>
            </w:r>
            <w:r>
              <w:rPr>
                <w:rFonts w:hint="eastAsia"/>
                <w:szCs w:val="21"/>
              </w:rPr>
              <w:t>名</w:t>
            </w:r>
          </w:p>
        </w:tc>
        <w:tc>
          <w:tcPr>
            <w:tcW w:w="5531" w:type="dxa"/>
            <w:vAlign w:val="center"/>
          </w:tcPr>
          <w:p>
            <w:pPr>
              <w:spacing w:line="276" w:lineRule="auto"/>
              <w:jc w:val="center"/>
              <w:rPr>
                <w:szCs w:val="21"/>
              </w:rPr>
            </w:pPr>
          </w:p>
        </w:tc>
      </w:tr>
    </w:tbl>
    <w:p>
      <w:pPr>
        <w:rPr>
          <w:rFonts w:hint="eastAsia"/>
        </w:rPr>
      </w:pPr>
      <w:r>
        <w:rPr>
          <w:rFonts w:hint="eastAsia"/>
        </w:rPr>
        <w:br w:type="page"/>
      </w:r>
    </w:p>
    <w:p>
      <w:pPr>
        <w:pStyle w:val="19"/>
        <w:rPr>
          <w:rFonts w:hint="eastAsia"/>
        </w:rPr>
      </w:pPr>
    </w:p>
    <w:p>
      <w:pPr>
        <w:spacing w:line="360" w:lineRule="auto"/>
        <w:ind w:left="100" w:right="-20"/>
        <w:jc w:val="left"/>
        <w:outlineLvl w:val="2"/>
        <w:rPr>
          <w:rFonts w:ascii="宋体" w:hAnsi="宋体" w:cs="宋体"/>
        </w:rPr>
      </w:pPr>
      <w:r>
        <w:rPr>
          <w:rFonts w:hint="eastAsia" w:ascii="宋体" w:hAnsi="宋体" w:cs="宋体"/>
          <w:b/>
          <w:bCs/>
          <w:sz w:val="30"/>
          <w:szCs w:val="30"/>
        </w:rPr>
        <w:t>1.评标方法</w:t>
      </w:r>
      <w:bookmarkEnd w:id="254"/>
      <w:bookmarkEnd w:id="255"/>
      <w:bookmarkEnd w:id="256"/>
      <w:bookmarkEnd w:id="257"/>
    </w:p>
    <w:p>
      <w:pPr>
        <w:spacing w:line="360" w:lineRule="auto"/>
        <w:ind w:left="100" w:right="-20" w:firstLine="480" w:firstLineChars="200"/>
        <w:jc w:val="left"/>
        <w:rPr>
          <w:rFonts w:ascii="宋体" w:hAnsi="宋体" w:cs="宋体"/>
          <w:sz w:val="24"/>
        </w:rPr>
      </w:pPr>
      <w:bookmarkStart w:id="258" w:name="_Toc14766"/>
      <w:bookmarkStart w:id="259" w:name="_Toc24988"/>
      <w:r>
        <w:rPr>
          <w:rFonts w:hint="eastAsia" w:ascii="宋体" w:hAnsi="宋体" w:cs="宋体"/>
          <w:sz w:val="24"/>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w:t>
      </w:r>
      <w:bookmarkEnd w:id="258"/>
      <w:bookmarkEnd w:id="259"/>
      <w:r>
        <w:rPr>
          <w:rFonts w:hint="eastAsia" w:ascii="宋体" w:hAnsi="宋体" w:cs="宋体"/>
          <w:sz w:val="24"/>
        </w:rPr>
        <w:t>综合评分相等时，以投标报价低的优先；投标报价也相等的，以</w:t>
      </w:r>
      <w:r>
        <w:rPr>
          <w:rFonts w:hint="eastAsia" w:ascii="宋体" w:hAnsi="宋体" w:cs="宋体"/>
          <w:sz w:val="24"/>
          <w:lang w:val="en-US" w:eastAsia="zh-CN"/>
        </w:rPr>
        <w:t>技术方案</w:t>
      </w:r>
      <w:r>
        <w:rPr>
          <w:rFonts w:hint="eastAsia" w:ascii="宋体" w:hAnsi="宋体" w:cs="宋体"/>
          <w:sz w:val="24"/>
        </w:rPr>
        <w:t>得分高的优先；如果</w:t>
      </w:r>
      <w:r>
        <w:rPr>
          <w:rFonts w:hint="eastAsia" w:ascii="宋体" w:hAnsi="宋体" w:cs="宋体"/>
          <w:sz w:val="24"/>
          <w:lang w:val="en-US" w:eastAsia="zh-CN"/>
        </w:rPr>
        <w:t>技术方案</w:t>
      </w:r>
      <w:r>
        <w:rPr>
          <w:rFonts w:hint="eastAsia" w:ascii="宋体" w:hAnsi="宋体" w:cs="宋体"/>
          <w:sz w:val="24"/>
        </w:rPr>
        <w:t>得分也相等，按照评标办法前附表的规定确定中标候选人顺序。</w:t>
      </w:r>
    </w:p>
    <w:p>
      <w:pPr>
        <w:spacing w:line="360" w:lineRule="auto"/>
        <w:ind w:left="100" w:right="-20"/>
        <w:jc w:val="left"/>
        <w:outlineLvl w:val="2"/>
        <w:rPr>
          <w:rFonts w:ascii="宋体" w:hAnsi="宋体" w:cs="宋体"/>
          <w:b/>
          <w:bCs/>
          <w:sz w:val="30"/>
          <w:szCs w:val="30"/>
        </w:rPr>
      </w:pPr>
      <w:bookmarkStart w:id="260" w:name="_Toc31831"/>
      <w:bookmarkStart w:id="261" w:name="_Toc16443"/>
      <w:bookmarkStart w:id="262" w:name="_Toc9965"/>
      <w:bookmarkStart w:id="263" w:name="_Toc10109"/>
      <w:r>
        <w:rPr>
          <w:rFonts w:hint="eastAsia" w:ascii="宋体" w:hAnsi="宋体" w:cs="宋体"/>
          <w:b/>
          <w:bCs/>
          <w:sz w:val="30"/>
          <w:szCs w:val="30"/>
        </w:rPr>
        <w:t>2. 评审标准</w:t>
      </w:r>
      <w:bookmarkEnd w:id="239"/>
      <w:bookmarkEnd w:id="240"/>
      <w:bookmarkEnd w:id="241"/>
      <w:bookmarkEnd w:id="242"/>
      <w:bookmarkEnd w:id="243"/>
      <w:bookmarkEnd w:id="244"/>
      <w:bookmarkEnd w:id="245"/>
      <w:bookmarkEnd w:id="246"/>
      <w:bookmarkEnd w:id="260"/>
      <w:bookmarkEnd w:id="261"/>
      <w:bookmarkEnd w:id="262"/>
      <w:bookmarkEnd w:id="263"/>
    </w:p>
    <w:p>
      <w:pPr>
        <w:spacing w:line="360" w:lineRule="auto"/>
        <w:ind w:left="237" w:right="-20"/>
        <w:jc w:val="left"/>
        <w:rPr>
          <w:rFonts w:ascii="宋体" w:hAnsi="宋体" w:cs="宋体"/>
          <w:b/>
          <w:bCs/>
          <w:sz w:val="28"/>
        </w:rPr>
      </w:pPr>
      <w:r>
        <w:rPr>
          <w:rFonts w:hint="eastAsia" w:ascii="宋体" w:hAnsi="宋体" w:cs="宋体"/>
          <w:b/>
          <w:bCs/>
          <w:sz w:val="28"/>
        </w:rPr>
        <w:t>2.1 初步评审标准</w:t>
      </w:r>
    </w:p>
    <w:p>
      <w:pPr>
        <w:spacing w:line="360" w:lineRule="auto"/>
        <w:ind w:left="520" w:right="-20"/>
        <w:jc w:val="left"/>
        <w:rPr>
          <w:rFonts w:ascii="宋体" w:hAnsi="宋体" w:cs="宋体"/>
        </w:rPr>
      </w:pPr>
      <w:r>
        <w:rPr>
          <w:rFonts w:hint="eastAsia" w:ascii="宋体" w:hAnsi="宋体" w:cs="宋体"/>
        </w:rPr>
        <w:t>2.1.1 形式评审标准：见评标办法前附表。</w:t>
      </w:r>
    </w:p>
    <w:p>
      <w:pPr>
        <w:spacing w:line="360" w:lineRule="auto"/>
        <w:ind w:left="520" w:right="-20"/>
        <w:jc w:val="left"/>
        <w:rPr>
          <w:rFonts w:ascii="宋体" w:hAnsi="宋体" w:cs="宋体"/>
        </w:rPr>
      </w:pPr>
      <w:r>
        <w:rPr>
          <w:rFonts w:hint="eastAsia" w:ascii="宋体" w:hAnsi="宋体" w:cs="宋体"/>
        </w:rPr>
        <w:t>2.1.2 资格评审标准：见评标办法前附表。</w:t>
      </w:r>
    </w:p>
    <w:p>
      <w:pPr>
        <w:spacing w:line="360" w:lineRule="auto"/>
        <w:ind w:left="520" w:right="-20"/>
        <w:jc w:val="left"/>
        <w:rPr>
          <w:rFonts w:ascii="宋体" w:hAnsi="宋体" w:cs="宋体"/>
        </w:rPr>
      </w:pPr>
      <w:r>
        <w:rPr>
          <w:rFonts w:hint="eastAsia" w:ascii="宋体" w:hAnsi="宋体" w:cs="宋体"/>
        </w:rPr>
        <w:t>2.1.3 响应性评审标准：见评标办法前附表。</w:t>
      </w:r>
    </w:p>
    <w:p>
      <w:pPr>
        <w:spacing w:line="360" w:lineRule="auto"/>
        <w:ind w:left="237" w:right="-20"/>
        <w:jc w:val="left"/>
        <w:rPr>
          <w:rFonts w:ascii="宋体" w:hAnsi="宋体" w:cs="宋体"/>
          <w:b/>
          <w:bCs/>
          <w:sz w:val="28"/>
        </w:rPr>
      </w:pPr>
      <w:r>
        <w:rPr>
          <w:rFonts w:hint="eastAsia" w:ascii="宋体" w:hAnsi="宋体" w:cs="宋体"/>
          <w:b/>
          <w:bCs/>
          <w:sz w:val="28"/>
        </w:rPr>
        <w:t>2.2 分值构成与评分标准</w:t>
      </w:r>
    </w:p>
    <w:p>
      <w:pPr>
        <w:spacing w:line="360" w:lineRule="auto"/>
        <w:ind w:left="520" w:right="-20"/>
        <w:jc w:val="left"/>
        <w:rPr>
          <w:rFonts w:ascii="宋体" w:hAnsi="宋体" w:cs="宋体"/>
        </w:rPr>
      </w:pPr>
      <w:r>
        <w:rPr>
          <w:rFonts w:hint="eastAsia" w:ascii="宋体" w:hAnsi="宋体" w:cs="宋体"/>
        </w:rPr>
        <w:t>2.2.1 分值构成</w:t>
      </w:r>
    </w:p>
    <w:p>
      <w:pPr>
        <w:spacing w:line="360" w:lineRule="auto"/>
        <w:ind w:firstLine="1050" w:firstLineChars="500"/>
        <w:rPr>
          <w:rFonts w:hint="eastAsia" w:ascii="宋体" w:hAnsi="宋体"/>
          <w:color w:val="000000"/>
          <w:highlight w:val="none"/>
          <w:u w:val="single"/>
        </w:rPr>
      </w:pPr>
      <w:r>
        <w:rPr>
          <w:rFonts w:hint="eastAsia" w:ascii="宋体" w:hAnsi="宋体"/>
          <w:color w:val="000000"/>
          <w:highlight w:val="none"/>
          <w:u w:val="single"/>
        </w:rPr>
        <w:t>见评标办法前附表。</w:t>
      </w:r>
    </w:p>
    <w:p>
      <w:pPr>
        <w:spacing w:line="360" w:lineRule="auto"/>
        <w:ind w:left="522"/>
        <w:jc w:val="left"/>
        <w:rPr>
          <w:rFonts w:hint="eastAsia" w:ascii="宋体" w:hAnsi="宋体" w:cs="宋体"/>
        </w:rPr>
      </w:pPr>
      <w:r>
        <w:rPr>
          <w:rFonts w:hint="eastAsia" w:ascii="宋体" w:hAnsi="宋体" w:cs="宋体"/>
        </w:rPr>
        <w:t xml:space="preserve">2.2.2 评标基准价计算 </w:t>
      </w:r>
    </w:p>
    <w:p>
      <w:pPr>
        <w:spacing w:line="360" w:lineRule="auto"/>
        <w:ind w:left="522"/>
        <w:jc w:val="left"/>
        <w:rPr>
          <w:rFonts w:ascii="宋体" w:hAnsi="宋体" w:cs="宋体"/>
        </w:rPr>
      </w:pPr>
      <w:r>
        <w:rPr>
          <w:rFonts w:hint="eastAsia" w:ascii="宋体" w:hAnsi="宋体" w:cs="宋体"/>
        </w:rPr>
        <w:t>评标基准价计算方法：见评标办法前附表。</w:t>
      </w:r>
    </w:p>
    <w:p>
      <w:pPr>
        <w:spacing w:line="360" w:lineRule="auto"/>
        <w:ind w:left="520" w:right="40"/>
        <w:jc w:val="left"/>
        <w:rPr>
          <w:rFonts w:hint="eastAsia" w:ascii="宋体" w:hAnsi="宋体" w:cs="宋体"/>
        </w:rPr>
      </w:pPr>
      <w:r>
        <w:rPr>
          <w:rFonts w:hint="eastAsia" w:ascii="宋体" w:hAnsi="宋体" w:cs="宋体"/>
        </w:rPr>
        <w:t xml:space="preserve">2.2.3 投标报价的偏差率计算 </w:t>
      </w:r>
    </w:p>
    <w:p>
      <w:pPr>
        <w:spacing w:line="360" w:lineRule="auto"/>
        <w:ind w:left="520" w:right="40"/>
        <w:jc w:val="left"/>
        <w:rPr>
          <w:rFonts w:ascii="宋体" w:hAnsi="宋体" w:cs="宋体"/>
        </w:rPr>
      </w:pPr>
      <w:r>
        <w:rPr>
          <w:rFonts w:hint="eastAsia" w:ascii="宋体" w:hAnsi="宋体" w:cs="宋体"/>
        </w:rPr>
        <w:t>投标报价的偏差率计算公式：见评标办法前附表。</w:t>
      </w:r>
    </w:p>
    <w:p>
      <w:pPr>
        <w:spacing w:line="360" w:lineRule="auto"/>
        <w:ind w:left="520" w:right="-20"/>
        <w:jc w:val="left"/>
        <w:rPr>
          <w:rFonts w:ascii="宋体" w:hAnsi="宋体" w:cs="宋体"/>
        </w:rPr>
      </w:pPr>
      <w:r>
        <w:rPr>
          <w:rFonts w:hint="eastAsia" w:ascii="宋体" w:hAnsi="宋体" w:cs="宋体"/>
        </w:rPr>
        <w:t>2.2.4 评分标准</w:t>
      </w:r>
    </w:p>
    <w:p>
      <w:pPr>
        <w:spacing w:line="360" w:lineRule="auto"/>
        <w:ind w:firstLine="1050" w:firstLineChars="500"/>
        <w:rPr>
          <w:rFonts w:hint="eastAsia" w:ascii="宋体" w:hAnsi="宋体" w:cs="宋体"/>
          <w:color w:val="000000"/>
          <w:highlight w:val="none"/>
          <w:u w:val="single"/>
        </w:rPr>
      </w:pPr>
      <w:r>
        <w:rPr>
          <w:rFonts w:hint="eastAsia" w:ascii="宋体" w:hAnsi="宋体" w:eastAsia="宋体" w:cs="宋体"/>
          <w:color w:val="auto"/>
          <w:highlight w:val="none"/>
          <w:u w:val="single"/>
        </w:rPr>
        <w:t xml:space="preserve"> 见评标办法前附表；</w:t>
      </w:r>
    </w:p>
    <w:p>
      <w:pPr>
        <w:spacing w:line="360" w:lineRule="auto"/>
        <w:ind w:left="520" w:right="-20"/>
        <w:jc w:val="left"/>
        <w:rPr>
          <w:rFonts w:ascii="宋体" w:hAnsi="宋体" w:cs="宋体"/>
        </w:rPr>
        <w:sectPr>
          <w:pgSz w:w="11906" w:h="16838"/>
          <w:pgMar w:top="1417" w:right="1417" w:bottom="1417" w:left="1417" w:header="850" w:footer="992" w:gutter="0"/>
          <w:cols w:space="720" w:num="1"/>
          <w:docGrid w:linePitch="285" w:charSpace="0"/>
        </w:sectPr>
      </w:pPr>
    </w:p>
    <w:p>
      <w:pPr>
        <w:spacing w:line="360" w:lineRule="auto"/>
        <w:ind w:left="100" w:right="-20"/>
        <w:jc w:val="left"/>
        <w:outlineLvl w:val="2"/>
        <w:rPr>
          <w:rFonts w:ascii="宋体" w:hAnsi="宋体" w:cs="宋体"/>
          <w:b/>
          <w:bCs/>
          <w:sz w:val="30"/>
          <w:szCs w:val="30"/>
        </w:rPr>
      </w:pPr>
      <w:bookmarkStart w:id="264" w:name="_Toc11432"/>
      <w:bookmarkStart w:id="265" w:name="_Toc30776"/>
      <w:bookmarkStart w:id="266" w:name="_Toc673"/>
      <w:bookmarkStart w:id="267" w:name="_Toc4430"/>
      <w:bookmarkStart w:id="268" w:name="_Toc27547"/>
      <w:bookmarkStart w:id="269" w:name="_Toc5395"/>
      <w:bookmarkStart w:id="270" w:name="_Toc31897"/>
      <w:bookmarkStart w:id="271" w:name="_Toc21409"/>
      <w:bookmarkStart w:id="272" w:name="_Toc15457"/>
      <w:bookmarkStart w:id="273" w:name="_Toc19467"/>
      <w:bookmarkStart w:id="274" w:name="_Toc27108"/>
      <w:bookmarkStart w:id="275" w:name="_Toc3926"/>
      <w:r>
        <w:rPr>
          <w:rFonts w:hint="eastAsia" w:ascii="宋体" w:hAnsi="宋体" w:cs="宋体"/>
          <w:b/>
          <w:bCs/>
          <w:sz w:val="30"/>
          <w:szCs w:val="30"/>
        </w:rPr>
        <w:t>3. 评标程序</w:t>
      </w:r>
      <w:bookmarkEnd w:id="264"/>
      <w:bookmarkEnd w:id="265"/>
      <w:bookmarkEnd w:id="266"/>
      <w:bookmarkEnd w:id="267"/>
      <w:bookmarkEnd w:id="268"/>
      <w:bookmarkEnd w:id="269"/>
      <w:bookmarkEnd w:id="270"/>
      <w:bookmarkEnd w:id="271"/>
      <w:bookmarkEnd w:id="272"/>
      <w:bookmarkEnd w:id="273"/>
      <w:bookmarkEnd w:id="274"/>
      <w:bookmarkEnd w:id="275"/>
    </w:p>
    <w:p>
      <w:pPr>
        <w:spacing w:line="360" w:lineRule="auto"/>
        <w:ind w:left="237" w:right="-20"/>
        <w:jc w:val="left"/>
        <w:rPr>
          <w:rFonts w:ascii="宋体" w:hAnsi="宋体" w:cs="宋体"/>
          <w:b/>
          <w:bCs/>
          <w:sz w:val="28"/>
        </w:rPr>
      </w:pPr>
      <w:r>
        <w:rPr>
          <w:rFonts w:hint="eastAsia" w:ascii="宋体" w:hAnsi="宋体" w:cs="宋体"/>
          <w:b/>
          <w:bCs/>
          <w:sz w:val="28"/>
        </w:rPr>
        <w:t>3.1 初步评审</w:t>
      </w:r>
    </w:p>
    <w:p>
      <w:pPr>
        <w:spacing w:line="360" w:lineRule="auto"/>
        <w:ind w:left="100" w:right="39" w:firstLine="420"/>
        <w:jc w:val="left"/>
        <w:rPr>
          <w:rFonts w:ascii="宋体" w:hAnsi="宋体" w:cs="宋体"/>
        </w:rPr>
      </w:pPr>
      <w:r>
        <w:rPr>
          <w:rFonts w:hint="eastAsia" w:ascii="宋体" w:hAnsi="宋体" w:cs="宋体"/>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spacing w:line="360" w:lineRule="auto"/>
        <w:ind w:left="520" w:right="-20"/>
        <w:jc w:val="left"/>
        <w:rPr>
          <w:rFonts w:ascii="宋体" w:hAnsi="宋体" w:cs="宋体"/>
        </w:rPr>
      </w:pPr>
      <w:r>
        <w:rPr>
          <w:rFonts w:hint="eastAsia" w:ascii="宋体" w:hAnsi="宋体" w:cs="宋体"/>
        </w:rPr>
        <w:t>3.1.2 投标人有以下情形之一的，评标委员会应当否决其投标：</w:t>
      </w:r>
    </w:p>
    <w:p>
      <w:pPr>
        <w:spacing w:line="360" w:lineRule="auto"/>
        <w:ind w:left="100" w:right="139" w:firstLine="420"/>
        <w:jc w:val="left"/>
        <w:rPr>
          <w:rFonts w:ascii="宋体" w:hAnsi="宋体" w:cs="宋体"/>
        </w:rPr>
      </w:pPr>
      <w:r>
        <w:rPr>
          <w:rFonts w:hint="eastAsia" w:ascii="宋体" w:hAnsi="宋体" w:cs="宋体"/>
        </w:rPr>
        <w:t>（1）投标文件没有对招标文件的实质性要求和条件作出响应，或者对招标文件的偏差超出招标文件规定的偏差范围或最高项数；</w:t>
      </w:r>
    </w:p>
    <w:p>
      <w:pPr>
        <w:spacing w:line="360" w:lineRule="auto"/>
        <w:ind w:left="520" w:right="-20"/>
        <w:jc w:val="left"/>
        <w:rPr>
          <w:rFonts w:ascii="宋体" w:hAnsi="宋体" w:cs="宋体"/>
        </w:rPr>
      </w:pPr>
      <w:r>
        <w:rPr>
          <w:rFonts w:hint="eastAsia" w:ascii="宋体" w:hAnsi="宋体" w:cs="宋体"/>
        </w:rPr>
        <w:t>（2）有串通投标、弄虚作假、行贿等违法行为。</w:t>
      </w:r>
    </w:p>
    <w:p>
      <w:pPr>
        <w:spacing w:line="360" w:lineRule="auto"/>
        <w:ind w:left="100" w:right="139" w:firstLine="420"/>
        <w:jc w:val="left"/>
        <w:rPr>
          <w:rFonts w:ascii="宋体" w:hAnsi="宋体" w:cs="宋体"/>
        </w:rPr>
      </w:pPr>
      <w:r>
        <w:rPr>
          <w:rFonts w:hint="eastAsia" w:ascii="宋体" w:hAnsi="宋体" w:cs="宋体"/>
        </w:rPr>
        <w:t>3.1.3 投标报价有算术错误及其他错误的，评标委员会按以下原则要求投标人对投标报价进行修正，并要求投标人书面澄清确认。投标人拒不澄清确认的，评标委员会应当否决其投标：</w:t>
      </w:r>
    </w:p>
    <w:p>
      <w:pPr>
        <w:spacing w:line="360" w:lineRule="auto"/>
        <w:ind w:left="520" w:right="-20"/>
        <w:jc w:val="left"/>
        <w:rPr>
          <w:rFonts w:ascii="宋体" w:hAnsi="宋体" w:cs="宋体"/>
        </w:rPr>
      </w:pPr>
      <w:r>
        <w:rPr>
          <w:rFonts w:hint="eastAsia" w:ascii="宋体" w:hAnsi="宋体" w:cs="宋体"/>
        </w:rPr>
        <w:t>（1）投标文件中的大写金额与小写金额不一致的，以大写金额为准；</w:t>
      </w:r>
    </w:p>
    <w:p>
      <w:pPr>
        <w:spacing w:line="360" w:lineRule="auto"/>
        <w:ind w:left="100" w:right="142" w:firstLine="420"/>
        <w:jc w:val="left"/>
        <w:rPr>
          <w:rFonts w:ascii="宋体" w:hAnsi="宋体" w:cs="宋体"/>
        </w:rPr>
      </w:pPr>
      <w:r>
        <w:rPr>
          <w:rFonts w:hint="eastAsia" w:ascii="宋体" w:hAnsi="宋体" w:cs="宋体"/>
        </w:rPr>
        <w:t>（2）总价金额与单价金额不一致的，以单价金额为准，但单价金额小数点有明显错误的除外。</w:t>
      </w:r>
    </w:p>
    <w:p>
      <w:pPr>
        <w:spacing w:line="360" w:lineRule="auto"/>
        <w:ind w:left="100" w:right="142" w:firstLine="420"/>
        <w:jc w:val="left"/>
        <w:rPr>
          <w:rFonts w:hint="eastAsia" w:ascii="宋体" w:hAnsi="宋体" w:eastAsia="宋体" w:cs="宋体"/>
          <w:highlight w:val="none"/>
        </w:rPr>
      </w:pPr>
      <w:r>
        <w:rPr>
          <w:rFonts w:hint="eastAsia" w:ascii="宋体" w:hAnsi="宋体" w:eastAsia="宋体" w:cs="宋体"/>
          <w:highlight w:val="none"/>
        </w:rPr>
        <w:t>（3）当投标下浮率与“1-（投标报价/最高限价×100%）”的计算结果不一致时，以投标下浮率为准，调整投标报价。</w:t>
      </w:r>
    </w:p>
    <w:p>
      <w:pPr>
        <w:spacing w:line="360" w:lineRule="auto"/>
        <w:ind w:left="237" w:right="-20"/>
        <w:jc w:val="left"/>
        <w:rPr>
          <w:rFonts w:ascii="宋体" w:hAnsi="宋体" w:cs="宋体"/>
          <w:b/>
          <w:bCs/>
          <w:sz w:val="28"/>
        </w:rPr>
      </w:pPr>
      <w:r>
        <w:rPr>
          <w:rFonts w:hint="eastAsia" w:ascii="宋体" w:hAnsi="宋体" w:cs="宋体"/>
          <w:b/>
          <w:bCs/>
          <w:sz w:val="28"/>
        </w:rPr>
        <w:t>3.2 详细评审</w:t>
      </w:r>
    </w:p>
    <w:p>
      <w:pPr>
        <w:spacing w:line="360" w:lineRule="auto"/>
        <w:ind w:left="520" w:right="-20"/>
        <w:jc w:val="left"/>
        <w:rPr>
          <w:rFonts w:ascii="宋体" w:hAnsi="宋体" w:cs="宋体"/>
        </w:rPr>
      </w:pPr>
      <w:r>
        <w:rPr>
          <w:rFonts w:hint="eastAsia" w:ascii="宋体" w:hAnsi="宋体" w:cs="宋体"/>
        </w:rPr>
        <w:t>3.2.1 评标委员会按本章第 2.2 款规定的量化因素和分值进行打分，并计算出综合评估得分。</w:t>
      </w:r>
    </w:p>
    <w:p>
      <w:pPr>
        <w:spacing w:line="360" w:lineRule="auto"/>
        <w:ind w:left="520" w:right="-20"/>
        <w:jc w:val="left"/>
        <w:rPr>
          <w:rFonts w:hint="eastAsia" w:ascii="宋体" w:hAnsi="宋体" w:cs="宋体"/>
        </w:rPr>
      </w:pPr>
      <w:r>
        <w:rPr>
          <w:rFonts w:hint="eastAsia" w:ascii="宋体" w:hAnsi="宋体" w:cs="宋体"/>
        </w:rPr>
        <w:t>（1）按本章第 2.2.4（1）目规定的评审因素和分值对资信业绩部分计算出得分 A；</w:t>
      </w:r>
    </w:p>
    <w:p>
      <w:pPr>
        <w:spacing w:line="360" w:lineRule="auto"/>
        <w:ind w:left="520" w:right="-20"/>
        <w:jc w:val="left"/>
        <w:rPr>
          <w:rFonts w:hint="eastAsia" w:ascii="宋体" w:hAnsi="宋体" w:cs="宋体"/>
        </w:rPr>
      </w:pPr>
      <w:r>
        <w:rPr>
          <w:rFonts w:hint="eastAsia" w:ascii="宋体" w:hAnsi="宋体" w:cs="宋体"/>
        </w:rPr>
        <w:t>（2）按本章第 2.2.4（2）目规定的评审因素和分值对技术方案部分计算出得分 B；</w:t>
      </w:r>
    </w:p>
    <w:p>
      <w:pPr>
        <w:spacing w:line="360" w:lineRule="auto"/>
        <w:ind w:left="520" w:right="-20"/>
        <w:jc w:val="left"/>
        <w:rPr>
          <w:rFonts w:hint="eastAsia" w:ascii="宋体" w:hAnsi="宋体" w:cs="宋体"/>
        </w:rPr>
      </w:pPr>
      <w:r>
        <w:rPr>
          <w:rFonts w:hint="eastAsia" w:ascii="宋体" w:hAnsi="宋体" w:cs="宋体"/>
        </w:rPr>
        <w:t>（3）按本章第 2.2.4（3）目规定的评审因素和分值对投标报价计算出得分 C；</w:t>
      </w:r>
    </w:p>
    <w:p>
      <w:pPr>
        <w:spacing w:line="360" w:lineRule="auto"/>
        <w:ind w:left="520" w:right="-20"/>
        <w:jc w:val="left"/>
        <w:rPr>
          <w:rFonts w:ascii="宋体" w:hAnsi="宋体" w:cs="宋体"/>
        </w:rPr>
      </w:pPr>
      <w:r>
        <w:rPr>
          <w:rFonts w:hint="eastAsia" w:ascii="宋体" w:hAnsi="宋体" w:cs="宋体"/>
        </w:rPr>
        <w:t>3.2.2 评分分值计算保留小数点后两位，小数点后第三位“四舍五入”。</w:t>
      </w:r>
    </w:p>
    <w:p>
      <w:pPr>
        <w:spacing w:line="360" w:lineRule="auto"/>
        <w:ind w:left="520" w:right="-20"/>
        <w:jc w:val="left"/>
        <w:rPr>
          <w:rFonts w:ascii="宋体" w:hAnsi="宋体" w:cs="宋体"/>
        </w:rPr>
      </w:pPr>
      <w:r>
        <w:rPr>
          <w:rFonts w:hint="eastAsia" w:ascii="宋体" w:hAnsi="宋体" w:cs="宋体"/>
        </w:rPr>
        <w:t>3.2.3 投标人总得分=A+B+C</w:t>
      </w:r>
    </w:p>
    <w:p>
      <w:pPr>
        <w:spacing w:line="360" w:lineRule="auto"/>
        <w:ind w:right="-20" w:firstLine="518" w:firstLineChars="247"/>
        <w:jc w:val="left"/>
        <w:rPr>
          <w:rFonts w:ascii="宋体" w:hAnsi="宋体" w:cs="宋体"/>
        </w:rPr>
      </w:pPr>
      <w:r>
        <w:rPr>
          <w:rFonts w:hint="eastAsia" w:ascii="宋体" w:hAnsi="宋体" w:cs="宋体"/>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ind w:left="520" w:right="-20"/>
        <w:jc w:val="left"/>
        <w:rPr>
          <w:rFonts w:ascii="宋体" w:hAnsi="宋体" w:cs="宋体"/>
        </w:rPr>
      </w:pPr>
      <w:r>
        <w:rPr>
          <w:rFonts w:hint="eastAsia" w:ascii="宋体" w:hAnsi="宋体" w:cs="宋体"/>
        </w:rPr>
        <w:t>3.3 投标文件的澄清</w:t>
      </w:r>
    </w:p>
    <w:p>
      <w:pPr>
        <w:spacing w:line="360" w:lineRule="auto"/>
        <w:ind w:left="100" w:right="139" w:firstLine="420"/>
        <w:rPr>
          <w:rFonts w:ascii="宋体" w:hAnsi="宋体" w:cs="宋体"/>
        </w:rPr>
      </w:pPr>
      <w:r>
        <w:rPr>
          <w:rFonts w:hint="eastAsia" w:ascii="宋体" w:hAnsi="宋体" w:cs="宋体"/>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left="100" w:right="139" w:firstLine="420"/>
        <w:jc w:val="left"/>
        <w:rPr>
          <w:rFonts w:ascii="宋体" w:hAnsi="宋体" w:cs="宋体"/>
        </w:rPr>
      </w:pPr>
      <w:r>
        <w:rPr>
          <w:rFonts w:hint="eastAsia" w:ascii="宋体" w:hAnsi="宋体" w:cs="宋体"/>
        </w:rPr>
        <w:t>3.3.2 澄清、说明或补正不得超出投标文件的范围且不得改变投标文件的实质性内容，并构成投标文件的组成部分。</w:t>
      </w:r>
    </w:p>
    <w:p>
      <w:pPr>
        <w:spacing w:line="360" w:lineRule="auto"/>
        <w:ind w:left="100" w:right="34" w:firstLine="420"/>
        <w:jc w:val="left"/>
        <w:rPr>
          <w:rFonts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pPr>
        <w:spacing w:line="360" w:lineRule="auto"/>
        <w:ind w:left="237" w:right="-20"/>
        <w:jc w:val="left"/>
        <w:rPr>
          <w:rFonts w:ascii="宋体" w:hAnsi="宋体" w:cs="宋体"/>
          <w:b/>
          <w:bCs/>
          <w:sz w:val="28"/>
        </w:rPr>
      </w:pPr>
      <w:r>
        <w:rPr>
          <w:rFonts w:hint="eastAsia" w:ascii="宋体" w:hAnsi="宋体" w:cs="宋体"/>
          <w:b/>
          <w:bCs/>
          <w:sz w:val="28"/>
        </w:rPr>
        <w:t>3.4 评标结果</w:t>
      </w:r>
    </w:p>
    <w:p>
      <w:pPr>
        <w:spacing w:line="360" w:lineRule="auto"/>
        <w:ind w:left="100" w:right="141" w:firstLine="420"/>
        <w:jc w:val="left"/>
        <w:rPr>
          <w:rFonts w:ascii="宋体" w:hAnsi="宋体" w:cs="宋体"/>
        </w:rPr>
      </w:pPr>
      <w:r>
        <w:rPr>
          <w:rFonts w:hint="eastAsia" w:ascii="宋体" w:hAnsi="宋体" w:cs="宋体"/>
        </w:rPr>
        <w:t>3.4.1 除第二章“投标人须知”前附表授权直接确定中标人外，评标委员会按照得分由高到低的顺序推荐中标候选人，并标明排序。</w:t>
      </w:r>
    </w:p>
    <w:p>
      <w:pPr>
        <w:spacing w:line="360" w:lineRule="auto"/>
        <w:ind w:left="484" w:right="711"/>
        <w:jc w:val="left"/>
        <w:rPr>
          <w:rFonts w:ascii="宋体" w:hAnsi="宋体" w:cs="宋体"/>
        </w:rPr>
      </w:pPr>
      <w:r>
        <w:rPr>
          <w:rFonts w:hint="eastAsia" w:ascii="宋体" w:hAnsi="宋体" w:cs="宋体"/>
        </w:rPr>
        <w:t>3.4.2 评标委员会完成评标后，应当向招标人提交书面评标报告和中标候选人名单。</w:t>
      </w:r>
    </w:p>
    <w:bookmarkEnd w:id="237"/>
    <w:bookmarkEnd w:id="238"/>
    <w:bookmarkEnd w:id="247"/>
    <w:bookmarkEnd w:id="248"/>
    <w:bookmarkEnd w:id="249"/>
    <w:bookmarkEnd w:id="250"/>
    <w:bookmarkEnd w:id="251"/>
    <w:bookmarkEnd w:id="252"/>
    <w:bookmarkEnd w:id="253"/>
    <w:p>
      <w:pPr>
        <w:pStyle w:val="3"/>
        <w:spacing w:line="410" w:lineRule="auto"/>
        <w:rPr>
          <w:rFonts w:ascii="宋体" w:hAnsi="宋体" w:cs="宋体"/>
          <w:szCs w:val="21"/>
        </w:rPr>
      </w:pPr>
      <w:r>
        <w:rPr>
          <w:rFonts w:hint="eastAsia" w:ascii="宋体" w:hAnsi="宋体" w:cs="宋体"/>
          <w:b w:val="0"/>
          <w:bCs w:val="0"/>
          <w:sz w:val="30"/>
          <w:szCs w:val="30"/>
        </w:rPr>
        <w:br w:type="page"/>
      </w:r>
      <w:bookmarkStart w:id="276" w:name="_Toc29390"/>
      <w:bookmarkStart w:id="277" w:name="_Toc8169"/>
      <w:bookmarkStart w:id="278" w:name="_Toc10735"/>
      <w:bookmarkStart w:id="279" w:name="_Toc7447"/>
      <w:bookmarkStart w:id="280" w:name="_Toc25241"/>
      <w:bookmarkStart w:id="281" w:name="_Toc27876"/>
      <w:bookmarkStart w:id="282" w:name="_Toc7902"/>
      <w:bookmarkStart w:id="283" w:name="_Toc32006"/>
      <w:bookmarkStart w:id="284" w:name="_Toc1216"/>
      <w:bookmarkStart w:id="285" w:name="_Toc21679"/>
      <w:bookmarkStart w:id="286" w:name="_Toc15539"/>
      <w:bookmarkStart w:id="287" w:name="_Toc9402"/>
      <w:bookmarkStart w:id="288" w:name="_Toc28889"/>
    </w:p>
    <w:bookmarkEnd w:id="276"/>
    <w:bookmarkEnd w:id="277"/>
    <w:bookmarkEnd w:id="278"/>
    <w:bookmarkEnd w:id="279"/>
    <w:bookmarkEnd w:id="280"/>
    <w:bookmarkEnd w:id="281"/>
    <w:bookmarkEnd w:id="282"/>
    <w:bookmarkEnd w:id="283"/>
    <w:bookmarkEnd w:id="284"/>
    <w:bookmarkEnd w:id="285"/>
    <w:bookmarkEnd w:id="286"/>
    <w:bookmarkEnd w:id="287"/>
    <w:bookmarkEnd w:id="288"/>
    <w:p>
      <w:pPr>
        <w:pStyle w:val="2"/>
        <w:numPr>
          <w:ilvl w:val="0"/>
          <w:numId w:val="1"/>
        </w:numPr>
        <w:jc w:val="center"/>
        <w:rPr>
          <w:rFonts w:ascii="宋体" w:hAnsi="宋体" w:eastAsia="宋体" w:cs="宋体"/>
        </w:rPr>
      </w:pPr>
      <w:bookmarkStart w:id="289" w:name="_Toc29653"/>
      <w:bookmarkStart w:id="290" w:name="_Toc16157"/>
      <w:bookmarkStart w:id="291" w:name="_Toc13524"/>
      <w:bookmarkStart w:id="292" w:name="_Toc28296"/>
      <w:bookmarkStart w:id="293" w:name="_Toc29163"/>
      <w:bookmarkStart w:id="294" w:name="_Toc14868"/>
      <w:bookmarkStart w:id="295" w:name="_Toc13390"/>
      <w:bookmarkStart w:id="296" w:name="_Toc32148"/>
      <w:bookmarkStart w:id="297" w:name="_Toc21368"/>
      <w:bookmarkStart w:id="298" w:name="_Toc8500"/>
      <w:bookmarkStart w:id="299" w:name="_Toc27723"/>
      <w:bookmarkStart w:id="300" w:name="_Toc8402"/>
      <w:bookmarkStart w:id="301" w:name="_Toc888"/>
      <w:bookmarkStart w:id="302" w:name="_Toc13557"/>
      <w:bookmarkStart w:id="303" w:name="_Toc32758"/>
      <w:bookmarkStart w:id="304" w:name="_Toc29539"/>
      <w:r>
        <w:rPr>
          <w:rFonts w:hint="eastAsia" w:ascii="宋体" w:hAnsi="宋体" w:eastAsia="宋体" w:cs="宋体"/>
        </w:rPr>
        <w:t>合同条款及格式</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spacing w:line="360" w:lineRule="auto"/>
        <w:jc w:val="center"/>
        <w:rPr>
          <w:rFonts w:ascii="宋体" w:hAnsi="宋体" w:cs="宋体"/>
          <w:bCs/>
          <w:sz w:val="30"/>
          <w:szCs w:val="30"/>
        </w:rPr>
      </w:pPr>
      <w:bookmarkStart w:id="305" w:name="_Toc3607"/>
      <w:r>
        <w:rPr>
          <w:rFonts w:hint="eastAsia" w:ascii="宋体" w:hAnsi="宋体" w:cs="宋体"/>
          <w:bCs/>
          <w:sz w:val="30"/>
          <w:szCs w:val="30"/>
        </w:rPr>
        <w:t>（另册）</w:t>
      </w:r>
      <w:bookmarkStart w:id="306" w:name="_Toc19059"/>
      <w:bookmarkStart w:id="307" w:name="_Toc1562"/>
      <w:bookmarkStart w:id="308" w:name="_Toc29066"/>
      <w:bookmarkStart w:id="309" w:name="_Toc17144"/>
      <w:bookmarkStart w:id="310" w:name="_Toc27169"/>
      <w:bookmarkStart w:id="311" w:name="_Toc14846"/>
      <w:bookmarkStart w:id="312" w:name="_Toc31699"/>
      <w:bookmarkStart w:id="313" w:name="_Toc8835"/>
      <w:bookmarkStart w:id="314" w:name="_Toc26768"/>
      <w:bookmarkStart w:id="315" w:name="_Toc8549"/>
      <w:bookmarkStart w:id="316" w:name="_Toc30384"/>
      <w:bookmarkStart w:id="317" w:name="_Toc25127"/>
      <w:bookmarkStart w:id="318" w:name="_Toc32287"/>
      <w:r>
        <w:rPr>
          <w:rFonts w:hint="eastAsia" w:ascii="宋体" w:hAnsi="宋体" w:cs="宋体"/>
          <w:bCs/>
          <w:sz w:val="30"/>
          <w:szCs w:val="30"/>
        </w:rPr>
        <w:br w:type="page"/>
      </w:r>
    </w:p>
    <w:p>
      <w:pPr>
        <w:pStyle w:val="2"/>
        <w:spacing w:before="0" w:after="0" w:line="360" w:lineRule="auto"/>
        <w:jc w:val="center"/>
        <w:rPr>
          <w:rFonts w:ascii="宋体" w:hAnsi="宋体" w:eastAsia="宋体" w:cs="宋体"/>
        </w:rPr>
      </w:pPr>
      <w:bookmarkStart w:id="319" w:name="_Toc12755"/>
      <w:r>
        <w:rPr>
          <w:rFonts w:hint="eastAsia" w:ascii="宋体" w:hAnsi="宋体" w:eastAsia="宋体" w:cs="宋体"/>
        </w:rPr>
        <w:t>第五章  委托人要求</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spacing w:line="324" w:lineRule="auto"/>
        <w:rPr>
          <w:rFonts w:ascii="宋体" w:hAnsi="宋体" w:cs="宋体"/>
        </w:rPr>
      </w:pPr>
      <w:bookmarkStart w:id="320" w:name="_Toc32030"/>
      <w:bookmarkStart w:id="321" w:name="_Toc32612"/>
      <w:bookmarkStart w:id="322" w:name="_Toc2044"/>
      <w:bookmarkStart w:id="323" w:name="_Toc28731"/>
      <w:bookmarkStart w:id="324" w:name="_Toc393961883"/>
      <w:bookmarkStart w:id="325" w:name="_Toc9576"/>
      <w:bookmarkStart w:id="326" w:name="_Toc32471"/>
      <w:bookmarkStart w:id="327" w:name="_Toc28976"/>
      <w:bookmarkStart w:id="328" w:name="_Toc1444"/>
      <w:bookmarkStart w:id="329" w:name="_Toc12619"/>
      <w:bookmarkStart w:id="330" w:name="_Toc18043"/>
      <w:bookmarkStart w:id="331" w:name="_Toc514170140"/>
      <w:r>
        <w:rPr>
          <w:rFonts w:hint="eastAsia" w:ascii="宋体" w:hAnsi="宋体" w:cs="宋体"/>
          <w:b/>
          <w:bCs/>
        </w:rPr>
        <w:t>一、监理要求</w:t>
      </w:r>
    </w:p>
    <w:p>
      <w:pPr>
        <w:spacing w:line="324" w:lineRule="auto"/>
        <w:rPr>
          <w:rFonts w:ascii="宋体" w:hAnsi="宋体" w:cs="宋体"/>
          <w:b/>
          <w:bCs/>
        </w:rPr>
      </w:pPr>
      <w:r>
        <w:rPr>
          <w:rFonts w:hint="eastAsia" w:ascii="宋体" w:hAnsi="宋体" w:cs="宋体"/>
          <w:b/>
          <w:bCs/>
        </w:rPr>
        <w:t>1. 项目概况：</w:t>
      </w:r>
    </w:p>
    <w:p>
      <w:pPr>
        <w:spacing w:line="324" w:lineRule="auto"/>
        <w:ind w:firstLine="420" w:firstLineChars="200"/>
        <w:rPr>
          <w:rFonts w:hint="eastAsia" w:ascii="宋体" w:hAnsi="宋体" w:eastAsia="宋体" w:cs="宋体"/>
          <w:bCs/>
          <w:u w:val="single"/>
          <w:lang w:eastAsia="zh-CN"/>
        </w:rPr>
      </w:pPr>
      <w:r>
        <w:rPr>
          <w:rFonts w:hint="eastAsia" w:ascii="宋体" w:hAnsi="宋体" w:cs="宋体"/>
        </w:rPr>
        <w:t>1.1项目名称：</w:t>
      </w:r>
      <w:r>
        <w:rPr>
          <w:rFonts w:hint="eastAsia" w:ascii="宋体" w:hAnsi="宋体" w:cs="宋体"/>
          <w:lang w:eastAsia="zh-CN"/>
        </w:rPr>
        <w:t>110千伏志诚变电站项目监理（含全过程咨询）</w:t>
      </w:r>
    </w:p>
    <w:p>
      <w:pPr>
        <w:spacing w:line="324" w:lineRule="auto"/>
        <w:ind w:firstLine="420" w:firstLineChars="200"/>
        <w:rPr>
          <w:rFonts w:ascii="宋体" w:hAnsi="宋体" w:cs="宋体"/>
        </w:rPr>
      </w:pPr>
      <w:r>
        <w:rPr>
          <w:rFonts w:hint="eastAsia" w:ascii="宋体" w:hAnsi="宋体" w:cs="宋体"/>
        </w:rPr>
        <w:t>1.2工程建设规模：110千伏志诚站接入系统方案为#1主变1回接入220kV开元站；#2主变1回T接黄元围线（采用一进一出方式），终期建设规模如下：1）主变容量：本期无；终期3×63MVA；2）110kV出线：本期无；终期出线3回；3）10kV出线：本期无，终期3×16回；4）无功补偿：本期无，终期电容器组3×2×6Mvar，电抗组2×1×6Mvar。为避免后续扩建工程施工导致变电站停电，本期尽量按照终期规划开展建设。项目为益海嘉里华南粮油生产销售基地的配套公用变电站，用地面积3011.9㎡，总建筑面积3,690㎡，地上3层，地下2层建筑，拟建1栋配电装置楼。具体内容以发包人或政府部门审批为准。</w:t>
      </w:r>
    </w:p>
    <w:p>
      <w:pPr>
        <w:spacing w:line="324" w:lineRule="auto"/>
        <w:ind w:firstLine="420" w:firstLineChars="200"/>
        <w:rPr>
          <w:rFonts w:ascii="宋体" w:hAnsi="宋体" w:cs="宋体"/>
          <w:u w:val="single"/>
        </w:rPr>
      </w:pPr>
      <w:r>
        <w:rPr>
          <w:rFonts w:hint="eastAsia" w:ascii="宋体" w:hAnsi="宋体" w:cs="宋体"/>
        </w:rPr>
        <w:t>1.3工程建设地点：广州市黄埔区夏港街道景盛街与西滘涌交界东南侧。</w:t>
      </w:r>
    </w:p>
    <w:p>
      <w:pPr>
        <w:spacing w:line="324" w:lineRule="auto"/>
        <w:ind w:firstLine="420" w:firstLineChars="200"/>
        <w:rPr>
          <w:rFonts w:ascii="宋体" w:hAnsi="宋体" w:cs="宋体"/>
        </w:rPr>
      </w:pPr>
      <w:r>
        <w:rPr>
          <w:rFonts w:hint="eastAsia" w:ascii="宋体" w:hAnsi="宋体" w:cs="宋体"/>
        </w:rPr>
        <w:t>1.4工程投资额：本工程项目投资估算约为3,587.35万元，其中：土建投资2,331.72万元。</w:t>
      </w:r>
    </w:p>
    <w:p>
      <w:pPr>
        <w:spacing w:line="324" w:lineRule="auto"/>
        <w:ind w:firstLine="420" w:firstLineChars="200"/>
        <w:rPr>
          <w:rFonts w:ascii="宋体" w:hAnsi="宋体" w:cs="宋体"/>
          <w:u w:val="single"/>
        </w:rPr>
      </w:pPr>
      <w:r>
        <w:rPr>
          <w:rFonts w:hint="eastAsia" w:ascii="宋体" w:hAnsi="宋体" w:cs="宋体"/>
        </w:rPr>
        <w:t>1.5本次招标服务期限</w:t>
      </w:r>
    </w:p>
    <w:p>
      <w:pPr>
        <w:spacing w:line="324" w:lineRule="auto"/>
        <w:ind w:firstLine="420" w:firstLineChars="200"/>
        <w:rPr>
          <w:rFonts w:hint="eastAsia" w:ascii="宋体" w:hAnsi="宋体" w:cs="宋体"/>
          <w:szCs w:val="21"/>
        </w:rPr>
      </w:pPr>
      <w:r>
        <w:rPr>
          <w:rFonts w:hint="eastAsia" w:ascii="宋体" w:hAnsi="宋体" w:cs="宋体"/>
          <w:szCs w:val="21"/>
        </w:rPr>
        <w:t>（1）监理服务期限：</w:t>
      </w:r>
    </w:p>
    <w:p>
      <w:pPr>
        <w:spacing w:line="324" w:lineRule="auto"/>
        <w:ind w:firstLine="420" w:firstLineChars="200"/>
        <w:rPr>
          <w:rFonts w:hint="eastAsia" w:ascii="宋体" w:hAnsi="宋体" w:cs="宋体"/>
          <w:szCs w:val="21"/>
        </w:rPr>
      </w:pPr>
      <w:r>
        <w:rPr>
          <w:rFonts w:hint="eastAsia" w:ascii="宋体" w:hAnsi="宋体" w:cs="宋体"/>
          <w:szCs w:val="21"/>
        </w:rPr>
        <w:t>前期工作阶段、施工阶段、缺陷责任期阶段、竣工结算期的监理服务期：</w:t>
      </w:r>
    </w:p>
    <w:p>
      <w:pPr>
        <w:spacing w:line="324" w:lineRule="auto"/>
        <w:ind w:firstLine="420" w:firstLineChars="200"/>
        <w:rPr>
          <w:rFonts w:hint="eastAsia" w:ascii="宋体" w:hAnsi="宋体" w:cs="宋体"/>
          <w:szCs w:val="21"/>
        </w:rPr>
      </w:pPr>
      <w:r>
        <w:rPr>
          <w:rFonts w:hint="eastAsia" w:ascii="宋体" w:hAnsi="宋体" w:cs="宋体"/>
          <w:szCs w:val="21"/>
        </w:rPr>
        <w:t>1.前期工作阶段：从签订合同之日到所有前期工作完成之日；</w:t>
      </w:r>
    </w:p>
    <w:p>
      <w:pPr>
        <w:spacing w:line="324" w:lineRule="auto"/>
        <w:ind w:firstLine="420" w:firstLineChars="200"/>
        <w:rPr>
          <w:rFonts w:hint="eastAsia" w:ascii="宋体" w:hAnsi="宋体" w:cs="宋体"/>
          <w:szCs w:val="21"/>
        </w:rPr>
      </w:pPr>
      <w:r>
        <w:rPr>
          <w:rFonts w:hint="eastAsia" w:ascii="宋体" w:hAnsi="宋体" w:cs="宋体"/>
          <w:szCs w:val="21"/>
        </w:rPr>
        <w:t>2.施工阶段：从业主下达开工令或开工报告审批之日起至施工项目全部完工并办理竣工验收、竣工结算、备案管理为止；</w:t>
      </w:r>
    </w:p>
    <w:p>
      <w:pPr>
        <w:spacing w:line="324" w:lineRule="auto"/>
        <w:ind w:firstLine="420" w:firstLineChars="200"/>
        <w:rPr>
          <w:rFonts w:hint="eastAsia" w:ascii="宋体" w:hAnsi="宋体" w:cs="宋体"/>
          <w:szCs w:val="21"/>
        </w:rPr>
      </w:pPr>
      <w:r>
        <w:rPr>
          <w:rFonts w:hint="eastAsia" w:ascii="宋体" w:hAnsi="宋体" w:cs="宋体"/>
          <w:szCs w:val="21"/>
        </w:rPr>
        <w:t>3.缺陷责任期阶段：从工程实际竣工验收合格之日起2年；</w:t>
      </w:r>
    </w:p>
    <w:p>
      <w:pPr>
        <w:spacing w:line="324" w:lineRule="auto"/>
        <w:ind w:firstLine="420" w:firstLineChars="200"/>
        <w:rPr>
          <w:rFonts w:hint="eastAsia" w:ascii="宋体" w:hAnsi="宋体" w:cs="宋体"/>
          <w:szCs w:val="21"/>
        </w:rPr>
      </w:pPr>
      <w:r>
        <w:rPr>
          <w:rFonts w:hint="eastAsia" w:ascii="宋体" w:hAnsi="宋体" w:cs="宋体"/>
          <w:szCs w:val="21"/>
        </w:rPr>
        <w:t>4.竣工结算期：从结算送审到终审。</w:t>
      </w:r>
    </w:p>
    <w:p>
      <w:pPr>
        <w:spacing w:line="324" w:lineRule="auto"/>
        <w:ind w:firstLine="420" w:firstLineChars="200"/>
        <w:rPr>
          <w:rFonts w:ascii="宋体" w:hAnsi="宋体" w:cs="宋体"/>
          <w:szCs w:val="21"/>
        </w:rPr>
      </w:pPr>
      <w:r>
        <w:rPr>
          <w:rFonts w:hint="eastAsia" w:ascii="宋体" w:hAnsi="宋体" w:cs="宋体"/>
          <w:szCs w:val="21"/>
        </w:rPr>
        <w:t>（2）全过程造价咨询服务期限：中标通知书发出之日起至完成合同约定的全部服务内容并结算完毕时止。</w:t>
      </w:r>
    </w:p>
    <w:p>
      <w:pPr>
        <w:spacing w:line="324" w:lineRule="auto"/>
        <w:ind w:firstLine="420" w:firstLineChars="200"/>
        <w:rPr>
          <w:rFonts w:hint="eastAsia" w:ascii="宋体" w:hAnsi="宋体" w:cs="宋体"/>
          <w:szCs w:val="21"/>
        </w:rPr>
      </w:pPr>
      <w:r>
        <w:rPr>
          <w:rFonts w:hint="eastAsia" w:ascii="宋体" w:hAnsi="宋体" w:cs="宋体"/>
          <w:szCs w:val="21"/>
        </w:rPr>
        <w:t>1.6工程质量标准：符合设计图纸要求和国家、省、市相关法律法规规定要求及行业颁发的工程质量合格标准，实际要求以施工合同为准。</w:t>
      </w:r>
    </w:p>
    <w:p>
      <w:pPr>
        <w:spacing w:line="324" w:lineRule="auto"/>
        <w:ind w:firstLine="420" w:firstLineChars="200"/>
        <w:rPr>
          <w:rFonts w:hint="eastAsia" w:ascii="宋体" w:hAnsi="宋体" w:eastAsia="宋体" w:cs="宋体"/>
          <w:szCs w:val="21"/>
        </w:rPr>
      </w:pPr>
      <w:r>
        <w:rPr>
          <w:rFonts w:hint="eastAsia" w:ascii="宋体" w:hAnsi="宋体" w:eastAsia="宋体" w:cs="宋体"/>
          <w:szCs w:val="21"/>
        </w:rPr>
        <w:t>质量控制目标:规范达标、绿色可靠、文档齐全、零缺陷作为质量总体目标。杜绝重大设备一般及以上质量事故，确保工程无永久性缺陷。满足国家、行业、中国南方电网有限责任公司质量标准、控制标准和验收规范，在质量管理过程中达到或超过质量标准，通过各级验收合格并完成启动投产。</w:t>
      </w:r>
    </w:p>
    <w:p>
      <w:pPr>
        <w:spacing w:line="324" w:lineRule="auto"/>
        <w:ind w:firstLine="420" w:firstLineChars="200"/>
        <w:rPr>
          <w:rFonts w:hint="eastAsia" w:ascii="宋体" w:hAnsi="宋体" w:eastAsia="宋体" w:cs="宋体"/>
          <w:szCs w:val="21"/>
        </w:rPr>
      </w:pPr>
      <w:r>
        <w:rPr>
          <w:rFonts w:hint="eastAsia" w:ascii="宋体" w:hAnsi="宋体" w:eastAsia="宋体" w:cs="宋体"/>
          <w:szCs w:val="21"/>
        </w:rPr>
        <w:t>安全控制目标：杜绝人身死亡事故、杜绝人身重伤事故。杜绝重大设备、一般及以上质量事故，确保工程“零缺陷”投运。</w:t>
      </w:r>
    </w:p>
    <w:p>
      <w:pPr>
        <w:spacing w:line="324" w:lineRule="auto"/>
        <w:ind w:firstLine="420" w:firstLineChars="200"/>
        <w:rPr>
          <w:rFonts w:hint="eastAsia" w:ascii="宋体" w:hAnsi="宋体" w:eastAsia="宋体" w:cs="宋体"/>
          <w:szCs w:val="21"/>
        </w:rPr>
      </w:pPr>
      <w:r>
        <w:rPr>
          <w:rFonts w:hint="eastAsia" w:ascii="宋体" w:hAnsi="宋体" w:eastAsia="宋体" w:cs="宋体"/>
          <w:szCs w:val="21"/>
        </w:rPr>
        <w:t>现场文明施工目标：按照《基建安全管理业务指导书》的要求和标准布置施工现场的文明施工设施，根据《广东电网有限责任公司作业现场智慧安全监督办法》的要求开展作业现场智慧安全监督工作，创造良好和规范的安全文明施工环境。按中国南方电网有限责任公司及工程所在地电网公司有关要求和标准。</w:t>
      </w:r>
    </w:p>
    <w:p>
      <w:pPr>
        <w:spacing w:line="324" w:lineRule="auto"/>
        <w:ind w:firstLine="420" w:firstLineChars="200"/>
        <w:rPr>
          <w:rFonts w:hint="eastAsia" w:ascii="宋体" w:hAnsi="宋体" w:eastAsia="宋体" w:cs="宋体"/>
          <w:szCs w:val="21"/>
        </w:rPr>
      </w:pPr>
      <w:r>
        <w:rPr>
          <w:rFonts w:hint="eastAsia" w:ascii="宋体" w:hAnsi="宋体" w:eastAsia="宋体" w:cs="宋体"/>
          <w:szCs w:val="21"/>
        </w:rPr>
        <w:t>造价控制目标：坚持估算控制概算，概算控制预算，预算控制结算；过程控制准确，杜绝出现进度款超付现象；项目按期、高质完成，同时能取得良好的社会效益、环境效益和经济效益。造价咨询审核精度须在招标人控制目标范围以内。</w:t>
      </w:r>
    </w:p>
    <w:p>
      <w:pPr>
        <w:spacing w:line="324" w:lineRule="auto"/>
        <w:rPr>
          <w:rFonts w:ascii="宋体" w:hAnsi="宋体" w:cs="宋体"/>
          <w:b/>
          <w:bCs/>
        </w:rPr>
      </w:pPr>
      <w:r>
        <w:rPr>
          <w:rFonts w:hint="eastAsia" w:ascii="宋体" w:hAnsi="宋体" w:cs="宋体"/>
          <w:b/>
          <w:bCs/>
        </w:rPr>
        <w:t>2.</w:t>
      </w:r>
      <w:r>
        <w:rPr>
          <w:rFonts w:hint="eastAsia" w:ascii="宋体" w:hAnsi="宋体" w:cs="宋体"/>
          <w:b/>
          <w:bCs/>
          <w:lang w:val="en-US" w:eastAsia="zh-CN"/>
        </w:rPr>
        <w:t>招标</w:t>
      </w:r>
      <w:r>
        <w:rPr>
          <w:rFonts w:hint="eastAsia" w:ascii="宋体" w:hAnsi="宋体" w:cs="宋体"/>
          <w:b/>
          <w:bCs/>
        </w:rPr>
        <w:t>范围及内容</w:t>
      </w:r>
    </w:p>
    <w:p>
      <w:pPr>
        <w:spacing w:line="324" w:lineRule="auto"/>
        <w:ind w:firstLine="420" w:firstLineChars="200"/>
        <w:rPr>
          <w:rFonts w:hint="eastAsia" w:ascii="宋体" w:hAnsi="宋体" w:eastAsia="宋体" w:cs="宋体"/>
          <w:szCs w:val="21"/>
        </w:rPr>
      </w:pPr>
      <w:r>
        <w:rPr>
          <w:rFonts w:hint="eastAsia" w:ascii="宋体" w:hAnsi="宋体" w:cs="宋体"/>
          <w:szCs w:val="21"/>
          <w:lang w:eastAsia="zh-CN"/>
        </w:rPr>
        <w:t>110千伏志诚变电站项目监理（含全过程咨询）</w:t>
      </w:r>
      <w:r>
        <w:rPr>
          <w:rFonts w:hint="eastAsia" w:ascii="宋体" w:hAnsi="宋体" w:eastAsia="宋体" w:cs="宋体"/>
          <w:szCs w:val="21"/>
        </w:rPr>
        <w:t>服务，包括以下工作内容（具体详见合同约定条款及委托人要求）：</w:t>
      </w:r>
    </w:p>
    <w:p>
      <w:pPr>
        <w:spacing w:line="324" w:lineRule="auto"/>
        <w:ind w:firstLine="420" w:firstLineChars="200"/>
        <w:rPr>
          <w:rFonts w:hint="eastAsia" w:ascii="宋体" w:hAnsi="宋体" w:eastAsia="宋体" w:cs="宋体"/>
          <w:szCs w:val="21"/>
        </w:rPr>
      </w:pPr>
      <w:r>
        <w:rPr>
          <w:rFonts w:hint="eastAsia" w:ascii="宋体" w:hAnsi="宋体" w:eastAsia="宋体" w:cs="宋体"/>
          <w:szCs w:val="21"/>
        </w:rPr>
        <w:t>（1）工程监理服务：监理内容包括但不限于以下内容：前期工作阶段（包括设计各阶段、施工准备等）、施工</w:t>
      </w:r>
      <w:r>
        <w:rPr>
          <w:rFonts w:hint="eastAsia" w:ascii="宋体" w:hAnsi="宋体" w:eastAsia="宋体" w:cs="宋体"/>
          <w:szCs w:val="21"/>
          <w:lang w:val="en-US" w:eastAsia="zh-CN"/>
        </w:rPr>
        <w:t>阶段（含</w:t>
      </w:r>
      <w:r>
        <w:rPr>
          <w:rFonts w:hint="default" w:ascii="宋体" w:hAnsi="宋体" w:eastAsia="宋体" w:cs="宋体"/>
          <w:szCs w:val="21"/>
        </w:rPr>
        <w:t>基坑支护及土方开挖</w:t>
      </w:r>
      <w:r>
        <w:rPr>
          <w:rFonts w:hint="eastAsia" w:ascii="宋体" w:hAnsi="宋体" w:eastAsia="宋体" w:cs="宋体"/>
          <w:szCs w:val="21"/>
          <w:lang w:val="en-US" w:eastAsia="zh-CN"/>
        </w:rPr>
        <w:t>）</w:t>
      </w:r>
      <w:r>
        <w:rPr>
          <w:rFonts w:hint="eastAsia" w:ascii="宋体" w:hAnsi="宋体" w:eastAsia="宋体" w:cs="宋体"/>
          <w:szCs w:val="21"/>
        </w:rPr>
        <w:t>、缺陷责任期</w:t>
      </w:r>
      <w:r>
        <w:rPr>
          <w:rFonts w:hint="eastAsia" w:ascii="宋体" w:hAnsi="宋体" w:eastAsia="宋体" w:cs="宋体"/>
          <w:szCs w:val="21"/>
          <w:lang w:val="en-US" w:eastAsia="zh-CN"/>
        </w:rPr>
        <w:t>阶段</w:t>
      </w:r>
      <w:r>
        <w:rPr>
          <w:rFonts w:hint="eastAsia" w:ascii="宋体" w:hAnsi="宋体" w:eastAsia="宋体" w:cs="宋体"/>
          <w:szCs w:val="21"/>
        </w:rPr>
        <w:t>、竣工结算期的监理及监理范围内的造价服务（设计概算审核、施工图预算审核、进度款审核、变更签证审核、结算审核）等相关工作。</w:t>
      </w:r>
    </w:p>
    <w:p>
      <w:pPr>
        <w:widowControl/>
        <w:spacing w:after="0" w:afterLines="0" w:line="540" w:lineRule="exact"/>
        <w:ind w:firstLine="420" w:firstLineChars="200"/>
        <w:jc w:val="left"/>
        <w:rPr>
          <w:rFonts w:hint="eastAsia" w:ascii="宋体" w:hAnsi="宋体" w:cs="宋体"/>
          <w:color w:val="auto"/>
          <w:kern w:val="2"/>
          <w:sz w:val="21"/>
          <w:szCs w:val="21"/>
          <w:highlight w:val="none"/>
          <w:u w:val="none"/>
          <w:shd w:val="clear" w:color="auto" w:fill="auto"/>
        </w:rPr>
      </w:pPr>
      <w:r>
        <w:rPr>
          <w:rFonts w:hint="eastAsia" w:ascii="宋体" w:hAnsi="宋体" w:eastAsia="宋体" w:cs="宋体"/>
          <w:szCs w:val="21"/>
        </w:rPr>
        <w:t>（2）全过程造价咨询服务：</w:t>
      </w:r>
      <w:r>
        <w:rPr>
          <w:rFonts w:hint="eastAsia" w:ascii="宋体" w:hAnsi="宋体" w:cs="宋体"/>
          <w:color w:val="auto"/>
          <w:sz w:val="21"/>
          <w:szCs w:val="21"/>
          <w:highlight w:val="none"/>
          <w:u w:val="none"/>
        </w:rPr>
        <w:t>包括（但不限于）设计阶段、招标阶段、施工阶段、采购阶段等全过程工程造价控制咨询服务、投资控制工作，协助业主配合审计，协助业主处理工程造价司法纠纷（招标人根据项目实际情况有权调整招标范围和内容）。</w:t>
      </w:r>
      <w:r>
        <w:rPr>
          <w:rFonts w:hint="eastAsia" w:ascii="宋体" w:hAnsi="宋体" w:cs="宋体"/>
          <w:color w:val="auto"/>
          <w:kern w:val="2"/>
          <w:sz w:val="21"/>
          <w:szCs w:val="21"/>
          <w:highlight w:val="none"/>
          <w:u w:val="none"/>
          <w:shd w:val="clear" w:color="auto" w:fill="auto"/>
        </w:rPr>
        <w:t>每个阶段具体的工作内容详见下表。</w:t>
      </w:r>
    </w:p>
    <w:tbl>
      <w:tblPr>
        <w:tblStyle w:val="20"/>
        <w:tblW w:w="9210"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437"/>
        <w:gridCol w:w="1064"/>
        <w:gridCol w:w="770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序号</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jc w:val="center"/>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jc w:val="center"/>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工作内容</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1</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设计阶段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1.根据设计方案，提出工程项目的各专业工程和各阶段造价限额指标。</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2.审核设计概算。</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3.负责对设计中采用的主材、设备</w:t>
            </w:r>
            <w:r>
              <w:rPr>
                <w:rFonts w:hint="eastAsia"/>
                <w:color w:val="auto"/>
                <w:highlight w:val="none"/>
              </w:rPr>
              <w:t>（明确型号规格）</w:t>
            </w:r>
            <w:r>
              <w:rPr>
                <w:rFonts w:hint="eastAsia" w:ascii="宋体" w:hAnsi="宋体" w:cs="宋体"/>
                <w:color w:val="auto"/>
                <w:kern w:val="0"/>
                <w:szCs w:val="21"/>
                <w:highlight w:val="none"/>
                <w:shd w:val="clear" w:color="auto" w:fill="FFFFFF"/>
              </w:rPr>
              <w:t>等提供市场询价信息，进行方案比较，提出优化建议。</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4.负责编制或审核施工图预算（含设计图纸修改后调整相应预算），按时提交编制报告、调整意见及合理化建议。</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5.负责参加设计方案论证会议、工程图纸会审、变更论证等专题会，提出造价专业意见。</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6.根据确定的设计方案编制详细的工程成本预测和资金流量预测分析，以作为进度和成本控制的目标；随设计的深入定期分析工程成本、定期修正资金流量预测。</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7.负责按发包人要求编制清单计价模式等各类造价管理文件。</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8.负责审核工程建设其他费用的合同价及报价方案。</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2</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招标阶段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1.负责按甲方要求编制各类造价管理文件，进行市场调查、询价或预（暂）估。</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2.负责根据项目的标段划分方案，包括各标段工程（所有各类标及各标段）承包内容、界面，按甲方要求编制工程量清单、预算及招标控制价</w:t>
            </w:r>
            <w:r>
              <w:rPr>
                <w:rFonts w:hint="eastAsia"/>
                <w:color w:val="auto"/>
                <w:highlight w:val="none"/>
              </w:rPr>
              <w:t>（附</w:t>
            </w:r>
            <w:r>
              <w:rPr>
                <w:rFonts w:hint="eastAsia" w:ascii="宋体" w:hAnsi="宋体" w:cs="宋体"/>
                <w:color w:val="auto"/>
                <w:kern w:val="0"/>
                <w:szCs w:val="21"/>
                <w:highlight w:val="none"/>
                <w:shd w:val="clear" w:color="auto" w:fill="FFFFFF"/>
              </w:rPr>
              <w:t>工程量计算书，顺序与工程量清单一致、计价软件版、电子表格版、询价记录），对合同方式和可能存在的风险因素及解决办法等提出合理化建议供甲方参考。办理市造价部门的招标控制价备案。</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3.负责根据设计单位的图纸及技术规范、用户需求书编制设备、材料询价或采购清单。</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4.负责对中标人的经济标文件或报价书等进行分析和汇总，形成造价咨询报告。</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5.负责材料检测及各专业检测、监测清单及预算的编制工作。</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6</w:t>
            </w:r>
            <w:r>
              <w:rPr>
                <w:rFonts w:hint="eastAsia" w:ascii="宋体" w:hAnsi="宋体" w:cs="宋体"/>
                <w:color w:val="auto"/>
                <w:kern w:val="0"/>
                <w:szCs w:val="21"/>
                <w:highlight w:val="none"/>
                <w:shd w:val="clear" w:color="auto" w:fill="FFFFFF"/>
              </w:rPr>
              <w:t>.</w:t>
            </w:r>
            <w:r>
              <w:rPr>
                <w:rFonts w:hint="eastAsia" w:ascii="宋体" w:hAnsi="宋体" w:cs="宋体"/>
                <w:color w:val="auto"/>
                <w:szCs w:val="21"/>
                <w:highlight w:val="none"/>
                <w:shd w:val="clear" w:color="auto" w:fill="FFFFFF"/>
              </w:rPr>
              <w:t>对招标文件及合同提供专业意见，对招标文件及合同中涉及工程造价的计量、计价等内容进行编制或审核工作。</w:t>
            </w: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7</w:t>
            </w:r>
            <w:r>
              <w:rPr>
                <w:rFonts w:hint="eastAsia" w:ascii="宋体" w:hAnsi="宋体" w:cs="宋体"/>
                <w:color w:val="auto"/>
                <w:kern w:val="0"/>
                <w:szCs w:val="21"/>
                <w:highlight w:val="none"/>
                <w:shd w:val="clear" w:color="auto" w:fill="FFFFFF"/>
              </w:rPr>
              <w:t>.</w:t>
            </w:r>
            <w:r>
              <w:rPr>
                <w:rFonts w:hint="eastAsia" w:cs="宋体"/>
                <w:color w:val="auto"/>
                <w:highlight w:val="none"/>
                <w:shd w:val="solid" w:color="FFFFFF" w:fill="auto"/>
              </w:rPr>
              <w:t>提供工程造价政策、材料、设备（市场）价格信息等工程造价信息咨询服务。</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3</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施工阶段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00" w:lineRule="exact"/>
              <w:rPr>
                <w:color w:val="auto"/>
                <w:highlight w:val="none"/>
              </w:rPr>
            </w:pPr>
            <w:r>
              <w:rPr>
                <w:rFonts w:hint="eastAsia"/>
                <w:color w:val="auto"/>
                <w:highlight w:val="none"/>
              </w:rPr>
              <w:t>1.审核施工图预算，出具审核报告（包含审核方工程量计算书（顺序与工程量清单一致）、计价软件版、电子表格版、询价记录）。</w:t>
            </w:r>
          </w:p>
          <w:p>
            <w:pPr>
              <w:widowControl/>
              <w:shd w:val="solid" w:color="FFFFFF" w:fill="auto"/>
              <w:autoSpaceDN w:val="0"/>
              <w:snapToGrid w:val="0"/>
              <w:spacing w:line="300" w:lineRule="exact"/>
              <w:rPr>
                <w:color w:val="auto"/>
                <w:highlight w:val="none"/>
              </w:rPr>
            </w:pPr>
            <w:r>
              <w:rPr>
                <w:rFonts w:hint="eastAsia"/>
                <w:color w:val="auto"/>
                <w:highlight w:val="none"/>
              </w:rPr>
              <w:t>2.负责按甲方要求编制各类造价管理文件，包括工程变更程序、工程款支付程序等并定制专门的合同管理支付系统平台。</w:t>
            </w:r>
          </w:p>
          <w:p>
            <w:pPr>
              <w:widowControl/>
              <w:shd w:val="solid" w:color="FFFFFF" w:fill="auto"/>
              <w:autoSpaceDN w:val="0"/>
              <w:snapToGrid w:val="0"/>
              <w:spacing w:line="300" w:lineRule="exact"/>
              <w:rPr>
                <w:color w:val="auto"/>
                <w:highlight w:val="none"/>
              </w:rPr>
            </w:pPr>
            <w:r>
              <w:rPr>
                <w:rFonts w:hint="eastAsia"/>
                <w:color w:val="auto"/>
                <w:highlight w:val="none"/>
              </w:rPr>
              <w:t>3.制定项目总体投资进度计划，根据实际进度与每月实际投资和计划投资作分析比较，分析成本偏差的原因和修正项目投资进度计划。</w:t>
            </w:r>
          </w:p>
          <w:p>
            <w:pPr>
              <w:widowControl/>
              <w:shd w:val="solid" w:color="FFFFFF" w:fill="auto"/>
              <w:autoSpaceDN w:val="0"/>
              <w:snapToGrid w:val="0"/>
              <w:spacing w:line="300" w:lineRule="exact"/>
              <w:rPr>
                <w:color w:val="auto"/>
                <w:highlight w:val="none"/>
              </w:rPr>
            </w:pPr>
            <w:r>
              <w:rPr>
                <w:rFonts w:hint="eastAsia"/>
                <w:color w:val="auto"/>
                <w:highlight w:val="none"/>
              </w:rPr>
              <w:t>4.负责施工过程造价控制（含编制方案及实施计划），审核工程量与进度款，7个日历天内完成。</w:t>
            </w:r>
          </w:p>
          <w:p>
            <w:pPr>
              <w:widowControl/>
              <w:shd w:val="solid" w:color="FFFFFF" w:fill="auto"/>
              <w:autoSpaceDN w:val="0"/>
              <w:snapToGrid w:val="0"/>
              <w:spacing w:line="300" w:lineRule="exact"/>
              <w:rPr>
                <w:color w:val="auto"/>
                <w:highlight w:val="none"/>
              </w:rPr>
            </w:pPr>
            <w:r>
              <w:rPr>
                <w:rFonts w:hint="eastAsia"/>
                <w:color w:val="auto"/>
                <w:highlight w:val="none"/>
              </w:rPr>
              <w:t>5.根据经验主动地、有预见性地提醒甲方节约费用，防范工期索赔，负责协助甲方合同索赔处理，参加合同变更谈判，负责处理合同变更，向甲方提供专业评估意见及估算书，维护甲方的合法权益。</w:t>
            </w:r>
          </w:p>
          <w:p>
            <w:pPr>
              <w:widowControl/>
              <w:shd w:val="solid" w:color="FFFFFF" w:fill="auto"/>
              <w:autoSpaceDN w:val="0"/>
              <w:snapToGrid w:val="0"/>
              <w:spacing w:line="300" w:lineRule="exact"/>
              <w:rPr>
                <w:color w:val="auto"/>
                <w:highlight w:val="none"/>
              </w:rPr>
            </w:pPr>
            <w:r>
              <w:rPr>
                <w:rFonts w:hint="eastAsia"/>
                <w:color w:val="auto"/>
                <w:highlight w:val="none"/>
              </w:rPr>
              <w:t>6.负责编制或审核每月项目建安费用资金计划，建立合同台账、支付台账、工程变更管理等相关台账（按变更原因分类）、动态投资台账，负责每个季度月底前提交工程项目整体结算价预估分析、动态成本（须与目标成本对比分析偏差原因及解决方案），统计分析工程投资情况，定期向甲方汇报，为投资控制提供依据，确保工程总投资控制在合理范围内。</w:t>
            </w:r>
          </w:p>
          <w:p>
            <w:pPr>
              <w:widowControl/>
              <w:shd w:val="solid" w:color="FFFFFF" w:fill="auto"/>
              <w:autoSpaceDN w:val="0"/>
              <w:snapToGrid w:val="0"/>
              <w:spacing w:line="300" w:lineRule="exact"/>
              <w:rPr>
                <w:color w:val="auto"/>
                <w:highlight w:val="none"/>
              </w:rPr>
            </w:pPr>
            <w:r>
              <w:rPr>
                <w:rFonts w:hint="eastAsia"/>
                <w:color w:val="auto"/>
                <w:highlight w:val="none"/>
              </w:rPr>
              <w:t>7.负责定期召开造价控制会议，参与选择技术经济性最佳的方案，控制好技术设计和施工图设计的不合理变更，集中会审现场签证、工程变更的工程量和造价预算，确认变更价款。负责每月提交工程变更（包括：图纸会审、图纸修改、工程洽商等）对造价影响分析，及成本控制报告。</w:t>
            </w:r>
          </w:p>
          <w:p>
            <w:pPr>
              <w:widowControl/>
              <w:shd w:val="solid" w:color="FFFFFF" w:fill="auto"/>
              <w:autoSpaceDN w:val="0"/>
              <w:snapToGrid w:val="0"/>
              <w:spacing w:line="300" w:lineRule="exact"/>
              <w:rPr>
                <w:color w:val="auto"/>
                <w:highlight w:val="none"/>
              </w:rPr>
            </w:pPr>
            <w:r>
              <w:rPr>
                <w:rFonts w:hint="eastAsia"/>
                <w:color w:val="auto"/>
                <w:highlight w:val="none"/>
              </w:rPr>
              <w:t>8.负责定期收集和整理有关设备材料的市场价格动态信息，对施工方案、材料选用提供成本控制建议。每月提交人工机械主材设备价格造价影响分析（含价格过程控制资料）。</w:t>
            </w:r>
          </w:p>
          <w:p>
            <w:pPr>
              <w:widowControl/>
              <w:shd w:val="solid" w:color="FFFFFF" w:fill="auto"/>
              <w:autoSpaceDN w:val="0"/>
              <w:snapToGrid w:val="0"/>
              <w:spacing w:line="300" w:lineRule="exact"/>
              <w:rPr>
                <w:color w:val="auto"/>
                <w:highlight w:val="none"/>
              </w:rPr>
            </w:pPr>
            <w:r>
              <w:rPr>
                <w:rFonts w:hint="eastAsia"/>
                <w:color w:val="auto"/>
                <w:highlight w:val="none"/>
              </w:rPr>
              <w:t>9.发生现场签证时，须与发包人、工程监理、施工单位一起进行工程量现场核查，各方签认后作为签证依据。</w:t>
            </w:r>
          </w:p>
          <w:p>
            <w:pPr>
              <w:widowControl/>
              <w:shd w:val="solid" w:color="FFFFFF" w:fill="auto"/>
              <w:autoSpaceDN w:val="0"/>
              <w:snapToGrid w:val="0"/>
              <w:spacing w:line="300" w:lineRule="exact"/>
              <w:rPr>
                <w:color w:val="auto"/>
                <w:highlight w:val="none"/>
              </w:rPr>
            </w:pPr>
            <w:r>
              <w:rPr>
                <w:rFonts w:hint="eastAsia"/>
                <w:color w:val="auto"/>
                <w:highlight w:val="none"/>
              </w:rPr>
              <w:t>10.根据甲方的需要参与合同谈判、合同价款修正及调整的审核。</w:t>
            </w:r>
          </w:p>
          <w:p>
            <w:pPr>
              <w:widowControl/>
              <w:shd w:val="solid" w:color="FFFFFF" w:fill="auto"/>
              <w:autoSpaceDN w:val="0"/>
              <w:snapToGrid w:val="0"/>
              <w:spacing w:line="300" w:lineRule="exact"/>
              <w:rPr>
                <w:rFonts w:hint="eastAsia"/>
                <w:color w:val="auto"/>
                <w:highlight w:val="none"/>
              </w:rPr>
            </w:pPr>
            <w:r>
              <w:rPr>
                <w:color w:val="auto"/>
                <w:highlight w:val="none"/>
              </w:rPr>
              <w:t>11</w:t>
            </w:r>
            <w:r>
              <w:rPr>
                <w:rFonts w:hint="eastAsia"/>
                <w:color w:val="auto"/>
                <w:highlight w:val="none"/>
              </w:rPr>
              <w:t>.工程建设其他费用合同的审核以及报价方案的审核。</w:t>
            </w:r>
          </w:p>
          <w:p>
            <w:pPr>
              <w:widowControl/>
              <w:shd w:val="solid" w:color="FFFFFF" w:fill="auto"/>
              <w:autoSpaceDN w:val="0"/>
              <w:snapToGrid w:val="0"/>
              <w:spacing w:line="300" w:lineRule="exact"/>
              <w:rPr>
                <w:rFonts w:hint="eastAsia"/>
                <w:color w:val="auto"/>
                <w:highlight w:val="none"/>
              </w:rPr>
            </w:pPr>
            <w:r>
              <w:rPr>
                <w:rFonts w:hint="eastAsia"/>
                <w:color w:val="auto"/>
                <w:highlight w:val="none"/>
              </w:rPr>
              <w:t>12、</w:t>
            </w:r>
            <w:r>
              <w:rPr>
                <w:color w:val="auto"/>
                <w:highlight w:val="none"/>
              </w:rPr>
              <w:t>提供与造价控制相关的人工、材料、设备等造价信息和其他咨询服务</w:t>
            </w:r>
            <w:r>
              <w:rPr>
                <w:rFonts w:hint="eastAsia"/>
                <w:color w:val="auto"/>
                <w:highlight w:val="none"/>
              </w:rPr>
              <w:t>。</w:t>
            </w:r>
          </w:p>
          <w:p>
            <w:pPr>
              <w:widowControl/>
              <w:shd w:val="solid" w:color="FFFFFF" w:fill="auto"/>
              <w:autoSpaceDN w:val="0"/>
              <w:snapToGrid w:val="0"/>
              <w:spacing w:line="300" w:lineRule="exact"/>
              <w:rPr>
                <w:color w:val="auto"/>
                <w:highlight w:val="none"/>
              </w:rPr>
            </w:pPr>
            <w:r>
              <w:rPr>
                <w:rFonts w:hint="eastAsia" w:ascii="宋体" w:hAnsi="宋体" w:cs="宋体"/>
                <w:color w:val="auto"/>
                <w:szCs w:val="21"/>
                <w:highlight w:val="none"/>
              </w:rPr>
              <w:t>13、建立过程控制资料收发记录和联系单台帐、进度款台账。</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4</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结算阶段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1.负责按甲方要求编制结算管理文件，配合甲方开展过程结算，完成工程结算审核工作，并与施工单位完成对数，</w:t>
            </w:r>
            <w:r>
              <w:rPr>
                <w:rFonts w:hint="eastAsia" w:ascii="宋体" w:hAnsi="宋体" w:cs="宋体"/>
                <w:color w:val="auto"/>
                <w:kern w:val="0"/>
                <w:szCs w:val="21"/>
                <w:highlight w:val="none"/>
                <w:u w:val="none"/>
                <w:shd w:val="clear" w:color="auto" w:fill="FFFFFF"/>
                <w:lang w:val="en-US" w:eastAsia="zh-CN"/>
              </w:rPr>
              <w:t>按规定的时间</w:t>
            </w:r>
            <w:r>
              <w:rPr>
                <w:rFonts w:hint="eastAsia" w:ascii="宋体" w:hAnsi="宋体" w:cs="宋体"/>
                <w:color w:val="auto"/>
                <w:kern w:val="0"/>
                <w:szCs w:val="21"/>
                <w:highlight w:val="none"/>
                <w:u w:val="none"/>
                <w:shd w:val="clear" w:color="auto" w:fill="FFFFFF"/>
              </w:rPr>
              <w:t>出具结算审核报告（含审核方工程量计算书（顺序与工程量清单一致）、计价软件版、电子表格版、询价记录）</w:t>
            </w:r>
            <w:r>
              <w:rPr>
                <w:rFonts w:hint="eastAsia" w:ascii="宋体" w:hAnsi="宋体" w:cs="宋体"/>
                <w:color w:val="auto"/>
                <w:kern w:val="0"/>
                <w:szCs w:val="21"/>
                <w:highlight w:val="none"/>
                <w:shd w:val="clear" w:color="auto" w:fill="FFFFFF"/>
              </w:rPr>
              <w:t>。</w:t>
            </w:r>
          </w:p>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3.负责收集和整理结（决）算依据资料，收集有关工程费用方面的签证资料，核对单据并及时归档。</w:t>
            </w:r>
          </w:p>
          <w:p>
            <w:r>
              <w:rPr>
                <w:rFonts w:hint="eastAsia" w:ascii="宋体" w:hAnsi="宋体" w:cs="宋体"/>
                <w:color w:val="auto"/>
                <w:kern w:val="0"/>
                <w:szCs w:val="21"/>
                <w:highlight w:val="none"/>
                <w:shd w:val="clear" w:color="auto" w:fill="FFFFFF"/>
              </w:rPr>
              <w:t>4.负责施工类、服务类、货物类等合同结算审核工作并出具审核报告；负责工程结算审核工作，提交合同管理及执行情况的专题报告。</w:t>
            </w:r>
          </w:p>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p>
          <w:p>
            <w:pPr>
              <w:widowControl/>
              <w:shd w:val="solid" w:color="FFFFFF" w:fill="auto"/>
              <w:autoSpaceDN w:val="0"/>
              <w:snapToGrid w:val="0"/>
              <w:spacing w:line="300" w:lineRule="exac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7.</w:t>
            </w:r>
            <w:r>
              <w:rPr>
                <w:rFonts w:hint="eastAsia" w:cs="宋体"/>
                <w:color w:val="auto"/>
                <w:highlight w:val="none"/>
                <w:shd w:val="solid" w:color="FFFFFF" w:fill="auto"/>
              </w:rPr>
              <w:t>结算后进行资料汇总、提交结算后评估分析，包括对项目及实施过程的描述、估算、概算、预算、合同价及结算价进行比较，编制单体、各项各专业等工程建筑技术经济指标，对产生偏差的原因及投资控制的效果进行分析，提交合同管理及执行情况的专题报告。</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5</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审计阶段</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配合审计部门的工程造价审计工作以及其他相关配合服务等。</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PrEx>
        <w:trPr>
          <w:trHeight w:val="585" w:hRule="atLeast"/>
          <w:jc w:val="center"/>
        </w:trPr>
        <w:tc>
          <w:tcPr>
            <w:tcW w:w="43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6</w:t>
            </w:r>
          </w:p>
        </w:tc>
        <w:tc>
          <w:tcPr>
            <w:tcW w:w="106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240" w:lineRule="atLeast"/>
              <w:jc w:val="center"/>
              <w:rPr>
                <w:rFonts w:ascii="宋体" w:hAnsi="宋体" w:cs="宋体"/>
                <w:color w:val="auto"/>
                <w:szCs w:val="21"/>
                <w:highlight w:val="none"/>
                <w:shd w:val="clear" w:color="auto" w:fill="FFFFFF"/>
              </w:rPr>
            </w:pPr>
            <w:r>
              <w:rPr>
                <w:rFonts w:hint="eastAsia" w:ascii="宋体" w:hAnsi="宋体" w:cs="宋体"/>
                <w:color w:val="auto"/>
                <w:kern w:val="0"/>
                <w:szCs w:val="21"/>
                <w:highlight w:val="none"/>
                <w:shd w:val="clear" w:color="auto" w:fill="FFFFFF"/>
              </w:rPr>
              <w:t>其他</w:t>
            </w:r>
          </w:p>
        </w:tc>
        <w:tc>
          <w:tcPr>
            <w:tcW w:w="7709"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1.负责组织相关造价控制评审会议，包括邀请相应的经济专家。</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2.视情况邀请高级经济顾问对造价问题进行咨询把关。</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3.征地拆迁、管线 、绿化迁移及其他标段的造价审核工作。</w:t>
            </w:r>
          </w:p>
          <w:p>
            <w:pPr>
              <w:widowControl/>
              <w:shd w:val="solid" w:color="FFFFFF" w:fill="auto"/>
              <w:autoSpaceDN w:val="0"/>
              <w:snapToGrid w:val="0"/>
              <w:spacing w:line="300" w:lineRule="exact"/>
              <w:rPr>
                <w:color w:val="auto"/>
                <w:highlight w:val="none"/>
                <w:shd w:val="solid" w:color="FFFFFF" w:fill="auto"/>
              </w:rPr>
            </w:pPr>
            <w:r>
              <w:rPr>
                <w:rFonts w:hint="eastAsia" w:ascii="宋体" w:hAnsi="宋体" w:cs="宋体"/>
                <w:color w:val="auto"/>
                <w:kern w:val="0"/>
                <w:szCs w:val="21"/>
                <w:highlight w:val="none"/>
                <w:shd w:val="clear" w:color="auto" w:fill="FFFFFF"/>
              </w:rPr>
              <w:t>4.</w:t>
            </w:r>
            <w:r>
              <w:rPr>
                <w:rFonts w:hint="eastAsia" w:cs="宋体"/>
                <w:color w:val="auto"/>
                <w:highlight w:val="none"/>
                <w:shd w:val="solid" w:color="FFFFFF" w:fill="auto"/>
              </w:rPr>
              <w:t>向甲方提出专业性建议并提供相关的服务，协助甲方解决与第三方的合同。</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color w:val="auto"/>
                <w:highlight w:val="none"/>
                <w:shd w:val="solid" w:color="FFFFFF" w:fill="auto"/>
              </w:rPr>
              <w:t>5</w:t>
            </w:r>
            <w:r>
              <w:rPr>
                <w:rFonts w:hint="eastAsia" w:ascii="宋体" w:hAnsi="宋体" w:cs="宋体"/>
                <w:color w:val="auto"/>
                <w:kern w:val="0"/>
                <w:szCs w:val="21"/>
                <w:highlight w:val="none"/>
                <w:shd w:val="clear" w:color="auto" w:fill="FFFFFF"/>
              </w:rPr>
              <w:t>.</w:t>
            </w:r>
            <w:r>
              <w:rPr>
                <w:rFonts w:hint="eastAsia" w:cs="宋体"/>
                <w:color w:val="auto"/>
                <w:highlight w:val="none"/>
                <w:shd w:val="solid" w:color="FFFFFF" w:fill="auto"/>
              </w:rPr>
              <w:t>根据工程实际情况独立编制所有工程造价成果文件，并按工程进度、甲方要求及时上报</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6.委派项目负责人或项目主要专业人员出席委托召开的专业会议。</w:t>
            </w:r>
          </w:p>
          <w:p>
            <w:pPr>
              <w:widowControl/>
              <w:shd w:val="solid" w:color="FFFFFF" w:fill="auto"/>
              <w:autoSpaceDN w:val="0"/>
              <w:snapToGrid w:val="0"/>
              <w:spacing w:line="300" w:lineRule="exact"/>
              <w:rPr>
                <w:color w:val="auto"/>
                <w:highlight w:val="none"/>
                <w:shd w:val="solid" w:color="FFFFFF" w:fill="auto"/>
              </w:rPr>
            </w:pPr>
            <w:r>
              <w:rPr>
                <w:rFonts w:hint="eastAsia" w:ascii="宋体" w:hAnsi="宋体" w:cs="宋体"/>
                <w:color w:val="auto"/>
                <w:kern w:val="0"/>
                <w:szCs w:val="21"/>
                <w:highlight w:val="none"/>
                <w:shd w:val="clear" w:color="auto" w:fill="FFFFFF"/>
              </w:rPr>
              <w:t>7.</w:t>
            </w:r>
            <w:r>
              <w:rPr>
                <w:rFonts w:hint="eastAsia" w:cs="宋体"/>
                <w:color w:val="auto"/>
                <w:highlight w:val="none"/>
                <w:shd w:val="solid" w:color="FFFFFF" w:fill="auto"/>
              </w:rPr>
              <w:t>在招标限价、合同价、结算等关键节点审核时，应及时合理安排能满足以上各关键节点的造价团队，专业配置齐全，确保按甲方要求时间完成相关审核工作，出具审核报告</w:t>
            </w:r>
            <w:r>
              <w:rPr>
                <w:rFonts w:hint="eastAsia" w:ascii="宋体" w:hAnsi="宋体" w:cs="宋体"/>
                <w:color w:val="auto"/>
                <w:kern w:val="0"/>
                <w:szCs w:val="21"/>
                <w:highlight w:val="none"/>
                <w:shd w:val="clear" w:color="auto" w:fill="FFFFFF"/>
              </w:rPr>
              <w:t>（含审核方工程量计算书</w:t>
            </w:r>
            <w:r>
              <w:rPr>
                <w:rFonts w:hint="eastAsia" w:ascii="宋体" w:hAnsi="宋体" w:cs="宋体"/>
                <w:color w:val="auto"/>
                <w:kern w:val="0"/>
                <w:szCs w:val="21"/>
                <w:highlight w:val="none"/>
                <w:u w:val="none"/>
                <w:shd w:val="clear" w:color="auto" w:fill="FFFFFF"/>
              </w:rPr>
              <w:t>（</w:t>
            </w:r>
            <w:r>
              <w:rPr>
                <w:rFonts w:hint="eastAsia" w:ascii="宋体" w:hAnsi="宋体" w:cs="宋体"/>
                <w:color w:val="auto"/>
                <w:kern w:val="0"/>
                <w:szCs w:val="21"/>
                <w:highlight w:val="none"/>
                <w:shd w:val="clear" w:color="auto" w:fill="FFFFFF"/>
              </w:rPr>
              <w:t>顺序与工程量清单</w:t>
            </w:r>
            <w:r>
              <w:rPr>
                <w:rFonts w:hint="eastAsia" w:ascii="宋体" w:hAnsi="宋体" w:cs="宋体"/>
                <w:color w:val="auto"/>
                <w:kern w:val="0"/>
                <w:szCs w:val="21"/>
                <w:highlight w:val="none"/>
                <w:u w:val="none"/>
                <w:shd w:val="clear" w:color="auto" w:fill="FFFFFF"/>
              </w:rPr>
              <w:t>一致）</w:t>
            </w:r>
            <w:r>
              <w:rPr>
                <w:rFonts w:hint="eastAsia" w:ascii="宋体" w:hAnsi="宋体" w:cs="宋体"/>
                <w:color w:val="auto"/>
                <w:kern w:val="0"/>
                <w:szCs w:val="21"/>
                <w:highlight w:val="none"/>
                <w:shd w:val="clear" w:color="auto" w:fill="FFFFFF"/>
              </w:rPr>
              <w:t>、计价软件版、电子表格版）。</w:t>
            </w:r>
          </w:p>
          <w:p>
            <w:pPr>
              <w:widowControl/>
              <w:shd w:val="solid" w:color="FFFFFF" w:fill="auto"/>
              <w:autoSpaceDN w:val="0"/>
              <w:snapToGrid w:val="0"/>
              <w:spacing w:line="300" w:lineRule="exact"/>
              <w:rPr>
                <w:color w:val="auto"/>
                <w:highlight w:val="none"/>
                <w:shd w:val="solid" w:color="FFFFFF" w:fill="auto"/>
              </w:rPr>
            </w:pPr>
            <w:r>
              <w:rPr>
                <w:color w:val="auto"/>
                <w:highlight w:val="none"/>
                <w:shd w:val="solid" w:color="FFFFFF" w:fill="auto"/>
              </w:rPr>
              <w:t>8</w:t>
            </w:r>
            <w:r>
              <w:rPr>
                <w:rFonts w:hint="eastAsia" w:ascii="宋体" w:hAnsi="宋体" w:cs="宋体"/>
                <w:color w:val="auto"/>
                <w:kern w:val="0"/>
                <w:szCs w:val="21"/>
                <w:highlight w:val="none"/>
                <w:shd w:val="clear" w:color="auto" w:fill="FFFFFF"/>
              </w:rPr>
              <w:t>.</w:t>
            </w:r>
            <w:r>
              <w:rPr>
                <w:rFonts w:hint="eastAsia" w:cs="宋体"/>
                <w:color w:val="auto"/>
                <w:highlight w:val="none"/>
                <w:shd w:val="solid" w:color="FFFFFF" w:fill="auto"/>
              </w:rPr>
              <w:t>项目推进过程中，协助委托完成相关的专业评审工作，评审的相关费用已包含在合同价款内。</w:t>
            </w:r>
          </w:p>
          <w:p>
            <w:pPr>
              <w:widowControl/>
              <w:shd w:val="solid" w:color="FFFFFF" w:fill="auto"/>
              <w:autoSpaceDN w:val="0"/>
              <w:snapToGrid w:val="0"/>
              <w:spacing w:line="300" w:lineRule="exac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9.甲方安排的其他造价管理工作。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85" w:hRule="atLeast"/>
          <w:jc w:val="center"/>
        </w:trPr>
        <w:tc>
          <w:tcPr>
            <w:tcW w:w="921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shd w:val="solid" w:color="FFFFFF" w:fill="auto"/>
              <w:autoSpaceDN w:val="0"/>
              <w:snapToGrid w:val="0"/>
              <w:spacing w:line="315" w:lineRule="atLeast"/>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备注：</w:t>
            </w:r>
          </w:p>
          <w:p>
            <w:pPr>
              <w:widowControl/>
              <w:shd w:val="solid" w:color="FFFFFF" w:fill="auto"/>
              <w:autoSpaceDN w:val="0"/>
              <w:snapToGrid w:val="0"/>
              <w:spacing w:line="300" w:lineRule="atLeast"/>
              <w:ind w:firstLine="315"/>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1、为实现项目的投资控制目标，由中标人安排有类似的项目管理经验的工程造价专业人员为本项目服务，组成项目组，人员配备见合同</w:t>
            </w:r>
            <w:bookmarkStart w:id="461" w:name="_GoBack"/>
            <w:bookmarkEnd w:id="461"/>
            <w:r>
              <w:rPr>
                <w:rFonts w:hint="eastAsia" w:ascii="宋体" w:hAnsi="宋体" w:cs="宋体"/>
                <w:color w:val="auto"/>
                <w:kern w:val="0"/>
                <w:szCs w:val="21"/>
                <w:highlight w:val="none"/>
                <w:shd w:val="clear" w:color="auto" w:fill="FFFFFF"/>
              </w:rPr>
              <w:t>，如需更换人员需提前通知并取得甲方的同意，</w:t>
            </w:r>
            <w:r>
              <w:rPr>
                <w:rFonts w:hint="eastAsia" w:ascii="宋体" w:hAnsi="宋体" w:cs="宋体"/>
                <w:color w:val="auto"/>
                <w:szCs w:val="21"/>
                <w:highlight w:val="none"/>
                <w:u w:val="single"/>
                <w:shd w:val="solid" w:color="FFFFFF" w:fill="auto"/>
              </w:rPr>
              <w:t>更换新的人员资格及经验不低于被更换人员</w:t>
            </w:r>
            <w:r>
              <w:rPr>
                <w:rFonts w:hint="eastAsia" w:ascii="宋体" w:hAnsi="宋体" w:cs="宋体"/>
                <w:color w:val="auto"/>
                <w:kern w:val="0"/>
                <w:szCs w:val="21"/>
                <w:highlight w:val="none"/>
                <w:shd w:val="clear" w:color="auto" w:fill="FFFFFF"/>
              </w:rPr>
              <w:t>。甲方仅提供驻场人员办公场地，其他如办公设备、办公用品、就餐、住宿、现场踏勘、差旅费、驻场人员费、税费等一切支出由中标人自行解决，费用已包含在合同价款内。</w:t>
            </w:r>
          </w:p>
          <w:p>
            <w:pPr>
              <w:widowControl/>
              <w:shd w:val="solid" w:color="FFFFFF" w:fill="auto"/>
              <w:autoSpaceDN w:val="0"/>
              <w:snapToGrid w:val="0"/>
              <w:spacing w:line="315" w:lineRule="atLeas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rPr>
              <w:t>2、中标人</w:t>
            </w:r>
            <w:r>
              <w:rPr>
                <w:rFonts w:hint="eastAsia" w:ascii="宋体" w:hAnsi="宋体" w:cs="宋体"/>
                <w:color w:val="auto"/>
                <w:kern w:val="0"/>
                <w:szCs w:val="21"/>
                <w:highlight w:val="none"/>
                <w:u w:val="single"/>
                <w:shd w:val="clear" w:color="auto" w:fill="FFFFFF"/>
              </w:rPr>
              <w:t>需承诺保证项目负责人1名，具有有效的注册造价工程师资格（或注册一级造价工程师资格）（注册执业单位须与投标单位一致）。</w:t>
            </w:r>
          </w:p>
          <w:p>
            <w:pPr>
              <w:widowControl/>
              <w:shd w:val="solid" w:color="FFFFFF" w:fill="auto"/>
              <w:autoSpaceDN w:val="0"/>
              <w:snapToGrid w:val="0"/>
              <w:spacing w:line="315" w:lineRule="atLeast"/>
              <w:ind w:firstLine="420" w:firstLineChars="200"/>
              <w:rPr>
                <w:rFonts w:ascii="宋体" w:hAnsi="宋体" w:cs="宋体"/>
                <w:color w:val="auto"/>
                <w:kern w:val="0"/>
                <w:szCs w:val="21"/>
                <w:highlight w:val="none"/>
                <w:shd w:val="clear" w:color="auto" w:fill="FFFFFF"/>
              </w:rPr>
            </w:pPr>
            <w:r>
              <w:rPr>
                <w:rFonts w:hint="eastAsia" w:ascii="宋体" w:hAnsi="宋体" w:cs="宋体"/>
                <w:color w:val="auto"/>
                <w:kern w:val="0"/>
                <w:szCs w:val="21"/>
                <w:highlight w:val="none"/>
                <w:shd w:val="clear" w:color="auto" w:fill="FFFFFF"/>
                <w:lang w:val="en-US" w:eastAsia="zh-CN"/>
              </w:rPr>
              <w:t>3</w:t>
            </w:r>
            <w:r>
              <w:rPr>
                <w:rFonts w:hint="eastAsia" w:ascii="宋体" w:hAnsi="宋体" w:cs="宋体"/>
                <w:color w:val="auto"/>
                <w:kern w:val="0"/>
                <w:szCs w:val="21"/>
                <w:highlight w:val="none"/>
                <w:shd w:val="clear" w:color="auto" w:fill="FFFFFF"/>
              </w:rPr>
              <w:t>、中标人需在甲方要求的期限内完成各项工作内容，如未按要求完成的，甲方有权进行相应处理。</w:t>
            </w:r>
          </w:p>
          <w:p>
            <w:pPr>
              <w:widowControl/>
              <w:shd w:val="solid" w:color="FFFFFF" w:fill="auto"/>
              <w:autoSpaceDN w:val="0"/>
              <w:snapToGrid w:val="0"/>
              <w:spacing w:line="315" w:lineRule="atLeast"/>
              <w:ind w:firstLine="420" w:firstLineChars="200"/>
              <w:rPr>
                <w:rFonts w:ascii="宋体" w:hAnsi="宋体" w:cs="宋体"/>
                <w:color w:val="auto"/>
                <w:kern w:val="0"/>
                <w:szCs w:val="21"/>
                <w:highlight w:val="none"/>
                <w:shd w:val="clear" w:color="auto" w:fill="FFFFFF"/>
              </w:rPr>
            </w:pPr>
          </w:p>
        </w:tc>
      </w:tr>
    </w:tbl>
    <w:p>
      <w:pPr>
        <w:spacing w:line="324" w:lineRule="auto"/>
        <w:ind w:firstLine="420" w:firstLineChars="200"/>
        <w:rPr>
          <w:rFonts w:ascii="宋体" w:hAnsi="宋体" w:cs="宋体"/>
        </w:rPr>
      </w:pPr>
    </w:p>
    <w:p>
      <w:pPr>
        <w:spacing w:line="324" w:lineRule="auto"/>
        <w:rPr>
          <w:rFonts w:ascii="宋体" w:hAnsi="宋体" w:cs="宋体"/>
          <w:b/>
          <w:bCs/>
        </w:rPr>
      </w:pPr>
      <w:r>
        <w:rPr>
          <w:rFonts w:hint="eastAsia" w:ascii="宋体" w:hAnsi="宋体" w:cs="宋体"/>
          <w:b/>
          <w:bCs/>
        </w:rPr>
        <w:t>3.监理依据</w:t>
      </w:r>
    </w:p>
    <w:p>
      <w:pPr>
        <w:spacing w:line="324" w:lineRule="auto"/>
        <w:ind w:firstLine="420" w:firstLineChars="200"/>
        <w:rPr>
          <w:rFonts w:ascii="宋体" w:hAnsi="宋体" w:cs="宋体"/>
        </w:rPr>
      </w:pPr>
      <w:r>
        <w:rPr>
          <w:rFonts w:hint="eastAsia" w:ascii="宋体" w:hAnsi="宋体" w:cs="宋体"/>
        </w:rPr>
        <w:t>（1）国家有关法律、法规、规章及规范性文件；</w:t>
      </w:r>
    </w:p>
    <w:p>
      <w:pPr>
        <w:spacing w:line="324" w:lineRule="auto"/>
        <w:ind w:firstLine="420" w:firstLineChars="200"/>
        <w:rPr>
          <w:rFonts w:ascii="宋体" w:hAnsi="宋体" w:cs="宋体"/>
        </w:rPr>
      </w:pPr>
      <w:r>
        <w:rPr>
          <w:rFonts w:hint="eastAsia" w:ascii="宋体" w:hAnsi="宋体" w:cs="宋体"/>
        </w:rPr>
        <w:t>（2）国家有关技术标准、规范及规程；</w:t>
      </w:r>
    </w:p>
    <w:p>
      <w:pPr>
        <w:spacing w:line="324" w:lineRule="auto"/>
        <w:ind w:firstLine="420" w:firstLineChars="200"/>
        <w:rPr>
          <w:rFonts w:ascii="宋体" w:hAnsi="宋体" w:cs="宋体"/>
        </w:rPr>
      </w:pPr>
      <w:r>
        <w:rPr>
          <w:rFonts w:hint="eastAsia" w:ascii="宋体" w:hAnsi="宋体" w:cs="宋体"/>
        </w:rPr>
        <w:t>（3）监理合同及其他有关合同文件；</w:t>
      </w:r>
    </w:p>
    <w:p>
      <w:pPr>
        <w:spacing w:line="324" w:lineRule="auto"/>
        <w:ind w:firstLine="420" w:firstLineChars="200"/>
        <w:rPr>
          <w:rFonts w:ascii="宋体" w:hAnsi="宋体" w:cs="宋体"/>
        </w:rPr>
      </w:pPr>
      <w:r>
        <w:rPr>
          <w:rFonts w:hint="eastAsia" w:ascii="宋体" w:hAnsi="宋体" w:cs="宋体"/>
        </w:rPr>
        <w:t>（4）工程勘察、设计文件；</w:t>
      </w:r>
    </w:p>
    <w:p>
      <w:pPr>
        <w:spacing w:line="324" w:lineRule="auto"/>
        <w:ind w:firstLine="420" w:firstLineChars="200"/>
        <w:rPr>
          <w:rFonts w:ascii="宋体" w:hAnsi="宋体" w:cs="宋体"/>
        </w:rPr>
      </w:pPr>
      <w:r>
        <w:rPr>
          <w:rFonts w:hint="eastAsia" w:ascii="宋体" w:hAnsi="宋体" w:cs="宋体"/>
        </w:rPr>
        <w:t>（5）与工程项目有关的函件。</w:t>
      </w:r>
    </w:p>
    <w:p>
      <w:pPr>
        <w:spacing w:line="324" w:lineRule="auto"/>
        <w:rPr>
          <w:rFonts w:ascii="宋体" w:hAnsi="宋体" w:cs="宋体"/>
          <w:b/>
          <w:bCs/>
        </w:rPr>
      </w:pPr>
      <w:r>
        <w:rPr>
          <w:rFonts w:hint="eastAsia" w:ascii="宋体" w:hAnsi="宋体" w:cs="宋体"/>
          <w:b/>
          <w:bCs/>
        </w:rPr>
        <w:t>4.其他要求</w:t>
      </w:r>
    </w:p>
    <w:p>
      <w:pPr>
        <w:spacing w:line="324" w:lineRule="auto"/>
        <w:ind w:firstLine="420" w:firstLineChars="200"/>
        <w:rPr>
          <w:rFonts w:ascii="宋体" w:hAnsi="宋体" w:cs="宋体"/>
        </w:rPr>
      </w:pPr>
      <w:r>
        <w:rPr>
          <w:rFonts w:hint="eastAsia" w:ascii="宋体" w:hAnsi="宋体" w:cs="宋体"/>
        </w:rPr>
        <w:t>详见本招标文件的投标人须知和本工程委托合同的相关约定。</w:t>
      </w:r>
    </w:p>
    <w:p>
      <w:pPr>
        <w:spacing w:line="324" w:lineRule="auto"/>
        <w:rPr>
          <w:rFonts w:ascii="宋体" w:hAnsi="宋体" w:cs="宋体"/>
          <w:b/>
          <w:bCs/>
        </w:rPr>
      </w:pPr>
      <w:r>
        <w:rPr>
          <w:rFonts w:hint="eastAsia" w:ascii="宋体" w:hAnsi="宋体" w:cs="宋体"/>
          <w:b/>
          <w:bCs/>
        </w:rPr>
        <w:t>5、适用规范标准</w:t>
      </w:r>
    </w:p>
    <w:p>
      <w:pPr>
        <w:spacing w:line="324" w:lineRule="auto"/>
        <w:ind w:firstLine="420" w:firstLineChars="200"/>
        <w:rPr>
          <w:rFonts w:ascii="宋体" w:hAnsi="宋体" w:cs="宋体"/>
        </w:rPr>
      </w:pPr>
      <w:r>
        <w:rPr>
          <w:rFonts w:hint="eastAsia" w:ascii="宋体" w:hAnsi="宋体" w:cs="宋体"/>
        </w:rPr>
        <w:t>《建设工程监理规范》及国家关于监理的法律、法规、规章及规范性文件。</w:t>
      </w:r>
    </w:p>
    <w:p>
      <w:pPr>
        <w:spacing w:line="324" w:lineRule="auto"/>
        <w:rPr>
          <w:rFonts w:ascii="宋体" w:hAnsi="宋体" w:cs="宋体"/>
          <w:b/>
          <w:bCs/>
        </w:rPr>
      </w:pPr>
      <w:r>
        <w:rPr>
          <w:rFonts w:hint="eastAsia" w:ascii="宋体" w:hAnsi="宋体" w:cs="宋体"/>
          <w:b/>
          <w:bCs/>
        </w:rPr>
        <w:t>6、监理人需要自备的工作条件</w:t>
      </w:r>
    </w:p>
    <w:p>
      <w:pPr>
        <w:spacing w:line="324" w:lineRule="auto"/>
        <w:ind w:firstLine="420" w:firstLineChars="200"/>
        <w:rPr>
          <w:rFonts w:hint="eastAsia" w:ascii="宋体" w:hAnsi="宋体" w:cs="宋体"/>
        </w:rPr>
      </w:pPr>
      <w:r>
        <w:rPr>
          <w:rFonts w:hint="eastAsia" w:ascii="宋体" w:hAnsi="宋体" w:cs="宋体"/>
        </w:rPr>
        <w:t>监理人员的生活用品、交通工具、通讯、办公用品、监理用具、保险等必备用品由监理人自行解决，在投标报价时应考虑此费用。</w:t>
      </w:r>
    </w:p>
    <w:p>
      <w:pPr>
        <w:rPr>
          <w:rFonts w:ascii="宋体" w:hAnsi="宋体" w:cs="宋体"/>
        </w:rPr>
      </w:pPr>
      <w:r>
        <w:rPr>
          <w:rFonts w:ascii="宋体" w:hAnsi="宋体" w:cs="宋体"/>
        </w:rPr>
        <w:br w:type="page"/>
      </w:r>
    </w:p>
    <w:p>
      <w:pPr>
        <w:pStyle w:val="5"/>
      </w:pPr>
    </w:p>
    <w:p>
      <w:pPr>
        <w:pStyle w:val="2"/>
        <w:jc w:val="center"/>
        <w:rPr>
          <w:rFonts w:ascii="宋体" w:hAnsi="宋体" w:eastAsia="宋体" w:cs="宋体"/>
        </w:rPr>
      </w:pPr>
      <w:bookmarkStart w:id="332" w:name="_Toc21681"/>
      <w:bookmarkStart w:id="333" w:name="_Toc1398"/>
      <w:bookmarkStart w:id="334" w:name="_Toc26858"/>
      <w:bookmarkStart w:id="335" w:name="_Toc26052"/>
      <w:bookmarkStart w:id="336" w:name="_Toc7470"/>
      <w:bookmarkStart w:id="337" w:name="_Toc1835"/>
      <w:bookmarkStart w:id="338" w:name="_Toc12344"/>
      <w:bookmarkStart w:id="339" w:name="_Toc16716"/>
      <w:bookmarkStart w:id="340" w:name="_Toc24585"/>
      <w:bookmarkStart w:id="341" w:name="_Toc29133"/>
      <w:bookmarkStart w:id="342" w:name="_Toc19347"/>
      <w:bookmarkStart w:id="343" w:name="_Toc10312"/>
      <w:r>
        <w:rPr>
          <w:rFonts w:hint="eastAsia" w:ascii="宋体" w:hAnsi="宋体" w:eastAsia="宋体" w:cs="宋体"/>
        </w:rPr>
        <w:t>第六章  投标文件格式</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rPr>
          <w:rFonts w:ascii="宋体" w:hAnsi="宋体" w:cs="宋体"/>
          <w:szCs w:val="21"/>
        </w:rPr>
      </w:pPr>
    </w:p>
    <w:p>
      <w:pPr>
        <w:spacing w:line="200" w:lineRule="exact"/>
        <w:jc w:val="left"/>
        <w:rPr>
          <w:rFonts w:ascii="宋体" w:hAnsi="宋体" w:cs="宋体"/>
          <w:sz w:val="20"/>
        </w:rPr>
      </w:pPr>
      <w:r>
        <w:rPr>
          <w:rFonts w:hint="eastAsia" w:ascii="宋体" w:hAnsi="宋体" w:cs="宋体"/>
          <w:szCs w:val="21"/>
        </w:rPr>
        <w:br w:type="page"/>
      </w:r>
    </w:p>
    <w:p>
      <w:pPr>
        <w:tabs>
          <w:tab w:val="left" w:pos="3280"/>
        </w:tabs>
        <w:spacing w:line="341" w:lineRule="exact"/>
        <w:ind w:left="2161" w:right="-20"/>
        <w:jc w:val="left"/>
        <w:rPr>
          <w:rFonts w:ascii="宋体" w:hAnsi="宋体" w:cs="宋体"/>
          <w:sz w:val="28"/>
          <w:u w:val="single"/>
        </w:rPr>
      </w:pPr>
    </w:p>
    <w:p>
      <w:pPr>
        <w:pStyle w:val="5"/>
        <w:rPr>
          <w:rFonts w:ascii="宋体" w:hAnsi="宋体" w:cs="宋体"/>
        </w:rPr>
      </w:pPr>
    </w:p>
    <w:p>
      <w:pPr>
        <w:pStyle w:val="5"/>
        <w:rPr>
          <w:rFonts w:ascii="宋体" w:hAnsi="宋体" w:cs="宋体"/>
        </w:rPr>
      </w:pPr>
    </w:p>
    <w:p>
      <w:pPr>
        <w:pStyle w:val="5"/>
        <w:rPr>
          <w:rFonts w:ascii="宋体" w:hAnsi="宋体" w:cs="宋体"/>
        </w:rPr>
      </w:pPr>
    </w:p>
    <w:p>
      <w:pPr>
        <w:spacing w:line="360" w:lineRule="auto"/>
        <w:jc w:val="center"/>
        <w:rPr>
          <w:rFonts w:hint="eastAsia" w:ascii="宋体" w:hAnsi="宋体" w:cs="宋体"/>
          <w:b/>
          <w:color w:val="000000"/>
          <w:sz w:val="52"/>
          <w:szCs w:val="32"/>
          <w:highlight w:val="none"/>
          <w:u w:val="single"/>
        </w:rPr>
      </w:pPr>
      <w:r>
        <w:rPr>
          <w:rFonts w:hint="eastAsia" w:ascii="宋体" w:hAnsi="宋体" w:cs="宋体"/>
          <w:b/>
          <w:bCs/>
          <w:color w:val="000000"/>
          <w:sz w:val="52"/>
          <w:szCs w:val="32"/>
          <w:highlight w:val="none"/>
          <w:u w:val="single"/>
        </w:rPr>
        <w:t xml:space="preserve">    项目名称    </w:t>
      </w:r>
    </w:p>
    <w:p>
      <w:pPr>
        <w:spacing w:before="7" w:line="100" w:lineRule="exact"/>
        <w:jc w:val="left"/>
        <w:rPr>
          <w:rFonts w:ascii="宋体" w:hAnsi="宋体" w:cs="宋体"/>
          <w:sz w:val="10"/>
        </w:rPr>
      </w:pPr>
    </w:p>
    <w:p>
      <w:pPr>
        <w:spacing w:line="200" w:lineRule="exact"/>
        <w:jc w:val="left"/>
        <w:rPr>
          <w:rFonts w:ascii="宋体" w:hAnsi="宋体" w:cs="宋体"/>
          <w:sz w:val="20"/>
        </w:rPr>
      </w:pPr>
    </w:p>
    <w:p>
      <w:pPr>
        <w:spacing w:line="200" w:lineRule="exact"/>
        <w:jc w:val="left"/>
        <w:rPr>
          <w:rFonts w:ascii="宋体" w:hAnsi="宋体" w:cs="宋体"/>
          <w:sz w:val="20"/>
        </w:rPr>
      </w:pPr>
    </w:p>
    <w:p>
      <w:pPr>
        <w:tabs>
          <w:tab w:val="left" w:pos="3780"/>
          <w:tab w:val="left" w:pos="4440"/>
          <w:tab w:val="left" w:pos="5100"/>
        </w:tabs>
        <w:spacing w:line="549" w:lineRule="exact"/>
        <w:ind w:left="3138" w:right="3116"/>
        <w:jc w:val="center"/>
        <w:rPr>
          <w:rFonts w:ascii="宋体" w:hAnsi="宋体" w:cs="宋体"/>
          <w:sz w:val="44"/>
        </w:rPr>
      </w:pPr>
    </w:p>
    <w:p>
      <w:pPr>
        <w:tabs>
          <w:tab w:val="left" w:pos="3780"/>
          <w:tab w:val="left" w:pos="4440"/>
          <w:tab w:val="left" w:pos="5100"/>
        </w:tabs>
        <w:spacing w:line="549" w:lineRule="exact"/>
        <w:ind w:left="3138" w:right="3116"/>
        <w:jc w:val="center"/>
        <w:rPr>
          <w:rFonts w:ascii="宋体" w:hAnsi="宋体" w:cs="宋体"/>
          <w:sz w:val="44"/>
        </w:rPr>
      </w:pPr>
    </w:p>
    <w:p>
      <w:pPr>
        <w:tabs>
          <w:tab w:val="left" w:pos="3780"/>
          <w:tab w:val="left" w:pos="4440"/>
          <w:tab w:val="left" w:pos="5100"/>
        </w:tabs>
        <w:spacing w:line="549" w:lineRule="exact"/>
        <w:ind w:left="3138" w:right="3116"/>
        <w:jc w:val="center"/>
        <w:rPr>
          <w:rFonts w:ascii="宋体" w:hAnsi="宋体" w:cs="宋体"/>
          <w:sz w:val="44"/>
        </w:rPr>
      </w:pPr>
    </w:p>
    <w:p>
      <w:pPr>
        <w:tabs>
          <w:tab w:val="left" w:pos="3780"/>
          <w:tab w:val="left" w:pos="4440"/>
          <w:tab w:val="left" w:pos="5100"/>
        </w:tabs>
        <w:spacing w:line="549" w:lineRule="exact"/>
        <w:ind w:left="3138" w:right="3116"/>
        <w:jc w:val="center"/>
        <w:rPr>
          <w:rFonts w:ascii="宋体" w:hAnsi="宋体" w:cs="宋体"/>
          <w:sz w:val="44"/>
        </w:rPr>
      </w:pPr>
    </w:p>
    <w:p>
      <w:pPr>
        <w:tabs>
          <w:tab w:val="left" w:pos="3780"/>
          <w:tab w:val="left" w:pos="4440"/>
          <w:tab w:val="left" w:pos="5100"/>
        </w:tabs>
        <w:spacing w:line="549" w:lineRule="exact"/>
        <w:ind w:left="3138" w:right="3116"/>
        <w:jc w:val="center"/>
        <w:rPr>
          <w:rFonts w:ascii="宋体" w:hAnsi="宋体" w:cs="宋体"/>
          <w:sz w:val="44"/>
        </w:rPr>
      </w:pPr>
    </w:p>
    <w:p>
      <w:pPr>
        <w:tabs>
          <w:tab w:val="left" w:pos="3780"/>
          <w:tab w:val="left" w:pos="4440"/>
          <w:tab w:val="left" w:pos="5100"/>
        </w:tabs>
        <w:spacing w:line="549" w:lineRule="exact"/>
        <w:ind w:left="3138" w:right="3116"/>
        <w:jc w:val="center"/>
        <w:rPr>
          <w:rFonts w:ascii="宋体" w:hAnsi="宋体" w:cs="宋体"/>
          <w:sz w:val="44"/>
        </w:rPr>
      </w:pPr>
    </w:p>
    <w:p>
      <w:pPr>
        <w:tabs>
          <w:tab w:val="left" w:pos="5560"/>
          <w:tab w:val="left" w:pos="6940"/>
        </w:tabs>
        <w:spacing w:line="540" w:lineRule="atLeast"/>
        <w:ind w:right="85"/>
        <w:jc w:val="center"/>
        <w:rPr>
          <w:rFonts w:ascii="宋体" w:hAnsi="宋体" w:cs="宋体"/>
          <w:b/>
          <w:bCs/>
          <w:sz w:val="44"/>
          <w:szCs w:val="44"/>
        </w:rPr>
      </w:pPr>
      <w:r>
        <w:rPr>
          <w:rFonts w:hint="eastAsia" w:ascii="宋体" w:hAnsi="宋体" w:cs="宋体"/>
          <w:b/>
          <w:bCs/>
          <w:sz w:val="44"/>
          <w:szCs w:val="44"/>
        </w:rPr>
        <w:t>投  标  文  件</w:t>
      </w: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line="200" w:lineRule="exact"/>
        <w:jc w:val="left"/>
        <w:rPr>
          <w:rFonts w:ascii="宋体" w:hAnsi="宋体" w:cs="宋体"/>
          <w:sz w:val="20"/>
        </w:rPr>
      </w:pPr>
    </w:p>
    <w:p>
      <w:pPr>
        <w:spacing w:before="17" w:line="240" w:lineRule="exact"/>
        <w:jc w:val="left"/>
        <w:rPr>
          <w:rFonts w:ascii="宋体" w:hAnsi="宋体" w:cs="宋体"/>
          <w:sz w:val="24"/>
        </w:rPr>
      </w:pPr>
    </w:p>
    <w:p>
      <w:pPr>
        <w:spacing w:line="360" w:lineRule="auto"/>
        <w:ind w:firstLine="643" w:firstLineChars="200"/>
        <w:rPr>
          <w:rFonts w:hint="eastAsia" w:ascii="宋体" w:hAnsi="宋体" w:cs="宋体"/>
          <w:b/>
          <w:color w:val="000000"/>
          <w:sz w:val="32"/>
          <w:szCs w:val="32"/>
          <w:highlight w:val="none"/>
        </w:rPr>
      </w:pPr>
      <w:r>
        <w:rPr>
          <w:rFonts w:hint="eastAsia" w:ascii="宋体" w:hAnsi="宋体" w:cs="宋体"/>
          <w:b/>
          <w:color w:val="000000"/>
          <w:sz w:val="32"/>
          <w:szCs w:val="32"/>
          <w:highlight w:val="none"/>
        </w:rPr>
        <w:t>投标人：</w:t>
      </w:r>
      <w:r>
        <w:rPr>
          <w:rFonts w:hint="eastAsia" w:ascii="宋体" w:hAnsi="宋体" w:cs="宋体"/>
          <w:b/>
          <w:color w:val="000000"/>
          <w:sz w:val="32"/>
          <w:szCs w:val="32"/>
          <w:highlight w:val="none"/>
          <w:u w:val="single"/>
        </w:rPr>
        <w:t xml:space="preserve">                             </w:t>
      </w:r>
      <w:r>
        <w:rPr>
          <w:rFonts w:hint="eastAsia" w:ascii="宋体" w:hAnsi="宋体" w:cs="宋体"/>
          <w:b/>
          <w:color w:val="000000"/>
          <w:sz w:val="32"/>
          <w:szCs w:val="32"/>
          <w:highlight w:val="none"/>
        </w:rPr>
        <w:t>（盖单位章）</w:t>
      </w:r>
    </w:p>
    <w:p>
      <w:pPr>
        <w:spacing w:line="360" w:lineRule="auto"/>
        <w:ind w:firstLine="643" w:firstLineChars="200"/>
        <w:rPr>
          <w:rFonts w:hint="eastAsia" w:ascii="宋体" w:hAnsi="宋体" w:cs="宋体"/>
          <w:b/>
          <w:color w:val="000000"/>
          <w:sz w:val="32"/>
          <w:szCs w:val="32"/>
          <w:highlight w:val="none"/>
        </w:rPr>
      </w:pPr>
      <w:r>
        <w:rPr>
          <w:rFonts w:hint="eastAsia" w:ascii="宋体" w:hAnsi="宋体" w:cs="宋体"/>
          <w:b/>
          <w:color w:val="000000"/>
          <w:sz w:val="32"/>
          <w:szCs w:val="32"/>
          <w:highlight w:val="none"/>
        </w:rPr>
        <w:t>法定代表人或其委托代理人：</w:t>
      </w:r>
      <w:r>
        <w:rPr>
          <w:rFonts w:hint="eastAsia" w:ascii="宋体" w:hAnsi="宋体" w:cs="宋体"/>
          <w:b/>
          <w:color w:val="000000"/>
          <w:sz w:val="32"/>
          <w:szCs w:val="32"/>
          <w:highlight w:val="none"/>
          <w:u w:val="single"/>
        </w:rPr>
        <w:t xml:space="preserve">         </w:t>
      </w:r>
      <w:r>
        <w:rPr>
          <w:rFonts w:hint="eastAsia" w:ascii="宋体" w:hAnsi="宋体" w:cs="宋体"/>
          <w:b/>
          <w:color w:val="000000"/>
          <w:sz w:val="32"/>
          <w:szCs w:val="32"/>
          <w:highlight w:val="none"/>
        </w:rPr>
        <w:t>（签字或盖章）</w:t>
      </w:r>
    </w:p>
    <w:p>
      <w:pPr>
        <w:spacing w:line="360" w:lineRule="auto"/>
        <w:ind w:firstLine="3052" w:firstLineChars="950"/>
        <w:rPr>
          <w:rFonts w:hint="eastAsia" w:ascii="宋体" w:hAnsi="宋体" w:cs="宋体"/>
          <w:b/>
          <w:color w:val="000000"/>
          <w:sz w:val="32"/>
          <w:szCs w:val="32"/>
          <w:highlight w:val="none"/>
        </w:rPr>
        <w:sectPr>
          <w:footerReference r:id="rId8" w:type="default"/>
          <w:pgSz w:w="11906" w:h="16838"/>
          <w:pgMar w:top="1417" w:right="1417" w:bottom="1417" w:left="1417" w:header="851" w:footer="992" w:gutter="0"/>
          <w:pgNumType w:fmt="decimal"/>
          <w:cols w:space="720" w:num="1"/>
          <w:rtlGutter w:val="0"/>
          <w:docGrid w:type="lines" w:linePitch="312" w:charSpace="0"/>
        </w:sectPr>
      </w:pPr>
      <w:r>
        <w:rPr>
          <w:rFonts w:hint="eastAsia" w:ascii="宋体" w:hAnsi="宋体" w:cs="宋体"/>
          <w:b/>
          <w:color w:val="000000"/>
          <w:sz w:val="32"/>
          <w:szCs w:val="32"/>
          <w:highlight w:val="none"/>
          <w:u w:val="none"/>
          <w:lang w:val="en-US" w:eastAsia="zh-CN"/>
        </w:rPr>
        <w:t>日期：</w:t>
      </w:r>
      <w:r>
        <w:rPr>
          <w:rFonts w:hint="eastAsia" w:ascii="宋体" w:hAnsi="宋体" w:cs="宋体"/>
          <w:b/>
          <w:color w:val="000000"/>
          <w:sz w:val="32"/>
          <w:szCs w:val="32"/>
          <w:highlight w:val="none"/>
          <w:u w:val="single"/>
        </w:rPr>
        <w:t xml:space="preserve">     </w:t>
      </w:r>
      <w:r>
        <w:rPr>
          <w:rFonts w:hint="eastAsia" w:ascii="宋体" w:hAnsi="宋体" w:cs="宋体"/>
          <w:b/>
          <w:color w:val="000000"/>
          <w:sz w:val="32"/>
          <w:szCs w:val="32"/>
          <w:highlight w:val="none"/>
        </w:rPr>
        <w:t>年</w:t>
      </w:r>
      <w:r>
        <w:rPr>
          <w:rFonts w:hint="eastAsia" w:ascii="宋体" w:hAnsi="宋体" w:cs="宋体"/>
          <w:b/>
          <w:color w:val="000000"/>
          <w:sz w:val="32"/>
          <w:szCs w:val="32"/>
          <w:highlight w:val="none"/>
          <w:u w:val="single"/>
        </w:rPr>
        <w:t xml:space="preserve">    </w:t>
      </w:r>
      <w:r>
        <w:rPr>
          <w:rFonts w:hint="eastAsia" w:ascii="宋体" w:hAnsi="宋体" w:cs="宋体"/>
          <w:b/>
          <w:color w:val="000000"/>
          <w:sz w:val="32"/>
          <w:szCs w:val="32"/>
          <w:highlight w:val="none"/>
        </w:rPr>
        <w:t>月</w:t>
      </w:r>
      <w:r>
        <w:rPr>
          <w:rFonts w:hint="eastAsia" w:ascii="宋体" w:hAnsi="宋体" w:cs="宋体"/>
          <w:b/>
          <w:color w:val="000000"/>
          <w:sz w:val="32"/>
          <w:szCs w:val="32"/>
          <w:highlight w:val="none"/>
          <w:u w:val="single"/>
        </w:rPr>
        <w:t xml:space="preserve">    </w:t>
      </w:r>
      <w:r>
        <w:rPr>
          <w:rFonts w:hint="eastAsia" w:ascii="宋体" w:hAnsi="宋体" w:cs="宋体"/>
          <w:b/>
          <w:color w:val="000000"/>
          <w:sz w:val="32"/>
          <w:szCs w:val="32"/>
          <w:highlight w:val="none"/>
        </w:rPr>
        <w:t>日</w:t>
      </w:r>
    </w:p>
    <w:p>
      <w:pPr>
        <w:tabs>
          <w:tab w:val="left" w:pos="5560"/>
          <w:tab w:val="left" w:pos="6940"/>
        </w:tabs>
        <w:spacing w:line="540" w:lineRule="atLeast"/>
        <w:ind w:right="85"/>
        <w:jc w:val="center"/>
        <w:rPr>
          <w:rFonts w:ascii="宋体" w:hAnsi="宋体" w:cs="宋体"/>
          <w:b/>
          <w:bCs/>
          <w:sz w:val="32"/>
          <w:szCs w:val="32"/>
        </w:rPr>
      </w:pPr>
      <w:r>
        <w:rPr>
          <w:rFonts w:hint="eastAsia" w:ascii="宋体" w:hAnsi="宋体" w:cs="宋体"/>
          <w:b/>
          <w:bCs/>
          <w:sz w:val="32"/>
          <w:szCs w:val="32"/>
        </w:rPr>
        <w:t>目录</w:t>
      </w:r>
    </w:p>
    <w:p>
      <w:pPr>
        <w:numPr>
          <w:ilvl w:val="0"/>
          <w:numId w:val="2"/>
        </w:numPr>
        <w:spacing w:before="120" w:line="360" w:lineRule="auto"/>
        <w:ind w:left="840" w:leftChars="0" w:right="3389" w:firstLineChars="0"/>
        <w:jc w:val="left"/>
        <w:rPr>
          <w:rFonts w:ascii="宋体" w:hAnsi="宋体" w:cs="宋体"/>
        </w:rPr>
      </w:pPr>
      <w:r>
        <w:rPr>
          <w:rFonts w:hint="eastAsia" w:ascii="宋体" w:hAnsi="宋体" w:cs="宋体"/>
        </w:rPr>
        <w:t>投标函及投标函附录</w:t>
      </w:r>
    </w:p>
    <w:p>
      <w:pPr>
        <w:numPr>
          <w:ilvl w:val="0"/>
          <w:numId w:val="2"/>
        </w:numPr>
        <w:spacing w:before="120" w:line="360" w:lineRule="auto"/>
        <w:ind w:left="840" w:leftChars="0" w:right="3389" w:firstLineChars="0"/>
        <w:jc w:val="left"/>
        <w:rPr>
          <w:rFonts w:ascii="宋体" w:hAnsi="宋体" w:cs="宋体"/>
        </w:rPr>
      </w:pPr>
      <w:r>
        <w:rPr>
          <w:rFonts w:hint="eastAsia" w:ascii="宋体" w:hAnsi="宋体" w:cs="宋体"/>
        </w:rPr>
        <w:t>法定代表人身份证明书</w:t>
      </w:r>
    </w:p>
    <w:p>
      <w:pPr>
        <w:numPr>
          <w:ilvl w:val="0"/>
          <w:numId w:val="2"/>
        </w:numPr>
        <w:spacing w:before="120" w:line="360" w:lineRule="auto"/>
        <w:ind w:left="840" w:leftChars="0" w:right="3389" w:firstLineChars="0"/>
        <w:jc w:val="left"/>
        <w:rPr>
          <w:rFonts w:ascii="宋体" w:hAnsi="宋体" w:cs="宋体"/>
        </w:rPr>
      </w:pPr>
      <w:r>
        <w:rPr>
          <w:rFonts w:hint="eastAsia" w:ascii="宋体" w:hAnsi="宋体" w:cs="宋体"/>
        </w:rPr>
        <w:t>授权委托书</w:t>
      </w:r>
    </w:p>
    <w:p>
      <w:pPr>
        <w:numPr>
          <w:ilvl w:val="0"/>
          <w:numId w:val="2"/>
        </w:numPr>
        <w:spacing w:before="120" w:line="360" w:lineRule="auto"/>
        <w:ind w:left="840" w:leftChars="0" w:right="3389" w:firstLineChars="0"/>
        <w:jc w:val="left"/>
        <w:rPr>
          <w:rFonts w:ascii="宋体" w:hAnsi="宋体" w:cs="宋体"/>
        </w:rPr>
      </w:pPr>
      <w:r>
        <w:rPr>
          <w:rFonts w:hint="eastAsia" w:ascii="宋体" w:hAnsi="宋体" w:cs="宋体"/>
          <w:lang w:val="en-US" w:eastAsia="zh-CN"/>
        </w:rPr>
        <w:t>投标保证金</w:t>
      </w:r>
    </w:p>
    <w:p>
      <w:pPr>
        <w:numPr>
          <w:ilvl w:val="0"/>
          <w:numId w:val="2"/>
        </w:numPr>
        <w:spacing w:before="120" w:line="360" w:lineRule="auto"/>
        <w:ind w:left="840" w:leftChars="0" w:right="3389" w:firstLineChars="0"/>
        <w:jc w:val="left"/>
        <w:rPr>
          <w:rFonts w:ascii="宋体" w:hAnsi="宋体" w:cs="宋体"/>
        </w:rPr>
      </w:pPr>
      <w:r>
        <w:rPr>
          <w:rFonts w:hint="eastAsia" w:ascii="宋体" w:hAnsi="宋体" w:cs="宋体"/>
          <w:lang w:val="en-US" w:eastAsia="zh-CN"/>
        </w:rPr>
        <w:t>联合体协议书</w:t>
      </w:r>
    </w:p>
    <w:p>
      <w:pPr>
        <w:numPr>
          <w:ilvl w:val="0"/>
          <w:numId w:val="2"/>
        </w:numPr>
        <w:spacing w:before="120" w:line="360" w:lineRule="auto"/>
        <w:ind w:left="840" w:leftChars="0" w:right="3389" w:firstLineChars="0"/>
        <w:jc w:val="left"/>
        <w:rPr>
          <w:rFonts w:ascii="宋体" w:hAnsi="宋体" w:cs="宋体"/>
        </w:rPr>
      </w:pPr>
      <w:r>
        <w:rPr>
          <w:rFonts w:hint="eastAsia" w:ascii="宋体" w:hAnsi="宋体" w:cs="宋体"/>
        </w:rPr>
        <w:t>资格审查资料</w:t>
      </w:r>
    </w:p>
    <w:p>
      <w:pPr>
        <w:numPr>
          <w:ilvl w:val="0"/>
          <w:numId w:val="2"/>
        </w:numPr>
        <w:spacing w:before="120" w:line="360" w:lineRule="auto"/>
        <w:ind w:left="840" w:leftChars="0" w:right="3389" w:firstLineChars="0"/>
        <w:jc w:val="left"/>
        <w:rPr>
          <w:rFonts w:ascii="宋体" w:hAnsi="宋体" w:cs="宋体"/>
        </w:rPr>
      </w:pPr>
      <w:r>
        <w:rPr>
          <w:rFonts w:hint="eastAsia" w:ascii="宋体" w:hAnsi="宋体" w:cs="宋体"/>
        </w:rPr>
        <w:t>服务团队人员汇总表</w:t>
      </w:r>
    </w:p>
    <w:p>
      <w:pPr>
        <w:numPr>
          <w:ilvl w:val="0"/>
          <w:numId w:val="2"/>
        </w:numPr>
        <w:spacing w:before="120" w:line="360" w:lineRule="auto"/>
        <w:ind w:left="840" w:leftChars="0" w:right="3389" w:firstLineChars="0"/>
        <w:jc w:val="left"/>
        <w:rPr>
          <w:rFonts w:ascii="宋体" w:hAnsi="宋体" w:cs="宋体"/>
        </w:rPr>
      </w:pPr>
      <w:r>
        <w:rPr>
          <w:rFonts w:hint="eastAsia" w:ascii="宋体" w:hAnsi="宋体" w:cs="宋体"/>
        </w:rPr>
        <w:t>主要人员简历表</w:t>
      </w:r>
    </w:p>
    <w:p>
      <w:pPr>
        <w:numPr>
          <w:ilvl w:val="0"/>
          <w:numId w:val="2"/>
        </w:numPr>
        <w:spacing w:before="120" w:line="360" w:lineRule="auto"/>
        <w:ind w:left="840" w:leftChars="0" w:right="3389" w:firstLineChars="0"/>
        <w:jc w:val="left"/>
      </w:pPr>
      <w:r>
        <w:rPr>
          <w:rFonts w:hint="eastAsia"/>
        </w:rPr>
        <w:t>拟投入本项目的主要设备表</w:t>
      </w:r>
    </w:p>
    <w:p>
      <w:pPr>
        <w:numPr>
          <w:ilvl w:val="0"/>
          <w:numId w:val="2"/>
        </w:numPr>
        <w:spacing w:before="120" w:line="360" w:lineRule="auto"/>
        <w:ind w:left="840" w:leftChars="0" w:right="3389" w:firstLineChars="0"/>
        <w:jc w:val="left"/>
        <w:rPr>
          <w:rFonts w:ascii="宋体" w:hAnsi="宋体" w:cs="宋体"/>
        </w:rPr>
      </w:pPr>
      <w:r>
        <w:rPr>
          <w:rFonts w:hint="eastAsia" w:ascii="宋体" w:hAnsi="宋体" w:cs="宋体"/>
        </w:rPr>
        <w:t>服务方案</w:t>
      </w:r>
    </w:p>
    <w:p>
      <w:pPr>
        <w:numPr>
          <w:ilvl w:val="0"/>
          <w:numId w:val="2"/>
        </w:numPr>
        <w:spacing w:before="120" w:line="360" w:lineRule="auto"/>
        <w:ind w:left="840" w:leftChars="0" w:right="3389" w:firstLineChars="0"/>
        <w:jc w:val="left"/>
        <w:rPr>
          <w:rFonts w:ascii="宋体" w:hAnsi="宋体" w:cs="宋体"/>
        </w:rPr>
      </w:pPr>
      <w:r>
        <w:rPr>
          <w:rFonts w:hint="eastAsia" w:ascii="宋体" w:hAnsi="宋体" w:cs="宋体"/>
        </w:rPr>
        <w:t>其他资料</w:t>
      </w:r>
    </w:p>
    <w:p>
      <w:pPr>
        <w:rPr>
          <w:rFonts w:hint="eastAsia" w:ascii="宋体" w:hAnsi="宋体" w:cs="宋体"/>
        </w:rPr>
      </w:pPr>
    </w:p>
    <w:p>
      <w:pPr>
        <w:pStyle w:val="9"/>
        <w:sectPr>
          <w:headerReference r:id="rId9" w:type="default"/>
          <w:footerReference r:id="rId10" w:type="default"/>
          <w:pgSz w:w="12240" w:h="15840"/>
          <w:pgMar w:top="1417" w:right="1587" w:bottom="1417" w:left="1587" w:header="850" w:footer="964" w:gutter="0"/>
          <w:cols w:space="720" w:num="1"/>
          <w:docGrid w:linePitch="285" w:charSpace="0"/>
        </w:sectPr>
      </w:pPr>
    </w:p>
    <w:p>
      <w:pPr>
        <w:tabs>
          <w:tab w:val="left" w:pos="5560"/>
          <w:tab w:val="left" w:pos="6940"/>
        </w:tabs>
        <w:jc w:val="center"/>
        <w:outlineLvl w:val="2"/>
        <w:rPr>
          <w:rFonts w:ascii="宋体" w:hAnsi="宋体" w:cs="宋体"/>
          <w:b/>
          <w:bCs/>
          <w:sz w:val="30"/>
          <w:szCs w:val="30"/>
        </w:rPr>
      </w:pPr>
      <w:bookmarkStart w:id="344" w:name="_Toc6336"/>
      <w:bookmarkStart w:id="345" w:name="_Toc986"/>
      <w:bookmarkStart w:id="346" w:name="_Toc2784"/>
      <w:bookmarkStart w:id="347" w:name="_Toc20842"/>
      <w:bookmarkStart w:id="348" w:name="_Toc14376"/>
      <w:bookmarkStart w:id="349" w:name="_Toc196"/>
      <w:bookmarkStart w:id="350" w:name="_Toc4509"/>
      <w:bookmarkStart w:id="351" w:name="_Toc7853"/>
      <w:bookmarkStart w:id="352" w:name="_Toc25231"/>
      <w:bookmarkStart w:id="353" w:name="_Toc118"/>
      <w:bookmarkStart w:id="354" w:name="_Toc15809"/>
      <w:bookmarkStart w:id="355" w:name="_Toc12653"/>
      <w:bookmarkStart w:id="356" w:name="_Toc23397"/>
      <w:bookmarkStart w:id="357" w:name="_Toc18147"/>
      <w:bookmarkStart w:id="358" w:name="_Toc7828"/>
      <w:r>
        <w:rPr>
          <w:rFonts w:hint="eastAsia" w:ascii="宋体" w:hAnsi="宋体" w:cs="宋体"/>
          <w:b/>
          <w:bCs/>
          <w:sz w:val="30"/>
          <w:szCs w:val="30"/>
        </w:rPr>
        <w:t>一、投标函及投标函附录</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spacing w:line="373" w:lineRule="exact"/>
        <w:ind w:left="238" w:right="-23"/>
        <w:jc w:val="center"/>
        <w:outlineLvl w:val="3"/>
        <w:rPr>
          <w:rFonts w:ascii="宋体" w:hAnsi="宋体" w:cs="宋体"/>
          <w:b/>
          <w:bCs/>
          <w:sz w:val="28"/>
        </w:rPr>
      </w:pPr>
      <w:r>
        <w:rPr>
          <w:rFonts w:hint="eastAsia" w:ascii="宋体" w:hAnsi="宋体" w:cs="宋体"/>
          <w:b/>
          <w:bCs/>
          <w:sz w:val="28"/>
        </w:rPr>
        <w:t>（一）</w:t>
      </w:r>
      <w:r>
        <w:rPr>
          <w:rFonts w:hint="eastAsia" w:ascii="宋体" w:hAnsi="宋体" w:cs="宋体"/>
          <w:b/>
          <w:bCs/>
          <w:spacing w:val="-3"/>
          <w:sz w:val="28"/>
        </w:rPr>
        <w:t>投</w:t>
      </w:r>
      <w:r>
        <w:rPr>
          <w:rFonts w:hint="eastAsia" w:ascii="宋体" w:hAnsi="宋体" w:cs="宋体"/>
          <w:b/>
          <w:bCs/>
          <w:sz w:val="28"/>
        </w:rPr>
        <w:t>标函</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致</w:t>
      </w:r>
      <w:r>
        <w:rPr>
          <w:rFonts w:hint="eastAsia" w:ascii="宋体" w:hAnsi="宋体" w:cs="宋体"/>
          <w:bCs/>
          <w:kern w:val="0"/>
          <w:szCs w:val="21"/>
          <w:u w:val="single"/>
          <w:lang w:eastAsia="zh-CN"/>
        </w:rPr>
        <w:t>广州科鑫运营管理有限公司</w:t>
      </w:r>
      <w:r>
        <w:rPr>
          <w:rFonts w:hint="eastAsia" w:ascii="宋体" w:hAnsi="宋体" w:cs="宋体"/>
          <w:kern w:val="0"/>
          <w:szCs w:val="21"/>
        </w:rPr>
        <w:t>（招标人）：</w:t>
      </w:r>
    </w:p>
    <w:p>
      <w:pPr>
        <w:autoSpaceDE w:val="0"/>
        <w:autoSpaceDN w:val="0"/>
        <w:adjustRightInd w:val="0"/>
        <w:spacing w:line="360" w:lineRule="auto"/>
        <w:ind w:firstLine="480"/>
        <w:jc w:val="left"/>
        <w:rPr>
          <w:rFonts w:ascii="宋体" w:hAnsi="宋体" w:cs="宋体"/>
          <w:kern w:val="0"/>
          <w:szCs w:val="21"/>
        </w:rPr>
      </w:pPr>
      <w:r>
        <w:rPr>
          <w:rFonts w:hint="eastAsia" w:ascii="宋体" w:hAnsi="宋体" w:cs="宋体"/>
          <w:kern w:val="0"/>
          <w:szCs w:val="21"/>
        </w:rPr>
        <w:t>1．我方已仔细研究了</w:t>
      </w:r>
      <w:r>
        <w:rPr>
          <w:rFonts w:hint="eastAsia" w:ascii="宋体" w:hAnsi="宋体" w:cs="宋体"/>
          <w:kern w:val="0"/>
          <w:szCs w:val="21"/>
          <w:u w:val="single"/>
          <w:lang w:val="en-US" w:eastAsia="zh-CN"/>
        </w:rPr>
        <w:t xml:space="preserve">       </w:t>
      </w:r>
      <w:r>
        <w:rPr>
          <w:rFonts w:hint="eastAsia" w:ascii="宋体" w:hAnsi="宋体" w:cs="宋体"/>
          <w:kern w:val="0"/>
          <w:szCs w:val="21"/>
        </w:rPr>
        <w:t>（项目名称）招标项目招标文件的全部内容，愿意</w:t>
      </w:r>
      <w:r>
        <w:rPr>
          <w:rFonts w:hAnsi="宋体"/>
          <w:szCs w:val="21"/>
        </w:rPr>
        <w:t>以人民币（大写）</w:t>
      </w:r>
      <w:r>
        <w:rPr>
          <w:rFonts w:hAnsi="宋体"/>
          <w:szCs w:val="21"/>
          <w:u w:val="single"/>
        </w:rPr>
        <w:t xml:space="preserve">            </w:t>
      </w:r>
      <w:r>
        <w:rPr>
          <w:rFonts w:hAnsi="宋体"/>
          <w:szCs w:val="21"/>
        </w:rPr>
        <w:t>（</w:t>
      </w:r>
      <w:r>
        <w:rPr>
          <w:rFonts w:hint="eastAsia" w:hAnsi="宋体" w:cs="宋体"/>
          <w:szCs w:val="21"/>
        </w:rPr>
        <w:t>¥</w:t>
      </w:r>
      <w:r>
        <w:rPr>
          <w:rFonts w:hAnsi="宋体"/>
          <w:szCs w:val="21"/>
          <w:u w:val="single"/>
        </w:rPr>
        <w:t xml:space="preserve">            </w:t>
      </w:r>
      <w:r>
        <w:rPr>
          <w:rFonts w:hAnsi="宋体"/>
          <w:szCs w:val="21"/>
        </w:rPr>
        <w:t>）的投标总报价，</w:t>
      </w:r>
      <w:r>
        <w:rPr>
          <w:rFonts w:hint="eastAsia" w:ascii="宋体" w:hAnsi="宋体"/>
          <w:color w:val="000000"/>
          <w:highlight w:val="none"/>
        </w:rPr>
        <w:t>按合同约定完成</w:t>
      </w:r>
      <w:r>
        <w:rPr>
          <w:rFonts w:hint="eastAsia" w:ascii="宋体" w:hAnsi="宋体"/>
          <w:color w:val="000000"/>
          <w:highlight w:val="none"/>
          <w:u w:val="single"/>
          <w:lang w:val="en-US" w:eastAsia="zh-CN"/>
        </w:rPr>
        <w:t>监理（含全过程造价咨询）</w:t>
      </w:r>
      <w:r>
        <w:rPr>
          <w:rFonts w:hint="eastAsia" w:ascii="宋体" w:hAnsi="宋体"/>
          <w:color w:val="000000"/>
          <w:highlight w:val="none"/>
        </w:rPr>
        <w:t>工作</w:t>
      </w:r>
      <w:r>
        <w:rPr>
          <w:rFonts w:hint="eastAsia" w:ascii="宋体" w:hAnsi="宋体" w:cs="宋体"/>
          <w:kern w:val="0"/>
          <w:szCs w:val="21"/>
        </w:rPr>
        <w:t>。</w:t>
      </w:r>
    </w:p>
    <w:p>
      <w:pPr>
        <w:autoSpaceDE w:val="0"/>
        <w:autoSpaceDN w:val="0"/>
        <w:adjustRightInd w:val="0"/>
        <w:spacing w:line="360" w:lineRule="auto"/>
        <w:ind w:firstLine="480"/>
        <w:jc w:val="left"/>
        <w:rPr>
          <w:rFonts w:ascii="宋体" w:hAnsi="宋体" w:cs="宋体"/>
          <w:kern w:val="0"/>
          <w:szCs w:val="21"/>
        </w:rPr>
      </w:pPr>
      <w:r>
        <w:rPr>
          <w:rFonts w:hint="eastAsia" w:ascii="宋体" w:hAnsi="宋体" w:cs="宋体"/>
          <w:kern w:val="0"/>
          <w:szCs w:val="21"/>
        </w:rPr>
        <w:t>2．我方的投标文件包括下列内容：</w:t>
      </w:r>
    </w:p>
    <w:p>
      <w:pPr>
        <w:spacing w:line="360" w:lineRule="auto"/>
        <w:ind w:left="99" w:leftChars="47" w:right="3389" w:firstLine="313" w:firstLineChars="152"/>
        <w:jc w:val="left"/>
        <w:rPr>
          <w:rFonts w:ascii="宋体" w:hAnsi="宋体" w:cs="宋体"/>
          <w:spacing w:val="-2"/>
        </w:rPr>
      </w:pPr>
      <w:r>
        <w:rPr>
          <w:rFonts w:hint="eastAsia" w:ascii="宋体" w:hAnsi="宋体" w:cs="宋体"/>
          <w:spacing w:val="-2"/>
        </w:rPr>
        <w:t>（1）投标函及投标函附录</w:t>
      </w:r>
    </w:p>
    <w:p>
      <w:pPr>
        <w:spacing w:line="360" w:lineRule="auto"/>
        <w:ind w:left="99" w:leftChars="47" w:right="3389" w:firstLine="313" w:firstLineChars="152"/>
        <w:jc w:val="left"/>
        <w:rPr>
          <w:rFonts w:ascii="宋体" w:hAnsi="宋体" w:cs="宋体"/>
        </w:rPr>
      </w:pPr>
      <w:r>
        <w:rPr>
          <w:rFonts w:hint="eastAsia" w:ascii="宋体" w:hAnsi="宋体" w:cs="宋体"/>
          <w:spacing w:val="-2"/>
        </w:rPr>
        <w:t>（2）法</w:t>
      </w:r>
      <w:r>
        <w:rPr>
          <w:rFonts w:hint="eastAsia" w:ascii="宋体" w:hAnsi="宋体" w:cs="宋体"/>
        </w:rPr>
        <w:t>定</w:t>
      </w:r>
      <w:r>
        <w:rPr>
          <w:rFonts w:hint="eastAsia" w:ascii="宋体" w:hAnsi="宋体" w:cs="宋体"/>
          <w:spacing w:val="-2"/>
        </w:rPr>
        <w:t>代</w:t>
      </w:r>
      <w:r>
        <w:rPr>
          <w:rFonts w:hint="eastAsia" w:ascii="宋体" w:hAnsi="宋体" w:cs="宋体"/>
        </w:rPr>
        <w:t>表</w:t>
      </w:r>
      <w:r>
        <w:rPr>
          <w:rFonts w:hint="eastAsia" w:ascii="宋体" w:hAnsi="宋体" w:cs="宋体"/>
          <w:spacing w:val="-2"/>
        </w:rPr>
        <w:t>人</w:t>
      </w:r>
      <w:r>
        <w:rPr>
          <w:rFonts w:hint="eastAsia" w:ascii="宋体" w:hAnsi="宋体" w:cs="宋体"/>
        </w:rPr>
        <w:t>身</w:t>
      </w:r>
      <w:r>
        <w:rPr>
          <w:rFonts w:hint="eastAsia" w:ascii="宋体" w:hAnsi="宋体" w:cs="宋体"/>
          <w:spacing w:val="-2"/>
        </w:rPr>
        <w:t>份</w:t>
      </w:r>
      <w:r>
        <w:rPr>
          <w:rFonts w:hint="eastAsia" w:ascii="宋体" w:hAnsi="宋体" w:cs="宋体"/>
        </w:rPr>
        <w:t>证</w:t>
      </w:r>
      <w:r>
        <w:rPr>
          <w:rFonts w:hint="eastAsia" w:ascii="宋体" w:hAnsi="宋体" w:cs="宋体"/>
          <w:spacing w:val="-2"/>
        </w:rPr>
        <w:t>明书</w:t>
      </w:r>
      <w:r>
        <w:rPr>
          <w:rFonts w:hint="eastAsia" w:ascii="宋体" w:hAnsi="宋体" w:cs="宋体"/>
          <w:lang w:val="en-US" w:eastAsia="zh-CN"/>
        </w:rPr>
        <w:t>或</w:t>
      </w:r>
      <w:r>
        <w:rPr>
          <w:rFonts w:hint="eastAsia" w:ascii="宋体" w:hAnsi="宋体" w:cs="宋体"/>
          <w:spacing w:val="-2"/>
        </w:rPr>
        <w:t>授</w:t>
      </w:r>
      <w:r>
        <w:rPr>
          <w:rFonts w:hint="eastAsia" w:ascii="宋体" w:hAnsi="宋体" w:cs="宋体"/>
        </w:rPr>
        <w:t>权</w:t>
      </w:r>
      <w:r>
        <w:rPr>
          <w:rFonts w:hint="eastAsia" w:ascii="宋体" w:hAnsi="宋体" w:cs="宋体"/>
          <w:spacing w:val="-2"/>
        </w:rPr>
        <w:t>委</w:t>
      </w:r>
      <w:r>
        <w:rPr>
          <w:rFonts w:hint="eastAsia" w:ascii="宋体" w:hAnsi="宋体" w:cs="宋体"/>
        </w:rPr>
        <w:t>托</w:t>
      </w:r>
      <w:r>
        <w:rPr>
          <w:rFonts w:hint="eastAsia" w:ascii="宋体" w:hAnsi="宋体" w:cs="宋体"/>
          <w:spacing w:val="-2"/>
        </w:rPr>
        <w:t>书</w:t>
      </w:r>
    </w:p>
    <w:p>
      <w:pPr>
        <w:spacing w:line="360" w:lineRule="auto"/>
        <w:ind w:left="99" w:leftChars="47" w:right="3389" w:firstLine="313" w:firstLineChars="152"/>
        <w:jc w:val="left"/>
        <w:rPr>
          <w:rFonts w:hint="default" w:ascii="宋体" w:hAnsi="宋体" w:eastAsia="宋体" w:cs="宋体"/>
          <w:spacing w:val="-2"/>
          <w:lang w:val="en-US" w:eastAsia="zh-CN"/>
        </w:rPr>
      </w:pPr>
      <w:r>
        <w:rPr>
          <w:rFonts w:hint="eastAsia" w:ascii="宋体" w:hAnsi="宋体" w:cs="宋体"/>
          <w:spacing w:val="-2"/>
        </w:rPr>
        <w:t>（3）</w:t>
      </w:r>
      <w:r>
        <w:rPr>
          <w:rFonts w:hint="eastAsia" w:ascii="宋体" w:hAnsi="宋体" w:cs="宋体"/>
          <w:spacing w:val="-2"/>
          <w:lang w:val="en-US" w:eastAsia="zh-CN"/>
        </w:rPr>
        <w:t>联合体协议书（如有）</w:t>
      </w:r>
    </w:p>
    <w:p>
      <w:pPr>
        <w:spacing w:line="360" w:lineRule="auto"/>
        <w:ind w:left="99" w:leftChars="47" w:right="3389" w:firstLine="313" w:firstLineChars="152"/>
        <w:jc w:val="left"/>
        <w:rPr>
          <w:rFonts w:hint="default" w:ascii="宋体" w:hAnsi="宋体" w:eastAsia="宋体" w:cs="宋体"/>
          <w:spacing w:val="-2"/>
          <w:lang w:val="en-US" w:eastAsia="zh-CN"/>
        </w:rPr>
      </w:pPr>
      <w:r>
        <w:rPr>
          <w:rFonts w:hint="eastAsia" w:ascii="宋体" w:hAnsi="宋体" w:cs="宋体"/>
          <w:spacing w:val="-2"/>
        </w:rPr>
        <w:t>（</w:t>
      </w:r>
      <w:r>
        <w:rPr>
          <w:rFonts w:hint="eastAsia" w:ascii="宋体" w:hAnsi="宋体" w:cs="宋体"/>
          <w:spacing w:val="-2"/>
          <w:lang w:val="en-US" w:eastAsia="zh-CN"/>
        </w:rPr>
        <w:t>4</w:t>
      </w:r>
      <w:r>
        <w:rPr>
          <w:rFonts w:hint="eastAsia" w:ascii="宋体" w:hAnsi="宋体" w:cs="宋体"/>
          <w:spacing w:val="-2"/>
        </w:rPr>
        <w:t>）</w:t>
      </w:r>
      <w:r>
        <w:rPr>
          <w:rFonts w:hint="eastAsia" w:ascii="宋体" w:hAnsi="宋体" w:cs="宋体"/>
          <w:lang w:val="en-US" w:eastAsia="zh-CN"/>
        </w:rPr>
        <w:t>投标保证金材料</w:t>
      </w:r>
    </w:p>
    <w:p>
      <w:pPr>
        <w:spacing w:line="360" w:lineRule="auto"/>
        <w:ind w:left="99" w:leftChars="47" w:right="3389" w:firstLine="313" w:firstLineChars="152"/>
        <w:jc w:val="left"/>
        <w:rPr>
          <w:rFonts w:ascii="宋体" w:hAnsi="宋体" w:cs="宋体"/>
          <w:spacing w:val="-2"/>
        </w:rPr>
      </w:pPr>
      <w:r>
        <w:rPr>
          <w:rFonts w:hint="eastAsia" w:ascii="宋体" w:hAnsi="宋体" w:cs="宋体"/>
          <w:spacing w:val="-2"/>
        </w:rPr>
        <w:t>（</w:t>
      </w:r>
      <w:r>
        <w:rPr>
          <w:rFonts w:hint="eastAsia" w:ascii="宋体" w:hAnsi="宋体" w:cs="宋体"/>
          <w:spacing w:val="-2"/>
          <w:lang w:val="en-US" w:eastAsia="zh-CN"/>
        </w:rPr>
        <w:t>5</w:t>
      </w:r>
      <w:r>
        <w:rPr>
          <w:rFonts w:hint="eastAsia" w:ascii="宋体" w:hAnsi="宋体" w:cs="宋体"/>
          <w:spacing w:val="-2"/>
        </w:rPr>
        <w:t>）资格审查资料</w:t>
      </w:r>
    </w:p>
    <w:p>
      <w:pPr>
        <w:spacing w:line="360" w:lineRule="auto"/>
        <w:ind w:left="99" w:leftChars="47" w:right="3389" w:firstLine="313" w:firstLineChars="152"/>
        <w:jc w:val="left"/>
        <w:rPr>
          <w:rFonts w:ascii="宋体" w:hAnsi="宋体" w:cs="宋体"/>
          <w:spacing w:val="-2"/>
        </w:rPr>
      </w:pPr>
      <w:r>
        <w:rPr>
          <w:rFonts w:hint="eastAsia" w:ascii="宋体" w:hAnsi="宋体" w:cs="宋体"/>
          <w:spacing w:val="-2"/>
        </w:rPr>
        <w:t>（</w:t>
      </w:r>
      <w:r>
        <w:rPr>
          <w:rFonts w:hint="eastAsia" w:ascii="宋体" w:hAnsi="宋体" w:cs="宋体"/>
          <w:spacing w:val="-2"/>
          <w:lang w:val="en-US" w:eastAsia="zh-CN"/>
        </w:rPr>
        <w:t>6</w:t>
      </w:r>
      <w:r>
        <w:rPr>
          <w:rFonts w:hint="eastAsia" w:ascii="宋体" w:hAnsi="宋体" w:cs="宋体"/>
          <w:spacing w:val="-2"/>
        </w:rPr>
        <w:t>）服务团队人员汇总表</w:t>
      </w:r>
    </w:p>
    <w:p>
      <w:pPr>
        <w:spacing w:line="360" w:lineRule="auto"/>
        <w:ind w:left="99" w:leftChars="47" w:right="3389" w:firstLine="313" w:firstLineChars="152"/>
        <w:jc w:val="left"/>
        <w:rPr>
          <w:rFonts w:hint="default" w:ascii="宋体" w:hAnsi="宋体" w:eastAsia="宋体" w:cs="宋体"/>
          <w:spacing w:val="-2"/>
          <w:lang w:val="en-US" w:eastAsia="zh-CN"/>
        </w:rPr>
      </w:pPr>
      <w:r>
        <w:rPr>
          <w:rFonts w:hint="eastAsia" w:ascii="宋体" w:hAnsi="宋体" w:cs="宋体"/>
          <w:spacing w:val="-2"/>
        </w:rPr>
        <w:t>（</w:t>
      </w:r>
      <w:r>
        <w:rPr>
          <w:rFonts w:hint="eastAsia" w:ascii="宋体" w:hAnsi="宋体" w:cs="宋体"/>
          <w:spacing w:val="-2"/>
          <w:lang w:val="en-US" w:eastAsia="zh-CN"/>
        </w:rPr>
        <w:t>7</w:t>
      </w:r>
      <w:r>
        <w:rPr>
          <w:rFonts w:hint="eastAsia" w:ascii="宋体" w:hAnsi="宋体" w:cs="宋体"/>
          <w:spacing w:val="-2"/>
        </w:rPr>
        <w:t>）主要人员简历表</w:t>
      </w:r>
    </w:p>
    <w:p>
      <w:pPr>
        <w:spacing w:line="360" w:lineRule="auto"/>
        <w:ind w:left="99" w:leftChars="47" w:right="3389" w:firstLine="313" w:firstLineChars="152"/>
        <w:jc w:val="left"/>
      </w:pPr>
      <w:r>
        <w:rPr>
          <w:rFonts w:hint="eastAsia" w:ascii="宋体" w:hAnsi="宋体" w:cs="宋体"/>
          <w:spacing w:val="-2"/>
        </w:rPr>
        <w:t>（</w:t>
      </w:r>
      <w:r>
        <w:rPr>
          <w:rFonts w:hint="eastAsia" w:ascii="宋体" w:hAnsi="宋体" w:cs="宋体"/>
          <w:spacing w:val="-2"/>
          <w:lang w:val="en-US" w:eastAsia="zh-CN"/>
        </w:rPr>
        <w:t>8</w:t>
      </w:r>
      <w:r>
        <w:rPr>
          <w:rFonts w:hint="eastAsia" w:ascii="宋体" w:hAnsi="宋体" w:cs="宋体"/>
          <w:spacing w:val="-2"/>
        </w:rPr>
        <w:t>）拟投入本项目的主要设备表</w:t>
      </w:r>
    </w:p>
    <w:p>
      <w:pPr>
        <w:spacing w:line="360" w:lineRule="auto"/>
        <w:ind w:left="99" w:leftChars="47" w:right="3389" w:firstLine="313" w:firstLineChars="152"/>
        <w:jc w:val="left"/>
        <w:rPr>
          <w:rFonts w:ascii="宋体" w:hAnsi="宋体" w:cs="宋体"/>
          <w:spacing w:val="-2"/>
        </w:rPr>
      </w:pPr>
      <w:r>
        <w:rPr>
          <w:rFonts w:hint="eastAsia" w:ascii="宋体" w:hAnsi="宋体" w:cs="宋体"/>
          <w:spacing w:val="-2"/>
        </w:rPr>
        <w:t>（</w:t>
      </w:r>
      <w:r>
        <w:rPr>
          <w:rFonts w:hint="eastAsia" w:ascii="宋体" w:hAnsi="宋体" w:cs="宋体"/>
          <w:spacing w:val="-2"/>
          <w:lang w:val="en-US" w:eastAsia="zh-CN"/>
        </w:rPr>
        <w:t>9</w:t>
      </w:r>
      <w:r>
        <w:rPr>
          <w:rFonts w:hint="eastAsia" w:ascii="宋体" w:hAnsi="宋体" w:cs="宋体"/>
          <w:spacing w:val="-2"/>
        </w:rPr>
        <w:t>）服务方案</w:t>
      </w:r>
    </w:p>
    <w:p>
      <w:pPr>
        <w:snapToGrid w:val="0"/>
        <w:spacing w:line="340" w:lineRule="exact"/>
        <w:ind w:firstLine="420" w:firstLineChars="200"/>
        <w:rPr>
          <w:rFonts w:hint="eastAsia" w:ascii="宋体" w:hAnsi="宋体"/>
          <w:bCs/>
          <w:color w:val="000000"/>
          <w:highlight w:val="none"/>
        </w:rPr>
      </w:pPr>
      <w:r>
        <w:rPr>
          <w:rFonts w:hint="eastAsia" w:ascii="宋体" w:hAnsi="宋体"/>
          <w:bCs/>
          <w:color w:val="000000"/>
          <w:highlight w:val="none"/>
        </w:rPr>
        <w:t>（</w:t>
      </w:r>
      <w:r>
        <w:rPr>
          <w:rFonts w:hint="eastAsia" w:ascii="宋体" w:hAnsi="宋体"/>
          <w:bCs/>
          <w:color w:val="000000"/>
          <w:highlight w:val="none"/>
          <w:lang w:val="en-US" w:eastAsia="zh-CN"/>
        </w:rPr>
        <w:t>10</w:t>
      </w:r>
      <w:r>
        <w:rPr>
          <w:rFonts w:hint="eastAsia" w:ascii="宋体" w:hAnsi="宋体"/>
          <w:bCs/>
          <w:color w:val="000000"/>
          <w:highlight w:val="none"/>
        </w:rPr>
        <w:t>）</w:t>
      </w:r>
      <w:r>
        <w:rPr>
          <w:rFonts w:hint="eastAsia" w:ascii="宋体" w:hAnsi="宋体" w:eastAsia="宋体" w:cs="宋体"/>
          <w:color w:val="auto"/>
          <w:highlight w:val="none"/>
        </w:rPr>
        <w:t>投标人认为需要提供的其他资料。</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投标文件的上述组成部分如存在内容不一致的，以投标函为准。</w:t>
      </w:r>
    </w:p>
    <w:p>
      <w:pPr>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3．我方承诺在招标文件规定的投标有效期内不撤销投标文件。</w:t>
      </w:r>
    </w:p>
    <w:p>
      <w:pPr>
        <w:snapToGrid w:val="0"/>
        <w:spacing w:line="340" w:lineRule="exact"/>
        <w:ind w:firstLine="420" w:firstLineChars="200"/>
        <w:rPr>
          <w:rFonts w:hint="eastAsia" w:ascii="宋体" w:hAnsi="宋体"/>
          <w:color w:val="000000"/>
          <w:highlight w:val="none"/>
        </w:rPr>
      </w:pPr>
      <w:r>
        <w:rPr>
          <w:rFonts w:hint="eastAsia" w:ascii="宋体" w:hAnsi="宋体"/>
          <w:color w:val="000000"/>
          <w:highlight w:val="none"/>
        </w:rPr>
        <w:t>4．如我方中标，我方承诺：</w:t>
      </w:r>
    </w:p>
    <w:p>
      <w:pPr>
        <w:snapToGrid w:val="0"/>
        <w:spacing w:line="340" w:lineRule="exact"/>
        <w:ind w:firstLine="840" w:firstLineChars="400"/>
        <w:rPr>
          <w:rFonts w:hint="eastAsia" w:ascii="宋体" w:hAnsi="宋体"/>
          <w:color w:val="000000"/>
          <w:highlight w:val="none"/>
        </w:rPr>
      </w:pPr>
      <w:r>
        <w:rPr>
          <w:rFonts w:hint="eastAsia" w:ascii="宋体" w:hAnsi="宋体"/>
          <w:color w:val="000000"/>
          <w:highlight w:val="none"/>
        </w:rPr>
        <w:t>（1）在收到中标通知书后，在中标通知书规定的期限内与你方签订合同；</w:t>
      </w:r>
    </w:p>
    <w:p>
      <w:pPr>
        <w:snapToGrid w:val="0"/>
        <w:spacing w:line="340" w:lineRule="exact"/>
        <w:ind w:firstLine="840" w:firstLineChars="400"/>
        <w:rPr>
          <w:rFonts w:hint="eastAsia" w:ascii="宋体" w:hAnsi="宋体"/>
          <w:color w:val="000000"/>
          <w:highlight w:val="none"/>
        </w:rPr>
      </w:pPr>
      <w:r>
        <w:rPr>
          <w:rFonts w:hint="eastAsia" w:ascii="宋体" w:hAnsi="宋体"/>
          <w:color w:val="000000"/>
          <w:highlight w:val="none"/>
        </w:rPr>
        <w:t>（2）在签订合同时不向你方提出附加条件；</w:t>
      </w:r>
    </w:p>
    <w:p>
      <w:pPr>
        <w:snapToGrid w:val="0"/>
        <w:spacing w:line="340" w:lineRule="exact"/>
        <w:ind w:firstLine="840" w:firstLineChars="400"/>
        <w:rPr>
          <w:rFonts w:hint="eastAsia" w:ascii="宋体" w:hAnsi="宋体"/>
          <w:color w:val="000000"/>
          <w:highlight w:val="none"/>
        </w:rPr>
      </w:pPr>
      <w:r>
        <w:rPr>
          <w:rFonts w:hint="eastAsia" w:ascii="宋体" w:hAnsi="宋体"/>
          <w:color w:val="000000"/>
          <w:highlight w:val="none"/>
        </w:rPr>
        <w:t>（3）在合同约定的期限内完成合同规定的全部义务。</w:t>
      </w:r>
    </w:p>
    <w:p>
      <w:pPr>
        <w:snapToGrid w:val="0"/>
        <w:spacing w:line="340" w:lineRule="exact"/>
        <w:ind w:left="1365" w:leftChars="400" w:hanging="525" w:hangingChars="250"/>
        <w:rPr>
          <w:rFonts w:hint="eastAsia" w:ascii="宋体" w:hAnsi="宋体"/>
          <w:color w:val="000000"/>
          <w:highlight w:val="none"/>
          <w:u w:val="single"/>
        </w:rPr>
      </w:pPr>
      <w:r>
        <w:rPr>
          <w:rFonts w:hint="eastAsia" w:ascii="宋体" w:hAnsi="宋体"/>
          <w:color w:val="000000"/>
          <w:highlight w:val="none"/>
        </w:rPr>
        <w:t>（4）</w:t>
      </w:r>
      <w:r>
        <w:rPr>
          <w:rFonts w:hint="eastAsia" w:ascii="宋体" w:hAnsi="宋体"/>
          <w:color w:val="000000"/>
          <w:highlight w:val="none"/>
          <w:u w:val="single"/>
        </w:rPr>
        <w:t>按规定日期及金额（中标价的0.9‰）向</w:t>
      </w:r>
      <w:r>
        <w:rPr>
          <w:rFonts w:hint="eastAsia" w:ascii="宋体" w:hAnsi="宋体"/>
          <w:color w:val="000000"/>
          <w:highlight w:val="none"/>
          <w:u w:val="single"/>
          <w:lang w:val="en-US" w:eastAsia="zh-CN"/>
        </w:rPr>
        <w:t>广州交易集团有限公司</w:t>
      </w:r>
      <w:r>
        <w:rPr>
          <w:rFonts w:hint="eastAsia" w:ascii="宋体" w:hAnsi="宋体"/>
          <w:color w:val="000000"/>
          <w:highlight w:val="none"/>
          <w:u w:val="single"/>
        </w:rPr>
        <w:t>交纳交易服务费。</w:t>
      </w:r>
    </w:p>
    <w:p>
      <w:pPr>
        <w:snapToGrid w:val="0"/>
        <w:spacing w:line="340" w:lineRule="exact"/>
        <w:ind w:firstLine="420" w:firstLineChars="200"/>
        <w:rPr>
          <w:rFonts w:hint="eastAsia" w:ascii="宋体" w:hAnsi="宋体"/>
          <w:color w:val="000000"/>
          <w:highlight w:val="none"/>
        </w:rPr>
      </w:pPr>
      <w:r>
        <w:rPr>
          <w:rFonts w:hint="eastAsia" w:ascii="宋体" w:hAnsi="宋体"/>
          <w:color w:val="000000"/>
          <w:highlight w:val="none"/>
        </w:rPr>
        <w:t>5．我方在此声明，所递交的投标文件及有关资料内容完整、真实和准确，且不存在第二章“投标人须知”第 1.4.3 项规定的任何一种情形。</w:t>
      </w:r>
    </w:p>
    <w:p>
      <w:pPr>
        <w:spacing w:line="440" w:lineRule="exact"/>
        <w:ind w:firstLine="420" w:firstLineChars="200"/>
        <w:rPr>
          <w:rFonts w:ascii="Times New Roman" w:hAnsi="Times New Roman"/>
          <w:szCs w:val="21"/>
          <w:highlight w:val="none"/>
        </w:rPr>
      </w:pPr>
      <w:r>
        <w:rPr>
          <w:rFonts w:ascii="Times New Roman" w:hAnsi="Times New Roman"/>
          <w:szCs w:val="21"/>
          <w:highlight w:val="none"/>
        </w:rPr>
        <w:t>6．</w:t>
      </w:r>
      <w:r>
        <w:rPr>
          <w:rFonts w:ascii="Times New Roman" w:hAnsi="Times New Roman"/>
          <w:szCs w:val="21"/>
          <w:highlight w:val="none"/>
          <w:u w:val="single"/>
        </w:rPr>
        <w:t xml:space="preserve">                            </w:t>
      </w:r>
      <w:r>
        <w:rPr>
          <w:rFonts w:ascii="Times New Roman" w:hAnsi="Times New Roman"/>
          <w:szCs w:val="21"/>
          <w:highlight w:val="none"/>
          <w:u w:val="single"/>
        </w:rPr>
        <w:tab/>
      </w:r>
      <w:r>
        <w:rPr>
          <w:rFonts w:ascii="Times New Roman" w:hAnsi="Times New Roman"/>
          <w:szCs w:val="21"/>
          <w:highlight w:val="none"/>
        </w:rPr>
        <w:t>（其他补充说明）。</w:t>
      </w:r>
    </w:p>
    <w:p>
      <w:pPr>
        <w:spacing w:line="340" w:lineRule="exact"/>
        <w:rPr>
          <w:rFonts w:hint="eastAsia" w:ascii="宋体" w:hAnsi="宋体"/>
          <w:color w:val="000000"/>
          <w:highlight w:val="none"/>
        </w:rPr>
      </w:pPr>
    </w:p>
    <w:p>
      <w:pPr>
        <w:spacing w:line="340" w:lineRule="exact"/>
        <w:ind w:firstLine="2835" w:firstLineChars="1350"/>
        <w:rPr>
          <w:rFonts w:hint="eastAsia" w:ascii="宋体" w:hAnsi="宋体"/>
          <w:color w:val="000000"/>
          <w:highlight w:val="none"/>
        </w:rPr>
      </w:pPr>
      <w:r>
        <w:rPr>
          <w:rFonts w:hint="eastAsia" w:ascii="宋体" w:hAnsi="宋体"/>
          <w:color w:val="000000"/>
          <w:highlight w:val="none"/>
        </w:rPr>
        <w:t>投 标 人：</w:t>
      </w:r>
      <w:r>
        <w:rPr>
          <w:rFonts w:hint="eastAsia" w:ascii="宋体" w:hAnsi="宋体"/>
          <w:color w:val="000000"/>
          <w:szCs w:val="21"/>
          <w:highlight w:val="none"/>
          <w:u w:val="single"/>
        </w:rPr>
        <w:t xml:space="preserve">                            </w:t>
      </w:r>
      <w:r>
        <w:rPr>
          <w:rFonts w:hint="eastAsia" w:ascii="宋体" w:hAnsi="宋体"/>
          <w:color w:val="000000"/>
          <w:highlight w:val="none"/>
        </w:rPr>
        <w:t>（盖单位章）</w:t>
      </w:r>
    </w:p>
    <w:p>
      <w:pPr>
        <w:spacing w:line="340" w:lineRule="exact"/>
        <w:ind w:firstLine="2835" w:firstLineChars="1350"/>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szCs w:val="21"/>
          <w:highlight w:val="none"/>
          <w:u w:val="single"/>
        </w:rPr>
        <w:t xml:space="preserve">                </w:t>
      </w:r>
      <w:r>
        <w:rPr>
          <w:rFonts w:hint="eastAsia" w:ascii="宋体" w:hAnsi="宋体"/>
          <w:color w:val="000000"/>
          <w:highlight w:val="none"/>
        </w:rPr>
        <w:t>（签字或盖章）</w:t>
      </w:r>
    </w:p>
    <w:p>
      <w:pPr>
        <w:spacing w:line="340" w:lineRule="exact"/>
        <w:ind w:firstLine="2835" w:firstLineChars="1350"/>
        <w:rPr>
          <w:rFonts w:hint="eastAsia" w:ascii="宋体" w:hAnsi="宋体"/>
          <w:color w:val="000000"/>
          <w:highlight w:val="none"/>
        </w:rPr>
      </w:pPr>
      <w:r>
        <w:rPr>
          <w:rFonts w:hint="eastAsia" w:ascii="宋体" w:hAnsi="宋体"/>
          <w:color w:val="000000"/>
          <w:highlight w:val="none"/>
        </w:rPr>
        <w:t>地    址：</w:t>
      </w:r>
      <w:r>
        <w:rPr>
          <w:rFonts w:hint="eastAsia" w:ascii="宋体" w:hAnsi="宋体"/>
          <w:color w:val="000000"/>
          <w:szCs w:val="21"/>
          <w:highlight w:val="none"/>
          <w:u w:val="single"/>
        </w:rPr>
        <w:t xml:space="preserve">                                        </w:t>
      </w:r>
    </w:p>
    <w:p>
      <w:pPr>
        <w:spacing w:line="340" w:lineRule="exact"/>
        <w:ind w:firstLine="2835" w:firstLineChars="1350"/>
        <w:rPr>
          <w:rFonts w:hint="eastAsia" w:ascii="宋体" w:hAnsi="宋体"/>
          <w:color w:val="000000"/>
          <w:highlight w:val="none"/>
        </w:rPr>
      </w:pPr>
      <w:r>
        <w:rPr>
          <w:rFonts w:hint="eastAsia" w:ascii="宋体" w:hAnsi="宋体"/>
          <w:color w:val="000000"/>
          <w:highlight w:val="none"/>
        </w:rPr>
        <w:t>电    话：</w:t>
      </w:r>
      <w:r>
        <w:rPr>
          <w:rFonts w:hint="eastAsia" w:ascii="宋体" w:hAnsi="宋体"/>
          <w:color w:val="000000"/>
          <w:szCs w:val="21"/>
          <w:highlight w:val="none"/>
          <w:u w:val="single"/>
        </w:rPr>
        <w:t xml:space="preserve">                                        </w:t>
      </w:r>
    </w:p>
    <w:p>
      <w:pPr>
        <w:spacing w:line="340" w:lineRule="exact"/>
        <w:ind w:firstLine="2835" w:firstLineChars="1350"/>
        <w:rPr>
          <w:rFonts w:hint="eastAsia" w:ascii="宋体" w:hAnsi="宋体"/>
          <w:color w:val="000000"/>
          <w:highlight w:val="none"/>
        </w:rPr>
      </w:pPr>
      <w:r>
        <w:rPr>
          <w:rFonts w:hint="eastAsia" w:ascii="宋体" w:hAnsi="宋体"/>
          <w:color w:val="000000"/>
          <w:highlight w:val="none"/>
        </w:rPr>
        <w:t>传    真：</w:t>
      </w:r>
      <w:r>
        <w:rPr>
          <w:rFonts w:hint="eastAsia" w:ascii="宋体" w:hAnsi="宋体"/>
          <w:color w:val="000000"/>
          <w:szCs w:val="21"/>
          <w:highlight w:val="none"/>
          <w:u w:val="single"/>
        </w:rPr>
        <w:t xml:space="preserve">                                        </w:t>
      </w:r>
    </w:p>
    <w:p>
      <w:pPr>
        <w:spacing w:line="340" w:lineRule="exact"/>
        <w:ind w:firstLine="2835" w:firstLineChars="1350"/>
        <w:rPr>
          <w:rFonts w:hint="eastAsia" w:ascii="宋体" w:hAnsi="宋体"/>
          <w:color w:val="000000"/>
          <w:highlight w:val="none"/>
        </w:rPr>
      </w:pPr>
      <w:r>
        <w:rPr>
          <w:rFonts w:hint="eastAsia" w:ascii="宋体" w:hAnsi="宋体"/>
          <w:color w:val="000000"/>
          <w:highlight w:val="none"/>
        </w:rPr>
        <w:t>邮政编码：</w:t>
      </w:r>
      <w:r>
        <w:rPr>
          <w:rFonts w:hint="eastAsia" w:ascii="宋体" w:hAnsi="宋体"/>
          <w:color w:val="000000"/>
          <w:szCs w:val="21"/>
          <w:highlight w:val="none"/>
          <w:u w:val="single"/>
        </w:rPr>
        <w:t xml:space="preserve">                                        </w:t>
      </w:r>
    </w:p>
    <w:p>
      <w:pPr>
        <w:spacing w:line="340" w:lineRule="exact"/>
        <w:ind w:firstLine="4935" w:firstLineChars="2350"/>
        <w:rPr>
          <w:rFonts w:hint="eastAsia" w:ascii="宋体" w:hAnsi="宋体"/>
          <w:color w:val="000000"/>
          <w:highlight w:val="none"/>
        </w:rPr>
      </w:pPr>
      <w:r>
        <w:rPr>
          <w:rFonts w:hint="eastAsia" w:ascii="宋体" w:hAnsi="宋体"/>
          <w:color w:val="000000"/>
          <w:szCs w:val="21"/>
          <w:highlight w:val="none"/>
          <w:u w:val="single"/>
        </w:rPr>
        <w:t xml:space="preserve">        </w:t>
      </w:r>
      <w:r>
        <w:rPr>
          <w:rFonts w:hint="eastAsia" w:ascii="宋体" w:hAnsi="宋体"/>
          <w:color w:val="000000"/>
          <w:highlight w:val="none"/>
        </w:rPr>
        <w:t>年</w:t>
      </w:r>
      <w:r>
        <w:rPr>
          <w:rFonts w:hint="eastAsia" w:ascii="宋体" w:hAnsi="宋体"/>
          <w:color w:val="000000"/>
          <w:szCs w:val="21"/>
          <w:highlight w:val="none"/>
          <w:u w:val="single"/>
        </w:rPr>
        <w:t xml:space="preserve">        </w:t>
      </w:r>
      <w:r>
        <w:rPr>
          <w:rFonts w:hint="eastAsia" w:ascii="宋体" w:hAnsi="宋体"/>
          <w:color w:val="000000"/>
          <w:highlight w:val="none"/>
        </w:rPr>
        <w:t>月</w:t>
      </w:r>
      <w:r>
        <w:rPr>
          <w:rFonts w:hint="eastAsia" w:ascii="宋体" w:hAnsi="宋体"/>
          <w:color w:val="000000"/>
          <w:szCs w:val="21"/>
          <w:highlight w:val="none"/>
          <w:u w:val="single"/>
        </w:rPr>
        <w:t xml:space="preserve">        </w:t>
      </w:r>
      <w:r>
        <w:rPr>
          <w:rFonts w:hint="eastAsia" w:ascii="宋体" w:hAnsi="宋体"/>
          <w:color w:val="000000"/>
          <w:highlight w:val="none"/>
        </w:rPr>
        <w:t>日</w:t>
      </w:r>
    </w:p>
    <w:p>
      <w:pPr>
        <w:spacing w:line="360" w:lineRule="auto"/>
        <w:ind w:firstLine="4800" w:firstLineChars="2000"/>
        <w:jc w:val="left"/>
        <w:rPr>
          <w:rFonts w:ascii="宋体" w:hAnsi="宋体" w:cs="宋体"/>
          <w:kern w:val="0"/>
          <w:sz w:val="24"/>
        </w:rPr>
      </w:pPr>
    </w:p>
    <w:p>
      <w:pPr>
        <w:spacing w:line="360" w:lineRule="auto"/>
        <w:rPr>
          <w:rFonts w:ascii="宋体" w:hAnsi="宋体" w:cs="宋体"/>
          <w:b/>
          <w:sz w:val="30"/>
          <w:szCs w:val="30"/>
        </w:rPr>
        <w:sectPr>
          <w:pgSz w:w="11906" w:h="16838"/>
          <w:pgMar w:top="1417" w:right="1417" w:bottom="1417" w:left="1417" w:header="850" w:footer="992" w:gutter="0"/>
          <w:cols w:space="720" w:num="1"/>
          <w:docGrid w:linePitch="312" w:charSpace="0"/>
        </w:sectPr>
      </w:pPr>
    </w:p>
    <w:p>
      <w:pPr>
        <w:pStyle w:val="4"/>
        <w:jc w:val="center"/>
        <w:rPr>
          <w:rFonts w:ascii="宋体" w:hAnsi="宋体" w:cs="宋体"/>
          <w:b w:val="0"/>
          <w:sz w:val="30"/>
          <w:szCs w:val="30"/>
        </w:rPr>
      </w:pPr>
      <w:bookmarkStart w:id="359" w:name="_Toc504"/>
      <w:bookmarkStart w:id="360" w:name="_Toc23223"/>
      <w:bookmarkStart w:id="361" w:name="_Toc26354"/>
      <w:bookmarkStart w:id="362" w:name="_Toc29486"/>
      <w:bookmarkStart w:id="363" w:name="_Toc10542"/>
      <w:bookmarkStart w:id="364" w:name="_Toc24851"/>
      <w:bookmarkStart w:id="365" w:name="_Toc514170142"/>
      <w:r>
        <w:rPr>
          <w:rFonts w:hint="eastAsia" w:ascii="宋体" w:hAnsi="宋体" w:cs="宋体"/>
          <w:sz w:val="30"/>
          <w:szCs w:val="30"/>
        </w:rPr>
        <w:t>（二）投标函附录</w:t>
      </w:r>
      <w:bookmarkEnd w:id="359"/>
      <w:bookmarkEnd w:id="360"/>
      <w:bookmarkEnd w:id="361"/>
      <w:bookmarkEnd w:id="362"/>
      <w:bookmarkEnd w:id="363"/>
      <w:bookmarkEnd w:id="364"/>
      <w:bookmarkEnd w:id="365"/>
    </w:p>
    <w:tbl>
      <w:tblPr>
        <w:tblStyle w:val="20"/>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2"/>
        <w:gridCol w:w="1851"/>
        <w:gridCol w:w="43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3122" w:type="dxa"/>
            <w:noWrap w:val="0"/>
            <w:vAlign w:val="center"/>
          </w:tcPr>
          <w:p>
            <w:pPr>
              <w:snapToGrid w:val="0"/>
              <w:spacing w:line="420" w:lineRule="exact"/>
              <w:ind w:right="-108"/>
              <w:jc w:val="center"/>
              <w:rPr>
                <w:rFonts w:hint="eastAsia" w:ascii="宋体" w:hAnsi="宋体"/>
                <w:color w:val="auto"/>
                <w:kern w:val="0"/>
                <w:szCs w:val="21"/>
                <w:highlight w:val="none"/>
              </w:rPr>
            </w:pPr>
            <w:r>
              <w:rPr>
                <w:rFonts w:hint="eastAsia" w:ascii="宋体" w:hAnsi="宋体" w:cs="宋体"/>
                <w:color w:val="auto"/>
                <w:kern w:val="0"/>
                <w:szCs w:val="21"/>
                <w:highlight w:val="none"/>
              </w:rPr>
              <w:t>项目名称</w:t>
            </w:r>
          </w:p>
        </w:tc>
        <w:tc>
          <w:tcPr>
            <w:tcW w:w="6238" w:type="dxa"/>
            <w:gridSpan w:val="2"/>
            <w:noWrap w:val="0"/>
            <w:vAlign w:val="center"/>
          </w:tcPr>
          <w:p>
            <w:pPr>
              <w:snapToGrid w:val="0"/>
              <w:spacing w:line="420" w:lineRule="exact"/>
              <w:ind w:right="482"/>
              <w:rPr>
                <w:rFonts w:hint="eastAsia"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3122" w:type="dxa"/>
            <w:noWrap w:val="0"/>
            <w:vAlign w:val="center"/>
          </w:tcPr>
          <w:p>
            <w:pPr>
              <w:snapToGrid w:val="0"/>
              <w:spacing w:line="420" w:lineRule="exact"/>
              <w:ind w:right="-108"/>
              <w:jc w:val="center"/>
              <w:rPr>
                <w:rFonts w:hint="eastAsia" w:ascii="宋体" w:hAnsi="宋体"/>
                <w:color w:val="auto"/>
                <w:kern w:val="0"/>
                <w:szCs w:val="21"/>
                <w:highlight w:val="none"/>
              </w:rPr>
            </w:pPr>
            <w:r>
              <w:rPr>
                <w:rFonts w:hint="eastAsia" w:ascii="宋体" w:hAnsi="宋体"/>
                <w:color w:val="auto"/>
                <w:kern w:val="0"/>
                <w:szCs w:val="21"/>
                <w:highlight w:val="none"/>
              </w:rPr>
              <w:t>投标总报价</w:t>
            </w:r>
          </w:p>
        </w:tc>
        <w:tc>
          <w:tcPr>
            <w:tcW w:w="6238" w:type="dxa"/>
            <w:gridSpan w:val="2"/>
            <w:noWrap w:val="0"/>
            <w:vAlign w:val="center"/>
          </w:tcPr>
          <w:p>
            <w:pPr>
              <w:snapToGrid/>
              <w:spacing w:line="240" w:lineRule="auto"/>
              <w:ind w:right="0"/>
              <w:rPr>
                <w:rFonts w:hint="eastAsia"/>
                <w:color w:val="auto"/>
                <w:highlight w:val="none"/>
              </w:rPr>
            </w:pPr>
            <w:r>
              <w:rPr>
                <w:rFonts w:hint="eastAsia"/>
                <w:color w:val="auto"/>
                <w:highlight w:val="none"/>
              </w:rPr>
              <w:t>人民币：（小写）</w:t>
            </w:r>
            <w:r>
              <w:rPr>
                <w:rFonts w:hint="eastAsia"/>
                <w:color w:val="auto"/>
                <w:highlight w:val="none"/>
                <w:u w:val="single"/>
              </w:rPr>
              <w:t xml:space="preserve">                    </w:t>
            </w:r>
            <w:r>
              <w:rPr>
                <w:rFonts w:hint="eastAsia"/>
                <w:color w:val="auto"/>
                <w:highlight w:val="none"/>
              </w:rPr>
              <w:t>。</w:t>
            </w:r>
          </w:p>
          <w:p>
            <w:pPr>
              <w:snapToGrid/>
              <w:spacing w:line="240" w:lineRule="auto"/>
              <w:ind w:right="0"/>
              <w:rPr>
                <w:rFonts w:hint="eastAsia"/>
              </w:rPr>
            </w:pPr>
            <w:r>
              <w:rPr>
                <w:rFonts w:hint="eastAsia"/>
                <w:color w:val="auto"/>
                <w:highlight w:val="none"/>
              </w:rPr>
              <w:t>人民币：（大写）</w:t>
            </w:r>
            <w:r>
              <w:rPr>
                <w:rFonts w:hint="eastAsia"/>
                <w:color w:val="auto"/>
                <w:highlight w:val="none"/>
                <w:u w:val="single"/>
              </w:rPr>
              <w:t xml:space="preserve">                    </w:t>
            </w:r>
            <w:r>
              <w:rPr>
                <w:rFonts w:hint="eastAsia"/>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122" w:type="dxa"/>
            <w:tcBorders>
              <w:bottom w:val="single" w:color="auto" w:sz="4" w:space="0"/>
            </w:tcBorders>
            <w:noWrap w:val="0"/>
            <w:vAlign w:val="center"/>
          </w:tcPr>
          <w:p>
            <w:pPr>
              <w:pStyle w:val="27"/>
              <w:jc w:val="center"/>
              <w:rPr>
                <w:rFonts w:hint="eastAsia" w:ascii="宋体" w:hAnsi="宋体"/>
                <w:b w:val="0"/>
                <w:bCs w:val="0"/>
                <w:color w:val="auto"/>
                <w:kern w:val="0"/>
                <w:szCs w:val="21"/>
                <w:highlight w:val="none"/>
              </w:rPr>
            </w:pPr>
            <w:r>
              <w:rPr>
                <w:rFonts w:hint="eastAsia" w:ascii="宋体" w:hAnsi="宋体" w:cs="宋体"/>
                <w:b w:val="0"/>
                <w:bCs w:val="0"/>
                <w:color w:val="auto"/>
                <w:highlight w:val="none"/>
                <w:lang w:val="en-US" w:eastAsia="zh-CN"/>
              </w:rPr>
              <w:t>监理</w:t>
            </w:r>
            <w:r>
              <w:rPr>
                <w:rFonts w:hint="eastAsia" w:ascii="宋体" w:hAnsi="宋体" w:eastAsia="宋体" w:cs="宋体"/>
                <w:b w:val="0"/>
                <w:bCs w:val="0"/>
                <w:color w:val="auto"/>
                <w:highlight w:val="none"/>
              </w:rPr>
              <w:t>费</w:t>
            </w:r>
          </w:p>
        </w:tc>
        <w:tc>
          <w:tcPr>
            <w:tcW w:w="6238" w:type="dxa"/>
            <w:gridSpan w:val="2"/>
            <w:tcBorders>
              <w:bottom w:val="single" w:color="auto" w:sz="4" w:space="0"/>
            </w:tcBorders>
            <w:noWrap w:val="0"/>
            <w:vAlign w:val="center"/>
          </w:tcPr>
          <w:p>
            <w:pPr>
              <w:rPr>
                <w:rFonts w:hint="eastAsia" w:ascii="宋体" w:hAnsi="宋体" w:eastAsia="宋体"/>
                <w:color w:val="auto"/>
                <w:kern w:val="0"/>
                <w:szCs w:val="21"/>
                <w:highlight w:val="none"/>
                <w:lang w:eastAsia="zh-CN"/>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其中不含税金额：元，税率    %，税额   元。</w:t>
            </w:r>
            <w:r>
              <w:rPr>
                <w:rFonts w:hint="eastAsia" w:ascii="宋体" w:hAnsi="宋体" w:cs="宋体"/>
                <w:b w:val="0"/>
                <w:bCs w:val="0"/>
                <w:color w:val="auto"/>
                <w:highlight w:val="none"/>
                <w:lang w:val="en-US" w:eastAsia="zh-CN"/>
              </w:rPr>
              <w:t>监理</w:t>
            </w:r>
            <w:r>
              <w:rPr>
                <w:rFonts w:hint="eastAsia" w:ascii="宋体" w:hAnsi="宋体" w:eastAsia="宋体" w:cs="宋体"/>
                <w:b w:val="0"/>
                <w:bCs w:val="0"/>
                <w:color w:val="auto"/>
                <w:highlight w:val="none"/>
              </w:rPr>
              <w:t>费</w:t>
            </w:r>
            <w:r>
              <w:rPr>
                <w:rFonts w:hint="eastAsia" w:ascii="宋体" w:hAnsi="宋体" w:eastAsia="宋体" w:cs="宋体"/>
                <w:b w:val="0"/>
                <w:bCs w:val="0"/>
                <w:color w:val="auto"/>
                <w:highlight w:val="none"/>
                <w:lang w:val="en-US" w:eastAsia="zh-CN"/>
              </w:rPr>
              <w:t>投标下浮率：</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w:t>
            </w:r>
          </w:p>
          <w:p>
            <w:pPr>
              <w:rPr>
                <w:rFonts w:hint="eastAsia"/>
                <w:lang w:val="en-US" w:eastAsia="zh-CN"/>
              </w:rPr>
            </w:pPr>
            <w:r>
              <w:rPr>
                <w:rFonts w:hint="eastAsia" w:ascii="宋体" w:hAnsi="宋体" w:cs="宋体"/>
                <w:b w:val="0"/>
                <w:bCs w:val="0"/>
                <w:color w:val="auto"/>
                <w:highlight w:val="none"/>
                <w:lang w:val="en-US" w:eastAsia="zh-CN"/>
              </w:rPr>
              <w:t>监理</w:t>
            </w:r>
            <w:r>
              <w:rPr>
                <w:rFonts w:hint="eastAsia" w:ascii="宋体" w:hAnsi="宋体" w:eastAsia="宋体" w:cs="宋体"/>
                <w:b w:val="0"/>
                <w:bCs w:val="0"/>
                <w:color w:val="auto"/>
                <w:highlight w:val="none"/>
              </w:rPr>
              <w:t>费</w:t>
            </w:r>
            <w:r>
              <w:rPr>
                <w:rFonts w:hint="eastAsia" w:ascii="宋体" w:hAnsi="宋体" w:eastAsia="宋体" w:cs="宋体"/>
                <w:b w:val="0"/>
                <w:bCs w:val="0"/>
                <w:color w:val="auto"/>
                <w:highlight w:val="none"/>
                <w:lang w:val="en-US" w:eastAsia="zh-CN"/>
              </w:rPr>
              <w:t>投标</w:t>
            </w:r>
            <w:r>
              <w:rPr>
                <w:rFonts w:hint="eastAsia" w:hAnsi="宋体" w:cs="宋体"/>
                <w:szCs w:val="24"/>
                <w:highlight w:val="none"/>
              </w:rPr>
              <w:t>下浮率=【1-（投标报价/监理服务</w:t>
            </w:r>
            <w:r>
              <w:rPr>
                <w:rFonts w:hint="eastAsia" w:hAnsi="宋体" w:cs="宋体"/>
                <w:szCs w:val="24"/>
                <w:highlight w:val="none"/>
                <w:lang w:val="en-US" w:eastAsia="zh-CN"/>
              </w:rPr>
              <w:t>费</w:t>
            </w:r>
            <w:r>
              <w:rPr>
                <w:rFonts w:hint="eastAsia" w:hAnsi="宋体" w:cs="宋体"/>
                <w:szCs w:val="24"/>
                <w:highlight w:val="none"/>
              </w:rPr>
              <w:t>最高投标限价）】*100%</w:t>
            </w:r>
            <w:r>
              <w:rPr>
                <w:rFonts w:hint="eastAsia" w:ascii="宋体" w:hAnsi="宋体"/>
                <w:color w:val="auto"/>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5" w:hRule="atLeast"/>
          <w:jc w:val="center"/>
        </w:trPr>
        <w:tc>
          <w:tcPr>
            <w:tcW w:w="3122" w:type="dxa"/>
            <w:tcBorders>
              <w:top w:val="single" w:color="auto" w:sz="4" w:space="0"/>
            </w:tcBorders>
            <w:noWrap w:val="0"/>
            <w:vAlign w:val="center"/>
          </w:tcPr>
          <w:p>
            <w:pPr>
              <w:jc w:val="center"/>
              <w:rPr>
                <w:rFonts w:hint="eastAsia" w:ascii="宋体" w:hAnsi="宋体"/>
                <w:b w:val="0"/>
                <w:bCs w:val="0"/>
                <w:color w:val="auto"/>
                <w:kern w:val="0"/>
                <w:sz w:val="21"/>
                <w:szCs w:val="21"/>
                <w:highlight w:val="none"/>
                <w:lang w:val="en-US" w:eastAsia="zh-CN" w:bidi="ar-SA"/>
              </w:rPr>
            </w:pPr>
            <w:r>
              <w:rPr>
                <w:rFonts w:hint="eastAsia" w:ascii="宋体" w:hAnsi="宋体" w:eastAsia="宋体" w:cs="宋体"/>
                <w:b w:val="0"/>
                <w:bCs w:val="0"/>
                <w:color w:val="auto"/>
                <w:highlight w:val="none"/>
              </w:rPr>
              <w:t>全过程造价咨询服务费</w:t>
            </w:r>
          </w:p>
        </w:tc>
        <w:tc>
          <w:tcPr>
            <w:tcW w:w="6238" w:type="dxa"/>
            <w:gridSpan w:val="2"/>
            <w:tcBorders>
              <w:top w:val="single" w:color="auto" w:sz="4" w:space="0"/>
            </w:tcBorders>
            <w:noWrap w:val="0"/>
            <w:vAlign w:val="center"/>
          </w:tcPr>
          <w:p>
            <w:pPr>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其中不含税金额：元，税率    %，税额   元。</w:t>
            </w:r>
            <w:r>
              <w:rPr>
                <w:rFonts w:hint="eastAsia" w:ascii="宋体" w:hAnsi="宋体" w:eastAsia="宋体" w:cs="宋体"/>
                <w:b w:val="0"/>
                <w:bCs w:val="0"/>
                <w:color w:val="auto"/>
                <w:highlight w:val="none"/>
              </w:rPr>
              <w:t>全过程咨询费</w:t>
            </w:r>
            <w:r>
              <w:rPr>
                <w:rFonts w:hint="eastAsia" w:ascii="宋体" w:hAnsi="宋体" w:eastAsia="宋体" w:cs="宋体"/>
                <w:b w:val="0"/>
                <w:bCs w:val="0"/>
                <w:color w:val="auto"/>
                <w:highlight w:val="none"/>
                <w:lang w:val="en-US" w:eastAsia="zh-CN"/>
              </w:rPr>
              <w:t>投标下浮率：</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w:t>
            </w:r>
            <w:r>
              <w:rPr>
                <w:rFonts w:hint="eastAsia" w:ascii="宋体" w:hAnsi="宋体" w:eastAsia="宋体" w:cs="宋体"/>
                <w:b w:val="0"/>
                <w:bCs w:val="0"/>
                <w:color w:val="auto"/>
                <w:highlight w:val="none"/>
              </w:rPr>
              <w:t>全过程咨询费</w:t>
            </w:r>
            <w:r>
              <w:rPr>
                <w:rFonts w:hint="eastAsia" w:ascii="宋体" w:hAnsi="宋体" w:eastAsia="宋体" w:cs="宋体"/>
                <w:b w:val="0"/>
                <w:bCs w:val="0"/>
                <w:color w:val="auto"/>
                <w:highlight w:val="none"/>
                <w:lang w:val="en-US" w:eastAsia="zh-CN"/>
              </w:rPr>
              <w:t>投标</w:t>
            </w:r>
            <w:r>
              <w:rPr>
                <w:rFonts w:hint="eastAsia" w:hAnsi="宋体" w:cs="宋体"/>
                <w:szCs w:val="24"/>
                <w:highlight w:val="none"/>
              </w:rPr>
              <w:t>下浮率=【1-（投标报价/</w:t>
            </w:r>
            <w:r>
              <w:rPr>
                <w:rFonts w:hint="eastAsia" w:ascii="宋体" w:hAnsi="宋体" w:eastAsia="宋体" w:cs="宋体"/>
                <w:b w:val="0"/>
                <w:bCs w:val="0"/>
                <w:color w:val="auto"/>
                <w:highlight w:val="none"/>
              </w:rPr>
              <w:t>全过程咨询</w:t>
            </w:r>
            <w:r>
              <w:rPr>
                <w:rFonts w:hint="eastAsia" w:hAnsi="宋体" w:cs="宋体"/>
                <w:szCs w:val="24"/>
                <w:highlight w:val="none"/>
              </w:rPr>
              <w:t>服务最高投标限价）】*100%</w:t>
            </w:r>
            <w:r>
              <w:rPr>
                <w:rFonts w:hint="eastAsia" w:ascii="宋体" w:hAnsi="宋体"/>
                <w:color w:val="auto"/>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3122" w:type="dxa"/>
            <w:noWrap w:val="0"/>
            <w:vAlign w:val="center"/>
          </w:tcPr>
          <w:p>
            <w:pPr>
              <w:snapToGrid w:val="0"/>
              <w:spacing w:line="420" w:lineRule="exact"/>
              <w:ind w:right="-108"/>
              <w:jc w:val="center"/>
              <w:rPr>
                <w:rFonts w:hint="eastAsia" w:ascii="宋体" w:hAnsi="宋体"/>
                <w:color w:val="auto"/>
                <w:kern w:val="0"/>
                <w:szCs w:val="21"/>
                <w:highlight w:val="none"/>
              </w:rPr>
            </w:pPr>
            <w:r>
              <w:rPr>
                <w:rFonts w:hint="eastAsia" w:ascii="宋体" w:hAnsi="宋体"/>
                <w:color w:val="auto"/>
                <w:kern w:val="0"/>
                <w:szCs w:val="21"/>
                <w:highlight w:val="none"/>
              </w:rPr>
              <w:t>服务期限</w:t>
            </w:r>
          </w:p>
        </w:tc>
        <w:tc>
          <w:tcPr>
            <w:tcW w:w="6238" w:type="dxa"/>
            <w:gridSpan w:val="2"/>
            <w:noWrap w:val="0"/>
            <w:vAlign w:val="center"/>
          </w:tcPr>
          <w:p>
            <w:pPr>
              <w:snapToGrid w:val="0"/>
              <w:spacing w:line="420" w:lineRule="exact"/>
              <w:ind w:right="482"/>
              <w:rPr>
                <w:rFonts w:hint="eastAsia" w:ascii="宋体" w:hAnsi="宋体"/>
                <w:color w:val="auto"/>
                <w:kern w:val="0"/>
                <w:szCs w:val="21"/>
                <w:highlight w:val="none"/>
              </w:rPr>
            </w:pPr>
            <w:r>
              <w:rPr>
                <w:rFonts w:hint="eastAsia" w:ascii="宋体" w:hAnsi="宋体"/>
                <w:color w:val="auto"/>
                <w:kern w:val="0"/>
                <w:szCs w:val="21"/>
                <w:highlight w:val="none"/>
              </w:rPr>
              <w:t>按招标文件要求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3122" w:type="dxa"/>
            <w:noWrap w:val="0"/>
            <w:vAlign w:val="center"/>
          </w:tcPr>
          <w:p>
            <w:pPr>
              <w:snapToGrid w:val="0"/>
              <w:spacing w:line="420" w:lineRule="exact"/>
              <w:ind w:right="-108"/>
              <w:jc w:val="center"/>
              <w:rPr>
                <w:rFonts w:hint="eastAsia" w:ascii="宋体" w:hAnsi="宋体"/>
                <w:color w:val="auto"/>
                <w:kern w:val="0"/>
                <w:szCs w:val="21"/>
                <w:highlight w:val="none"/>
              </w:rPr>
            </w:pPr>
            <w:r>
              <w:rPr>
                <w:rFonts w:hint="eastAsia" w:ascii="宋体" w:hAnsi="宋体"/>
                <w:color w:val="auto"/>
                <w:kern w:val="0"/>
                <w:szCs w:val="21"/>
                <w:highlight w:val="none"/>
              </w:rPr>
              <w:t>质量标准</w:t>
            </w:r>
          </w:p>
        </w:tc>
        <w:tc>
          <w:tcPr>
            <w:tcW w:w="6238" w:type="dxa"/>
            <w:gridSpan w:val="2"/>
            <w:noWrap w:val="0"/>
            <w:vAlign w:val="center"/>
          </w:tcPr>
          <w:p>
            <w:pPr>
              <w:snapToGrid w:val="0"/>
              <w:spacing w:line="420" w:lineRule="exact"/>
              <w:ind w:right="482"/>
              <w:rPr>
                <w:rFonts w:hint="eastAsia" w:ascii="宋体" w:hAnsi="宋体"/>
                <w:color w:val="auto"/>
                <w:kern w:val="0"/>
                <w:szCs w:val="21"/>
                <w:highlight w:val="none"/>
              </w:rPr>
            </w:pPr>
            <w:r>
              <w:rPr>
                <w:rFonts w:hint="eastAsia" w:ascii="宋体" w:hAnsi="宋体"/>
                <w:color w:val="auto"/>
                <w:kern w:val="0"/>
                <w:szCs w:val="21"/>
                <w:highlight w:val="none"/>
              </w:rPr>
              <w:t>按招标文件要求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3122" w:type="dxa"/>
            <w:noWrap w:val="0"/>
            <w:vAlign w:val="center"/>
          </w:tcPr>
          <w:p>
            <w:pPr>
              <w:snapToGrid w:val="0"/>
              <w:spacing w:line="420" w:lineRule="exact"/>
              <w:ind w:right="-108"/>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投标有效期</w:t>
            </w:r>
          </w:p>
        </w:tc>
        <w:tc>
          <w:tcPr>
            <w:tcW w:w="6238" w:type="dxa"/>
            <w:gridSpan w:val="2"/>
            <w:noWrap w:val="0"/>
            <w:vAlign w:val="center"/>
          </w:tcPr>
          <w:p>
            <w:pPr>
              <w:snapToGrid w:val="0"/>
              <w:spacing w:line="420" w:lineRule="exact"/>
              <w:ind w:right="-108"/>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按招标文件要求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7" w:hRule="atLeast"/>
          <w:jc w:val="center"/>
        </w:trPr>
        <w:tc>
          <w:tcPr>
            <w:tcW w:w="3122" w:type="dxa"/>
            <w:noWrap w:val="0"/>
            <w:vAlign w:val="center"/>
          </w:tcPr>
          <w:p>
            <w:pPr>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0"/>
                <w:szCs w:val="21"/>
                <w:highlight w:val="none"/>
              </w:rPr>
              <w:t>合同价款确定方式</w:t>
            </w:r>
          </w:p>
        </w:tc>
        <w:tc>
          <w:tcPr>
            <w:tcW w:w="6238" w:type="dxa"/>
            <w:gridSpan w:val="2"/>
            <w:noWrap w:val="0"/>
            <w:vAlign w:val="center"/>
          </w:tcPr>
          <w:p>
            <w:p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0"/>
                <w:szCs w:val="21"/>
                <w:highlight w:val="none"/>
              </w:rPr>
              <w:t>按招标文件要求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3122" w:type="dxa"/>
            <w:vMerge w:val="restart"/>
            <w:noWrap w:val="0"/>
            <w:vAlign w:val="center"/>
          </w:tcPr>
          <w:p>
            <w:pPr>
              <w:snapToGrid w:val="0"/>
              <w:spacing w:line="420" w:lineRule="exact"/>
              <w:ind w:right="-108"/>
              <w:jc w:val="center"/>
              <w:rPr>
                <w:rFonts w:hint="eastAsia" w:ascii="宋体" w:hAnsi="宋体"/>
                <w:color w:val="auto"/>
                <w:kern w:val="0"/>
                <w:szCs w:val="21"/>
                <w:highlight w:val="none"/>
              </w:rPr>
            </w:pPr>
            <w:r>
              <w:rPr>
                <w:rFonts w:hint="eastAsia" w:ascii="宋体" w:hAnsi="宋体"/>
                <w:color w:val="auto"/>
                <w:kern w:val="0"/>
                <w:szCs w:val="21"/>
                <w:highlight w:val="none"/>
              </w:rPr>
              <w:t>拟委派的总监理工程师</w:t>
            </w:r>
          </w:p>
        </w:tc>
        <w:tc>
          <w:tcPr>
            <w:tcW w:w="1851" w:type="dxa"/>
            <w:noWrap w:val="0"/>
            <w:vAlign w:val="center"/>
          </w:tcPr>
          <w:p>
            <w:pPr>
              <w:jc w:val="center"/>
              <w:rPr>
                <w:rFonts w:hint="eastAsia"/>
                <w:color w:val="auto"/>
                <w:highlight w:val="none"/>
              </w:rPr>
            </w:pPr>
            <w:r>
              <w:rPr>
                <w:rFonts w:hint="eastAsia"/>
                <w:color w:val="auto"/>
                <w:highlight w:val="none"/>
              </w:rPr>
              <w:t>姓    名</w:t>
            </w:r>
          </w:p>
        </w:tc>
        <w:tc>
          <w:tcPr>
            <w:tcW w:w="4387" w:type="dxa"/>
            <w:noWrap w:val="0"/>
            <w:vAlign w:val="center"/>
          </w:tcPr>
          <w:p>
            <w:pPr>
              <w:snapToGrid w:val="0"/>
              <w:spacing w:line="420" w:lineRule="exact"/>
              <w:ind w:right="482"/>
              <w:rPr>
                <w:rFonts w:hint="eastAsia"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3122" w:type="dxa"/>
            <w:vMerge w:val="continue"/>
            <w:noWrap w:val="0"/>
            <w:vAlign w:val="center"/>
          </w:tcPr>
          <w:p>
            <w:pPr>
              <w:snapToGrid w:val="0"/>
              <w:spacing w:line="420" w:lineRule="exact"/>
              <w:ind w:right="-108"/>
              <w:jc w:val="center"/>
              <w:rPr>
                <w:rFonts w:hint="eastAsia" w:ascii="宋体" w:hAnsi="宋体"/>
                <w:color w:val="auto"/>
                <w:kern w:val="0"/>
                <w:szCs w:val="21"/>
                <w:highlight w:val="none"/>
              </w:rPr>
            </w:pPr>
          </w:p>
        </w:tc>
        <w:tc>
          <w:tcPr>
            <w:tcW w:w="1851" w:type="dxa"/>
            <w:noWrap w:val="0"/>
            <w:vAlign w:val="center"/>
          </w:tcPr>
          <w:p>
            <w:pPr>
              <w:jc w:val="center"/>
              <w:rPr>
                <w:rFonts w:hint="eastAsia"/>
                <w:color w:val="auto"/>
                <w:highlight w:val="none"/>
              </w:rPr>
            </w:pPr>
            <w:r>
              <w:rPr>
                <w:rFonts w:hint="eastAsia"/>
                <w:color w:val="auto"/>
                <w:highlight w:val="none"/>
              </w:rPr>
              <w:t>技术职称</w:t>
            </w:r>
          </w:p>
        </w:tc>
        <w:tc>
          <w:tcPr>
            <w:tcW w:w="4387" w:type="dxa"/>
            <w:noWrap w:val="0"/>
            <w:vAlign w:val="center"/>
          </w:tcPr>
          <w:p>
            <w:pPr>
              <w:snapToGrid w:val="0"/>
              <w:spacing w:line="420" w:lineRule="exact"/>
              <w:ind w:right="482"/>
              <w:rPr>
                <w:rFonts w:hint="eastAsia" w:ascii="宋体" w:hAnsi="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6" w:hRule="atLeast"/>
          <w:jc w:val="center"/>
        </w:trPr>
        <w:tc>
          <w:tcPr>
            <w:tcW w:w="3122" w:type="dxa"/>
            <w:vMerge w:val="continue"/>
            <w:noWrap w:val="0"/>
            <w:vAlign w:val="center"/>
          </w:tcPr>
          <w:p>
            <w:pPr>
              <w:snapToGrid w:val="0"/>
              <w:spacing w:line="420" w:lineRule="exact"/>
              <w:ind w:right="-108"/>
              <w:jc w:val="center"/>
              <w:rPr>
                <w:rFonts w:hint="eastAsia" w:ascii="宋体" w:hAnsi="宋体"/>
                <w:color w:val="auto"/>
                <w:kern w:val="0"/>
                <w:szCs w:val="21"/>
                <w:highlight w:val="none"/>
              </w:rPr>
            </w:pPr>
          </w:p>
        </w:tc>
        <w:tc>
          <w:tcPr>
            <w:tcW w:w="1851" w:type="dxa"/>
            <w:noWrap w:val="0"/>
            <w:vAlign w:val="center"/>
          </w:tcPr>
          <w:p>
            <w:pPr>
              <w:jc w:val="center"/>
              <w:rPr>
                <w:rFonts w:hint="eastAsia"/>
                <w:color w:val="auto"/>
                <w:highlight w:val="none"/>
              </w:rPr>
            </w:pPr>
            <w:r>
              <w:rPr>
                <w:rFonts w:hint="eastAsia"/>
                <w:color w:val="auto"/>
                <w:highlight w:val="none"/>
              </w:rPr>
              <w:t>注册证号</w:t>
            </w:r>
          </w:p>
        </w:tc>
        <w:tc>
          <w:tcPr>
            <w:tcW w:w="4387" w:type="dxa"/>
            <w:noWrap w:val="0"/>
            <w:vAlign w:val="center"/>
          </w:tcPr>
          <w:p>
            <w:pPr>
              <w:snapToGrid w:val="0"/>
              <w:spacing w:line="420" w:lineRule="exact"/>
              <w:ind w:right="482"/>
              <w:rPr>
                <w:rFonts w:hint="eastAsia" w:ascii="宋体" w:hAnsi="宋体"/>
                <w:color w:val="auto"/>
                <w:kern w:val="0"/>
                <w:szCs w:val="21"/>
                <w:highlight w:val="none"/>
              </w:rPr>
            </w:pPr>
          </w:p>
        </w:tc>
      </w:tr>
    </w:tbl>
    <w:p>
      <w:pPr>
        <w:spacing w:line="480" w:lineRule="exact"/>
        <w:ind w:firstLine="3675" w:firstLineChars="1750"/>
        <w:rPr>
          <w:rFonts w:ascii="宋体" w:hAnsi="宋体" w:cs="宋体"/>
          <w:szCs w:val="21"/>
          <w:u w:val="single"/>
        </w:rPr>
      </w:pPr>
      <w:r>
        <w:rPr>
          <w:rFonts w:hint="eastAsia" w:ascii="宋体" w:hAnsi="宋体" w:cs="宋体"/>
          <w:szCs w:val="21"/>
        </w:rPr>
        <w:t>投标人名称：</w:t>
      </w:r>
      <w:r>
        <w:rPr>
          <w:rFonts w:hint="eastAsia" w:ascii="宋体" w:hAnsi="宋体" w:cs="宋体"/>
          <w:szCs w:val="21"/>
          <w:lang w:val="en-US" w:eastAsia="zh-CN"/>
        </w:rPr>
        <w:t xml:space="preserve">            </w:t>
      </w:r>
      <w:r>
        <w:rPr>
          <w:rFonts w:hint="eastAsia" w:ascii="宋体" w:hAnsi="宋体" w:cs="宋体"/>
          <w:szCs w:val="21"/>
        </w:rPr>
        <w:t>（盖单位章）</w:t>
      </w:r>
    </w:p>
    <w:p>
      <w:pPr>
        <w:tabs>
          <w:tab w:val="left" w:pos="9333"/>
        </w:tabs>
        <w:wordWrap w:val="0"/>
        <w:spacing w:line="480" w:lineRule="exact"/>
        <w:ind w:right="178" w:rightChars="85"/>
        <w:jc w:val="center"/>
        <w:rPr>
          <w:rFonts w:ascii="宋体" w:hAnsi="宋体" w:cs="宋体"/>
          <w:szCs w:val="21"/>
          <w:u w:val="single"/>
        </w:rPr>
      </w:pPr>
      <w:r>
        <w:rPr>
          <w:rFonts w:hint="eastAsia" w:ascii="宋体" w:hAnsi="宋体" w:cs="宋体"/>
          <w:szCs w:val="21"/>
        </w:rPr>
        <w:t xml:space="preserve">法定代表人或委托代理人： </w:t>
      </w:r>
      <w:r>
        <w:rPr>
          <w:rFonts w:hint="eastAsia" w:ascii="宋体" w:hAnsi="宋体" w:cs="宋体"/>
          <w:szCs w:val="21"/>
          <w:lang w:val="en-US" w:eastAsia="zh-CN"/>
        </w:rPr>
        <w:t xml:space="preserve">    </w:t>
      </w:r>
      <w:r>
        <w:rPr>
          <w:rFonts w:hint="eastAsia" w:ascii="宋体" w:hAnsi="宋体" w:cs="宋体"/>
          <w:szCs w:val="21"/>
        </w:rPr>
        <w:t>（签字或盖章）</w:t>
      </w:r>
    </w:p>
    <w:p>
      <w:pPr>
        <w:spacing w:line="480" w:lineRule="exact"/>
        <w:ind w:firstLine="3675" w:firstLineChars="1750"/>
        <w:rPr>
          <w:rFonts w:ascii="宋体" w:hAnsi="宋体" w:cs="宋体"/>
          <w:szCs w:val="21"/>
        </w:rPr>
      </w:pPr>
      <w:r>
        <w:rPr>
          <w:rFonts w:hint="eastAsia" w:ascii="宋体" w:hAnsi="宋体" w:cs="宋体"/>
          <w:szCs w:val="21"/>
        </w:rPr>
        <w:t>日    期：</w:t>
      </w:r>
      <w:r>
        <w:rPr>
          <w:rFonts w:hint="eastAsia" w:ascii="宋体" w:hAnsi="宋体" w:cs="宋体"/>
          <w:szCs w:val="21"/>
          <w:lang w:val="en-US" w:eastAsia="zh-CN"/>
        </w:rPr>
        <w:t xml:space="preserve">   </w:t>
      </w: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w:t>
      </w:r>
    </w:p>
    <w:p>
      <w:pPr>
        <w:rPr>
          <w:rFonts w:hint="eastAsia"/>
          <w:color w:val="000000"/>
          <w:highlight w:val="none"/>
        </w:rPr>
      </w:pPr>
    </w:p>
    <w:p>
      <w:pPr>
        <w:rPr>
          <w:rFonts w:hint="eastAsia"/>
          <w:color w:val="000000"/>
          <w:highlight w:val="none"/>
        </w:rPr>
      </w:pPr>
      <w:r>
        <w:rPr>
          <w:rFonts w:hint="eastAsia"/>
          <w:color w:val="000000"/>
          <w:highlight w:val="none"/>
        </w:rPr>
        <w:t>说明：投标</w:t>
      </w:r>
      <w:r>
        <w:rPr>
          <w:rFonts w:hint="eastAsia"/>
          <w:color w:val="000000"/>
          <w:highlight w:val="none"/>
          <w:lang w:val="en-US" w:eastAsia="zh-CN"/>
        </w:rPr>
        <w:t>费</w:t>
      </w:r>
      <w:r>
        <w:rPr>
          <w:rFonts w:hint="eastAsia"/>
          <w:color w:val="000000"/>
          <w:highlight w:val="none"/>
        </w:rPr>
        <w:t>率及投标报价若出现小数的，保留小数点后二位，第三位四舍五入。</w:t>
      </w:r>
    </w:p>
    <w:p>
      <w:pPr>
        <w:jc w:val="center"/>
        <w:outlineLvl w:val="2"/>
        <w:rPr>
          <w:rFonts w:ascii="宋体" w:hAnsi="宋体" w:cs="宋体"/>
          <w:b/>
          <w:bCs/>
          <w:sz w:val="30"/>
          <w:szCs w:val="30"/>
        </w:rPr>
      </w:pPr>
      <w:r>
        <w:rPr>
          <w:rFonts w:hint="eastAsia" w:ascii="宋体" w:hAnsi="宋体" w:cs="宋体"/>
          <w:b/>
          <w:sz w:val="30"/>
          <w:szCs w:val="30"/>
        </w:rPr>
        <w:br w:type="page"/>
      </w:r>
      <w:bookmarkStart w:id="366" w:name="_Toc23311"/>
      <w:bookmarkStart w:id="367" w:name="_Toc32015"/>
      <w:bookmarkStart w:id="368" w:name="_Toc20437"/>
      <w:bookmarkStart w:id="369" w:name="_Toc31636"/>
      <w:bookmarkStart w:id="370" w:name="_Toc26977"/>
      <w:bookmarkStart w:id="371" w:name="_Toc29685"/>
      <w:bookmarkStart w:id="372" w:name="_Toc27297"/>
      <w:bookmarkStart w:id="373" w:name="_Toc14297"/>
      <w:bookmarkStart w:id="374" w:name="_Toc12136"/>
      <w:bookmarkStart w:id="375" w:name="_Toc3506"/>
      <w:bookmarkStart w:id="376" w:name="_Toc32367"/>
      <w:bookmarkStart w:id="377" w:name="_Toc1201"/>
      <w:bookmarkStart w:id="378" w:name="_Toc28648"/>
      <w:bookmarkStart w:id="379" w:name="_Toc27017"/>
      <w:bookmarkStart w:id="380" w:name="_Toc9946"/>
      <w:bookmarkStart w:id="381" w:name="_Toc2623"/>
      <w:bookmarkStart w:id="382" w:name="_Toc2899"/>
      <w:bookmarkStart w:id="383" w:name="_Toc9208"/>
      <w:bookmarkStart w:id="384" w:name="_Toc2621"/>
      <w:bookmarkStart w:id="385" w:name="_Toc16396"/>
      <w:bookmarkStart w:id="386" w:name="_Toc514170143"/>
      <w:bookmarkStart w:id="387" w:name="_Toc25010"/>
      <w:r>
        <w:rPr>
          <w:rFonts w:hint="eastAsia" w:ascii="宋体" w:hAnsi="宋体" w:cs="宋体"/>
          <w:b/>
          <w:bCs/>
          <w:sz w:val="30"/>
          <w:szCs w:val="30"/>
        </w:rPr>
        <w:t>二、法定代表人身份证明</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spacing w:line="360" w:lineRule="auto"/>
        <w:ind w:firstLine="420" w:firstLineChars="200"/>
        <w:rPr>
          <w:rFonts w:hint="eastAsia" w:ascii="宋体" w:hAnsi="宋体" w:cs="宋体"/>
          <w:color w:val="000000"/>
          <w:highlight w:val="none"/>
        </w:rPr>
      </w:pPr>
    </w:p>
    <w:p>
      <w:pPr>
        <w:spacing w:line="360" w:lineRule="auto"/>
        <w:ind w:firstLine="420" w:firstLineChars="200"/>
        <w:rPr>
          <w:rFonts w:hint="eastAsia" w:ascii="宋体" w:hAnsi="宋体" w:cs="宋体"/>
          <w:color w:val="000000"/>
          <w:highlight w:val="none"/>
        </w:rPr>
      </w:pP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投标人名称：</w:t>
      </w:r>
      <w:r>
        <w:rPr>
          <w:rFonts w:hint="eastAsia" w:ascii="宋体" w:hAnsi="宋体" w:cs="宋体"/>
          <w:color w:val="000000"/>
          <w:szCs w:val="21"/>
          <w:highlight w:val="none"/>
          <w:u w:val="single"/>
        </w:rPr>
        <w:t xml:space="preserve">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姓名：</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性别：</w:t>
      </w:r>
      <w:r>
        <w:rPr>
          <w:rFonts w:hint="eastAsia" w:ascii="宋体" w:hAnsi="宋体" w:cs="宋体"/>
          <w:color w:val="000000"/>
          <w:szCs w:val="21"/>
          <w:highlight w:val="none"/>
          <w:u w:val="single"/>
        </w:rPr>
        <w:t xml:space="preserve">       </w:t>
      </w:r>
      <w:r>
        <w:rPr>
          <w:rFonts w:hint="eastAsia" w:ascii="宋体" w:hAnsi="宋体" w:cs="宋体"/>
          <w:color w:val="000000"/>
          <w:highlight w:val="none"/>
        </w:rPr>
        <w:t>年龄：</w:t>
      </w:r>
      <w:r>
        <w:rPr>
          <w:rFonts w:hint="eastAsia" w:ascii="宋体" w:hAnsi="宋体" w:cs="宋体"/>
          <w:color w:val="000000"/>
          <w:szCs w:val="21"/>
          <w:highlight w:val="none"/>
          <w:u w:val="single"/>
        </w:rPr>
        <w:t xml:space="preserve">       </w:t>
      </w:r>
      <w:r>
        <w:rPr>
          <w:rFonts w:hint="eastAsia" w:ascii="宋体" w:hAnsi="宋体" w:cs="宋体"/>
          <w:color w:val="000000"/>
          <w:highlight w:val="none"/>
        </w:rPr>
        <w:t>职务：</w:t>
      </w:r>
      <w:r>
        <w:rPr>
          <w:rFonts w:hint="eastAsia" w:ascii="宋体" w:hAnsi="宋体" w:cs="宋体"/>
          <w:color w:val="000000"/>
          <w:szCs w:val="21"/>
          <w:highlight w:val="none"/>
          <w:u w:val="single"/>
        </w:rPr>
        <w:t xml:space="preserve">       </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系</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（投标人名称）的法定代表人。</w:t>
      </w:r>
    </w:p>
    <w:p>
      <w:pPr>
        <w:spacing w:line="360" w:lineRule="auto"/>
        <w:ind w:firstLine="840" w:firstLineChars="400"/>
        <w:rPr>
          <w:rFonts w:hint="eastAsia" w:ascii="宋体" w:hAnsi="宋体" w:cs="宋体"/>
          <w:color w:val="000000"/>
          <w:highlight w:val="none"/>
        </w:rPr>
      </w:pPr>
      <w:r>
        <w:rPr>
          <w:rFonts w:hint="eastAsia" w:ascii="宋体" w:hAnsi="宋体" w:cs="宋体"/>
          <w:color w:val="000000"/>
          <w:highlight w:val="none"/>
        </w:rPr>
        <w:t>特此证明。</w:t>
      </w:r>
    </w:p>
    <w:p>
      <w:pPr>
        <w:spacing w:line="360" w:lineRule="auto"/>
        <w:ind w:firstLine="420" w:firstLineChars="200"/>
        <w:rPr>
          <w:rFonts w:hint="eastAsia" w:ascii="宋体" w:hAnsi="宋体" w:cs="宋体"/>
          <w:color w:val="000000"/>
          <w:highlight w:val="none"/>
        </w:rPr>
      </w:pP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附：法定代表人身份证扫描件。</w:t>
      </w:r>
    </w:p>
    <w:p>
      <w:pPr>
        <w:spacing w:line="360" w:lineRule="auto"/>
        <w:ind w:firstLine="420" w:firstLineChars="200"/>
        <w:rPr>
          <w:rFonts w:hint="eastAsia" w:ascii="宋体" w:hAnsi="宋体" w:cs="宋体"/>
          <w:color w:val="000000"/>
          <w:highlight w:val="none"/>
        </w:rPr>
      </w:pP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注：本身份证明需由投标人加盖单位公章。</w:t>
      </w:r>
    </w:p>
    <w:p>
      <w:pPr>
        <w:spacing w:line="360" w:lineRule="auto"/>
        <w:ind w:firstLine="420" w:firstLineChars="200"/>
        <w:rPr>
          <w:rFonts w:hint="eastAsia" w:ascii="宋体" w:hAnsi="宋体" w:cs="宋体"/>
          <w:color w:val="000000"/>
          <w:highlight w:val="none"/>
        </w:rPr>
      </w:pPr>
    </w:p>
    <w:p>
      <w:pPr>
        <w:spacing w:line="360" w:lineRule="auto"/>
        <w:ind w:firstLine="420" w:firstLineChars="200"/>
        <w:rPr>
          <w:rFonts w:hint="eastAsia" w:ascii="宋体" w:hAnsi="宋体" w:cs="宋体"/>
          <w:color w:val="000000"/>
          <w:highlight w:val="none"/>
        </w:rPr>
      </w:pPr>
    </w:p>
    <w:p>
      <w:pPr>
        <w:spacing w:line="360" w:lineRule="auto"/>
        <w:ind w:firstLine="420" w:firstLineChars="200"/>
        <w:rPr>
          <w:rFonts w:hint="eastAsia" w:ascii="宋体" w:hAnsi="宋体" w:cs="宋体"/>
          <w:color w:val="000000"/>
          <w:highlight w:val="none"/>
        </w:rPr>
      </w:pPr>
    </w:p>
    <w:p>
      <w:pPr>
        <w:spacing w:line="360" w:lineRule="exact"/>
        <w:ind w:firstLine="3465" w:firstLineChars="1650"/>
        <w:rPr>
          <w:rFonts w:hint="eastAsia" w:ascii="宋体" w:hAnsi="宋体" w:cs="宋体"/>
          <w:color w:val="000000"/>
          <w:highlight w:val="none"/>
        </w:rPr>
      </w:pPr>
      <w:r>
        <w:rPr>
          <w:rFonts w:hint="eastAsia" w:ascii="宋体" w:hAnsi="宋体" w:cs="宋体"/>
          <w:color w:val="000000"/>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（盖单位章）</w:t>
      </w:r>
    </w:p>
    <w:p>
      <w:pPr>
        <w:spacing w:line="360" w:lineRule="exact"/>
        <w:ind w:firstLine="4305" w:firstLineChars="2050"/>
        <w:rPr>
          <w:rFonts w:hint="eastAsia" w:ascii="宋体" w:hAnsi="宋体" w:cs="宋体"/>
          <w:color w:val="000000"/>
          <w:highlight w:val="none"/>
        </w:rPr>
      </w:pPr>
    </w:p>
    <w:p>
      <w:pPr>
        <w:spacing w:line="360" w:lineRule="exact"/>
        <w:ind w:firstLine="4305" w:firstLineChars="2050"/>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日</w:t>
      </w:r>
    </w:p>
    <w:p>
      <w:pPr>
        <w:rPr>
          <w:rFonts w:ascii="宋体" w:hAnsi="宋体" w:cs="宋体"/>
          <w:b/>
          <w:sz w:val="30"/>
          <w:szCs w:val="30"/>
        </w:rPr>
      </w:pPr>
    </w:p>
    <w:p>
      <w:pPr>
        <w:pStyle w:val="5"/>
        <w:ind w:left="44" w:right="44" w:firstLine="480"/>
        <w:rPr>
          <w:sz w:val="24"/>
          <w:szCs w:val="22"/>
        </w:rPr>
      </w:pPr>
      <w:r>
        <w:rPr>
          <w:rFonts w:hint="eastAsia"/>
          <w:sz w:val="24"/>
          <w:szCs w:val="22"/>
        </w:rPr>
        <w:t>注：联合体投标的，由主办方提供。</w:t>
      </w:r>
    </w:p>
    <w:p>
      <w:pPr>
        <w:jc w:val="center"/>
        <w:rPr>
          <w:rFonts w:ascii="宋体" w:hAnsi="宋体" w:cs="宋体"/>
          <w:b/>
          <w:bCs/>
          <w:sz w:val="30"/>
          <w:szCs w:val="30"/>
        </w:rPr>
      </w:pPr>
    </w:p>
    <w:p>
      <w:pPr>
        <w:spacing w:after="240" w:line="360" w:lineRule="auto"/>
        <w:ind w:left="3249" w:right="3249"/>
        <w:jc w:val="center"/>
        <w:rPr>
          <w:rFonts w:ascii="宋体" w:hAnsi="宋体" w:cs="宋体"/>
          <w:b/>
          <w:sz w:val="30"/>
          <w:szCs w:val="30"/>
        </w:rPr>
      </w:pPr>
      <w:r>
        <w:rPr>
          <w:rFonts w:hint="eastAsia" w:ascii="宋体" w:hAnsi="宋体" w:cs="宋体"/>
          <w:b/>
          <w:bCs/>
          <w:sz w:val="30"/>
          <w:szCs w:val="30"/>
        </w:rPr>
        <w:br w:type="page"/>
      </w:r>
      <w:bookmarkStart w:id="388" w:name="_Toc16423"/>
      <w:bookmarkStart w:id="389" w:name="_Toc7629"/>
      <w:bookmarkStart w:id="390" w:name="_Toc23382"/>
      <w:bookmarkStart w:id="391" w:name="_Toc32660"/>
      <w:r>
        <w:rPr>
          <w:rFonts w:hint="eastAsia" w:ascii="宋体" w:hAnsi="宋体" w:cs="宋体"/>
          <w:b/>
          <w:bCs/>
          <w:sz w:val="30"/>
          <w:szCs w:val="30"/>
          <w:lang w:val="en-US" w:eastAsia="zh-CN"/>
        </w:rPr>
        <w:t>三、</w:t>
      </w:r>
      <w:r>
        <w:rPr>
          <w:rFonts w:hint="eastAsia" w:ascii="宋体" w:hAnsi="宋体" w:cs="宋体"/>
          <w:b/>
          <w:sz w:val="30"/>
          <w:szCs w:val="30"/>
        </w:rPr>
        <w:t>授权委托书</w:t>
      </w:r>
    </w:p>
    <w:bookmarkEnd w:id="388"/>
    <w:bookmarkEnd w:id="389"/>
    <w:bookmarkEnd w:id="390"/>
    <w:bookmarkEnd w:id="391"/>
    <w:p>
      <w:pPr>
        <w:spacing w:line="360" w:lineRule="auto"/>
        <w:ind w:firstLine="420" w:firstLineChars="200"/>
        <w:rPr>
          <w:rFonts w:hint="eastAsia" w:ascii="宋体" w:hAnsi="宋体" w:cs="宋体"/>
          <w:color w:val="000000"/>
          <w:highlight w:val="none"/>
        </w:rPr>
      </w:pP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本人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（姓名）系</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（投标人名称）的法定代表人，现委托</w:t>
      </w:r>
      <w:r>
        <w:rPr>
          <w:rFonts w:hint="eastAsia" w:ascii="宋体" w:hAnsi="宋体" w:cs="宋体"/>
          <w:color w:val="000000"/>
          <w:szCs w:val="21"/>
          <w:highlight w:val="none"/>
          <w:u w:val="single"/>
        </w:rPr>
        <w:t xml:space="preserve">          </w:t>
      </w:r>
      <w:r>
        <w:rPr>
          <w:rFonts w:hint="eastAsia" w:ascii="宋体" w:hAnsi="宋体" w:cs="宋体"/>
          <w:color w:val="000000"/>
          <w:highlight w:val="none"/>
        </w:rPr>
        <w:t>（姓名）为我方代理人。代理人根据授权，以我方名义签署、澄清确认、递交、撤回、修改</w:t>
      </w:r>
      <w:r>
        <w:rPr>
          <w:rFonts w:hint="eastAsia" w:ascii="宋体" w:hAnsi="宋体" w:cs="宋体"/>
          <w:color w:val="000000"/>
          <w:highlight w:val="none"/>
          <w:u w:val="single"/>
        </w:rPr>
        <w:t xml:space="preserve">               （项目名称）            </w:t>
      </w:r>
      <w:r>
        <w:rPr>
          <w:rFonts w:hint="eastAsia" w:ascii="宋体" w:hAnsi="宋体" w:cs="宋体"/>
          <w:color w:val="000000"/>
          <w:highlight w:val="none"/>
        </w:rPr>
        <w:t>招标项目投标文件、签订合同和处理有关事宜，其法律后果由我方承担。</w:t>
      </w:r>
    </w:p>
    <w:p>
      <w:pPr>
        <w:spacing w:line="360" w:lineRule="auto"/>
        <w:rPr>
          <w:rFonts w:hint="eastAsia" w:ascii="宋体" w:hAnsi="宋体" w:cs="宋体"/>
          <w:color w:val="000000"/>
          <w:highlight w:val="none"/>
        </w:rPr>
      </w:pPr>
      <w:r>
        <w:rPr>
          <w:rFonts w:hint="eastAsia" w:ascii="宋体" w:hAnsi="宋体" w:cs="宋体"/>
          <w:color w:val="000000"/>
          <w:highlight w:val="none"/>
        </w:rPr>
        <w:t>委托期限：</w:t>
      </w:r>
      <w:r>
        <w:rPr>
          <w:rFonts w:hint="eastAsia" w:ascii="宋体" w:hAnsi="宋体" w:cs="宋体"/>
          <w:color w:val="000000"/>
          <w:szCs w:val="21"/>
          <w:highlight w:val="none"/>
          <w:u w:val="single"/>
        </w:rPr>
        <w:t xml:space="preserve">                        </w:t>
      </w:r>
      <w:r>
        <w:rPr>
          <w:rFonts w:hint="eastAsia" w:ascii="宋体" w:hAnsi="宋体" w:cs="宋体"/>
          <w:color w:val="000000"/>
          <w:highlight w:val="none"/>
        </w:rPr>
        <w:t>。</w:t>
      </w:r>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代理人无转委托权。</w:t>
      </w:r>
    </w:p>
    <w:p>
      <w:pPr>
        <w:spacing w:line="360" w:lineRule="auto"/>
        <w:ind w:firstLine="420" w:firstLineChars="200"/>
        <w:rPr>
          <w:rFonts w:hint="eastAsia" w:ascii="宋体" w:hAnsi="宋体" w:cs="宋体"/>
          <w:color w:val="000000"/>
          <w:highlight w:val="none"/>
        </w:rPr>
      </w:pPr>
    </w:p>
    <w:p>
      <w:pPr>
        <w:spacing w:line="360" w:lineRule="auto"/>
        <w:ind w:firstLine="420" w:firstLineChars="200"/>
        <w:rPr>
          <w:rFonts w:hint="eastAsia" w:ascii="宋体" w:hAnsi="宋体" w:cs="宋体"/>
          <w:color w:val="000000"/>
          <w:highlight w:val="none"/>
        </w:rPr>
      </w:pPr>
    </w:p>
    <w:p>
      <w:pPr>
        <w:spacing w:line="360" w:lineRule="auto"/>
        <w:rPr>
          <w:rFonts w:hint="eastAsia" w:ascii="宋体" w:hAnsi="宋体" w:cs="宋体"/>
          <w:color w:val="000000"/>
          <w:highlight w:val="none"/>
        </w:rPr>
      </w:pPr>
      <w:r>
        <w:rPr>
          <w:rFonts w:hint="eastAsia" w:ascii="宋体" w:hAnsi="宋体" w:cs="宋体"/>
          <w:color w:val="000000"/>
          <w:highlight w:val="none"/>
        </w:rPr>
        <w:t>附：法定代表人身份证扫描件及委托代理人身份证扫描件</w:t>
      </w:r>
    </w:p>
    <w:p>
      <w:pPr>
        <w:spacing w:line="360" w:lineRule="auto"/>
        <w:ind w:firstLine="420" w:firstLineChars="200"/>
        <w:rPr>
          <w:rFonts w:hint="eastAsia" w:ascii="宋体" w:hAnsi="宋体" w:cs="宋体"/>
          <w:color w:val="000000"/>
          <w:highlight w:val="none"/>
        </w:rPr>
      </w:pPr>
    </w:p>
    <w:p>
      <w:pPr>
        <w:spacing w:line="360" w:lineRule="auto"/>
        <w:rPr>
          <w:rFonts w:hint="eastAsia" w:ascii="宋体" w:hAnsi="宋体" w:cs="宋体"/>
          <w:color w:val="000000"/>
          <w:highlight w:val="none"/>
        </w:rPr>
      </w:pPr>
      <w:r>
        <w:rPr>
          <w:rFonts w:hint="eastAsia" w:ascii="宋体" w:hAnsi="宋体" w:cs="宋体"/>
          <w:color w:val="000000"/>
          <w:highlight w:val="none"/>
        </w:rPr>
        <w:t>注：本授权委托书需由投标人加盖单位公章并由其法定代表人和委托代理人签字</w:t>
      </w:r>
      <w:r>
        <w:rPr>
          <w:rFonts w:hint="eastAsia" w:ascii="宋体" w:hAnsi="宋体" w:cs="宋体"/>
          <w:color w:val="000000"/>
          <w:highlight w:val="none"/>
          <w:lang w:val="en-US" w:eastAsia="zh-CN"/>
        </w:rPr>
        <w:t>或盖章</w:t>
      </w:r>
      <w:r>
        <w:rPr>
          <w:rFonts w:hint="eastAsia" w:ascii="宋体" w:hAnsi="宋体" w:cs="宋体"/>
          <w:color w:val="000000"/>
          <w:highlight w:val="none"/>
        </w:rPr>
        <w:t>。</w:t>
      </w:r>
    </w:p>
    <w:p>
      <w:pPr>
        <w:spacing w:line="360" w:lineRule="auto"/>
        <w:ind w:firstLine="420" w:firstLineChars="200"/>
        <w:rPr>
          <w:rFonts w:hint="eastAsia" w:ascii="宋体" w:hAnsi="宋体" w:cs="宋体"/>
          <w:color w:val="000000"/>
          <w:highlight w:val="none"/>
        </w:rPr>
      </w:pPr>
    </w:p>
    <w:p>
      <w:pPr>
        <w:spacing w:line="360" w:lineRule="auto"/>
        <w:ind w:firstLine="420" w:firstLineChars="200"/>
        <w:rPr>
          <w:rFonts w:hint="eastAsia" w:ascii="宋体" w:hAnsi="宋体" w:cs="宋体"/>
          <w:color w:val="000000"/>
          <w:highlight w:val="none"/>
        </w:rPr>
      </w:pPr>
    </w:p>
    <w:p>
      <w:pPr>
        <w:spacing w:line="360" w:lineRule="auto"/>
        <w:ind w:firstLine="2730" w:firstLineChars="1300"/>
        <w:rPr>
          <w:rFonts w:hint="eastAsia" w:ascii="宋体" w:hAnsi="宋体" w:cs="宋体"/>
          <w:color w:val="000000"/>
          <w:highlight w:val="none"/>
        </w:rPr>
      </w:pPr>
      <w:r>
        <w:rPr>
          <w:rFonts w:hint="eastAsia" w:ascii="宋体" w:hAnsi="宋体" w:cs="宋体"/>
          <w:color w:val="000000"/>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（盖单位章）</w:t>
      </w:r>
    </w:p>
    <w:p>
      <w:pPr>
        <w:spacing w:line="360" w:lineRule="auto"/>
        <w:rPr>
          <w:rFonts w:hint="eastAsia" w:ascii="宋体" w:hAnsi="宋体" w:cs="宋体"/>
          <w:color w:val="000000"/>
          <w:highlight w:val="none"/>
        </w:rPr>
      </w:pPr>
      <w:r>
        <w:rPr>
          <w:rFonts w:hint="eastAsia" w:ascii="宋体" w:hAnsi="宋体" w:cs="宋体"/>
          <w:color w:val="000000"/>
          <w:highlight w:val="none"/>
        </w:rPr>
        <w:t xml:space="preserve">    </w:t>
      </w:r>
    </w:p>
    <w:p>
      <w:pPr>
        <w:spacing w:line="360" w:lineRule="auto"/>
        <w:ind w:firstLine="2730" w:firstLineChars="1300"/>
        <w:rPr>
          <w:rFonts w:hint="eastAsia" w:ascii="宋体" w:hAnsi="宋体" w:cs="宋体"/>
          <w:color w:val="000000"/>
          <w:highlight w:val="none"/>
        </w:rPr>
      </w:pPr>
      <w:r>
        <w:rPr>
          <w:rFonts w:hint="eastAsia" w:ascii="宋体" w:hAnsi="宋体" w:cs="宋体"/>
          <w:color w:val="000000"/>
          <w:highlight w:val="none"/>
        </w:rPr>
        <w:t>法定代表人：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（签字或盖章）</w:t>
      </w:r>
    </w:p>
    <w:p>
      <w:pPr>
        <w:spacing w:line="360" w:lineRule="auto"/>
        <w:ind w:firstLine="420" w:firstLineChars="200"/>
        <w:rPr>
          <w:rFonts w:hint="eastAsia" w:ascii="宋体" w:hAnsi="宋体" w:cs="宋体"/>
          <w:color w:val="000000"/>
          <w:highlight w:val="none"/>
        </w:rPr>
      </w:pPr>
    </w:p>
    <w:p>
      <w:pPr>
        <w:spacing w:line="360" w:lineRule="auto"/>
        <w:ind w:firstLine="2730" w:firstLineChars="1300"/>
        <w:rPr>
          <w:rFonts w:hint="eastAsia" w:ascii="宋体" w:hAnsi="宋体" w:cs="宋体"/>
          <w:color w:val="000000"/>
          <w:highlight w:val="none"/>
        </w:rPr>
      </w:pPr>
      <w:r>
        <w:rPr>
          <w:rFonts w:hint="eastAsia" w:ascii="宋体" w:hAnsi="宋体" w:cs="宋体"/>
          <w:color w:val="000000"/>
          <w:highlight w:val="none"/>
        </w:rPr>
        <w:t>身份证号码：</w:t>
      </w:r>
      <w:r>
        <w:rPr>
          <w:rFonts w:hint="eastAsia" w:ascii="宋体" w:hAnsi="宋体" w:cs="宋体"/>
          <w:color w:val="000000"/>
          <w:szCs w:val="21"/>
          <w:highlight w:val="none"/>
          <w:u w:val="single"/>
        </w:rPr>
        <w:t xml:space="preserve">                                        </w:t>
      </w:r>
    </w:p>
    <w:p>
      <w:pPr>
        <w:spacing w:line="360" w:lineRule="auto"/>
        <w:rPr>
          <w:rFonts w:hint="eastAsia" w:ascii="宋体" w:hAnsi="宋体" w:cs="宋体"/>
          <w:color w:val="000000"/>
          <w:highlight w:val="none"/>
        </w:rPr>
      </w:pPr>
      <w:r>
        <w:rPr>
          <w:rFonts w:hint="eastAsia" w:ascii="宋体" w:hAnsi="宋体" w:cs="宋体"/>
          <w:color w:val="000000"/>
          <w:highlight w:val="none"/>
        </w:rPr>
        <w:t xml:space="preserve">    </w:t>
      </w:r>
    </w:p>
    <w:p>
      <w:pPr>
        <w:spacing w:line="360" w:lineRule="auto"/>
        <w:ind w:firstLine="2730" w:firstLineChars="1300"/>
        <w:rPr>
          <w:rFonts w:hint="eastAsia" w:ascii="宋体" w:hAnsi="宋体" w:cs="宋体"/>
          <w:color w:val="000000"/>
          <w:highlight w:val="none"/>
        </w:rPr>
      </w:pPr>
      <w:r>
        <w:rPr>
          <w:rFonts w:hint="eastAsia" w:ascii="宋体" w:hAnsi="宋体" w:cs="宋体"/>
          <w:color w:val="000000"/>
          <w:highlight w:val="none"/>
        </w:rPr>
        <w:t>委托代理人：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（签字或盖章）</w:t>
      </w:r>
    </w:p>
    <w:p>
      <w:pPr>
        <w:spacing w:line="360" w:lineRule="auto"/>
        <w:rPr>
          <w:rFonts w:hint="eastAsia" w:ascii="宋体" w:hAnsi="宋体" w:cs="宋体"/>
          <w:color w:val="000000"/>
          <w:highlight w:val="none"/>
        </w:rPr>
      </w:pPr>
      <w:r>
        <w:rPr>
          <w:rFonts w:hint="eastAsia" w:ascii="宋体" w:hAnsi="宋体" w:cs="宋体"/>
          <w:color w:val="000000"/>
          <w:highlight w:val="none"/>
        </w:rPr>
        <w:t xml:space="preserve">    </w:t>
      </w:r>
    </w:p>
    <w:p>
      <w:pPr>
        <w:spacing w:line="360" w:lineRule="auto"/>
        <w:ind w:firstLine="2730" w:firstLineChars="1300"/>
        <w:rPr>
          <w:rFonts w:hint="eastAsia" w:ascii="宋体" w:hAnsi="宋体" w:cs="宋体"/>
          <w:color w:val="000000"/>
          <w:highlight w:val="none"/>
        </w:rPr>
      </w:pPr>
      <w:r>
        <w:rPr>
          <w:rFonts w:hint="eastAsia" w:ascii="宋体" w:hAnsi="宋体" w:cs="宋体"/>
          <w:color w:val="000000"/>
          <w:highlight w:val="none"/>
        </w:rPr>
        <w:t>身份证号码：</w:t>
      </w:r>
      <w:r>
        <w:rPr>
          <w:rFonts w:hint="eastAsia" w:ascii="宋体" w:hAnsi="宋体" w:cs="宋体"/>
          <w:color w:val="000000"/>
          <w:szCs w:val="21"/>
          <w:highlight w:val="none"/>
          <w:u w:val="single"/>
        </w:rPr>
        <w:t xml:space="preserve">                                        </w:t>
      </w:r>
    </w:p>
    <w:p>
      <w:pPr>
        <w:spacing w:line="360" w:lineRule="auto"/>
        <w:ind w:firstLine="420" w:firstLineChars="200"/>
        <w:rPr>
          <w:rFonts w:hint="eastAsia" w:ascii="宋体" w:hAnsi="宋体" w:cs="宋体"/>
          <w:color w:val="000000"/>
          <w:highlight w:val="none"/>
        </w:rPr>
      </w:pPr>
    </w:p>
    <w:p>
      <w:pPr>
        <w:spacing w:line="360" w:lineRule="auto"/>
        <w:ind w:firstLine="5670" w:firstLineChars="2700"/>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日</w:t>
      </w:r>
    </w:p>
    <w:p>
      <w:pPr>
        <w:spacing w:line="360" w:lineRule="auto"/>
        <w:rPr>
          <w:rFonts w:ascii="宋体" w:hAnsi="宋体" w:cs="宋体"/>
          <w:kern w:val="0"/>
          <w:szCs w:val="21"/>
        </w:rPr>
      </w:pPr>
    </w:p>
    <w:p>
      <w:pPr>
        <w:pStyle w:val="5"/>
        <w:ind w:left="44" w:right="44" w:firstLine="480"/>
        <w:rPr>
          <w:sz w:val="24"/>
          <w:szCs w:val="22"/>
        </w:rPr>
      </w:pPr>
      <w:r>
        <w:rPr>
          <w:rFonts w:hint="eastAsia"/>
          <w:sz w:val="24"/>
          <w:szCs w:val="22"/>
        </w:rPr>
        <w:t>注：联合体投标的，由主办方提供。</w:t>
      </w:r>
    </w:p>
    <w:p>
      <w:pPr>
        <w:autoSpaceDE w:val="0"/>
        <w:autoSpaceDN w:val="0"/>
        <w:adjustRightInd w:val="0"/>
        <w:spacing w:line="480" w:lineRule="exact"/>
        <w:jc w:val="left"/>
        <w:rPr>
          <w:rFonts w:ascii="宋体" w:hAnsi="宋体" w:cs="宋体"/>
          <w:kern w:val="0"/>
          <w:szCs w:val="21"/>
        </w:rPr>
      </w:pPr>
    </w:p>
    <w:p>
      <w:pPr>
        <w:spacing w:line="463" w:lineRule="exact"/>
        <w:ind w:left="3090" w:right="3294"/>
        <w:outlineLvl w:val="2"/>
        <w:rPr>
          <w:rFonts w:hint="default" w:ascii="宋体" w:hAnsi="宋体" w:eastAsia="宋体" w:cs="宋体"/>
          <w:b/>
          <w:bCs/>
          <w:spacing w:val="2"/>
          <w:w w:val="99"/>
          <w:position w:val="-1"/>
          <w:sz w:val="30"/>
          <w:szCs w:val="30"/>
          <w:lang w:val="en-US" w:eastAsia="zh-CN"/>
        </w:rPr>
      </w:pPr>
      <w:r>
        <w:rPr>
          <w:rFonts w:hint="eastAsia" w:ascii="宋体" w:hAnsi="宋体" w:cs="宋体"/>
          <w:sz w:val="30"/>
          <w:szCs w:val="30"/>
        </w:rPr>
        <w:br w:type="page"/>
      </w:r>
      <w:bookmarkStart w:id="392" w:name="_Toc17419"/>
      <w:bookmarkStart w:id="393" w:name="_Toc29321"/>
      <w:bookmarkStart w:id="394" w:name="_Toc24821"/>
      <w:bookmarkStart w:id="395" w:name="_Toc10891"/>
      <w:bookmarkStart w:id="396" w:name="_Toc20557"/>
      <w:bookmarkStart w:id="397" w:name="_Toc13547"/>
      <w:bookmarkStart w:id="398" w:name="_Toc15755"/>
      <w:bookmarkStart w:id="399" w:name="_Toc21600"/>
      <w:bookmarkStart w:id="400" w:name="_Toc4517"/>
      <w:bookmarkStart w:id="401" w:name="_Toc2989"/>
      <w:bookmarkStart w:id="402" w:name="_Toc21638"/>
      <w:bookmarkStart w:id="403" w:name="_Toc23986"/>
      <w:bookmarkStart w:id="404" w:name="_Toc31307"/>
      <w:bookmarkStart w:id="405" w:name="_Toc18701"/>
      <w:bookmarkStart w:id="406" w:name="_Toc8599"/>
      <w:r>
        <w:rPr>
          <w:rFonts w:hint="eastAsia" w:ascii="宋体" w:hAnsi="宋体" w:cs="宋体"/>
          <w:b/>
          <w:sz w:val="30"/>
          <w:szCs w:val="30"/>
          <w:lang w:val="en-US" w:eastAsia="zh-CN"/>
        </w:rPr>
        <w:t>四</w:t>
      </w:r>
      <w:r>
        <w:rPr>
          <w:rFonts w:hint="eastAsia" w:ascii="宋体" w:hAnsi="宋体" w:cs="宋体"/>
          <w:b/>
          <w:bCs/>
          <w:spacing w:val="2"/>
          <w:w w:val="99"/>
          <w:position w:val="-1"/>
          <w:sz w:val="30"/>
          <w:szCs w:val="30"/>
        </w:rPr>
        <w:t>、</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eastAsia" w:ascii="宋体" w:hAnsi="宋体" w:cs="宋体"/>
          <w:b/>
          <w:bCs/>
          <w:spacing w:val="2"/>
          <w:w w:val="99"/>
          <w:position w:val="-1"/>
          <w:sz w:val="30"/>
          <w:szCs w:val="30"/>
          <w:lang w:val="en-US" w:eastAsia="zh-CN"/>
        </w:rPr>
        <w:t>投标保证金</w:t>
      </w:r>
    </w:p>
    <w:p>
      <w:pPr>
        <w:spacing w:line="360" w:lineRule="auto"/>
        <w:rPr>
          <w:rFonts w:ascii="宋体" w:hAnsi="宋体" w:cs="宋体"/>
          <w:b/>
          <w:sz w:val="24"/>
        </w:rPr>
      </w:pPr>
      <w:r>
        <w:rPr>
          <w:rFonts w:hint="eastAsia"/>
          <w:sz w:val="24"/>
        </w:rPr>
        <w:t>1、如采用现金或者支票形式提交的，投标保证金从投标人基本账户递交，由广州交易集团有限公司代收。具体操作要求详见广州交易集团有限公司（广州公共资源交易中心）有关指引，递交事宜请自行咨询交易中心；请各投标人在投标文件递交截止时间前按上述金额递交至广州交易集团有限公司，到账情况以开标时广州交易集团有限公司（广州公共资源交易中心）数据库查询的信息为准。</w:t>
      </w:r>
      <w:r>
        <w:rPr>
          <w:rFonts w:hint="eastAsia" w:ascii="宋体" w:hAnsi="宋体" w:cs="宋体"/>
          <w:b/>
          <w:sz w:val="24"/>
        </w:rPr>
        <w:t>（</w:t>
      </w:r>
      <w:r>
        <w:rPr>
          <w:rFonts w:hint="eastAsia" w:ascii="宋体" w:hAnsi="宋体" w:cs="宋体"/>
          <w:b/>
        </w:rPr>
        <w:t>在此提供经广州公共资源交易中心确认的保证金回执扫描件。</w:t>
      </w:r>
      <w:r>
        <w:rPr>
          <w:rFonts w:hint="eastAsia" w:ascii="宋体" w:hAnsi="宋体" w:cs="宋体"/>
          <w:b/>
          <w:sz w:val="24"/>
        </w:rPr>
        <w:t>）</w:t>
      </w:r>
    </w:p>
    <w:p>
      <w:pPr>
        <w:spacing w:line="360" w:lineRule="auto"/>
        <w:rPr>
          <w:rFonts w:ascii="宋体" w:hAnsi="宋体" w:cs="宋体"/>
          <w:b/>
          <w:sz w:val="24"/>
        </w:rPr>
      </w:pPr>
      <w:r>
        <w:rPr>
          <w:rFonts w:hint="eastAsia"/>
          <w:sz w:val="24"/>
        </w:rPr>
        <w:t>2、如采用非电子形式的银行保函、担保或保证保险或专业工程担保公司担保等形式提交投标保证金的形式提交的，银行保函、或保证保险或专业工程担保公司担保需开具给招标人（受益人也必须是招标人）。在开标前不强制要求投标人提交纸质原件，由中标候选人在中标候选人公示前提交并在网上公示，但投标人应在投标文件中提交非电子形式的银行保函、担保或保证保险等形式的原件扫描件并加盖投标单位电子印章。如投标人选择在开标前提交纸质原件的，可在投标截止时间前单独密封递交（封套上注明“【项目名称】银行保函、担保或保证保险或专业工程担保公司担保”，并注明投标单位名称）至开标室（时间及地点同递交备用投标文件电子光盘的时间及地点）。</w:t>
      </w:r>
      <w:r>
        <w:rPr>
          <w:rFonts w:hint="eastAsia" w:ascii="宋体" w:hAnsi="宋体" w:cs="宋体"/>
          <w:b/>
          <w:sz w:val="24"/>
        </w:rPr>
        <w:t>（</w:t>
      </w:r>
      <w:r>
        <w:rPr>
          <w:rFonts w:hint="eastAsia" w:ascii="宋体" w:hAnsi="宋体" w:cs="宋体"/>
          <w:b/>
        </w:rPr>
        <w:t>在此提供保函或保险</w:t>
      </w:r>
      <w:r>
        <w:rPr>
          <w:rFonts w:hint="eastAsia" w:ascii="宋体" w:hAnsi="宋体" w:cs="宋体"/>
          <w:b/>
          <w:szCs w:val="21"/>
        </w:rPr>
        <w:t>等能够实现保证目的的资料扫描件</w:t>
      </w:r>
      <w:r>
        <w:rPr>
          <w:rFonts w:hint="eastAsia" w:ascii="宋体" w:hAnsi="宋体" w:cs="宋体"/>
          <w:b/>
          <w:sz w:val="24"/>
        </w:rPr>
        <w:t>）</w:t>
      </w:r>
    </w:p>
    <w:p>
      <w:pPr>
        <w:widowControl/>
        <w:adjustRightInd w:val="0"/>
        <w:snapToGrid w:val="0"/>
        <w:spacing w:line="360" w:lineRule="auto"/>
        <w:rPr>
          <w:sz w:val="24"/>
        </w:rPr>
      </w:pPr>
      <w:r>
        <w:rPr>
          <w:rFonts w:hint="eastAsia"/>
          <w:sz w:val="24"/>
        </w:rPr>
        <w:t>3、如采用电子形式的保函、保证保险或担保提交投标保证金的，详见广州交易集团有限公司（广州公共资源交易中心）的相关操作指引为准。</w:t>
      </w:r>
    </w:p>
    <w:p>
      <w:pPr>
        <w:spacing w:line="463" w:lineRule="exact"/>
        <w:ind w:left="3090" w:right="3294"/>
        <w:outlineLvl w:val="2"/>
        <w:rPr>
          <w:rFonts w:hint="eastAsia" w:ascii="宋体" w:hAnsi="宋体" w:cs="宋体"/>
          <w:b/>
          <w:bCs/>
          <w:spacing w:val="2"/>
          <w:w w:val="99"/>
          <w:position w:val="-1"/>
          <w:sz w:val="30"/>
          <w:szCs w:val="30"/>
        </w:rPr>
      </w:pPr>
    </w:p>
    <w:p>
      <w:pPr>
        <w:pStyle w:val="5"/>
        <w:rPr>
          <w:rFonts w:hint="eastAsia" w:ascii="宋体" w:hAnsi="宋体" w:cs="宋体"/>
          <w:b/>
          <w:bCs/>
          <w:spacing w:val="2"/>
          <w:w w:val="99"/>
          <w:position w:val="-1"/>
          <w:sz w:val="30"/>
          <w:szCs w:val="30"/>
        </w:rPr>
      </w:pPr>
    </w:p>
    <w:p>
      <w:pPr>
        <w:rPr>
          <w:rFonts w:hint="eastAsia"/>
        </w:rPr>
      </w:pPr>
      <w:r>
        <w:rPr>
          <w:rFonts w:hint="eastAsia"/>
        </w:rPr>
        <w:br w:type="page"/>
      </w:r>
    </w:p>
    <w:p>
      <w:pPr>
        <w:pStyle w:val="5"/>
        <w:rPr>
          <w:rFonts w:hint="eastAsia"/>
        </w:rPr>
      </w:pPr>
    </w:p>
    <w:p>
      <w:pPr>
        <w:spacing w:line="463" w:lineRule="exact"/>
        <w:ind w:left="3090" w:right="3294"/>
        <w:outlineLvl w:val="2"/>
        <w:rPr>
          <w:rFonts w:ascii="宋体" w:hAnsi="宋体" w:cs="宋体"/>
          <w:b/>
          <w:bCs/>
          <w:sz w:val="30"/>
          <w:szCs w:val="30"/>
        </w:rPr>
      </w:pPr>
      <w:r>
        <w:rPr>
          <w:rFonts w:hint="eastAsia" w:ascii="宋体" w:hAnsi="宋体" w:cs="宋体"/>
          <w:b/>
          <w:bCs/>
          <w:spacing w:val="2"/>
          <w:w w:val="99"/>
          <w:position w:val="-1"/>
          <w:sz w:val="30"/>
          <w:szCs w:val="30"/>
          <w:lang w:val="en-US" w:eastAsia="zh-CN"/>
        </w:rPr>
        <w:t>五、</w:t>
      </w:r>
      <w:r>
        <w:rPr>
          <w:rFonts w:hint="eastAsia" w:ascii="宋体" w:hAnsi="宋体" w:cs="宋体"/>
          <w:b/>
          <w:bCs/>
          <w:spacing w:val="2"/>
          <w:w w:val="99"/>
          <w:position w:val="-1"/>
          <w:sz w:val="30"/>
          <w:szCs w:val="30"/>
        </w:rPr>
        <w:t>联合体协议书</w:t>
      </w:r>
      <w:bookmarkEnd w:id="406"/>
    </w:p>
    <w:p>
      <w:pPr>
        <w:rPr>
          <w:rFonts w:ascii="宋体" w:hAnsi="宋体" w:cs="宋体"/>
        </w:rPr>
      </w:pPr>
    </w:p>
    <w:p>
      <w:pPr>
        <w:jc w:val="center"/>
        <w:rPr>
          <w:rFonts w:hint="eastAsia" w:ascii="宋体" w:hAnsi="宋体" w:cs="宋体"/>
          <w:b/>
          <w:color w:val="000000"/>
          <w:sz w:val="28"/>
          <w:szCs w:val="28"/>
          <w:highlight w:val="none"/>
        </w:rPr>
      </w:pPr>
      <w:bookmarkStart w:id="407" w:name="_Toc8642"/>
      <w:bookmarkStart w:id="408" w:name="_Toc21554"/>
      <w:bookmarkStart w:id="409" w:name="_Toc6334"/>
      <w:bookmarkStart w:id="410" w:name="_Toc8427"/>
      <w:bookmarkStart w:id="411" w:name="_Toc7726"/>
      <w:bookmarkStart w:id="412" w:name="_Toc26331"/>
      <w:bookmarkStart w:id="413" w:name="_Toc3019"/>
      <w:bookmarkStart w:id="414" w:name="_Toc27651"/>
      <w:bookmarkStart w:id="415" w:name="_Toc28503"/>
      <w:bookmarkStart w:id="416" w:name="_Toc32193"/>
      <w:bookmarkStart w:id="417" w:name="_Toc29899"/>
      <w:bookmarkStart w:id="418" w:name="_Toc1357"/>
      <w:bookmarkStart w:id="419" w:name="_Toc13348"/>
      <w:bookmarkStart w:id="420" w:name="_Toc11833"/>
      <w:bookmarkStart w:id="421" w:name="_Toc14901"/>
      <w:bookmarkStart w:id="422" w:name="_Toc499812033"/>
      <w:r>
        <w:rPr>
          <w:rFonts w:hint="eastAsia" w:ascii="宋体" w:hAnsi="宋体" w:cs="宋体"/>
          <w:b/>
          <w:color w:val="000000"/>
          <w:sz w:val="28"/>
          <w:szCs w:val="28"/>
          <w:highlight w:val="none"/>
        </w:rPr>
        <w:t>（格式见招标公告）</w:t>
      </w:r>
    </w:p>
    <w:p>
      <w:pPr>
        <w:rPr>
          <w:rFonts w:hint="eastAsia"/>
          <w:lang w:val="en-US" w:eastAsia="zh-CN"/>
        </w:rPr>
      </w:pPr>
      <w:r>
        <w:rPr>
          <w:rFonts w:hint="eastAsia" w:ascii="宋体" w:hAnsi="宋体" w:cs="宋体"/>
          <w:b/>
          <w:bCs/>
          <w:sz w:val="30"/>
          <w:szCs w:val="30"/>
        </w:rPr>
        <w:br w:type="page"/>
      </w:r>
      <w:bookmarkEnd w:id="407"/>
      <w:bookmarkEnd w:id="408"/>
      <w:bookmarkEnd w:id="409"/>
      <w:bookmarkEnd w:id="410"/>
      <w:bookmarkEnd w:id="411"/>
      <w:bookmarkEnd w:id="412"/>
      <w:bookmarkEnd w:id="413"/>
      <w:bookmarkEnd w:id="414"/>
      <w:bookmarkEnd w:id="415"/>
      <w:bookmarkEnd w:id="416"/>
      <w:bookmarkEnd w:id="417"/>
      <w:bookmarkStart w:id="423" w:name="_Toc25568"/>
      <w:bookmarkStart w:id="424" w:name="_Toc16296"/>
      <w:bookmarkStart w:id="425" w:name="_Toc14816"/>
    </w:p>
    <w:p>
      <w:pPr>
        <w:pStyle w:val="19"/>
        <w:ind w:left="0" w:leftChars="0" w:firstLine="0" w:firstLineChars="0"/>
        <w:rPr>
          <w:rFonts w:hint="eastAsia"/>
          <w:lang w:val="en-US" w:eastAsia="zh-CN"/>
        </w:rPr>
      </w:pPr>
    </w:p>
    <w:p>
      <w:pPr>
        <w:pStyle w:val="3"/>
        <w:jc w:val="center"/>
        <w:rPr>
          <w:rFonts w:ascii="宋体" w:hAnsi="宋体" w:cs="宋体"/>
          <w:sz w:val="36"/>
          <w:szCs w:val="36"/>
        </w:rPr>
      </w:pPr>
      <w:bookmarkStart w:id="426" w:name="_Toc178"/>
      <w:r>
        <w:rPr>
          <w:rFonts w:hint="eastAsia" w:ascii="宋体" w:hAnsi="宋体" w:cs="宋体"/>
          <w:b/>
          <w:bCs w:val="0"/>
          <w:kern w:val="2"/>
          <w:sz w:val="30"/>
          <w:szCs w:val="30"/>
          <w:lang w:val="en-US" w:eastAsia="zh-CN" w:bidi="ar-SA"/>
        </w:rPr>
        <w:t>六</w:t>
      </w:r>
      <w:r>
        <w:rPr>
          <w:rFonts w:hint="eastAsia" w:ascii="宋体" w:hAnsi="宋体" w:eastAsia="宋体" w:cs="宋体"/>
          <w:b/>
          <w:bCs w:val="0"/>
          <w:kern w:val="2"/>
          <w:sz w:val="30"/>
          <w:szCs w:val="30"/>
          <w:lang w:val="en-US" w:eastAsia="zh-CN" w:bidi="ar-SA"/>
        </w:rPr>
        <w:t>、资格审查资料</w:t>
      </w:r>
      <w:bookmarkEnd w:id="423"/>
      <w:bookmarkEnd w:id="424"/>
      <w:bookmarkEnd w:id="425"/>
      <w:bookmarkEnd w:id="426"/>
    </w:p>
    <w:p>
      <w:pPr>
        <w:pStyle w:val="3"/>
        <w:keepNext w:val="0"/>
        <w:keepLines w:val="0"/>
        <w:spacing w:before="20" w:after="0"/>
        <w:ind w:firstLine="137"/>
        <w:jc w:val="center"/>
        <w:rPr>
          <w:rFonts w:ascii="Times New Roman" w:hAnsi="Times New Roman"/>
          <w:highlight w:val="none"/>
        </w:rPr>
      </w:pPr>
      <w:bookmarkStart w:id="427" w:name="_Toc527028922"/>
      <w:r>
        <w:rPr>
          <w:rFonts w:ascii="Times New Roman" w:hAnsi="Times New Roman"/>
          <w:highlight w:val="none"/>
        </w:rPr>
        <w:t>（一）基本情况表</w:t>
      </w:r>
      <w:bookmarkEnd w:id="427"/>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r>
              <w:rPr>
                <w:rFonts w:ascii="Times New Roman" w:hAnsi="Times New Roman"/>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r>
              <w:rPr>
                <w:rFonts w:ascii="Times New Roman" w:hAnsi="Times New Roman"/>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r>
              <w:rPr>
                <w:rFonts w:ascii="Times New Roman" w:hAnsi="Times New Roman"/>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r>
              <w:rPr>
                <w:rFonts w:ascii="Times New Roman" w:hAnsi="Times New Roman"/>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企业</w:t>
            </w:r>
            <w:r>
              <w:rPr>
                <w:rFonts w:ascii="Times New Roman" w:hAnsi="Times New Roman"/>
                <w:szCs w:val="21"/>
                <w:highlight w:val="none"/>
              </w:rPr>
              <w:t>监理</w:t>
            </w:r>
            <w:r>
              <w:rPr>
                <w:rFonts w:ascii="Times New Roman" w:hAnsi="Times New Roman"/>
                <w:highlight w:val="none"/>
              </w:rPr>
              <w:t>资质证书</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ind w:firstLine="105" w:firstLineChars="50"/>
              <w:jc w:val="center"/>
              <w:rPr>
                <w:rFonts w:ascii="Times New Roman" w:hAnsi="Times New Roman"/>
                <w:highlight w:val="none"/>
              </w:rPr>
            </w:pPr>
            <w:r>
              <w:rPr>
                <w:rFonts w:ascii="Times New Roman" w:hAnsi="Times New Roman"/>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ind w:firstLine="105" w:firstLineChars="50"/>
              <w:jc w:val="center"/>
              <w:rPr>
                <w:rFonts w:ascii="Times New Roman" w:hAnsi="Times New Roman"/>
                <w:highlight w:val="none"/>
              </w:rPr>
            </w:pPr>
            <w:r>
              <w:rPr>
                <w:rFonts w:ascii="Times New Roman" w:hAnsi="Times New Roman"/>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3629"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414" w:type="dxa"/>
            <w:vMerge w:val="restart"/>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414" w:type="dxa"/>
            <w:vMerge w:val="continue"/>
            <w:tcBorders>
              <w:left w:val="single" w:color="auto" w:sz="4" w:space="0"/>
              <w:right w:val="single" w:color="auto" w:sz="4" w:space="0"/>
            </w:tcBorders>
            <w:noWrap w:val="0"/>
            <w:vAlign w:val="center"/>
          </w:tcPr>
          <w:p>
            <w:pPr>
              <w:jc w:val="center"/>
              <w:rPr>
                <w:rFonts w:ascii="Times New Roman" w:hAnsi="Times New Roman"/>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414" w:type="dxa"/>
            <w:vMerge w:val="continue"/>
            <w:tcBorders>
              <w:left w:val="single" w:color="auto" w:sz="4" w:space="0"/>
              <w:right w:val="single" w:color="auto" w:sz="4" w:space="0"/>
            </w:tcBorders>
            <w:noWrap w:val="0"/>
            <w:vAlign w:val="center"/>
          </w:tcPr>
          <w:p>
            <w:pPr>
              <w:jc w:val="center"/>
              <w:rPr>
                <w:rFonts w:ascii="Times New Roman" w:hAnsi="Times New Roman"/>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c>
          <w:tcPr>
            <w:tcW w:w="414" w:type="dxa"/>
            <w:vMerge w:val="continue"/>
            <w:tcBorders>
              <w:left w:val="single" w:color="auto" w:sz="4" w:space="0"/>
              <w:right w:val="single" w:color="auto" w:sz="4" w:space="0"/>
            </w:tcBorders>
            <w:noWrap w:val="0"/>
            <w:vAlign w:val="center"/>
          </w:tcPr>
          <w:p>
            <w:pPr>
              <w:jc w:val="center"/>
              <w:rPr>
                <w:rFonts w:ascii="Times New Roman" w:hAnsi="Times New Roman"/>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ind w:firstLine="210" w:firstLineChars="100"/>
              <w:jc w:val="center"/>
              <w:rPr>
                <w:rFonts w:ascii="Times New Roman" w:hAnsi="Times New Roman"/>
                <w:highlight w:val="none"/>
              </w:rPr>
            </w:pPr>
            <w:r>
              <w:rPr>
                <w:rFonts w:ascii="Times New Roman" w:hAnsi="Times New Roman"/>
                <w:highlight w:val="none"/>
              </w:rPr>
              <w:t>经营范围</w:t>
            </w:r>
          </w:p>
        </w:tc>
        <w:tc>
          <w:tcPr>
            <w:tcW w:w="6840" w:type="dxa"/>
            <w:gridSpan w:val="8"/>
            <w:tcBorders>
              <w:top w:val="single" w:color="auto" w:sz="4" w:space="0"/>
              <w:left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highlight w:val="none"/>
              </w:rPr>
            </w:pPr>
            <w:r>
              <w:rPr>
                <w:rFonts w:ascii="Times New Roman" w:hAnsi="Times New Roman"/>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highlight w:val="none"/>
              </w:rPr>
            </w:pPr>
          </w:p>
        </w:tc>
      </w:tr>
    </w:tbl>
    <w:p>
      <w:pPr>
        <w:rPr>
          <w:rFonts w:hint="eastAsia" w:ascii="宋体" w:hAnsi="宋体" w:cs="宋体"/>
          <w:szCs w:val="21"/>
        </w:rPr>
      </w:pPr>
      <w:r>
        <w:rPr>
          <w:rFonts w:hint="eastAsia" w:ascii="宋体" w:hAnsi="宋体" w:cs="宋体"/>
          <w:szCs w:val="21"/>
        </w:rPr>
        <w:t>注：</w:t>
      </w:r>
    </w:p>
    <w:p>
      <w:pPr>
        <w:rPr>
          <w:rFonts w:hint="eastAsia" w:ascii="宋体" w:hAnsi="宋体" w:cs="宋体"/>
          <w:szCs w:val="21"/>
        </w:rPr>
      </w:pPr>
      <w:r>
        <w:rPr>
          <w:rFonts w:hint="eastAsia" w:ascii="宋体" w:hAnsi="宋体" w:cs="宋体"/>
          <w:szCs w:val="21"/>
        </w:rPr>
        <w:t>1.投标人应根据投标人须知第 3.5项的要求和招标公告第3条投标人资格要求在本表后附相关证明材料。</w:t>
      </w:r>
    </w:p>
    <w:p>
      <w:pPr>
        <w:jc w:val="center"/>
        <w:rPr>
          <w:rFonts w:hint="eastAsia" w:ascii="宋体" w:hAnsi="宋体" w:cs="宋体"/>
          <w:b/>
          <w:color w:val="000000"/>
          <w:sz w:val="28"/>
          <w:szCs w:val="28"/>
          <w:highlight w:val="none"/>
        </w:rPr>
      </w:pPr>
      <w:r>
        <w:rPr>
          <w:rFonts w:hint="eastAsia" w:ascii="宋体" w:hAnsi="宋体" w:cs="宋体"/>
          <w:szCs w:val="21"/>
        </w:rPr>
        <w:t>2.联合体投标的，各方均应提供。</w:t>
      </w:r>
      <w:r>
        <w:rPr>
          <w:rFonts w:hint="eastAsia" w:ascii="宋体" w:hAnsi="宋体" w:cs="宋体"/>
          <w:szCs w:val="21"/>
        </w:rPr>
        <w:br w:type="page"/>
      </w:r>
      <w:bookmarkStart w:id="428" w:name="_Toc2862"/>
      <w:bookmarkStart w:id="429" w:name="_Toc13345"/>
      <w:bookmarkStart w:id="430" w:name="_Toc26236"/>
      <w:bookmarkStart w:id="431" w:name="_Toc1268"/>
      <w:bookmarkStart w:id="432" w:name="_Toc13945"/>
      <w:bookmarkStart w:id="433" w:name="_Toc1373"/>
      <w:bookmarkStart w:id="434" w:name="_Toc25608"/>
      <w:bookmarkStart w:id="435" w:name="_Toc10413"/>
      <w:bookmarkStart w:id="436" w:name="_Toc6319"/>
      <w:bookmarkStart w:id="437" w:name="_Toc18835"/>
      <w:bookmarkStart w:id="438" w:name="_Toc25104"/>
      <w:bookmarkStart w:id="439" w:name="_Toc29960"/>
      <w:bookmarkStart w:id="440" w:name="_Toc8313"/>
      <w:bookmarkStart w:id="441" w:name="_Toc11380"/>
      <w:bookmarkStart w:id="442" w:name="_Toc24784"/>
      <w:r>
        <w:rPr>
          <w:rFonts w:hint="eastAsia" w:ascii="Times New Roman" w:hAnsi="Times New Roman" w:eastAsia="宋体" w:cs="Times New Roman"/>
          <w:b/>
          <w:bCs/>
          <w:kern w:val="0"/>
          <w:sz w:val="24"/>
          <w:szCs w:val="32"/>
          <w:highlight w:val="none"/>
          <w:lang w:val="en-US" w:eastAsia="zh-CN" w:bidi="ar-SA"/>
        </w:rPr>
        <w:t>（二）投标申请公函（格式）</w:t>
      </w:r>
    </w:p>
    <w:p>
      <w:pPr>
        <w:widowControl/>
        <w:spacing w:line="360" w:lineRule="auto"/>
        <w:jc w:val="left"/>
        <w:rPr>
          <w:rFonts w:hint="eastAsia" w:ascii="宋体" w:hAnsi="宋体" w:cs="宋体"/>
          <w:color w:val="000000"/>
          <w:kern w:val="0"/>
          <w:sz w:val="24"/>
          <w:highlight w:val="none"/>
        </w:rPr>
      </w:pPr>
    </w:p>
    <w:p>
      <w:pPr>
        <w:widowControl/>
        <w:spacing w:line="360" w:lineRule="auto"/>
        <w:jc w:val="center"/>
        <w:rPr>
          <w:rFonts w:hint="eastAsia" w:ascii="宋体" w:hAnsi="宋体" w:cs="宋体"/>
          <w:color w:val="000000"/>
          <w:kern w:val="0"/>
          <w:sz w:val="24"/>
          <w:highlight w:val="none"/>
        </w:rPr>
      </w:pPr>
      <w:r>
        <w:rPr>
          <w:rFonts w:hint="eastAsia" w:ascii="宋体" w:hAnsi="宋体" w:cs="宋体"/>
          <w:b/>
          <w:color w:val="000000"/>
          <w:sz w:val="32"/>
          <w:szCs w:val="32"/>
          <w:highlight w:val="none"/>
        </w:rPr>
        <w:t>投标申请公函</w:t>
      </w:r>
    </w:p>
    <w:p>
      <w:pPr>
        <w:widowControl/>
        <w:spacing w:line="360" w:lineRule="auto"/>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致：</w:t>
      </w:r>
      <w:r>
        <w:rPr>
          <w:rFonts w:hint="eastAsia" w:ascii="宋体" w:hAnsi="宋体" w:cs="宋体"/>
          <w:color w:val="000000"/>
          <w:kern w:val="0"/>
          <w:szCs w:val="21"/>
          <w:highlight w:val="none"/>
          <w:u w:val="single"/>
        </w:rPr>
        <w:t xml:space="preserve">      （招标人）           </w:t>
      </w:r>
      <w:r>
        <w:rPr>
          <w:rFonts w:hint="eastAsia" w:ascii="宋体" w:hAnsi="宋体" w:cs="宋体"/>
          <w:color w:val="000000"/>
          <w:kern w:val="0"/>
          <w:szCs w:val="21"/>
          <w:highlight w:val="none"/>
        </w:rPr>
        <w:t>：</w:t>
      </w:r>
    </w:p>
    <w:p>
      <w:pPr>
        <w:widowControl/>
        <w:spacing w:line="360" w:lineRule="auto"/>
        <w:ind w:firstLine="54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按照《</w:t>
      </w:r>
      <w:r>
        <w:rPr>
          <w:rFonts w:hint="eastAsia" w:ascii="宋体" w:hAnsi="宋体" w:cs="宋体"/>
          <w:color w:val="000000"/>
          <w:kern w:val="0"/>
          <w:szCs w:val="21"/>
          <w:highlight w:val="none"/>
          <w:u w:val="single"/>
        </w:rPr>
        <w:t xml:space="preserve">               （项目名称）招标公告</w:t>
      </w:r>
      <w:r>
        <w:rPr>
          <w:rFonts w:hint="eastAsia" w:ascii="宋体" w:hAnsi="宋体" w:cs="宋体"/>
          <w:color w:val="000000"/>
          <w:kern w:val="0"/>
          <w:szCs w:val="21"/>
          <w:highlight w:val="none"/>
        </w:rPr>
        <w:t>》对资格审查文件的要求，我们递交有关资格审查的资料文件，以便贵单位审查我们参加</w:t>
      </w:r>
      <w:r>
        <w:rPr>
          <w:rFonts w:hint="eastAsia" w:ascii="宋体" w:hAnsi="宋体" w:cs="宋体"/>
          <w:color w:val="000000"/>
          <w:kern w:val="0"/>
          <w:szCs w:val="21"/>
          <w:highlight w:val="none"/>
          <w:u w:val="single"/>
        </w:rPr>
        <w:t xml:space="preserve">         （项目名称）</w:t>
      </w:r>
      <w:r>
        <w:rPr>
          <w:rFonts w:hint="eastAsia" w:ascii="宋体" w:hAnsi="宋体" w:cs="宋体"/>
          <w:color w:val="000000"/>
          <w:kern w:val="0"/>
          <w:szCs w:val="21"/>
          <w:highlight w:val="none"/>
        </w:rPr>
        <w:t>的投标资格。</w:t>
      </w:r>
    </w:p>
    <w:p>
      <w:pPr>
        <w:widowControl/>
        <w:spacing w:line="360" w:lineRule="auto"/>
        <w:ind w:firstLine="54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此申请是</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单位名称）以</w:t>
      </w:r>
      <w:r>
        <w:rPr>
          <w:rFonts w:hint="eastAsia" w:ascii="宋体" w:hAnsi="宋体" w:cs="宋体"/>
          <w:color w:val="000000"/>
          <w:kern w:val="0"/>
          <w:szCs w:val="21"/>
          <w:highlight w:val="none"/>
          <w:u w:val="single"/>
        </w:rPr>
        <w:t xml:space="preserve">         （</w:t>
      </w:r>
      <w:r>
        <w:rPr>
          <w:rFonts w:hint="eastAsia" w:ascii="宋体" w:hAnsi="宋体" w:cs="宋体"/>
          <w:color w:val="000000"/>
          <w:kern w:val="0"/>
          <w:szCs w:val="21"/>
          <w:highlight w:val="none"/>
        </w:rPr>
        <w:t>人名）为全权代表身份递交的。</w:t>
      </w:r>
    </w:p>
    <w:p>
      <w:pPr>
        <w:widowControl/>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我们保证所有提交的资料是真实可靠的，并为提交资料的真实性负有相应的法律责任。</w:t>
      </w:r>
    </w:p>
    <w:p>
      <w:pPr>
        <w:widowControl/>
        <w:spacing w:line="360" w:lineRule="auto"/>
        <w:ind w:firstLine="420" w:firstLineChars="200"/>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我们理解招标人有权拒绝任何申请，而无需由招标人承担任何责任。</w:t>
      </w:r>
    </w:p>
    <w:p>
      <w:pPr>
        <w:widowControl/>
        <w:spacing w:line="360" w:lineRule="auto"/>
        <w:ind w:firstLine="645"/>
        <w:jc w:val="left"/>
        <w:rPr>
          <w:rFonts w:hint="eastAsia" w:ascii="宋体" w:hAnsi="宋体" w:cs="宋体"/>
          <w:color w:val="000000"/>
          <w:kern w:val="0"/>
          <w:sz w:val="24"/>
          <w:highlight w:val="none"/>
        </w:rPr>
      </w:pPr>
    </w:p>
    <w:p>
      <w:pPr>
        <w:widowControl/>
        <w:spacing w:line="360" w:lineRule="auto"/>
        <w:ind w:firstLine="645"/>
        <w:jc w:val="left"/>
        <w:rPr>
          <w:rFonts w:hint="eastAsia" w:ascii="宋体" w:hAnsi="宋体" w:cs="宋体"/>
          <w:color w:val="000000"/>
          <w:kern w:val="0"/>
          <w:sz w:val="24"/>
          <w:highlight w:val="none"/>
        </w:rPr>
      </w:pPr>
    </w:p>
    <w:p>
      <w:pPr>
        <w:widowControl/>
        <w:spacing w:line="360" w:lineRule="auto"/>
        <w:ind w:firstLine="645"/>
        <w:jc w:val="left"/>
        <w:rPr>
          <w:rFonts w:hint="eastAsia" w:ascii="宋体" w:hAnsi="宋体" w:cs="宋体"/>
          <w:color w:val="000000"/>
          <w:kern w:val="0"/>
          <w:sz w:val="24"/>
          <w:highlight w:val="none"/>
        </w:rPr>
      </w:pPr>
    </w:p>
    <w:p>
      <w:pPr>
        <w:spacing w:line="360" w:lineRule="exact"/>
        <w:ind w:firstLine="2835" w:firstLineChars="1350"/>
        <w:rPr>
          <w:rFonts w:hint="eastAsia" w:ascii="宋体" w:hAnsi="宋体" w:cs="宋体"/>
          <w:color w:val="000000"/>
          <w:highlight w:val="none"/>
        </w:rPr>
      </w:pPr>
      <w:r>
        <w:rPr>
          <w:rFonts w:hint="eastAsia" w:ascii="宋体" w:hAnsi="宋体" w:cs="宋体"/>
          <w:color w:val="000000"/>
          <w:highlight w:val="none"/>
        </w:rPr>
        <w:t>投 标 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（盖单位章）</w:t>
      </w:r>
    </w:p>
    <w:p>
      <w:pPr>
        <w:spacing w:line="360" w:lineRule="exact"/>
        <w:ind w:firstLine="2835" w:firstLineChars="1350"/>
        <w:rPr>
          <w:rFonts w:hint="eastAsia" w:ascii="宋体" w:hAnsi="宋体" w:cs="宋体"/>
          <w:color w:val="000000"/>
          <w:highlight w:val="none"/>
        </w:rPr>
      </w:pPr>
      <w:r>
        <w:rPr>
          <w:rFonts w:hint="eastAsia" w:ascii="宋体" w:hAnsi="宋体" w:cs="宋体"/>
          <w:color w:val="000000"/>
          <w:highlight w:val="none"/>
        </w:rPr>
        <w:t>法定代表人或其委托代理人：</w:t>
      </w:r>
      <w:r>
        <w:rPr>
          <w:rFonts w:hint="eastAsia" w:ascii="宋体" w:hAnsi="宋体" w:cs="宋体"/>
          <w:color w:val="000000"/>
          <w:szCs w:val="21"/>
          <w:highlight w:val="none"/>
          <w:u w:val="single"/>
        </w:rPr>
        <w:t xml:space="preserve">            </w:t>
      </w:r>
      <w:r>
        <w:rPr>
          <w:rFonts w:hint="eastAsia" w:ascii="宋体" w:hAnsi="宋体" w:cs="宋体"/>
          <w:color w:val="000000"/>
          <w:highlight w:val="none"/>
        </w:rPr>
        <w:t>（签字或盖章）</w:t>
      </w:r>
    </w:p>
    <w:p>
      <w:pPr>
        <w:spacing w:line="360" w:lineRule="exact"/>
        <w:ind w:firstLine="4935" w:firstLineChars="2350"/>
        <w:rPr>
          <w:rFonts w:hint="eastAsia" w:ascii="宋体" w:hAnsi="宋体" w:cs="宋体"/>
          <w:color w:val="000000"/>
          <w:highlight w:val="none"/>
        </w:rPr>
      </w:pPr>
      <w:r>
        <w:rPr>
          <w:rFonts w:hint="eastAsia" w:ascii="宋体" w:hAnsi="宋体" w:cs="宋体"/>
          <w:color w:val="000000"/>
          <w:szCs w:val="21"/>
          <w:highlight w:val="none"/>
          <w:u w:val="single"/>
        </w:rPr>
        <w:t xml:space="preserve">        </w:t>
      </w:r>
      <w:r>
        <w:rPr>
          <w:rFonts w:hint="eastAsia" w:ascii="宋体" w:hAnsi="宋体" w:cs="宋体"/>
          <w:color w:val="000000"/>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highlight w:val="none"/>
        </w:rPr>
        <w:t>日</w:t>
      </w:r>
    </w:p>
    <w:p>
      <w:pPr>
        <w:spacing w:line="360" w:lineRule="auto"/>
        <w:ind w:firstLine="4305" w:firstLineChars="2050"/>
        <w:rPr>
          <w:rFonts w:ascii="宋体" w:hAnsi="宋体" w:cs="宋体"/>
          <w:kern w:val="0"/>
          <w:szCs w:val="21"/>
        </w:rPr>
      </w:pPr>
    </w:p>
    <w:bookmarkEnd w:id="428"/>
    <w:bookmarkEnd w:id="429"/>
    <w:bookmarkEnd w:id="430"/>
    <w:bookmarkEnd w:id="431"/>
    <w:bookmarkEnd w:id="432"/>
    <w:bookmarkEnd w:id="433"/>
    <w:bookmarkEnd w:id="434"/>
    <w:bookmarkEnd w:id="435"/>
    <w:bookmarkEnd w:id="436"/>
    <w:bookmarkEnd w:id="437"/>
    <w:bookmarkEnd w:id="438"/>
    <w:p>
      <w:pPr>
        <w:jc w:val="center"/>
        <w:rPr>
          <w:rFonts w:ascii="宋体" w:hAnsi="宋体" w:cs="宋体"/>
          <w:sz w:val="36"/>
          <w:szCs w:val="36"/>
        </w:rPr>
        <w:sectPr>
          <w:pgSz w:w="12240" w:h="15840"/>
          <w:pgMar w:top="1480" w:right="1718" w:bottom="919" w:left="1718" w:header="850" w:footer="992" w:gutter="0"/>
          <w:cols w:space="720" w:num="1"/>
          <w:docGrid w:linePitch="312" w:charSpace="0"/>
        </w:sectPr>
      </w:pPr>
    </w:p>
    <w:p>
      <w:pPr>
        <w:pStyle w:val="19"/>
        <w:ind w:firstLine="200"/>
      </w:pPr>
    </w:p>
    <w:p>
      <w:pPr>
        <w:jc w:val="center"/>
        <w:rPr>
          <w:rFonts w:hint="eastAsia" w:ascii="Times New Roman" w:hAnsi="Times New Roman" w:eastAsia="宋体" w:cs="Times New Roman"/>
          <w:b/>
          <w:bCs/>
          <w:kern w:val="0"/>
          <w:sz w:val="24"/>
          <w:szCs w:val="32"/>
          <w:highlight w:val="none"/>
          <w:lang w:val="en-US" w:eastAsia="zh-CN" w:bidi="ar-SA"/>
        </w:rPr>
      </w:pPr>
      <w:r>
        <w:rPr>
          <w:rFonts w:hint="eastAsia" w:ascii="Times New Roman" w:hAnsi="Times New Roman" w:eastAsia="宋体" w:cs="Times New Roman"/>
          <w:b/>
          <w:bCs/>
          <w:kern w:val="0"/>
          <w:sz w:val="24"/>
          <w:szCs w:val="32"/>
          <w:highlight w:val="none"/>
          <w:lang w:val="en-US" w:eastAsia="zh-CN" w:bidi="ar-SA"/>
        </w:rPr>
        <w:t>（三）投标人声明（格式）</w:t>
      </w:r>
    </w:p>
    <w:p>
      <w:pPr>
        <w:jc w:val="center"/>
        <w:rPr>
          <w:rFonts w:hint="eastAsia" w:ascii="宋体" w:hAnsi="宋体" w:cs="宋体"/>
          <w:b/>
          <w:color w:val="000000"/>
          <w:sz w:val="28"/>
          <w:szCs w:val="28"/>
          <w:highlight w:val="none"/>
        </w:rPr>
      </w:pPr>
    </w:p>
    <w:p>
      <w:pPr>
        <w:jc w:val="center"/>
        <w:rPr>
          <w:rFonts w:hint="eastAsia" w:ascii="宋体" w:hAnsi="宋体" w:cs="宋体"/>
          <w:color w:val="000000"/>
          <w:highlight w:val="none"/>
        </w:rPr>
      </w:pPr>
      <w:r>
        <w:rPr>
          <w:rFonts w:hint="eastAsia" w:ascii="宋体" w:hAnsi="宋体" w:cs="宋体"/>
          <w:b/>
          <w:color w:val="000000"/>
          <w:sz w:val="28"/>
          <w:szCs w:val="28"/>
          <w:highlight w:val="none"/>
        </w:rPr>
        <w:t>（格式见招标公告）</w:t>
      </w:r>
    </w:p>
    <w:p>
      <w:pPr>
        <w:rPr>
          <w:rFonts w:hint="eastAsia" w:ascii="宋体" w:hAnsi="宋体" w:cs="宋体"/>
          <w:color w:val="000000"/>
          <w:highlight w:val="none"/>
        </w:rPr>
      </w:pPr>
    </w:p>
    <w:p>
      <w:pPr>
        <w:rPr>
          <w:rFonts w:hint="eastAsia" w:ascii="宋体" w:hAnsi="宋体" w:cs="宋体"/>
          <w:color w:val="000000"/>
          <w:highlight w:val="none"/>
        </w:rPr>
      </w:pPr>
    </w:p>
    <w:p>
      <w:pPr>
        <w:rPr>
          <w:rFonts w:ascii="宋体" w:hAnsi="宋体" w:cs="宋体"/>
        </w:rPr>
      </w:pPr>
    </w:p>
    <w:p>
      <w:pPr>
        <w:ind w:left="612" w:leftChars="200" w:right="672" w:rightChars="320" w:hanging="192" w:hangingChars="64"/>
        <w:jc w:val="center"/>
        <w:rPr>
          <w:rFonts w:ascii="宋体" w:hAnsi="宋体" w:cs="宋体"/>
          <w:sz w:val="30"/>
          <w:szCs w:val="30"/>
        </w:rPr>
      </w:pPr>
    </w:p>
    <w:p>
      <w:pPr>
        <w:ind w:left="612" w:leftChars="200" w:right="672" w:rightChars="320" w:hanging="192" w:hangingChars="64"/>
        <w:jc w:val="center"/>
        <w:rPr>
          <w:rFonts w:ascii="宋体" w:hAnsi="宋体" w:cs="宋体"/>
          <w:sz w:val="30"/>
          <w:szCs w:val="30"/>
        </w:rPr>
      </w:pPr>
    </w:p>
    <w:p>
      <w:pPr>
        <w:ind w:left="612" w:leftChars="200" w:hanging="192" w:hangingChars="64"/>
        <w:jc w:val="center"/>
        <w:rPr>
          <w:rFonts w:ascii="宋体" w:hAnsi="宋体" w:cs="宋体"/>
          <w:sz w:val="30"/>
          <w:szCs w:val="30"/>
        </w:rPr>
      </w:pPr>
    </w:p>
    <w:p>
      <w:pPr>
        <w:pStyle w:val="3"/>
        <w:keepNext w:val="0"/>
        <w:keepLines w:val="0"/>
        <w:spacing w:before="20"/>
        <w:ind w:firstLine="137"/>
        <w:jc w:val="center"/>
        <w:rPr>
          <w:rFonts w:ascii="宋体" w:hAnsi="宋体"/>
          <w:color w:val="000000"/>
          <w:highlight w:val="none"/>
        </w:rPr>
      </w:pPr>
      <w:r>
        <w:rPr>
          <w:rFonts w:hint="eastAsia" w:ascii="宋体" w:hAnsi="宋体" w:cs="宋体"/>
          <w:sz w:val="30"/>
          <w:szCs w:val="30"/>
        </w:rPr>
        <w:br w:type="page"/>
      </w:r>
      <w:bookmarkStart w:id="443" w:name="_Toc517280608"/>
      <w:bookmarkStart w:id="444" w:name="_Toc6694"/>
      <w:bookmarkStart w:id="445" w:name="_Toc16964"/>
      <w:r>
        <w:rPr>
          <w:rFonts w:hint="eastAsia" w:ascii="宋体" w:hAnsi="宋体" w:cs="宋体"/>
          <w:b/>
          <w:bCs w:val="0"/>
          <w:kern w:val="2"/>
          <w:sz w:val="30"/>
          <w:szCs w:val="30"/>
          <w:lang w:val="en-US" w:eastAsia="zh-CN" w:bidi="ar-SA"/>
        </w:rPr>
        <w:t>七</w:t>
      </w:r>
      <w:r>
        <w:rPr>
          <w:rFonts w:hint="eastAsia" w:ascii="宋体" w:hAnsi="宋体" w:eastAsia="宋体" w:cs="宋体"/>
          <w:b/>
          <w:bCs w:val="0"/>
          <w:kern w:val="2"/>
          <w:sz w:val="30"/>
          <w:szCs w:val="30"/>
          <w:lang w:val="en-US" w:eastAsia="zh-CN" w:bidi="ar-SA"/>
        </w:rPr>
        <w:t>、</w:t>
      </w:r>
      <w:bookmarkEnd w:id="443"/>
      <w:bookmarkEnd w:id="444"/>
      <w:bookmarkEnd w:id="445"/>
      <w:r>
        <w:rPr>
          <w:rFonts w:hint="eastAsia" w:ascii="宋体" w:hAnsi="宋体" w:eastAsia="宋体" w:cs="宋体"/>
          <w:b/>
          <w:bCs w:val="0"/>
          <w:kern w:val="2"/>
          <w:sz w:val="30"/>
          <w:szCs w:val="30"/>
          <w:lang w:val="en-US" w:eastAsia="zh-CN" w:bidi="ar-SA"/>
        </w:rPr>
        <w:t>服务团队人员汇总表</w:t>
      </w:r>
    </w:p>
    <w:tbl>
      <w:tblPr>
        <w:tblStyle w:val="20"/>
        <w:tblW w:w="4996" w:type="pct"/>
        <w:jc w:val="center"/>
        <w:tblLayout w:type="autofit"/>
        <w:tblCellMar>
          <w:top w:w="0" w:type="dxa"/>
          <w:left w:w="108" w:type="dxa"/>
          <w:bottom w:w="0" w:type="dxa"/>
          <w:right w:w="108" w:type="dxa"/>
        </w:tblCellMar>
      </w:tblPr>
      <w:tblGrid>
        <w:gridCol w:w="966"/>
        <w:gridCol w:w="646"/>
        <w:gridCol w:w="489"/>
        <w:gridCol w:w="581"/>
        <w:gridCol w:w="534"/>
        <w:gridCol w:w="612"/>
        <w:gridCol w:w="592"/>
        <w:gridCol w:w="696"/>
        <w:gridCol w:w="1413"/>
        <w:gridCol w:w="1862"/>
        <w:gridCol w:w="622"/>
      </w:tblGrid>
      <w:tr>
        <w:tblPrEx>
          <w:tblCellMar>
            <w:top w:w="0" w:type="dxa"/>
            <w:left w:w="108" w:type="dxa"/>
            <w:bottom w:w="0" w:type="dxa"/>
            <w:right w:w="108" w:type="dxa"/>
          </w:tblCellMar>
        </w:tblPrEx>
        <w:trPr>
          <w:trHeight w:val="764" w:hRule="atLeast"/>
          <w:jc w:val="center"/>
        </w:trPr>
        <w:tc>
          <w:tcPr>
            <w:tcW w:w="536" w:type="pct"/>
            <w:tcBorders>
              <w:top w:val="single" w:color="auto" w:sz="6" w:space="0"/>
              <w:left w:val="single" w:color="auto" w:sz="6" w:space="0"/>
              <w:bottom w:val="single" w:color="auto" w:sz="6" w:space="0"/>
              <w:right w:val="single" w:color="auto" w:sz="6" w:space="0"/>
            </w:tcBorders>
            <w:vAlign w:val="center"/>
          </w:tcPr>
          <w:p>
            <w:pPr>
              <w:tabs>
                <w:tab w:val="left" w:pos="11160"/>
              </w:tabs>
              <w:rPr>
                <w:rFonts w:cs="仿宋"/>
                <w:sz w:val="21"/>
                <w:szCs w:val="21"/>
              </w:rPr>
            </w:pPr>
            <w:r>
              <w:rPr>
                <w:rFonts w:hint="eastAsia" w:cs="仿宋"/>
                <w:spacing w:val="1"/>
                <w:sz w:val="21"/>
                <w:szCs w:val="21"/>
              </w:rPr>
              <w:t>序号</w:t>
            </w:r>
          </w:p>
        </w:tc>
        <w:tc>
          <w:tcPr>
            <w:tcW w:w="35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106" w:firstLineChars="50"/>
              <w:jc w:val="center"/>
              <w:rPr>
                <w:rFonts w:cs="仿宋"/>
                <w:sz w:val="21"/>
                <w:szCs w:val="21"/>
              </w:rPr>
            </w:pPr>
            <w:r>
              <w:rPr>
                <w:rFonts w:hint="eastAsia" w:cs="仿宋"/>
                <w:spacing w:val="1"/>
                <w:sz w:val="21"/>
                <w:szCs w:val="21"/>
              </w:rPr>
              <w:t>姓名</w:t>
            </w:r>
          </w:p>
        </w:tc>
        <w:tc>
          <w:tcPr>
            <w:tcW w:w="271" w:type="pct"/>
            <w:tcBorders>
              <w:top w:val="single" w:color="auto" w:sz="6" w:space="0"/>
              <w:left w:val="single" w:color="auto" w:sz="6" w:space="0"/>
              <w:bottom w:val="single" w:color="auto" w:sz="6" w:space="0"/>
              <w:right w:val="single" w:color="auto" w:sz="6" w:space="0"/>
            </w:tcBorders>
            <w:vAlign w:val="center"/>
          </w:tcPr>
          <w:p>
            <w:pPr>
              <w:tabs>
                <w:tab w:val="left" w:pos="11160"/>
              </w:tabs>
              <w:rPr>
                <w:rFonts w:cs="仿宋"/>
                <w:sz w:val="21"/>
                <w:szCs w:val="21"/>
              </w:rPr>
            </w:pPr>
            <w:r>
              <w:rPr>
                <w:rFonts w:hint="eastAsia" w:cs="仿宋"/>
                <w:spacing w:val="1"/>
                <w:sz w:val="21"/>
                <w:szCs w:val="21"/>
              </w:rPr>
              <w:t>性别</w:t>
            </w:r>
          </w:p>
        </w:tc>
        <w:tc>
          <w:tcPr>
            <w:tcW w:w="322" w:type="pct"/>
            <w:tcBorders>
              <w:top w:val="single" w:color="auto" w:sz="6" w:space="0"/>
              <w:left w:val="single" w:color="auto" w:sz="6" w:space="0"/>
              <w:bottom w:val="single" w:color="auto" w:sz="6" w:space="0"/>
              <w:right w:val="single" w:color="auto" w:sz="6" w:space="0"/>
            </w:tcBorders>
            <w:vAlign w:val="center"/>
          </w:tcPr>
          <w:p>
            <w:pPr>
              <w:tabs>
                <w:tab w:val="left" w:pos="11160"/>
              </w:tabs>
              <w:rPr>
                <w:rFonts w:cs="仿宋"/>
                <w:sz w:val="21"/>
                <w:szCs w:val="21"/>
              </w:rPr>
            </w:pPr>
            <w:r>
              <w:rPr>
                <w:rFonts w:hint="eastAsia" w:cs="仿宋"/>
                <w:spacing w:val="1"/>
                <w:sz w:val="21"/>
                <w:szCs w:val="21"/>
              </w:rPr>
              <w:t>年龄</w:t>
            </w:r>
          </w:p>
        </w:tc>
        <w:tc>
          <w:tcPr>
            <w:tcW w:w="296" w:type="pct"/>
            <w:tcBorders>
              <w:top w:val="single" w:color="auto" w:sz="6" w:space="0"/>
              <w:left w:val="single" w:color="auto" w:sz="6" w:space="0"/>
              <w:bottom w:val="single" w:color="auto" w:sz="6" w:space="0"/>
              <w:right w:val="single" w:color="auto" w:sz="6" w:space="0"/>
            </w:tcBorders>
            <w:vAlign w:val="center"/>
          </w:tcPr>
          <w:p>
            <w:pPr>
              <w:tabs>
                <w:tab w:val="left" w:pos="11160"/>
              </w:tabs>
              <w:rPr>
                <w:rFonts w:cs="仿宋"/>
                <w:sz w:val="21"/>
                <w:szCs w:val="21"/>
              </w:rPr>
            </w:pPr>
            <w:r>
              <w:rPr>
                <w:rFonts w:hint="eastAsia" w:cs="仿宋"/>
                <w:spacing w:val="1"/>
                <w:sz w:val="21"/>
                <w:szCs w:val="21"/>
              </w:rPr>
              <w:t>技术职称</w:t>
            </w:r>
          </w:p>
        </w:tc>
        <w:tc>
          <w:tcPr>
            <w:tcW w:w="339" w:type="pct"/>
            <w:tcBorders>
              <w:top w:val="single" w:color="auto" w:sz="6" w:space="0"/>
              <w:left w:val="single" w:color="auto" w:sz="6" w:space="0"/>
              <w:bottom w:val="single" w:color="auto" w:sz="6" w:space="0"/>
              <w:right w:val="single" w:color="auto" w:sz="6" w:space="0"/>
            </w:tcBorders>
            <w:vAlign w:val="center"/>
          </w:tcPr>
          <w:p>
            <w:pPr>
              <w:tabs>
                <w:tab w:val="left" w:pos="11160"/>
              </w:tabs>
              <w:rPr>
                <w:rFonts w:cs="仿宋"/>
                <w:spacing w:val="1"/>
                <w:sz w:val="21"/>
                <w:szCs w:val="21"/>
              </w:rPr>
            </w:pPr>
            <w:r>
              <w:rPr>
                <w:rFonts w:hint="eastAsia" w:cs="仿宋"/>
                <w:spacing w:val="1"/>
                <w:sz w:val="21"/>
                <w:szCs w:val="21"/>
              </w:rPr>
              <w:t>所在</w:t>
            </w:r>
          </w:p>
          <w:p>
            <w:pPr>
              <w:tabs>
                <w:tab w:val="left" w:pos="11160"/>
              </w:tabs>
              <w:rPr>
                <w:rFonts w:cs="仿宋"/>
                <w:sz w:val="21"/>
                <w:szCs w:val="21"/>
              </w:rPr>
            </w:pPr>
            <w:r>
              <w:rPr>
                <w:rFonts w:hint="eastAsia" w:cs="仿宋"/>
                <w:spacing w:val="1"/>
                <w:sz w:val="21"/>
                <w:szCs w:val="21"/>
              </w:rPr>
              <w:t>单位</w:t>
            </w:r>
          </w:p>
        </w:tc>
        <w:tc>
          <w:tcPr>
            <w:tcW w:w="328" w:type="pct"/>
            <w:tcBorders>
              <w:top w:val="single" w:color="auto" w:sz="6" w:space="0"/>
              <w:left w:val="single" w:color="auto" w:sz="6" w:space="0"/>
              <w:bottom w:val="single" w:color="auto" w:sz="6" w:space="0"/>
              <w:right w:val="single" w:color="auto" w:sz="6" w:space="0"/>
            </w:tcBorders>
            <w:vAlign w:val="center"/>
          </w:tcPr>
          <w:p>
            <w:pPr>
              <w:tabs>
                <w:tab w:val="left" w:pos="11160"/>
              </w:tabs>
              <w:rPr>
                <w:rFonts w:cs="仿宋"/>
                <w:sz w:val="21"/>
                <w:szCs w:val="21"/>
              </w:rPr>
            </w:pPr>
            <w:r>
              <w:rPr>
                <w:rFonts w:hint="eastAsia" w:cs="仿宋"/>
                <w:spacing w:val="1"/>
                <w:sz w:val="21"/>
                <w:szCs w:val="21"/>
              </w:rPr>
              <w:t>单位职务</w:t>
            </w:r>
          </w:p>
        </w:tc>
        <w:tc>
          <w:tcPr>
            <w:tcW w:w="386" w:type="pct"/>
            <w:tcBorders>
              <w:top w:val="single" w:color="auto" w:sz="6" w:space="0"/>
              <w:left w:val="single" w:color="auto" w:sz="6" w:space="0"/>
              <w:bottom w:val="single" w:color="auto" w:sz="6" w:space="0"/>
              <w:right w:val="single" w:color="auto" w:sz="6" w:space="0"/>
            </w:tcBorders>
            <w:vAlign w:val="center"/>
          </w:tcPr>
          <w:p>
            <w:pPr>
              <w:tabs>
                <w:tab w:val="left" w:pos="11160"/>
              </w:tabs>
              <w:rPr>
                <w:rFonts w:cs="仿宋"/>
                <w:sz w:val="21"/>
                <w:szCs w:val="21"/>
              </w:rPr>
            </w:pPr>
            <w:r>
              <w:rPr>
                <w:rFonts w:hint="eastAsia" w:cs="仿宋"/>
                <w:spacing w:val="1"/>
                <w:sz w:val="21"/>
                <w:szCs w:val="21"/>
              </w:rPr>
              <w:t>专业</w:t>
            </w:r>
          </w:p>
        </w:tc>
        <w:tc>
          <w:tcPr>
            <w:tcW w:w="783" w:type="pct"/>
            <w:tcBorders>
              <w:top w:val="single" w:color="auto" w:sz="6" w:space="0"/>
              <w:left w:val="single" w:color="auto" w:sz="6" w:space="0"/>
              <w:bottom w:val="single" w:color="auto" w:sz="6" w:space="0"/>
              <w:right w:val="single" w:color="auto" w:sz="6" w:space="0"/>
            </w:tcBorders>
            <w:vAlign w:val="center"/>
          </w:tcPr>
          <w:p>
            <w:pPr>
              <w:tabs>
                <w:tab w:val="left" w:pos="11160"/>
              </w:tabs>
              <w:rPr>
                <w:rFonts w:cs="仿宋"/>
                <w:sz w:val="21"/>
                <w:szCs w:val="21"/>
              </w:rPr>
            </w:pPr>
            <w:r>
              <w:rPr>
                <w:rFonts w:hint="eastAsia" w:cs="仿宋"/>
                <w:spacing w:val="1"/>
                <w:sz w:val="21"/>
                <w:szCs w:val="21"/>
              </w:rPr>
              <w:t>本项目拟任职</w:t>
            </w:r>
          </w:p>
        </w:tc>
        <w:tc>
          <w:tcPr>
            <w:tcW w:w="1032" w:type="pct"/>
            <w:tcBorders>
              <w:top w:val="single" w:color="auto" w:sz="6" w:space="0"/>
              <w:left w:val="single" w:color="auto" w:sz="6" w:space="0"/>
              <w:bottom w:val="single" w:color="auto" w:sz="6" w:space="0"/>
              <w:right w:val="single" w:color="auto" w:sz="6" w:space="0"/>
            </w:tcBorders>
            <w:vAlign w:val="center"/>
          </w:tcPr>
          <w:p>
            <w:pPr>
              <w:tabs>
                <w:tab w:val="left" w:pos="11160"/>
              </w:tabs>
              <w:rPr>
                <w:rFonts w:cs="仿宋"/>
                <w:spacing w:val="1"/>
                <w:sz w:val="21"/>
                <w:szCs w:val="21"/>
              </w:rPr>
            </w:pPr>
            <w:r>
              <w:rPr>
                <w:rFonts w:hint="eastAsia" w:cs="仿宋"/>
                <w:spacing w:val="1"/>
                <w:sz w:val="21"/>
                <w:szCs w:val="21"/>
              </w:rPr>
              <w:t>执业或职业资格证书名称/证号</w:t>
            </w:r>
          </w:p>
        </w:tc>
        <w:tc>
          <w:tcPr>
            <w:tcW w:w="345"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106" w:firstLineChars="50"/>
              <w:rPr>
                <w:rFonts w:cs="仿宋"/>
                <w:sz w:val="21"/>
                <w:szCs w:val="21"/>
              </w:rPr>
            </w:pPr>
            <w:r>
              <w:rPr>
                <w:rFonts w:hint="eastAsia" w:cs="仿宋"/>
                <w:spacing w:val="1"/>
                <w:sz w:val="21"/>
                <w:szCs w:val="21"/>
              </w:rPr>
              <w:t>备注</w:t>
            </w:r>
          </w:p>
        </w:tc>
      </w:tr>
      <w:tr>
        <w:tblPrEx>
          <w:tblCellMar>
            <w:top w:w="0" w:type="dxa"/>
            <w:left w:w="108" w:type="dxa"/>
            <w:bottom w:w="0" w:type="dxa"/>
            <w:right w:w="108" w:type="dxa"/>
          </w:tblCellMar>
        </w:tblPrEx>
        <w:trPr>
          <w:trHeight w:val="434" w:hRule="atLeast"/>
          <w:jc w:val="center"/>
        </w:trPr>
        <w:tc>
          <w:tcPr>
            <w:tcW w:w="536" w:type="pct"/>
            <w:tcBorders>
              <w:top w:val="single" w:color="auto" w:sz="6" w:space="0"/>
              <w:left w:val="single" w:color="auto" w:sz="6" w:space="0"/>
              <w:bottom w:val="single" w:color="auto" w:sz="6" w:space="0"/>
              <w:right w:val="single" w:color="auto" w:sz="6" w:space="0"/>
            </w:tcBorders>
            <w:vAlign w:val="center"/>
          </w:tcPr>
          <w:p>
            <w:pPr>
              <w:tabs>
                <w:tab w:val="left" w:pos="11160"/>
              </w:tabs>
              <w:jc w:val="center"/>
              <w:rPr>
                <w:rFonts w:cs="仿宋"/>
                <w:sz w:val="21"/>
                <w:szCs w:val="21"/>
              </w:rPr>
            </w:pPr>
            <w:r>
              <w:rPr>
                <w:rFonts w:hint="eastAsia" w:cs="仿宋"/>
                <w:sz w:val="21"/>
                <w:szCs w:val="21"/>
              </w:rPr>
              <w:t>1</w:t>
            </w:r>
          </w:p>
        </w:tc>
        <w:tc>
          <w:tcPr>
            <w:tcW w:w="35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71"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9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39"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8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783"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103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45"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r>
      <w:tr>
        <w:tblPrEx>
          <w:tblCellMar>
            <w:top w:w="0" w:type="dxa"/>
            <w:left w:w="108" w:type="dxa"/>
            <w:bottom w:w="0" w:type="dxa"/>
            <w:right w:w="108" w:type="dxa"/>
          </w:tblCellMar>
        </w:tblPrEx>
        <w:trPr>
          <w:trHeight w:val="453" w:hRule="atLeast"/>
          <w:jc w:val="center"/>
        </w:trPr>
        <w:tc>
          <w:tcPr>
            <w:tcW w:w="536" w:type="pct"/>
            <w:tcBorders>
              <w:top w:val="single" w:color="auto" w:sz="6" w:space="0"/>
              <w:left w:val="single" w:color="auto" w:sz="6" w:space="0"/>
              <w:bottom w:val="single" w:color="auto" w:sz="6" w:space="0"/>
              <w:right w:val="single" w:color="auto" w:sz="6" w:space="0"/>
            </w:tcBorders>
            <w:vAlign w:val="center"/>
          </w:tcPr>
          <w:p>
            <w:pPr>
              <w:tabs>
                <w:tab w:val="left" w:pos="11160"/>
              </w:tabs>
              <w:jc w:val="center"/>
              <w:rPr>
                <w:rFonts w:cs="仿宋"/>
                <w:sz w:val="21"/>
                <w:szCs w:val="21"/>
              </w:rPr>
            </w:pPr>
            <w:r>
              <w:rPr>
                <w:rFonts w:hint="eastAsia" w:cs="仿宋"/>
                <w:sz w:val="21"/>
                <w:szCs w:val="21"/>
              </w:rPr>
              <w:t>2</w:t>
            </w:r>
          </w:p>
        </w:tc>
        <w:tc>
          <w:tcPr>
            <w:tcW w:w="35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71"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9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39"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8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783"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103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45"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r>
      <w:tr>
        <w:tblPrEx>
          <w:tblCellMar>
            <w:top w:w="0" w:type="dxa"/>
            <w:left w:w="108" w:type="dxa"/>
            <w:bottom w:w="0" w:type="dxa"/>
            <w:right w:w="108" w:type="dxa"/>
          </w:tblCellMar>
        </w:tblPrEx>
        <w:trPr>
          <w:trHeight w:val="458" w:hRule="atLeast"/>
          <w:jc w:val="center"/>
        </w:trPr>
        <w:tc>
          <w:tcPr>
            <w:tcW w:w="536" w:type="pct"/>
            <w:tcBorders>
              <w:top w:val="single" w:color="auto" w:sz="6" w:space="0"/>
              <w:left w:val="single" w:color="auto" w:sz="6" w:space="0"/>
              <w:bottom w:val="single" w:color="auto" w:sz="6" w:space="0"/>
              <w:right w:val="single" w:color="auto" w:sz="6" w:space="0"/>
            </w:tcBorders>
            <w:vAlign w:val="center"/>
          </w:tcPr>
          <w:p>
            <w:pPr>
              <w:tabs>
                <w:tab w:val="left" w:pos="11160"/>
              </w:tabs>
              <w:jc w:val="center"/>
              <w:rPr>
                <w:rFonts w:cs="仿宋"/>
                <w:sz w:val="21"/>
                <w:szCs w:val="21"/>
              </w:rPr>
            </w:pPr>
            <w:r>
              <w:rPr>
                <w:rFonts w:hint="eastAsia" w:cs="仿宋"/>
                <w:sz w:val="21"/>
                <w:szCs w:val="21"/>
              </w:rPr>
              <w:t>3</w:t>
            </w:r>
          </w:p>
        </w:tc>
        <w:tc>
          <w:tcPr>
            <w:tcW w:w="35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71"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9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39"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8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783"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103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45"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r>
      <w:tr>
        <w:tblPrEx>
          <w:tblCellMar>
            <w:top w:w="0" w:type="dxa"/>
            <w:left w:w="108" w:type="dxa"/>
            <w:bottom w:w="0" w:type="dxa"/>
            <w:right w:w="108" w:type="dxa"/>
          </w:tblCellMar>
        </w:tblPrEx>
        <w:trPr>
          <w:trHeight w:val="450" w:hRule="atLeast"/>
          <w:jc w:val="center"/>
        </w:trPr>
        <w:tc>
          <w:tcPr>
            <w:tcW w:w="536" w:type="pct"/>
            <w:tcBorders>
              <w:top w:val="single" w:color="auto" w:sz="6" w:space="0"/>
              <w:left w:val="single" w:color="auto" w:sz="6" w:space="0"/>
              <w:bottom w:val="single" w:color="auto" w:sz="6" w:space="0"/>
              <w:right w:val="single" w:color="auto" w:sz="6" w:space="0"/>
            </w:tcBorders>
            <w:vAlign w:val="center"/>
          </w:tcPr>
          <w:p>
            <w:pPr>
              <w:tabs>
                <w:tab w:val="left" w:pos="11160"/>
              </w:tabs>
              <w:jc w:val="center"/>
              <w:rPr>
                <w:rFonts w:cs="仿宋"/>
                <w:sz w:val="21"/>
                <w:szCs w:val="21"/>
              </w:rPr>
            </w:pPr>
            <w:r>
              <w:rPr>
                <w:rFonts w:hint="eastAsia" w:cs="仿宋"/>
                <w:sz w:val="21"/>
                <w:szCs w:val="21"/>
              </w:rPr>
              <w:t>4</w:t>
            </w:r>
          </w:p>
        </w:tc>
        <w:tc>
          <w:tcPr>
            <w:tcW w:w="35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71"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9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39"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8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783"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103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45"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r>
      <w:tr>
        <w:tblPrEx>
          <w:tblCellMar>
            <w:top w:w="0" w:type="dxa"/>
            <w:left w:w="108" w:type="dxa"/>
            <w:bottom w:w="0" w:type="dxa"/>
            <w:right w:w="108" w:type="dxa"/>
          </w:tblCellMar>
        </w:tblPrEx>
        <w:trPr>
          <w:trHeight w:val="442" w:hRule="atLeast"/>
          <w:jc w:val="center"/>
        </w:trPr>
        <w:tc>
          <w:tcPr>
            <w:tcW w:w="536" w:type="pct"/>
            <w:tcBorders>
              <w:top w:val="single" w:color="auto" w:sz="6" w:space="0"/>
              <w:left w:val="single" w:color="auto" w:sz="6" w:space="0"/>
              <w:bottom w:val="single" w:color="auto" w:sz="6" w:space="0"/>
              <w:right w:val="single" w:color="auto" w:sz="6" w:space="0"/>
            </w:tcBorders>
            <w:vAlign w:val="center"/>
          </w:tcPr>
          <w:p>
            <w:pPr>
              <w:tabs>
                <w:tab w:val="left" w:pos="11160"/>
              </w:tabs>
              <w:jc w:val="center"/>
              <w:rPr>
                <w:rFonts w:cs="仿宋"/>
                <w:sz w:val="21"/>
                <w:szCs w:val="21"/>
              </w:rPr>
            </w:pPr>
            <w:r>
              <w:rPr>
                <w:rFonts w:hint="eastAsia" w:cs="仿宋"/>
                <w:sz w:val="21"/>
                <w:szCs w:val="21"/>
              </w:rPr>
              <w:t>5</w:t>
            </w:r>
          </w:p>
        </w:tc>
        <w:tc>
          <w:tcPr>
            <w:tcW w:w="35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71"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9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39"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8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783"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103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45"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r>
      <w:tr>
        <w:tblPrEx>
          <w:tblCellMar>
            <w:top w:w="0" w:type="dxa"/>
            <w:left w:w="108" w:type="dxa"/>
            <w:bottom w:w="0" w:type="dxa"/>
            <w:right w:w="108" w:type="dxa"/>
          </w:tblCellMar>
        </w:tblPrEx>
        <w:trPr>
          <w:trHeight w:val="462" w:hRule="atLeast"/>
          <w:jc w:val="center"/>
        </w:trPr>
        <w:tc>
          <w:tcPr>
            <w:tcW w:w="536" w:type="pct"/>
            <w:tcBorders>
              <w:top w:val="single" w:color="auto" w:sz="6" w:space="0"/>
              <w:left w:val="single" w:color="auto" w:sz="6" w:space="0"/>
              <w:bottom w:val="single" w:color="auto" w:sz="6" w:space="0"/>
              <w:right w:val="single" w:color="auto" w:sz="6" w:space="0"/>
            </w:tcBorders>
            <w:vAlign w:val="center"/>
          </w:tcPr>
          <w:p>
            <w:pPr>
              <w:tabs>
                <w:tab w:val="left" w:pos="11160"/>
              </w:tabs>
              <w:jc w:val="center"/>
              <w:rPr>
                <w:rFonts w:cs="仿宋"/>
                <w:sz w:val="21"/>
                <w:szCs w:val="21"/>
              </w:rPr>
            </w:pPr>
            <w:r>
              <w:rPr>
                <w:rFonts w:hint="eastAsia" w:cs="仿宋"/>
                <w:sz w:val="21"/>
                <w:szCs w:val="21"/>
              </w:rPr>
              <w:t>6</w:t>
            </w:r>
          </w:p>
        </w:tc>
        <w:tc>
          <w:tcPr>
            <w:tcW w:w="35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71"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9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39"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8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783"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103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45"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r>
      <w:tr>
        <w:tblPrEx>
          <w:tblCellMar>
            <w:top w:w="0" w:type="dxa"/>
            <w:left w:w="108" w:type="dxa"/>
            <w:bottom w:w="0" w:type="dxa"/>
            <w:right w:w="108" w:type="dxa"/>
          </w:tblCellMar>
        </w:tblPrEx>
        <w:trPr>
          <w:trHeight w:val="454" w:hRule="atLeast"/>
          <w:jc w:val="center"/>
        </w:trPr>
        <w:tc>
          <w:tcPr>
            <w:tcW w:w="536" w:type="pct"/>
            <w:tcBorders>
              <w:top w:val="single" w:color="auto" w:sz="6" w:space="0"/>
              <w:left w:val="single" w:color="auto" w:sz="6" w:space="0"/>
              <w:bottom w:val="single" w:color="auto" w:sz="6" w:space="0"/>
              <w:right w:val="single" w:color="auto" w:sz="6" w:space="0"/>
            </w:tcBorders>
            <w:vAlign w:val="center"/>
          </w:tcPr>
          <w:p>
            <w:pPr>
              <w:tabs>
                <w:tab w:val="left" w:pos="11160"/>
              </w:tabs>
              <w:jc w:val="center"/>
              <w:rPr>
                <w:rFonts w:cs="仿宋"/>
                <w:sz w:val="21"/>
                <w:szCs w:val="21"/>
              </w:rPr>
            </w:pPr>
            <w:r>
              <w:rPr>
                <w:rFonts w:hint="eastAsia" w:cs="仿宋"/>
                <w:sz w:val="21"/>
                <w:szCs w:val="21"/>
              </w:rPr>
              <w:t>7</w:t>
            </w:r>
          </w:p>
        </w:tc>
        <w:tc>
          <w:tcPr>
            <w:tcW w:w="35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71"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9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39"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8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783"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103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45"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r>
      <w:tr>
        <w:tblPrEx>
          <w:tblCellMar>
            <w:top w:w="0" w:type="dxa"/>
            <w:left w:w="108" w:type="dxa"/>
            <w:bottom w:w="0" w:type="dxa"/>
            <w:right w:w="108" w:type="dxa"/>
          </w:tblCellMar>
        </w:tblPrEx>
        <w:trPr>
          <w:trHeight w:val="452" w:hRule="atLeast"/>
          <w:jc w:val="center"/>
        </w:trPr>
        <w:tc>
          <w:tcPr>
            <w:tcW w:w="53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r>
              <w:rPr>
                <w:rFonts w:cs="仿宋"/>
                <w:sz w:val="21"/>
                <w:szCs w:val="21"/>
              </w:rPr>
              <w:t>…</w:t>
            </w:r>
          </w:p>
        </w:tc>
        <w:tc>
          <w:tcPr>
            <w:tcW w:w="35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71"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29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39"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28"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86"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783"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1032"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c>
          <w:tcPr>
            <w:tcW w:w="345" w:type="pct"/>
            <w:tcBorders>
              <w:top w:val="single" w:color="auto" w:sz="6" w:space="0"/>
              <w:left w:val="single" w:color="auto" w:sz="6" w:space="0"/>
              <w:bottom w:val="single" w:color="auto" w:sz="6" w:space="0"/>
              <w:right w:val="single" w:color="auto" w:sz="6" w:space="0"/>
            </w:tcBorders>
            <w:vAlign w:val="center"/>
          </w:tcPr>
          <w:p>
            <w:pPr>
              <w:tabs>
                <w:tab w:val="left" w:pos="11160"/>
              </w:tabs>
              <w:ind w:firstLine="420"/>
              <w:jc w:val="center"/>
              <w:rPr>
                <w:rFonts w:cs="仿宋"/>
                <w:sz w:val="21"/>
                <w:szCs w:val="21"/>
              </w:rPr>
            </w:pPr>
          </w:p>
        </w:tc>
      </w:tr>
    </w:tbl>
    <w:p>
      <w:pPr>
        <w:tabs>
          <w:tab w:val="left" w:pos="11160"/>
        </w:tabs>
        <w:ind w:left="44" w:right="44" w:firstLine="420"/>
        <w:rPr>
          <w:rFonts w:cs="仿宋"/>
          <w:sz w:val="21"/>
          <w:szCs w:val="21"/>
        </w:rPr>
      </w:pPr>
      <w:r>
        <w:rPr>
          <w:rFonts w:hint="eastAsia" w:cs="仿宋"/>
          <w:sz w:val="21"/>
          <w:szCs w:val="21"/>
        </w:rPr>
        <w:t>注：</w:t>
      </w:r>
    </w:p>
    <w:p>
      <w:pPr>
        <w:ind w:left="44" w:right="44" w:firstLine="420"/>
        <w:rPr>
          <w:spacing w:val="18"/>
          <w:sz w:val="21"/>
          <w:szCs w:val="21"/>
        </w:rPr>
      </w:pPr>
      <w:r>
        <w:rPr>
          <w:rFonts w:hint="eastAsia"/>
          <w:sz w:val="21"/>
          <w:szCs w:val="21"/>
        </w:rPr>
        <w:t>1、本表可根据实际情况</w:t>
      </w:r>
      <w:r>
        <w:rPr>
          <w:rFonts w:hint="eastAsia"/>
          <w:spacing w:val="18"/>
          <w:sz w:val="21"/>
          <w:szCs w:val="21"/>
        </w:rPr>
        <w:t>增栏填写。按相关</w:t>
      </w:r>
      <w:r>
        <w:rPr>
          <w:rFonts w:hint="eastAsia"/>
          <w:spacing w:val="18"/>
          <w:sz w:val="21"/>
          <w:szCs w:val="21"/>
          <w:lang w:val="en-US" w:eastAsia="zh-CN"/>
        </w:rPr>
        <w:t>要求</w:t>
      </w:r>
      <w:r>
        <w:rPr>
          <w:rFonts w:hint="eastAsia"/>
          <w:spacing w:val="18"/>
          <w:sz w:val="21"/>
          <w:szCs w:val="21"/>
        </w:rPr>
        <w:t>提供人员证明文件。</w:t>
      </w:r>
    </w:p>
    <w:p>
      <w:pPr>
        <w:ind w:left="44" w:right="44" w:firstLine="456"/>
        <w:rPr>
          <w:spacing w:val="18"/>
          <w:sz w:val="21"/>
          <w:szCs w:val="21"/>
        </w:rPr>
      </w:pPr>
      <w:r>
        <w:rPr>
          <w:rFonts w:hint="eastAsia"/>
          <w:spacing w:val="18"/>
          <w:sz w:val="21"/>
          <w:szCs w:val="21"/>
          <w:lang w:val="en-US" w:eastAsia="zh-CN"/>
        </w:rPr>
        <w:t>2</w:t>
      </w:r>
      <w:r>
        <w:rPr>
          <w:rFonts w:hint="eastAsia"/>
          <w:spacing w:val="18"/>
          <w:sz w:val="21"/>
          <w:szCs w:val="21"/>
        </w:rPr>
        <w:t>、投标人可适当调整该表格式，但不得减少信息内容。</w:t>
      </w:r>
    </w:p>
    <w:p>
      <w:pPr>
        <w:rPr>
          <w:rFonts w:ascii="宋体" w:hAnsi="宋体" w:cs="宋体"/>
          <w:spacing w:val="-2"/>
          <w:sz w:val="28"/>
          <w:szCs w:val="28"/>
        </w:rPr>
      </w:pPr>
    </w:p>
    <w:p>
      <w:pPr>
        <w:pStyle w:val="3"/>
        <w:jc w:val="center"/>
        <w:rPr>
          <w:rFonts w:ascii="宋体" w:hAnsi="宋体" w:cs="宋体"/>
          <w:sz w:val="36"/>
          <w:szCs w:val="36"/>
        </w:rPr>
      </w:pPr>
      <w:r>
        <w:rPr>
          <w:rFonts w:hint="eastAsia" w:ascii="宋体" w:hAnsi="宋体" w:cs="宋体"/>
          <w:sz w:val="30"/>
          <w:szCs w:val="30"/>
        </w:rPr>
        <w:br w:type="page"/>
      </w:r>
      <w:bookmarkStart w:id="446" w:name="_Toc26430"/>
      <w:bookmarkStart w:id="447" w:name="_Toc12235"/>
      <w:bookmarkStart w:id="448" w:name="_Toc19284"/>
      <w:bookmarkStart w:id="449" w:name="_Toc11341"/>
      <w:bookmarkStart w:id="450" w:name="_Toc20832"/>
      <w:bookmarkStart w:id="451" w:name="_Toc5901"/>
      <w:bookmarkStart w:id="452" w:name="_Toc25771"/>
      <w:r>
        <w:rPr>
          <w:rFonts w:hint="eastAsia" w:ascii="宋体" w:hAnsi="宋体" w:cs="宋体"/>
          <w:sz w:val="30"/>
          <w:szCs w:val="30"/>
          <w:lang w:val="en-US" w:eastAsia="zh-CN"/>
        </w:rPr>
        <w:t>八</w:t>
      </w:r>
      <w:r>
        <w:rPr>
          <w:rFonts w:hint="eastAsia" w:ascii="宋体" w:hAnsi="宋体" w:eastAsia="宋体" w:cs="宋体"/>
          <w:b/>
          <w:bCs w:val="0"/>
          <w:kern w:val="2"/>
          <w:sz w:val="30"/>
          <w:szCs w:val="30"/>
          <w:lang w:val="en-US" w:eastAsia="zh-CN" w:bidi="ar-SA"/>
        </w:rPr>
        <w:t>、</w:t>
      </w:r>
      <w:bookmarkEnd w:id="446"/>
      <w:bookmarkEnd w:id="447"/>
      <w:bookmarkEnd w:id="448"/>
      <w:bookmarkEnd w:id="449"/>
      <w:r>
        <w:rPr>
          <w:rFonts w:hint="eastAsia" w:ascii="宋体" w:hAnsi="宋体" w:eastAsia="宋体" w:cs="宋体"/>
          <w:b/>
          <w:bCs w:val="0"/>
          <w:kern w:val="2"/>
          <w:sz w:val="30"/>
          <w:szCs w:val="30"/>
          <w:lang w:val="en-US" w:eastAsia="zh-CN" w:bidi="ar-SA"/>
        </w:rPr>
        <w:t>主要人员简历表</w:t>
      </w:r>
    </w:p>
    <w:tbl>
      <w:tblPr>
        <w:tblStyle w:val="20"/>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2"/>
        <w:gridCol w:w="377"/>
        <w:gridCol w:w="731"/>
        <w:gridCol w:w="1011"/>
        <w:gridCol w:w="1126"/>
        <w:gridCol w:w="744"/>
        <w:gridCol w:w="1331"/>
        <w:gridCol w:w="424"/>
        <w:gridCol w:w="2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252" w:type="dxa"/>
            <w:vAlign w:val="center"/>
          </w:tcPr>
          <w:p>
            <w:pPr>
              <w:pStyle w:val="36"/>
              <w:tabs>
                <w:tab w:val="left" w:pos="436"/>
              </w:tabs>
              <w:spacing w:line="360" w:lineRule="auto"/>
              <w:ind w:right="44" w:firstLine="315" w:firstLineChars="150"/>
              <w:rPr>
                <w:sz w:val="21"/>
              </w:rPr>
            </w:pPr>
            <w:r>
              <w:rPr>
                <w:rFonts w:hint="eastAsia"/>
                <w:sz w:val="21"/>
              </w:rPr>
              <w:t>姓</w:t>
            </w:r>
            <w:r>
              <w:rPr>
                <w:rFonts w:hint="eastAsia"/>
                <w:sz w:val="21"/>
              </w:rPr>
              <w:tab/>
            </w:r>
            <w:r>
              <w:rPr>
                <w:rFonts w:hint="eastAsia"/>
                <w:sz w:val="21"/>
              </w:rPr>
              <w:t>名</w:t>
            </w:r>
          </w:p>
        </w:tc>
        <w:tc>
          <w:tcPr>
            <w:tcW w:w="1108" w:type="dxa"/>
            <w:gridSpan w:val="2"/>
            <w:vAlign w:val="center"/>
          </w:tcPr>
          <w:p>
            <w:pPr>
              <w:pStyle w:val="36"/>
              <w:spacing w:line="360" w:lineRule="auto"/>
              <w:ind w:left="44" w:right="44" w:firstLine="400"/>
              <w:jc w:val="center"/>
              <w:rPr>
                <w:sz w:val="20"/>
              </w:rPr>
            </w:pPr>
          </w:p>
        </w:tc>
        <w:tc>
          <w:tcPr>
            <w:tcW w:w="1011" w:type="dxa"/>
            <w:vAlign w:val="center"/>
          </w:tcPr>
          <w:p>
            <w:pPr>
              <w:pStyle w:val="36"/>
              <w:spacing w:line="360" w:lineRule="auto"/>
              <w:ind w:right="44" w:firstLine="210" w:firstLineChars="100"/>
              <w:rPr>
                <w:sz w:val="21"/>
              </w:rPr>
            </w:pPr>
            <w:r>
              <w:rPr>
                <w:rFonts w:hint="eastAsia"/>
                <w:sz w:val="21"/>
              </w:rPr>
              <w:t>年龄</w:t>
            </w:r>
          </w:p>
        </w:tc>
        <w:tc>
          <w:tcPr>
            <w:tcW w:w="1126" w:type="dxa"/>
            <w:vAlign w:val="center"/>
          </w:tcPr>
          <w:p>
            <w:pPr>
              <w:pStyle w:val="36"/>
              <w:spacing w:line="360" w:lineRule="auto"/>
              <w:ind w:left="44" w:right="44" w:firstLine="400"/>
              <w:jc w:val="center"/>
              <w:rPr>
                <w:sz w:val="20"/>
              </w:rPr>
            </w:pPr>
          </w:p>
        </w:tc>
        <w:tc>
          <w:tcPr>
            <w:tcW w:w="2499" w:type="dxa"/>
            <w:gridSpan w:val="3"/>
            <w:vAlign w:val="center"/>
          </w:tcPr>
          <w:p>
            <w:pPr>
              <w:pStyle w:val="36"/>
              <w:adjustRightInd w:val="0"/>
              <w:snapToGrid w:val="0"/>
              <w:spacing w:line="360" w:lineRule="auto"/>
              <w:ind w:left="42" w:leftChars="20" w:right="42" w:rightChars="20"/>
              <w:rPr>
                <w:sz w:val="21"/>
              </w:rPr>
            </w:pPr>
            <w:r>
              <w:rPr>
                <w:rFonts w:hint="eastAsia"/>
                <w:sz w:val="21"/>
              </w:rPr>
              <w:t>执业资格证书（或上岗证书）名称</w:t>
            </w:r>
          </w:p>
        </w:tc>
        <w:tc>
          <w:tcPr>
            <w:tcW w:w="2003" w:type="dxa"/>
            <w:vAlign w:val="center"/>
          </w:tcPr>
          <w:p>
            <w:pPr>
              <w:pStyle w:val="36"/>
              <w:spacing w:line="360" w:lineRule="auto"/>
              <w:ind w:left="44" w:right="44" w:firstLine="400"/>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252" w:type="dxa"/>
            <w:vAlign w:val="center"/>
          </w:tcPr>
          <w:p>
            <w:pPr>
              <w:pStyle w:val="36"/>
              <w:tabs>
                <w:tab w:val="left" w:pos="436"/>
              </w:tabs>
              <w:spacing w:line="360" w:lineRule="auto"/>
              <w:ind w:right="44" w:firstLine="315" w:firstLineChars="150"/>
              <w:rPr>
                <w:sz w:val="21"/>
              </w:rPr>
            </w:pPr>
            <w:r>
              <w:rPr>
                <w:rFonts w:hint="eastAsia"/>
                <w:sz w:val="21"/>
              </w:rPr>
              <w:t>职</w:t>
            </w:r>
            <w:r>
              <w:rPr>
                <w:rFonts w:hint="eastAsia"/>
                <w:sz w:val="21"/>
              </w:rPr>
              <w:tab/>
            </w:r>
            <w:r>
              <w:rPr>
                <w:rFonts w:hint="eastAsia"/>
                <w:sz w:val="21"/>
              </w:rPr>
              <w:t>称</w:t>
            </w:r>
          </w:p>
        </w:tc>
        <w:tc>
          <w:tcPr>
            <w:tcW w:w="1108" w:type="dxa"/>
            <w:gridSpan w:val="2"/>
            <w:vAlign w:val="center"/>
          </w:tcPr>
          <w:p>
            <w:pPr>
              <w:pStyle w:val="36"/>
              <w:spacing w:line="360" w:lineRule="auto"/>
              <w:ind w:left="44" w:right="44" w:firstLine="400"/>
              <w:jc w:val="center"/>
              <w:rPr>
                <w:sz w:val="20"/>
              </w:rPr>
            </w:pPr>
          </w:p>
        </w:tc>
        <w:tc>
          <w:tcPr>
            <w:tcW w:w="1011" w:type="dxa"/>
            <w:vAlign w:val="center"/>
          </w:tcPr>
          <w:p>
            <w:pPr>
              <w:pStyle w:val="36"/>
              <w:spacing w:line="360" w:lineRule="auto"/>
              <w:ind w:right="44" w:firstLine="210" w:firstLineChars="100"/>
              <w:rPr>
                <w:sz w:val="21"/>
              </w:rPr>
            </w:pPr>
            <w:r>
              <w:rPr>
                <w:rFonts w:hint="eastAsia"/>
                <w:sz w:val="21"/>
              </w:rPr>
              <w:t>学历</w:t>
            </w:r>
          </w:p>
        </w:tc>
        <w:tc>
          <w:tcPr>
            <w:tcW w:w="1126" w:type="dxa"/>
            <w:vAlign w:val="center"/>
          </w:tcPr>
          <w:p>
            <w:pPr>
              <w:pStyle w:val="36"/>
              <w:spacing w:line="360" w:lineRule="auto"/>
              <w:ind w:left="44" w:right="44" w:firstLine="400"/>
              <w:jc w:val="center"/>
              <w:rPr>
                <w:sz w:val="20"/>
              </w:rPr>
            </w:pPr>
          </w:p>
        </w:tc>
        <w:tc>
          <w:tcPr>
            <w:tcW w:w="2499" w:type="dxa"/>
            <w:gridSpan w:val="3"/>
            <w:vAlign w:val="center"/>
          </w:tcPr>
          <w:p>
            <w:pPr>
              <w:pStyle w:val="36"/>
              <w:adjustRightInd w:val="0"/>
              <w:snapToGrid w:val="0"/>
              <w:spacing w:line="360" w:lineRule="auto"/>
              <w:ind w:left="42" w:leftChars="20" w:right="42" w:rightChars="20" w:firstLine="420"/>
              <w:rPr>
                <w:sz w:val="21"/>
              </w:rPr>
            </w:pPr>
            <w:r>
              <w:rPr>
                <w:rFonts w:hint="eastAsia"/>
                <w:sz w:val="21"/>
              </w:rPr>
              <w:t>拟在本项目任职</w:t>
            </w:r>
          </w:p>
        </w:tc>
        <w:tc>
          <w:tcPr>
            <w:tcW w:w="2003" w:type="dxa"/>
            <w:vAlign w:val="center"/>
          </w:tcPr>
          <w:p>
            <w:pPr>
              <w:pStyle w:val="36"/>
              <w:spacing w:line="360" w:lineRule="auto"/>
              <w:ind w:left="44" w:right="44" w:firstLine="400"/>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52" w:type="dxa"/>
            <w:vAlign w:val="center"/>
          </w:tcPr>
          <w:p>
            <w:pPr>
              <w:pStyle w:val="36"/>
              <w:spacing w:line="360" w:lineRule="auto"/>
              <w:ind w:left="42" w:right="44" w:firstLine="210" w:firstLineChars="100"/>
              <w:rPr>
                <w:sz w:val="21"/>
              </w:rPr>
            </w:pPr>
            <w:r>
              <w:rPr>
                <w:rFonts w:hint="eastAsia"/>
                <w:sz w:val="21"/>
              </w:rPr>
              <w:t>工作年限</w:t>
            </w:r>
          </w:p>
        </w:tc>
        <w:tc>
          <w:tcPr>
            <w:tcW w:w="3245" w:type="dxa"/>
            <w:gridSpan w:val="4"/>
            <w:vAlign w:val="center"/>
          </w:tcPr>
          <w:p>
            <w:pPr>
              <w:pStyle w:val="36"/>
              <w:spacing w:line="360" w:lineRule="auto"/>
              <w:ind w:left="44" w:right="44" w:firstLine="400"/>
              <w:jc w:val="center"/>
              <w:rPr>
                <w:sz w:val="20"/>
              </w:rPr>
            </w:pPr>
          </w:p>
        </w:tc>
        <w:tc>
          <w:tcPr>
            <w:tcW w:w="2499" w:type="dxa"/>
            <w:gridSpan w:val="3"/>
            <w:vAlign w:val="center"/>
          </w:tcPr>
          <w:p>
            <w:pPr>
              <w:pStyle w:val="36"/>
              <w:adjustRightInd w:val="0"/>
              <w:snapToGrid w:val="0"/>
              <w:spacing w:line="360" w:lineRule="auto"/>
              <w:ind w:left="42" w:leftChars="20" w:right="42" w:rightChars="20" w:firstLine="420"/>
              <w:rPr>
                <w:sz w:val="21"/>
              </w:rPr>
            </w:pPr>
            <w:r>
              <w:rPr>
                <w:rFonts w:hint="eastAsia"/>
                <w:sz w:val="21"/>
              </w:rPr>
              <w:t>从事</w:t>
            </w:r>
            <w:r>
              <w:rPr>
                <w:rFonts w:hint="eastAsia"/>
                <w:sz w:val="21"/>
                <w:lang w:val="en-US"/>
              </w:rPr>
              <w:t>本</w:t>
            </w:r>
            <w:r>
              <w:rPr>
                <w:rFonts w:hint="eastAsia"/>
                <w:sz w:val="21"/>
              </w:rPr>
              <w:t>工作年限</w:t>
            </w:r>
          </w:p>
        </w:tc>
        <w:tc>
          <w:tcPr>
            <w:tcW w:w="2003" w:type="dxa"/>
            <w:vAlign w:val="center"/>
          </w:tcPr>
          <w:p>
            <w:pPr>
              <w:pStyle w:val="36"/>
              <w:spacing w:line="360" w:lineRule="auto"/>
              <w:ind w:left="44" w:right="44" w:firstLine="400"/>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52" w:type="dxa"/>
            <w:vAlign w:val="center"/>
          </w:tcPr>
          <w:p>
            <w:pPr>
              <w:pStyle w:val="36"/>
              <w:spacing w:line="360" w:lineRule="auto"/>
              <w:ind w:left="42" w:right="44" w:firstLine="210" w:firstLineChars="100"/>
              <w:rPr>
                <w:sz w:val="21"/>
              </w:rPr>
            </w:pPr>
            <w:r>
              <w:rPr>
                <w:rFonts w:hint="eastAsia"/>
                <w:sz w:val="21"/>
              </w:rPr>
              <w:t>毕业学校</w:t>
            </w:r>
          </w:p>
        </w:tc>
        <w:tc>
          <w:tcPr>
            <w:tcW w:w="7747" w:type="dxa"/>
            <w:gridSpan w:val="8"/>
            <w:vAlign w:val="center"/>
          </w:tcPr>
          <w:p>
            <w:pPr>
              <w:pStyle w:val="36"/>
              <w:tabs>
                <w:tab w:val="left" w:pos="3675"/>
                <w:tab w:val="left" w:pos="4935"/>
              </w:tabs>
              <w:spacing w:line="360" w:lineRule="auto"/>
              <w:ind w:left="42" w:right="44" w:firstLine="1155" w:firstLineChars="550"/>
              <w:rPr>
                <w:sz w:val="21"/>
              </w:rPr>
            </w:pPr>
            <w:r>
              <w:rPr>
                <w:rFonts w:hint="eastAsia"/>
                <w:sz w:val="21"/>
              </w:rPr>
              <w:t>年毕</w:t>
            </w:r>
            <w:r>
              <w:rPr>
                <w:rFonts w:hint="eastAsia"/>
                <w:spacing w:val="-3"/>
                <w:sz w:val="21"/>
              </w:rPr>
              <w:t>业</w:t>
            </w:r>
            <w:r>
              <w:rPr>
                <w:rFonts w:hint="eastAsia"/>
                <w:sz w:val="21"/>
              </w:rPr>
              <w:t>于</w:t>
            </w:r>
            <w:r>
              <w:rPr>
                <w:rFonts w:hint="eastAsia"/>
                <w:sz w:val="21"/>
              </w:rPr>
              <w:tab/>
            </w:r>
            <w:r>
              <w:rPr>
                <w:rFonts w:hint="eastAsia"/>
                <w:spacing w:val="-3"/>
                <w:sz w:val="21"/>
              </w:rPr>
              <w:t>学</w:t>
            </w:r>
            <w:r>
              <w:rPr>
                <w:rFonts w:hint="eastAsia"/>
                <w:sz w:val="21"/>
              </w:rPr>
              <w:t>校</w:t>
            </w:r>
            <w:r>
              <w:rPr>
                <w:rFonts w:hint="eastAsia"/>
                <w:sz w:val="21"/>
              </w:rPr>
              <w:tab/>
            </w:r>
            <w:r>
              <w:rPr>
                <w:rFonts w:hint="eastAsia"/>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8999" w:type="dxa"/>
            <w:gridSpan w:val="9"/>
            <w:vAlign w:val="center"/>
          </w:tcPr>
          <w:p>
            <w:pPr>
              <w:pStyle w:val="36"/>
              <w:spacing w:line="360" w:lineRule="auto"/>
              <w:ind w:left="44" w:right="44" w:firstLine="420"/>
              <w:jc w:val="center"/>
              <w:rPr>
                <w:sz w:val="21"/>
              </w:rPr>
            </w:pPr>
            <w:r>
              <w:rPr>
                <w:rFonts w:hint="eastAsia"/>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29" w:type="dxa"/>
            <w:gridSpan w:val="2"/>
            <w:vAlign w:val="center"/>
          </w:tcPr>
          <w:p>
            <w:pPr>
              <w:pStyle w:val="36"/>
              <w:tabs>
                <w:tab w:val="left" w:pos="878"/>
              </w:tabs>
              <w:adjustRightInd w:val="0"/>
              <w:snapToGrid w:val="0"/>
              <w:spacing w:line="360" w:lineRule="auto"/>
              <w:ind w:left="42" w:right="44" w:firstLine="210" w:firstLineChars="100"/>
              <w:rPr>
                <w:sz w:val="21"/>
              </w:rPr>
            </w:pPr>
            <w:r>
              <w:rPr>
                <w:rFonts w:hint="eastAsia"/>
                <w:sz w:val="21"/>
              </w:rPr>
              <w:t>时</w:t>
            </w:r>
            <w:r>
              <w:rPr>
                <w:rFonts w:hint="eastAsia"/>
                <w:sz w:val="21"/>
              </w:rPr>
              <w:tab/>
            </w:r>
            <w:r>
              <w:rPr>
                <w:rFonts w:hint="eastAsia"/>
                <w:sz w:val="21"/>
              </w:rPr>
              <w:t>间</w:t>
            </w:r>
          </w:p>
        </w:tc>
        <w:tc>
          <w:tcPr>
            <w:tcW w:w="3612" w:type="dxa"/>
            <w:gridSpan w:val="4"/>
            <w:vAlign w:val="center"/>
          </w:tcPr>
          <w:p>
            <w:pPr>
              <w:pStyle w:val="36"/>
              <w:adjustRightInd w:val="0"/>
              <w:snapToGrid w:val="0"/>
              <w:spacing w:line="360" w:lineRule="auto"/>
              <w:ind w:left="42" w:right="44" w:firstLine="840" w:firstLineChars="400"/>
              <w:rPr>
                <w:sz w:val="21"/>
              </w:rPr>
            </w:pPr>
            <w:r>
              <w:rPr>
                <w:rFonts w:hint="eastAsia"/>
                <w:sz w:val="21"/>
              </w:rPr>
              <w:t>参加过的类似项目</w:t>
            </w:r>
          </w:p>
        </w:tc>
        <w:tc>
          <w:tcPr>
            <w:tcW w:w="1331" w:type="dxa"/>
            <w:vAlign w:val="center"/>
          </w:tcPr>
          <w:p>
            <w:pPr>
              <w:pStyle w:val="36"/>
              <w:adjustRightInd w:val="0"/>
              <w:snapToGrid w:val="0"/>
              <w:spacing w:line="360" w:lineRule="auto"/>
              <w:ind w:right="44" w:firstLine="210" w:firstLineChars="100"/>
              <w:rPr>
                <w:sz w:val="21"/>
              </w:rPr>
            </w:pPr>
            <w:r>
              <w:rPr>
                <w:rFonts w:hint="eastAsia"/>
                <w:sz w:val="21"/>
              </w:rPr>
              <w:t>担任职务</w:t>
            </w:r>
          </w:p>
        </w:tc>
        <w:tc>
          <w:tcPr>
            <w:tcW w:w="2427" w:type="dxa"/>
            <w:gridSpan w:val="2"/>
            <w:vAlign w:val="center"/>
          </w:tcPr>
          <w:p>
            <w:pPr>
              <w:pStyle w:val="36"/>
              <w:adjustRightInd w:val="0"/>
              <w:snapToGrid w:val="0"/>
              <w:spacing w:line="360" w:lineRule="auto"/>
              <w:ind w:left="44" w:right="44" w:firstLine="420"/>
              <w:rPr>
                <w:sz w:val="21"/>
              </w:rPr>
            </w:pPr>
            <w:r>
              <w:rPr>
                <w:rFonts w:hint="eastAsia"/>
                <w:sz w:val="21"/>
              </w:rPr>
              <w:t>委托人及联系电话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629" w:type="dxa"/>
            <w:gridSpan w:val="2"/>
          </w:tcPr>
          <w:p>
            <w:pPr>
              <w:pStyle w:val="36"/>
              <w:spacing w:line="360" w:lineRule="auto"/>
              <w:ind w:left="44" w:right="44" w:firstLine="400"/>
              <w:rPr>
                <w:sz w:val="20"/>
              </w:rPr>
            </w:pPr>
          </w:p>
        </w:tc>
        <w:tc>
          <w:tcPr>
            <w:tcW w:w="3612" w:type="dxa"/>
            <w:gridSpan w:val="4"/>
          </w:tcPr>
          <w:p>
            <w:pPr>
              <w:pStyle w:val="36"/>
              <w:spacing w:line="360" w:lineRule="auto"/>
              <w:ind w:left="44" w:right="44" w:firstLine="400"/>
              <w:rPr>
                <w:sz w:val="20"/>
              </w:rPr>
            </w:pPr>
          </w:p>
        </w:tc>
        <w:tc>
          <w:tcPr>
            <w:tcW w:w="1331" w:type="dxa"/>
          </w:tcPr>
          <w:p>
            <w:pPr>
              <w:pStyle w:val="36"/>
              <w:spacing w:line="360" w:lineRule="auto"/>
              <w:ind w:left="44" w:right="44" w:firstLine="400"/>
              <w:rPr>
                <w:sz w:val="20"/>
              </w:rPr>
            </w:pPr>
          </w:p>
        </w:tc>
        <w:tc>
          <w:tcPr>
            <w:tcW w:w="2427" w:type="dxa"/>
            <w:gridSpan w:val="2"/>
          </w:tcPr>
          <w:p>
            <w:pPr>
              <w:pStyle w:val="36"/>
              <w:spacing w:line="360" w:lineRule="auto"/>
              <w:ind w:left="44" w:right="44" w:firstLine="4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629" w:type="dxa"/>
            <w:gridSpan w:val="2"/>
          </w:tcPr>
          <w:p>
            <w:pPr>
              <w:pStyle w:val="36"/>
              <w:spacing w:line="360" w:lineRule="auto"/>
              <w:ind w:left="44" w:right="44" w:firstLine="400"/>
              <w:rPr>
                <w:sz w:val="20"/>
              </w:rPr>
            </w:pPr>
          </w:p>
        </w:tc>
        <w:tc>
          <w:tcPr>
            <w:tcW w:w="3612" w:type="dxa"/>
            <w:gridSpan w:val="4"/>
          </w:tcPr>
          <w:p>
            <w:pPr>
              <w:pStyle w:val="36"/>
              <w:spacing w:line="360" w:lineRule="auto"/>
              <w:ind w:left="44" w:right="44" w:firstLine="400"/>
              <w:rPr>
                <w:sz w:val="20"/>
              </w:rPr>
            </w:pPr>
          </w:p>
        </w:tc>
        <w:tc>
          <w:tcPr>
            <w:tcW w:w="1331" w:type="dxa"/>
          </w:tcPr>
          <w:p>
            <w:pPr>
              <w:pStyle w:val="36"/>
              <w:spacing w:line="360" w:lineRule="auto"/>
              <w:ind w:left="44" w:right="44" w:firstLine="400"/>
              <w:rPr>
                <w:sz w:val="20"/>
              </w:rPr>
            </w:pPr>
          </w:p>
        </w:tc>
        <w:tc>
          <w:tcPr>
            <w:tcW w:w="2427" w:type="dxa"/>
            <w:gridSpan w:val="2"/>
          </w:tcPr>
          <w:p>
            <w:pPr>
              <w:pStyle w:val="36"/>
              <w:spacing w:line="360" w:lineRule="auto"/>
              <w:ind w:left="44" w:right="44" w:firstLine="40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629" w:type="dxa"/>
            <w:gridSpan w:val="2"/>
          </w:tcPr>
          <w:p>
            <w:pPr>
              <w:pStyle w:val="36"/>
              <w:spacing w:line="360" w:lineRule="auto"/>
              <w:ind w:left="44" w:right="44" w:firstLine="400"/>
              <w:rPr>
                <w:sz w:val="20"/>
              </w:rPr>
            </w:pPr>
          </w:p>
        </w:tc>
        <w:tc>
          <w:tcPr>
            <w:tcW w:w="3612" w:type="dxa"/>
            <w:gridSpan w:val="4"/>
          </w:tcPr>
          <w:p>
            <w:pPr>
              <w:pStyle w:val="36"/>
              <w:spacing w:line="360" w:lineRule="auto"/>
              <w:ind w:left="44" w:right="44" w:firstLine="400"/>
              <w:rPr>
                <w:sz w:val="20"/>
              </w:rPr>
            </w:pPr>
          </w:p>
        </w:tc>
        <w:tc>
          <w:tcPr>
            <w:tcW w:w="1331" w:type="dxa"/>
          </w:tcPr>
          <w:p>
            <w:pPr>
              <w:pStyle w:val="36"/>
              <w:spacing w:line="360" w:lineRule="auto"/>
              <w:ind w:left="44" w:right="44" w:firstLine="400"/>
              <w:rPr>
                <w:sz w:val="20"/>
              </w:rPr>
            </w:pPr>
          </w:p>
        </w:tc>
        <w:tc>
          <w:tcPr>
            <w:tcW w:w="2427" w:type="dxa"/>
            <w:gridSpan w:val="2"/>
          </w:tcPr>
          <w:p>
            <w:pPr>
              <w:pStyle w:val="36"/>
              <w:spacing w:line="360" w:lineRule="auto"/>
              <w:ind w:left="44" w:right="44" w:firstLine="400"/>
              <w:rPr>
                <w:sz w:val="20"/>
              </w:rPr>
            </w:pPr>
          </w:p>
        </w:tc>
      </w:tr>
    </w:tbl>
    <w:p>
      <w:pPr>
        <w:pStyle w:val="9"/>
        <w:tabs>
          <w:tab w:val="left" w:pos="5730"/>
          <w:tab w:val="left" w:pos="7830"/>
          <w:tab w:val="left" w:pos="8670"/>
        </w:tabs>
        <w:ind w:left="44" w:right="44" w:firstLine="400"/>
        <w:rPr>
          <w:rFonts w:hAnsi="宋体" w:cs="宋体"/>
          <w:color w:val="auto"/>
          <w:sz w:val="24"/>
        </w:rPr>
      </w:pPr>
      <w:r>
        <w:rPr>
          <w:rFonts w:hint="eastAsia"/>
          <w:sz w:val="21"/>
          <w:szCs w:val="21"/>
        </w:rPr>
        <w:t>注：1.总监理工程师、造价咨询负责人须附本简历表，其余人员不作要求。</w:t>
      </w:r>
    </w:p>
    <w:p>
      <w:pPr>
        <w:pStyle w:val="10"/>
        <w:spacing w:line="360" w:lineRule="auto"/>
        <w:ind w:left="420" w:leftChars="200" w:firstLine="480"/>
        <w:jc w:val="left"/>
        <w:rPr>
          <w:rFonts w:hAnsi="宋体" w:cs="宋体"/>
          <w:color w:val="auto"/>
          <w:sz w:val="24"/>
        </w:rPr>
      </w:pPr>
    </w:p>
    <w:p>
      <w:pPr>
        <w:pStyle w:val="10"/>
        <w:spacing w:line="360" w:lineRule="auto"/>
        <w:ind w:left="0" w:leftChars="0" w:firstLine="0" w:firstLineChars="0"/>
        <w:jc w:val="left"/>
        <w:rPr>
          <w:rFonts w:hAnsi="宋体" w:cs="宋体"/>
          <w:color w:val="auto"/>
          <w:sz w:val="24"/>
        </w:rPr>
        <w:sectPr>
          <w:pgSz w:w="12240" w:h="15840"/>
          <w:pgMar w:top="1480" w:right="1718" w:bottom="919" w:left="1718" w:header="850" w:footer="992" w:gutter="0"/>
          <w:cols w:space="720" w:num="1"/>
          <w:docGrid w:linePitch="312" w:charSpace="0"/>
        </w:sectPr>
      </w:pPr>
    </w:p>
    <w:bookmarkEnd w:id="385"/>
    <w:bookmarkEnd w:id="386"/>
    <w:bookmarkEnd w:id="387"/>
    <w:bookmarkEnd w:id="418"/>
    <w:bookmarkEnd w:id="419"/>
    <w:bookmarkEnd w:id="420"/>
    <w:bookmarkEnd w:id="421"/>
    <w:bookmarkEnd w:id="422"/>
    <w:bookmarkEnd w:id="439"/>
    <w:bookmarkEnd w:id="440"/>
    <w:bookmarkEnd w:id="441"/>
    <w:bookmarkEnd w:id="442"/>
    <w:bookmarkEnd w:id="450"/>
    <w:bookmarkEnd w:id="451"/>
    <w:bookmarkEnd w:id="452"/>
    <w:p>
      <w:pPr>
        <w:pStyle w:val="19"/>
        <w:ind w:left="0" w:leftChars="0" w:firstLine="0" w:firstLineChars="0"/>
      </w:pPr>
      <w:bookmarkStart w:id="453" w:name="_Toc23944"/>
      <w:bookmarkStart w:id="454" w:name="_Toc6768"/>
      <w:bookmarkStart w:id="455" w:name="_Toc17121"/>
      <w:bookmarkStart w:id="456" w:name="_Toc22693"/>
    </w:p>
    <w:bookmarkEnd w:id="453"/>
    <w:bookmarkEnd w:id="454"/>
    <w:bookmarkEnd w:id="455"/>
    <w:bookmarkEnd w:id="456"/>
    <w:p>
      <w:pPr>
        <w:pStyle w:val="3"/>
        <w:numPr>
          <w:ilvl w:val="-1"/>
          <w:numId w:val="0"/>
        </w:numPr>
        <w:jc w:val="center"/>
        <w:rPr>
          <w:rFonts w:hint="eastAsia" w:ascii="宋体" w:hAnsi="宋体" w:eastAsia="宋体" w:cs="宋体"/>
          <w:sz w:val="30"/>
          <w:szCs w:val="30"/>
          <w:lang w:val="en-US" w:eastAsia="zh-CN"/>
        </w:rPr>
      </w:pPr>
      <w:r>
        <w:rPr>
          <w:rFonts w:hint="eastAsia"/>
          <w:b/>
          <w:sz w:val="32"/>
          <w:lang w:val="en-US" w:eastAsia="zh-CN"/>
        </w:rPr>
        <w:t>九、</w:t>
      </w:r>
      <w:r>
        <w:rPr>
          <w:rFonts w:hint="eastAsia"/>
          <w:b/>
          <w:sz w:val="32"/>
        </w:rPr>
        <w:t>拟投入本项目的主要设备表</w:t>
      </w:r>
    </w:p>
    <w:tbl>
      <w:tblPr>
        <w:tblStyle w:val="20"/>
        <w:tblW w:w="8655" w:type="dxa"/>
        <w:tblInd w:w="606" w:type="dxa"/>
        <w:tblLayout w:type="fixed"/>
        <w:tblCellMar>
          <w:top w:w="0" w:type="dxa"/>
          <w:left w:w="108" w:type="dxa"/>
          <w:bottom w:w="0" w:type="dxa"/>
          <w:right w:w="108" w:type="dxa"/>
        </w:tblCellMar>
      </w:tblPr>
      <w:tblGrid>
        <w:gridCol w:w="800"/>
        <w:gridCol w:w="1766"/>
        <w:gridCol w:w="2039"/>
        <w:gridCol w:w="950"/>
        <w:gridCol w:w="1400"/>
        <w:gridCol w:w="916"/>
        <w:gridCol w:w="784"/>
      </w:tblGrid>
      <w:tr>
        <w:tblPrEx>
          <w:tblCellMar>
            <w:top w:w="0" w:type="dxa"/>
            <w:left w:w="108" w:type="dxa"/>
            <w:bottom w:w="0" w:type="dxa"/>
            <w:right w:w="108" w:type="dxa"/>
          </w:tblCellMar>
        </w:tblPrEx>
        <w:trPr>
          <w:trHeight w:val="561" w:hRule="exact"/>
        </w:trPr>
        <w:tc>
          <w:tcPr>
            <w:tcW w:w="800" w:type="dxa"/>
            <w:tcBorders>
              <w:top w:val="single" w:color="000000" w:sz="4" w:space="0"/>
              <w:left w:val="single" w:color="000000" w:sz="4" w:space="0"/>
              <w:bottom w:val="single" w:color="000000" w:sz="4" w:space="0"/>
              <w:right w:val="single" w:color="000000" w:sz="4" w:space="0"/>
            </w:tcBorders>
            <w:vAlign w:val="center"/>
          </w:tcPr>
          <w:p>
            <w:pPr>
              <w:ind w:left="102" w:right="-20"/>
              <w:jc w:val="center"/>
              <w:rPr>
                <w:sz w:val="21"/>
                <w:szCs w:val="21"/>
              </w:rPr>
            </w:pPr>
            <w:r>
              <w:rPr>
                <w:rFonts w:hint="eastAsia"/>
                <w:sz w:val="21"/>
                <w:szCs w:val="21"/>
              </w:rPr>
              <w:t>序号</w:t>
            </w:r>
          </w:p>
        </w:tc>
        <w:tc>
          <w:tcPr>
            <w:tcW w:w="1766" w:type="dxa"/>
            <w:tcBorders>
              <w:top w:val="single" w:color="000000" w:sz="4" w:space="0"/>
              <w:left w:val="single" w:color="000000" w:sz="4" w:space="0"/>
              <w:bottom w:val="single" w:color="000000" w:sz="4" w:space="0"/>
              <w:right w:val="single" w:color="000000" w:sz="4" w:space="0"/>
            </w:tcBorders>
            <w:vAlign w:val="center"/>
          </w:tcPr>
          <w:p>
            <w:pPr>
              <w:spacing w:before="70"/>
              <w:ind w:right="136"/>
              <w:jc w:val="center"/>
              <w:rPr>
                <w:sz w:val="21"/>
                <w:szCs w:val="21"/>
              </w:rPr>
            </w:pPr>
            <w:r>
              <w:rPr>
                <w:rFonts w:hint="eastAsia"/>
                <w:spacing w:val="-2"/>
                <w:sz w:val="21"/>
                <w:szCs w:val="21"/>
              </w:rPr>
              <w:t>设</w:t>
            </w:r>
            <w:r>
              <w:rPr>
                <w:rFonts w:hint="eastAsia"/>
                <w:sz w:val="21"/>
                <w:szCs w:val="21"/>
              </w:rPr>
              <w:t>备名称</w:t>
            </w:r>
          </w:p>
        </w:tc>
        <w:tc>
          <w:tcPr>
            <w:tcW w:w="2039" w:type="dxa"/>
            <w:tcBorders>
              <w:top w:val="single" w:color="000000" w:sz="4" w:space="0"/>
              <w:left w:val="single" w:color="000000" w:sz="4" w:space="0"/>
              <w:bottom w:val="single" w:color="000000" w:sz="4" w:space="0"/>
              <w:right w:val="single" w:color="000000" w:sz="4" w:space="0"/>
            </w:tcBorders>
            <w:vAlign w:val="center"/>
          </w:tcPr>
          <w:p>
            <w:pPr>
              <w:spacing w:before="70"/>
              <w:ind w:right="177"/>
              <w:jc w:val="center"/>
              <w:rPr>
                <w:sz w:val="21"/>
                <w:szCs w:val="21"/>
              </w:rPr>
            </w:pPr>
            <w:r>
              <w:rPr>
                <w:rFonts w:hint="eastAsia"/>
                <w:sz w:val="21"/>
                <w:szCs w:val="21"/>
              </w:rPr>
              <w:t>型号规格</w:t>
            </w:r>
          </w:p>
        </w:tc>
        <w:tc>
          <w:tcPr>
            <w:tcW w:w="950" w:type="dxa"/>
            <w:tcBorders>
              <w:top w:val="single" w:color="000000" w:sz="4" w:space="0"/>
              <w:left w:val="single" w:color="000000" w:sz="4" w:space="0"/>
              <w:bottom w:val="single" w:color="000000" w:sz="4" w:space="0"/>
              <w:right w:val="single" w:color="000000" w:sz="4" w:space="0"/>
            </w:tcBorders>
            <w:vAlign w:val="center"/>
          </w:tcPr>
          <w:p>
            <w:pPr>
              <w:ind w:right="-20"/>
              <w:jc w:val="center"/>
              <w:rPr>
                <w:sz w:val="21"/>
                <w:szCs w:val="21"/>
              </w:rPr>
            </w:pPr>
            <w:r>
              <w:rPr>
                <w:rFonts w:hint="eastAsia"/>
                <w:sz w:val="21"/>
                <w:szCs w:val="21"/>
              </w:rPr>
              <w:t>数量</w:t>
            </w:r>
          </w:p>
        </w:tc>
        <w:tc>
          <w:tcPr>
            <w:tcW w:w="1400" w:type="dxa"/>
            <w:tcBorders>
              <w:top w:val="single" w:color="000000" w:sz="4" w:space="0"/>
              <w:left w:val="single" w:color="000000" w:sz="4" w:space="0"/>
              <w:bottom w:val="single" w:color="000000" w:sz="4" w:space="0"/>
              <w:right w:val="single" w:color="000000" w:sz="4" w:space="0"/>
            </w:tcBorders>
            <w:vAlign w:val="center"/>
          </w:tcPr>
          <w:p>
            <w:pPr>
              <w:spacing w:before="70"/>
              <w:ind w:right="134"/>
              <w:jc w:val="center"/>
              <w:rPr>
                <w:sz w:val="21"/>
                <w:szCs w:val="21"/>
              </w:rPr>
            </w:pPr>
            <w:r>
              <w:rPr>
                <w:rFonts w:hint="eastAsia"/>
                <w:sz w:val="21"/>
                <w:szCs w:val="21"/>
              </w:rPr>
              <w:t>国别产地</w:t>
            </w: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rPr>
            </w:pPr>
            <w:r>
              <w:rPr>
                <w:rFonts w:hint="eastAsia"/>
                <w:sz w:val="21"/>
                <w:szCs w:val="21"/>
              </w:rPr>
              <w:t>用途</w:t>
            </w:r>
          </w:p>
        </w:tc>
        <w:tc>
          <w:tcPr>
            <w:tcW w:w="784" w:type="dxa"/>
            <w:tcBorders>
              <w:top w:val="single" w:color="000000" w:sz="4" w:space="0"/>
              <w:left w:val="single" w:color="000000" w:sz="4" w:space="0"/>
              <w:bottom w:val="single" w:color="000000" w:sz="4" w:space="0"/>
              <w:right w:val="single" w:color="000000" w:sz="4" w:space="0"/>
            </w:tcBorders>
            <w:vAlign w:val="center"/>
          </w:tcPr>
          <w:p>
            <w:pPr>
              <w:ind w:right="-20"/>
              <w:jc w:val="center"/>
              <w:rPr>
                <w:sz w:val="21"/>
                <w:szCs w:val="21"/>
              </w:rPr>
            </w:pPr>
            <w:r>
              <w:rPr>
                <w:rFonts w:hint="eastAsia"/>
                <w:sz w:val="21"/>
                <w:szCs w:val="21"/>
              </w:rPr>
              <w:t>备注</w:t>
            </w:r>
          </w:p>
        </w:tc>
      </w:tr>
      <w:tr>
        <w:tblPrEx>
          <w:tblCellMar>
            <w:top w:w="0" w:type="dxa"/>
            <w:left w:w="108" w:type="dxa"/>
            <w:bottom w:w="0" w:type="dxa"/>
            <w:right w:w="108" w:type="dxa"/>
          </w:tblCellMar>
        </w:tblPrEx>
        <w:trPr>
          <w:trHeight w:val="517"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5"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6"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5"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58"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5"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3"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5"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6"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5"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562"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1"/>
                <w:szCs w:val="21"/>
                <w:highlight w:val="yellow"/>
                <w:lang w:val="en-US"/>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5"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58"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5"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5"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586"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imes New Roman"/>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688"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3"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478"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176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rFonts w:cstheme="minorBidi"/>
                <w:kern w:val="2"/>
                <w:sz w:val="21"/>
                <w:szCs w:val="21"/>
                <w:highlight w:val="yellow"/>
                <w:lang w:val="en-US" w:bidi="ar-SA"/>
              </w:rPr>
            </w:pPr>
          </w:p>
        </w:tc>
      </w:tr>
      <w:tr>
        <w:tblPrEx>
          <w:tblCellMar>
            <w:top w:w="0" w:type="dxa"/>
            <w:left w:w="108" w:type="dxa"/>
            <w:bottom w:w="0" w:type="dxa"/>
            <w:right w:w="108" w:type="dxa"/>
          </w:tblCellMar>
        </w:tblPrEx>
        <w:trPr>
          <w:trHeight w:val="593"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r>
      <w:tr>
        <w:tblPrEx>
          <w:tblCellMar>
            <w:top w:w="0" w:type="dxa"/>
            <w:left w:w="108" w:type="dxa"/>
            <w:bottom w:w="0" w:type="dxa"/>
            <w:right w:w="108" w:type="dxa"/>
          </w:tblCellMar>
        </w:tblPrEx>
        <w:trPr>
          <w:trHeight w:val="638"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r>
      <w:tr>
        <w:tblPrEx>
          <w:tblCellMar>
            <w:top w:w="0" w:type="dxa"/>
            <w:left w:w="108" w:type="dxa"/>
            <w:bottom w:w="0" w:type="dxa"/>
            <w:right w:w="108" w:type="dxa"/>
          </w:tblCellMar>
        </w:tblPrEx>
        <w:trPr>
          <w:trHeight w:val="478"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r>
      <w:tr>
        <w:tblPrEx>
          <w:tblCellMar>
            <w:top w:w="0" w:type="dxa"/>
            <w:left w:w="108" w:type="dxa"/>
            <w:bottom w:w="0" w:type="dxa"/>
            <w:right w:w="108" w:type="dxa"/>
          </w:tblCellMar>
        </w:tblPrEx>
        <w:trPr>
          <w:trHeight w:val="668" w:hRule="exact"/>
        </w:trPr>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c>
          <w:tcPr>
            <w:tcW w:w="176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203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9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14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Bidi"/>
                <w:kern w:val="2"/>
                <w:sz w:val="21"/>
                <w:szCs w:val="21"/>
                <w:highlight w:val="yellow"/>
                <w:lang w:val="en-US" w:bidi="ar-SA"/>
              </w:rPr>
            </w:pP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c>
          <w:tcPr>
            <w:tcW w:w="784" w:type="dxa"/>
            <w:tcBorders>
              <w:top w:val="single" w:color="000000" w:sz="4" w:space="0"/>
              <w:left w:val="single" w:color="000000" w:sz="4" w:space="0"/>
              <w:bottom w:val="single" w:color="000000" w:sz="4" w:space="0"/>
              <w:right w:val="single" w:color="000000" w:sz="4" w:space="0"/>
            </w:tcBorders>
            <w:vAlign w:val="center"/>
          </w:tcPr>
          <w:p>
            <w:pPr>
              <w:jc w:val="center"/>
              <w:rPr>
                <w:sz w:val="21"/>
                <w:szCs w:val="21"/>
                <w:highlight w:val="yellow"/>
                <w:lang w:val="en-US"/>
              </w:rPr>
            </w:pPr>
          </w:p>
        </w:tc>
      </w:tr>
    </w:tbl>
    <w:p>
      <w:pPr>
        <w:rPr>
          <w:rFonts w:ascii="宋体" w:hAnsi="宋体" w:cs="宋体"/>
          <w:sz w:val="24"/>
        </w:rPr>
      </w:pPr>
    </w:p>
    <w:p>
      <w:pPr>
        <w:pStyle w:val="3"/>
        <w:numPr>
          <w:ilvl w:val="-1"/>
          <w:numId w:val="0"/>
        </w:numPr>
        <w:jc w:val="center"/>
        <w:rPr>
          <w:rFonts w:hint="eastAsia" w:ascii="宋体" w:hAnsi="宋体" w:eastAsia="宋体" w:cs="宋体"/>
          <w:sz w:val="30"/>
          <w:szCs w:val="30"/>
          <w:lang w:val="en-US" w:eastAsia="zh-CN"/>
        </w:rPr>
      </w:pPr>
      <w:r>
        <w:rPr>
          <w:rFonts w:hint="eastAsia" w:ascii="宋体" w:hAnsi="宋体" w:cs="宋体"/>
          <w:b w:val="0"/>
          <w:bCs w:val="0"/>
          <w:sz w:val="32"/>
        </w:rPr>
        <w:br w:type="page"/>
      </w:r>
      <w:bookmarkStart w:id="457" w:name="_Toc514170160"/>
      <w:bookmarkStart w:id="458" w:name="_Toc19434"/>
      <w:bookmarkStart w:id="459" w:name="_Toc539"/>
      <w:bookmarkStart w:id="460" w:name="_Toc27299"/>
      <w:r>
        <w:rPr>
          <w:rFonts w:hint="eastAsia" w:ascii="宋体" w:hAnsi="宋体" w:cs="宋体"/>
          <w:b w:val="0"/>
          <w:bCs w:val="0"/>
          <w:sz w:val="32"/>
          <w:lang w:val="en-US" w:eastAsia="zh-CN"/>
        </w:rPr>
        <w:t>十、</w:t>
      </w:r>
      <w:r>
        <w:rPr>
          <w:rFonts w:hint="eastAsia" w:ascii="宋体" w:hAnsi="宋体" w:eastAsia="宋体" w:cs="宋体"/>
          <w:sz w:val="30"/>
          <w:szCs w:val="30"/>
          <w:lang w:val="en-US" w:eastAsia="zh-CN"/>
        </w:rPr>
        <w:t>服务方案</w:t>
      </w:r>
    </w:p>
    <w:bookmarkEnd w:id="457"/>
    <w:bookmarkEnd w:id="458"/>
    <w:bookmarkEnd w:id="459"/>
    <w:bookmarkEnd w:id="460"/>
    <w:p>
      <w:pPr>
        <w:spacing w:line="360" w:lineRule="auto"/>
        <w:ind w:left="44" w:right="44" w:firstLine="480"/>
        <w:jc w:val="center"/>
        <w:rPr>
          <w:sz w:val="24"/>
          <w:lang w:val="en-US"/>
        </w:rPr>
      </w:pPr>
      <w:r>
        <w:rPr>
          <w:rFonts w:hint="eastAsia"/>
          <w:sz w:val="24"/>
        </w:rPr>
        <w:t>格式自</w:t>
      </w:r>
      <w:r>
        <w:rPr>
          <w:rFonts w:hint="eastAsia"/>
          <w:sz w:val="24"/>
          <w:lang w:val="en-US"/>
        </w:rPr>
        <w:t>拟</w:t>
      </w:r>
    </w:p>
    <w:p>
      <w:pPr>
        <w:tabs>
          <w:tab w:val="left" w:pos="0"/>
          <w:tab w:val="left" w:pos="567"/>
          <w:tab w:val="left" w:pos="993"/>
          <w:tab w:val="left" w:pos="1134"/>
        </w:tabs>
        <w:snapToGrid w:val="0"/>
        <w:spacing w:line="300" w:lineRule="auto"/>
        <w:ind w:firstLine="281" w:firstLineChars="100"/>
        <w:rPr>
          <w:rFonts w:ascii="宋体" w:hAnsi="宋体" w:cs="宋体"/>
          <w:b/>
          <w:sz w:val="28"/>
          <w:szCs w:val="28"/>
        </w:rPr>
      </w:pPr>
    </w:p>
    <w:p>
      <w:pPr>
        <w:spacing w:line="360" w:lineRule="auto"/>
        <w:ind w:left="44" w:right="44" w:firstLine="1890" w:firstLineChars="900"/>
        <w:jc w:val="both"/>
        <w:rPr>
          <w:b/>
          <w:sz w:val="32"/>
        </w:rPr>
      </w:pPr>
      <w:r>
        <w:rPr>
          <w:rFonts w:hint="eastAsia" w:ascii="宋体" w:hAnsi="宋体" w:cs="宋体"/>
        </w:rPr>
        <w:br w:type="page"/>
      </w:r>
      <w:r>
        <w:rPr>
          <w:rFonts w:hint="eastAsia"/>
          <w:b/>
          <w:sz w:val="32"/>
        </w:rPr>
        <w:t>十</w:t>
      </w:r>
      <w:r>
        <w:rPr>
          <w:rFonts w:hint="eastAsia"/>
          <w:b/>
          <w:sz w:val="32"/>
          <w:lang w:val="en-US" w:eastAsia="zh-CN"/>
        </w:rPr>
        <w:t>一</w:t>
      </w:r>
      <w:r>
        <w:rPr>
          <w:rFonts w:hint="eastAsia"/>
          <w:b/>
          <w:sz w:val="32"/>
        </w:rPr>
        <w:t>、其他资料</w:t>
      </w:r>
    </w:p>
    <w:p>
      <w:pPr>
        <w:spacing w:line="360" w:lineRule="auto"/>
        <w:ind w:left="44" w:right="44" w:firstLine="440"/>
        <w:jc w:val="center"/>
      </w:pPr>
      <w:r>
        <w:rPr>
          <w:rFonts w:hint="eastAsia"/>
        </w:rPr>
        <w:t>投标人认为有必要提交的其他资料，格式自定。</w:t>
      </w:r>
    </w:p>
    <w:p/>
    <w:p>
      <w:pPr>
        <w:numPr>
          <w:ilvl w:val="0"/>
          <w:numId w:val="0"/>
        </w:numPr>
        <w:tabs>
          <w:tab w:val="left" w:pos="0"/>
        </w:tabs>
        <w:ind w:leftChars="0"/>
      </w:pPr>
    </w:p>
    <w:p/>
    <w:p/>
    <w:sectPr>
      <w:pgSz w:w="11906" w:h="16838"/>
      <w:pgMar w:top="1417" w:right="1417" w:bottom="1417" w:left="1417" w:header="850" w:footer="992"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38</w:t>
                          </w:r>
                          <w:r>
                            <w:rPr>
                              <w:kern w:val="0"/>
                              <w:szCs w:val="21"/>
                            </w:rPr>
                            <w:fldChar w:fldCharType="end"/>
                          </w:r>
                          <w:r>
                            <w:rPr>
                              <w:kern w:val="0"/>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38</w:t>
                    </w:r>
                    <w:r>
                      <w:rPr>
                        <w:kern w:val="0"/>
                        <w:szCs w:val="21"/>
                      </w:rPr>
                      <w:fldChar w:fldCharType="end"/>
                    </w:r>
                    <w:r>
                      <w:rPr>
                        <w:kern w:val="0"/>
                        <w:szCs w:val="21"/>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rPr>
        <w:rFonts w:ascii="宋体" w:cs="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A8165"/>
    <w:multiLevelType w:val="singleLevel"/>
    <w:tmpl w:val="1F7A8165"/>
    <w:lvl w:ilvl="0" w:tentative="0">
      <w:start w:val="4"/>
      <w:numFmt w:val="chineseCounting"/>
      <w:suff w:val="space"/>
      <w:lvlText w:val="第%1章"/>
      <w:lvlJc w:val="left"/>
      <w:pPr>
        <w:tabs>
          <w:tab w:val="left" w:pos="0"/>
        </w:tabs>
        <w:ind w:left="0" w:firstLine="0"/>
      </w:pPr>
      <w:rPr>
        <w:rFonts w:hint="eastAsia"/>
      </w:rPr>
    </w:lvl>
  </w:abstractNum>
  <w:abstractNum w:abstractNumId="1">
    <w:nsid w:val="60EBF23E"/>
    <w:multiLevelType w:val="singleLevel"/>
    <w:tmpl w:val="60EBF23E"/>
    <w:lvl w:ilvl="0" w:tentative="0">
      <w:start w:val="1"/>
      <w:numFmt w:val="chineseCounting"/>
      <w:suff w:val="nothing"/>
      <w:lvlText w:val="%1、"/>
      <w:lvlJc w:val="left"/>
      <w:pPr>
        <w:tabs>
          <w:tab w:val="left" w:pos="0"/>
        </w:tabs>
        <w:ind w:left="8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MTI3OTRkYjRiOWZhYjMyOWY1N2FkNTBiOTIwYzMifQ=="/>
  </w:docVars>
  <w:rsids>
    <w:rsidRoot w:val="00312F36"/>
    <w:rsid w:val="002B7D9B"/>
    <w:rsid w:val="00312F36"/>
    <w:rsid w:val="00737BD6"/>
    <w:rsid w:val="00A34398"/>
    <w:rsid w:val="00B43F76"/>
    <w:rsid w:val="00BB423E"/>
    <w:rsid w:val="00BF50FE"/>
    <w:rsid w:val="00ED1315"/>
    <w:rsid w:val="01101F9A"/>
    <w:rsid w:val="014001AC"/>
    <w:rsid w:val="014C7AF0"/>
    <w:rsid w:val="014D11C8"/>
    <w:rsid w:val="02B0310F"/>
    <w:rsid w:val="0304012D"/>
    <w:rsid w:val="03441469"/>
    <w:rsid w:val="034B47D7"/>
    <w:rsid w:val="039E740C"/>
    <w:rsid w:val="03AA4F1C"/>
    <w:rsid w:val="03FE5CA1"/>
    <w:rsid w:val="042711AF"/>
    <w:rsid w:val="04640482"/>
    <w:rsid w:val="051C484B"/>
    <w:rsid w:val="05594D80"/>
    <w:rsid w:val="05740424"/>
    <w:rsid w:val="058542AC"/>
    <w:rsid w:val="05D13AC9"/>
    <w:rsid w:val="06015D7A"/>
    <w:rsid w:val="06345E06"/>
    <w:rsid w:val="06CC603E"/>
    <w:rsid w:val="070E48A8"/>
    <w:rsid w:val="07AE7E2F"/>
    <w:rsid w:val="081F4CEA"/>
    <w:rsid w:val="08CA5EF0"/>
    <w:rsid w:val="08CB0CA3"/>
    <w:rsid w:val="098E4FA2"/>
    <w:rsid w:val="09A44072"/>
    <w:rsid w:val="09A75694"/>
    <w:rsid w:val="09B01C47"/>
    <w:rsid w:val="0A1A5B47"/>
    <w:rsid w:val="0A842B1E"/>
    <w:rsid w:val="0AFC49D1"/>
    <w:rsid w:val="0B2D5A0B"/>
    <w:rsid w:val="0BDC300D"/>
    <w:rsid w:val="0C550884"/>
    <w:rsid w:val="0C654187"/>
    <w:rsid w:val="0C837B62"/>
    <w:rsid w:val="0C8B7C21"/>
    <w:rsid w:val="0CB157DC"/>
    <w:rsid w:val="0CC26148"/>
    <w:rsid w:val="0CEB700C"/>
    <w:rsid w:val="0CEC743A"/>
    <w:rsid w:val="0D292CF0"/>
    <w:rsid w:val="0D593B6B"/>
    <w:rsid w:val="0D944440"/>
    <w:rsid w:val="0E5B4BEA"/>
    <w:rsid w:val="0EAD1674"/>
    <w:rsid w:val="0ECD56A7"/>
    <w:rsid w:val="0EF16F8A"/>
    <w:rsid w:val="0F101141"/>
    <w:rsid w:val="0F2A5FF8"/>
    <w:rsid w:val="0F46111F"/>
    <w:rsid w:val="0FD71C5E"/>
    <w:rsid w:val="10701544"/>
    <w:rsid w:val="10840024"/>
    <w:rsid w:val="119016E5"/>
    <w:rsid w:val="11916802"/>
    <w:rsid w:val="12263756"/>
    <w:rsid w:val="12F060FD"/>
    <w:rsid w:val="137D703E"/>
    <w:rsid w:val="13CB3CC7"/>
    <w:rsid w:val="146A59F8"/>
    <w:rsid w:val="153C27DA"/>
    <w:rsid w:val="15610CA1"/>
    <w:rsid w:val="15FD4466"/>
    <w:rsid w:val="16F70EB5"/>
    <w:rsid w:val="17416248"/>
    <w:rsid w:val="1765160A"/>
    <w:rsid w:val="182014A2"/>
    <w:rsid w:val="18D86E19"/>
    <w:rsid w:val="18FE29CF"/>
    <w:rsid w:val="191F4E21"/>
    <w:rsid w:val="19704F4F"/>
    <w:rsid w:val="19D87A9E"/>
    <w:rsid w:val="19E3384A"/>
    <w:rsid w:val="19E443A3"/>
    <w:rsid w:val="19EA10EF"/>
    <w:rsid w:val="1A1B310D"/>
    <w:rsid w:val="1A781F75"/>
    <w:rsid w:val="1A8C5DB8"/>
    <w:rsid w:val="1AA202EE"/>
    <w:rsid w:val="1ABA303D"/>
    <w:rsid w:val="1AFC6A9A"/>
    <w:rsid w:val="1B5F527B"/>
    <w:rsid w:val="1B612DA1"/>
    <w:rsid w:val="1BB26170"/>
    <w:rsid w:val="1C1C4F1A"/>
    <w:rsid w:val="1C394575"/>
    <w:rsid w:val="1C542906"/>
    <w:rsid w:val="1CE8682C"/>
    <w:rsid w:val="1D3908AA"/>
    <w:rsid w:val="1E1977B3"/>
    <w:rsid w:val="1E322697"/>
    <w:rsid w:val="1E4F5A61"/>
    <w:rsid w:val="20C718F8"/>
    <w:rsid w:val="20DB7549"/>
    <w:rsid w:val="20FF5536"/>
    <w:rsid w:val="217750CC"/>
    <w:rsid w:val="21D94FC9"/>
    <w:rsid w:val="21F72A0F"/>
    <w:rsid w:val="224A27E1"/>
    <w:rsid w:val="228D3CE7"/>
    <w:rsid w:val="22D401B1"/>
    <w:rsid w:val="22DD75F5"/>
    <w:rsid w:val="230010F2"/>
    <w:rsid w:val="233012E3"/>
    <w:rsid w:val="23827D58"/>
    <w:rsid w:val="24681644"/>
    <w:rsid w:val="247E5FEF"/>
    <w:rsid w:val="24A64BBD"/>
    <w:rsid w:val="24AA2DC5"/>
    <w:rsid w:val="24ED0821"/>
    <w:rsid w:val="25F86801"/>
    <w:rsid w:val="26211AAB"/>
    <w:rsid w:val="26284BE7"/>
    <w:rsid w:val="264D28A0"/>
    <w:rsid w:val="26D1053F"/>
    <w:rsid w:val="27682E5C"/>
    <w:rsid w:val="27BF157B"/>
    <w:rsid w:val="27E606F2"/>
    <w:rsid w:val="287A6469"/>
    <w:rsid w:val="28904F47"/>
    <w:rsid w:val="289D0258"/>
    <w:rsid w:val="28DF3BAF"/>
    <w:rsid w:val="290C5AB6"/>
    <w:rsid w:val="29142DE4"/>
    <w:rsid w:val="299D769A"/>
    <w:rsid w:val="29BA649E"/>
    <w:rsid w:val="29C63095"/>
    <w:rsid w:val="29E654E5"/>
    <w:rsid w:val="29EE0335"/>
    <w:rsid w:val="2A3A138D"/>
    <w:rsid w:val="2ADC41F2"/>
    <w:rsid w:val="2AE64034"/>
    <w:rsid w:val="2BAD5B8F"/>
    <w:rsid w:val="2BCC56D9"/>
    <w:rsid w:val="2C8A495F"/>
    <w:rsid w:val="2D040833"/>
    <w:rsid w:val="2D145EC5"/>
    <w:rsid w:val="2D5F4582"/>
    <w:rsid w:val="2D7D7D41"/>
    <w:rsid w:val="2DB12284"/>
    <w:rsid w:val="2DCE18E9"/>
    <w:rsid w:val="2DE367CE"/>
    <w:rsid w:val="2E194779"/>
    <w:rsid w:val="2E4E44F5"/>
    <w:rsid w:val="2E61014E"/>
    <w:rsid w:val="2EBB0117"/>
    <w:rsid w:val="2EC716BC"/>
    <w:rsid w:val="2F2A3F66"/>
    <w:rsid w:val="2F6915C5"/>
    <w:rsid w:val="2F8A3DB8"/>
    <w:rsid w:val="2F911A4F"/>
    <w:rsid w:val="2FAA2B11"/>
    <w:rsid w:val="3071199A"/>
    <w:rsid w:val="308570DA"/>
    <w:rsid w:val="308C66BA"/>
    <w:rsid w:val="309F3DF3"/>
    <w:rsid w:val="30A3463F"/>
    <w:rsid w:val="31271F3F"/>
    <w:rsid w:val="3166515D"/>
    <w:rsid w:val="319770C5"/>
    <w:rsid w:val="31E16592"/>
    <w:rsid w:val="31F03BDD"/>
    <w:rsid w:val="31F340AE"/>
    <w:rsid w:val="31F72B9A"/>
    <w:rsid w:val="32171FB4"/>
    <w:rsid w:val="3240775C"/>
    <w:rsid w:val="325C2C2C"/>
    <w:rsid w:val="326F3B9E"/>
    <w:rsid w:val="32B51BC4"/>
    <w:rsid w:val="32D57073"/>
    <w:rsid w:val="33EB41C0"/>
    <w:rsid w:val="34060532"/>
    <w:rsid w:val="34432ACD"/>
    <w:rsid w:val="34494A44"/>
    <w:rsid w:val="35C143DF"/>
    <w:rsid w:val="36676F4F"/>
    <w:rsid w:val="366C6D72"/>
    <w:rsid w:val="36C21BE7"/>
    <w:rsid w:val="36D47DDE"/>
    <w:rsid w:val="377B22D4"/>
    <w:rsid w:val="38D13B37"/>
    <w:rsid w:val="38FF03C4"/>
    <w:rsid w:val="392513D1"/>
    <w:rsid w:val="395A1104"/>
    <w:rsid w:val="395F72EF"/>
    <w:rsid w:val="39B21AF3"/>
    <w:rsid w:val="39C50059"/>
    <w:rsid w:val="3ABE4472"/>
    <w:rsid w:val="3AC1200C"/>
    <w:rsid w:val="3B4C172F"/>
    <w:rsid w:val="3B600A24"/>
    <w:rsid w:val="3B8A37F6"/>
    <w:rsid w:val="3BB80364"/>
    <w:rsid w:val="3C5B15AB"/>
    <w:rsid w:val="3C644655"/>
    <w:rsid w:val="3CA41AF5"/>
    <w:rsid w:val="3CA74EBB"/>
    <w:rsid w:val="3CBA280E"/>
    <w:rsid w:val="3D27338F"/>
    <w:rsid w:val="3DB42D35"/>
    <w:rsid w:val="3DD746DC"/>
    <w:rsid w:val="3DFF227A"/>
    <w:rsid w:val="3E030156"/>
    <w:rsid w:val="3E1D71B4"/>
    <w:rsid w:val="3E37096E"/>
    <w:rsid w:val="3E6B1A67"/>
    <w:rsid w:val="3EB87241"/>
    <w:rsid w:val="3F171845"/>
    <w:rsid w:val="3F993564"/>
    <w:rsid w:val="40CE349D"/>
    <w:rsid w:val="40EC03CE"/>
    <w:rsid w:val="412169AB"/>
    <w:rsid w:val="41232969"/>
    <w:rsid w:val="41277D64"/>
    <w:rsid w:val="417C0475"/>
    <w:rsid w:val="41AF64D2"/>
    <w:rsid w:val="41C8766B"/>
    <w:rsid w:val="42782C5B"/>
    <w:rsid w:val="428D4EC0"/>
    <w:rsid w:val="42B86984"/>
    <w:rsid w:val="42F7390C"/>
    <w:rsid w:val="43003901"/>
    <w:rsid w:val="432E43C4"/>
    <w:rsid w:val="438135E4"/>
    <w:rsid w:val="43AD2C20"/>
    <w:rsid w:val="43BD76E4"/>
    <w:rsid w:val="43EB387E"/>
    <w:rsid w:val="444A3EF0"/>
    <w:rsid w:val="44CD19E9"/>
    <w:rsid w:val="45201C13"/>
    <w:rsid w:val="45322F35"/>
    <w:rsid w:val="462F56C6"/>
    <w:rsid w:val="464B2FD9"/>
    <w:rsid w:val="466715C5"/>
    <w:rsid w:val="472F2356"/>
    <w:rsid w:val="47F6431D"/>
    <w:rsid w:val="480D1D44"/>
    <w:rsid w:val="48CC2C43"/>
    <w:rsid w:val="48F45559"/>
    <w:rsid w:val="49352AAB"/>
    <w:rsid w:val="49F91324"/>
    <w:rsid w:val="49FB17A1"/>
    <w:rsid w:val="4A9E2E9A"/>
    <w:rsid w:val="4B3043BA"/>
    <w:rsid w:val="4B8C2BFF"/>
    <w:rsid w:val="4B9A1F15"/>
    <w:rsid w:val="4BC11C3E"/>
    <w:rsid w:val="4BCA7211"/>
    <w:rsid w:val="4C2B59C9"/>
    <w:rsid w:val="4C662B06"/>
    <w:rsid w:val="4CAA019C"/>
    <w:rsid w:val="4E1A1516"/>
    <w:rsid w:val="4E543224"/>
    <w:rsid w:val="4E892897"/>
    <w:rsid w:val="4E957029"/>
    <w:rsid w:val="4EDB6239"/>
    <w:rsid w:val="4F2600DA"/>
    <w:rsid w:val="4F2B6097"/>
    <w:rsid w:val="4F683DCB"/>
    <w:rsid w:val="4F8307BB"/>
    <w:rsid w:val="4FCB274D"/>
    <w:rsid w:val="4FE63E78"/>
    <w:rsid w:val="50744D49"/>
    <w:rsid w:val="50916F73"/>
    <w:rsid w:val="50B007CA"/>
    <w:rsid w:val="511A58F1"/>
    <w:rsid w:val="51427844"/>
    <w:rsid w:val="525F54D3"/>
    <w:rsid w:val="52F91432"/>
    <w:rsid w:val="536532BA"/>
    <w:rsid w:val="53963B16"/>
    <w:rsid w:val="54173FF3"/>
    <w:rsid w:val="54376EF5"/>
    <w:rsid w:val="54AA2EA8"/>
    <w:rsid w:val="54CD30CC"/>
    <w:rsid w:val="554051FA"/>
    <w:rsid w:val="556E7899"/>
    <w:rsid w:val="56030767"/>
    <w:rsid w:val="560B1CAC"/>
    <w:rsid w:val="56A96DCF"/>
    <w:rsid w:val="575B2D2D"/>
    <w:rsid w:val="578C2971"/>
    <w:rsid w:val="57AA13F0"/>
    <w:rsid w:val="57BE2F63"/>
    <w:rsid w:val="581B480A"/>
    <w:rsid w:val="581D0473"/>
    <w:rsid w:val="588D4BFA"/>
    <w:rsid w:val="589B554F"/>
    <w:rsid w:val="58C1282B"/>
    <w:rsid w:val="59546722"/>
    <w:rsid w:val="59942B1D"/>
    <w:rsid w:val="59964CBE"/>
    <w:rsid w:val="59CA2EAE"/>
    <w:rsid w:val="59D11E5E"/>
    <w:rsid w:val="5A3137F1"/>
    <w:rsid w:val="5A70532A"/>
    <w:rsid w:val="5A7A2951"/>
    <w:rsid w:val="5AAF529E"/>
    <w:rsid w:val="5ACF72D1"/>
    <w:rsid w:val="5B341342"/>
    <w:rsid w:val="5BCA1E1A"/>
    <w:rsid w:val="5BD10E91"/>
    <w:rsid w:val="5C747781"/>
    <w:rsid w:val="5CD47EFB"/>
    <w:rsid w:val="5D2B2115"/>
    <w:rsid w:val="5D557CB0"/>
    <w:rsid w:val="5D7610CD"/>
    <w:rsid w:val="5D791912"/>
    <w:rsid w:val="5DD9443E"/>
    <w:rsid w:val="5DF327B9"/>
    <w:rsid w:val="5DF72B16"/>
    <w:rsid w:val="5E37787C"/>
    <w:rsid w:val="5E4D0400"/>
    <w:rsid w:val="5E861D72"/>
    <w:rsid w:val="5E8F09AE"/>
    <w:rsid w:val="5EA4243F"/>
    <w:rsid w:val="5F4D47E5"/>
    <w:rsid w:val="5F5673D3"/>
    <w:rsid w:val="5F650428"/>
    <w:rsid w:val="5F9C511A"/>
    <w:rsid w:val="5FAF3C78"/>
    <w:rsid w:val="5FE718E2"/>
    <w:rsid w:val="607658A9"/>
    <w:rsid w:val="60A70823"/>
    <w:rsid w:val="60AC2428"/>
    <w:rsid w:val="60D32747"/>
    <w:rsid w:val="61240D7B"/>
    <w:rsid w:val="617A62F9"/>
    <w:rsid w:val="6187560F"/>
    <w:rsid w:val="61AD365B"/>
    <w:rsid w:val="61BB6A39"/>
    <w:rsid w:val="61C94F1B"/>
    <w:rsid w:val="62556F61"/>
    <w:rsid w:val="63E42EEF"/>
    <w:rsid w:val="645C1924"/>
    <w:rsid w:val="64946B6F"/>
    <w:rsid w:val="652210F7"/>
    <w:rsid w:val="65CF459D"/>
    <w:rsid w:val="66107663"/>
    <w:rsid w:val="67D41017"/>
    <w:rsid w:val="682A4864"/>
    <w:rsid w:val="68C04067"/>
    <w:rsid w:val="68DE0B5A"/>
    <w:rsid w:val="68DF7080"/>
    <w:rsid w:val="697D5B13"/>
    <w:rsid w:val="69E25C20"/>
    <w:rsid w:val="6A1F767C"/>
    <w:rsid w:val="6A6908F7"/>
    <w:rsid w:val="6AC67AF8"/>
    <w:rsid w:val="6B531E39"/>
    <w:rsid w:val="6B57393D"/>
    <w:rsid w:val="6BDC6503"/>
    <w:rsid w:val="6CDB282B"/>
    <w:rsid w:val="6D604233"/>
    <w:rsid w:val="6E290AC9"/>
    <w:rsid w:val="6E2E3854"/>
    <w:rsid w:val="6E53393D"/>
    <w:rsid w:val="6E815491"/>
    <w:rsid w:val="6ED814E3"/>
    <w:rsid w:val="6F094457"/>
    <w:rsid w:val="6F0D03EB"/>
    <w:rsid w:val="70081D3D"/>
    <w:rsid w:val="70435745"/>
    <w:rsid w:val="70D76FDF"/>
    <w:rsid w:val="70D96DA8"/>
    <w:rsid w:val="70F353BF"/>
    <w:rsid w:val="70FD7FEB"/>
    <w:rsid w:val="71014DF6"/>
    <w:rsid w:val="713F76C3"/>
    <w:rsid w:val="71682F57"/>
    <w:rsid w:val="718E19BE"/>
    <w:rsid w:val="71CD79BE"/>
    <w:rsid w:val="71DE1BCB"/>
    <w:rsid w:val="7236569C"/>
    <w:rsid w:val="729F1A9A"/>
    <w:rsid w:val="73584ACA"/>
    <w:rsid w:val="73712915"/>
    <w:rsid w:val="739243B0"/>
    <w:rsid w:val="7419513C"/>
    <w:rsid w:val="751D2A0A"/>
    <w:rsid w:val="755F3023"/>
    <w:rsid w:val="75A924F0"/>
    <w:rsid w:val="76726D86"/>
    <w:rsid w:val="76A000A1"/>
    <w:rsid w:val="770B228F"/>
    <w:rsid w:val="77316C41"/>
    <w:rsid w:val="774D4E10"/>
    <w:rsid w:val="776E10DC"/>
    <w:rsid w:val="77AF036A"/>
    <w:rsid w:val="78091D70"/>
    <w:rsid w:val="784128F1"/>
    <w:rsid w:val="784C2712"/>
    <w:rsid w:val="786C6182"/>
    <w:rsid w:val="78912B23"/>
    <w:rsid w:val="78AF6B87"/>
    <w:rsid w:val="78E35781"/>
    <w:rsid w:val="78F32EE1"/>
    <w:rsid w:val="7A9B47D7"/>
    <w:rsid w:val="7AF37120"/>
    <w:rsid w:val="7B3131FD"/>
    <w:rsid w:val="7B5D0004"/>
    <w:rsid w:val="7B8F0147"/>
    <w:rsid w:val="7BE55F0F"/>
    <w:rsid w:val="7C0B6D70"/>
    <w:rsid w:val="7C296138"/>
    <w:rsid w:val="7C446D99"/>
    <w:rsid w:val="7C817D22"/>
    <w:rsid w:val="7CE52AFC"/>
    <w:rsid w:val="7D8C26EB"/>
    <w:rsid w:val="7D994170"/>
    <w:rsid w:val="7DA6001C"/>
    <w:rsid w:val="7DA95783"/>
    <w:rsid w:val="7DC029C9"/>
    <w:rsid w:val="7E930CF0"/>
    <w:rsid w:val="7F2643BC"/>
    <w:rsid w:val="7F656F0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0" w:lineRule="auto"/>
      <w:outlineLvl w:val="1"/>
    </w:pPr>
    <w:rPr>
      <w:rFonts w:ascii="Arial" w:hAnsi="Arial" w:eastAsia="黑体"/>
      <w:b/>
      <w:kern w:val="0"/>
      <w:sz w:val="32"/>
    </w:rPr>
  </w:style>
  <w:style w:type="paragraph" w:styleId="3">
    <w:name w:val="heading 3"/>
    <w:basedOn w:val="1"/>
    <w:next w:val="1"/>
    <w:qFormat/>
    <w:uiPriority w:val="0"/>
    <w:pPr>
      <w:keepNext/>
      <w:keepLines/>
      <w:spacing w:line="360" w:lineRule="auto"/>
      <w:outlineLvl w:val="2"/>
    </w:pPr>
    <w:rPr>
      <w:b/>
      <w:bCs/>
      <w:kern w:val="0"/>
      <w:sz w:val="24"/>
      <w:szCs w:val="32"/>
    </w:rPr>
  </w:style>
  <w:style w:type="paragraph" w:styleId="4">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next w:val="7"/>
    <w:qFormat/>
    <w:uiPriority w:val="0"/>
    <w:pPr>
      <w:jc w:val="left"/>
    </w:pPr>
  </w:style>
  <w:style w:type="paragraph" w:styleId="7">
    <w:name w:val="Balloon Text"/>
    <w:basedOn w:val="1"/>
    <w:unhideWhenUsed/>
    <w:qFormat/>
    <w:uiPriority w:val="0"/>
    <w:rPr>
      <w:rFonts w:eastAsia="等线"/>
      <w:sz w:val="18"/>
      <w:szCs w:val="18"/>
    </w:rPr>
  </w:style>
  <w:style w:type="paragraph" w:styleId="8">
    <w:name w:val="Body Text 3"/>
    <w:basedOn w:val="1"/>
    <w:qFormat/>
    <w:uiPriority w:val="0"/>
    <w:rPr>
      <w:rFonts w:ascii="宋体"/>
      <w:sz w:val="24"/>
      <w:szCs w:val="20"/>
    </w:rPr>
  </w:style>
  <w:style w:type="paragraph" w:styleId="9">
    <w:name w:val="Body Text"/>
    <w:basedOn w:val="1"/>
    <w:next w:val="1"/>
    <w:qFormat/>
    <w:uiPriority w:val="0"/>
    <w:pPr>
      <w:spacing w:after="120"/>
    </w:pPr>
    <w:rPr>
      <w:kern w:val="0"/>
      <w:sz w:val="20"/>
    </w:rPr>
  </w:style>
  <w:style w:type="paragraph" w:styleId="10">
    <w:name w:val="Body Text Indent"/>
    <w:basedOn w:val="1"/>
    <w:qFormat/>
    <w:uiPriority w:val="0"/>
    <w:pPr>
      <w:autoSpaceDE w:val="0"/>
      <w:autoSpaceDN w:val="0"/>
      <w:adjustRightInd w:val="0"/>
      <w:spacing w:line="0" w:lineRule="atLeast"/>
      <w:ind w:firstLine="525"/>
      <w:textAlignment w:val="top"/>
    </w:pPr>
    <w:rPr>
      <w:rFonts w:ascii="宋体"/>
      <w:color w:val="000000"/>
      <w:kern w:val="0"/>
      <w:sz w:val="20"/>
    </w:rPr>
  </w:style>
  <w:style w:type="paragraph" w:styleId="11">
    <w:name w:val="Block Text"/>
    <w:basedOn w:val="1"/>
    <w:qFormat/>
    <w:uiPriority w:val="0"/>
    <w:pPr>
      <w:adjustRightInd w:val="0"/>
      <w:ind w:left="420" w:right="33"/>
      <w:jc w:val="left"/>
      <w:textAlignment w:val="baseline"/>
    </w:pPr>
    <w:rPr>
      <w:kern w:val="0"/>
      <w:sz w:val="24"/>
      <w:szCs w:val="20"/>
    </w:rPr>
  </w:style>
  <w:style w:type="paragraph" w:styleId="12">
    <w:name w:val="toc 3"/>
    <w:basedOn w:val="1"/>
    <w:next w:val="1"/>
    <w:qFormat/>
    <w:uiPriority w:val="39"/>
    <w:pPr>
      <w:ind w:left="400" w:leftChars="400"/>
    </w:pPr>
  </w:style>
  <w:style w:type="paragraph" w:styleId="13">
    <w:name w:val="Plain Text"/>
    <w:basedOn w:val="1"/>
    <w:next w:val="1"/>
    <w:unhideWhenUsed/>
    <w:qFormat/>
    <w:uiPriority w:val="0"/>
    <w:rPr>
      <w:rFonts w:ascii="宋体" w:hAnsi="Courier New"/>
      <w:kern w:val="0"/>
      <w:sz w:val="24"/>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2"/>
    <w:basedOn w:val="1"/>
    <w:next w:val="1"/>
    <w:qFormat/>
    <w:uiPriority w:val="39"/>
    <w:pPr>
      <w:ind w:left="200" w:leftChars="200"/>
    </w:pPr>
  </w:style>
  <w:style w:type="paragraph" w:styleId="17">
    <w:name w:val="Body Text 2"/>
    <w:basedOn w:val="1"/>
    <w:qFormat/>
    <w:uiPriority w:val="0"/>
    <w:rPr>
      <w:kern w:val="0"/>
      <w:sz w:val="4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9"/>
    <w:qFormat/>
    <w:uiPriority w:val="0"/>
    <w:pPr>
      <w:ind w:firstLine="100" w:firstLineChars="100"/>
    </w:pPr>
  </w:style>
  <w:style w:type="character" w:styleId="22">
    <w:name w:val="Strong"/>
    <w:basedOn w:val="21"/>
    <w:qFormat/>
    <w:uiPriority w:val="0"/>
    <w:rPr>
      <w:b/>
    </w:rPr>
  </w:style>
  <w:style w:type="character" w:styleId="23">
    <w:name w:val="Emphasis"/>
    <w:qFormat/>
    <w:uiPriority w:val="0"/>
    <w:rPr>
      <w:i/>
    </w:rPr>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paragraph" w:customStyle="1" w:styleId="26">
    <w:name w:val="表格文字"/>
    <w:basedOn w:val="1"/>
    <w:qFormat/>
    <w:uiPriority w:val="0"/>
    <w:pPr>
      <w:adjustRightInd w:val="0"/>
      <w:textAlignment w:val="baseline"/>
    </w:pPr>
    <w:rPr>
      <w:szCs w:val="20"/>
    </w:rPr>
  </w:style>
  <w:style w:type="paragraph" w:customStyle="1" w:styleId="27">
    <w:name w:val="_Style 3"/>
    <w:basedOn w:val="1"/>
    <w:qFormat/>
    <w:uiPriority w:val="1"/>
    <w:pPr>
      <w:spacing w:line="360" w:lineRule="auto"/>
      <w:jc w:val="center"/>
    </w:pPr>
    <w:rPr>
      <w:rFonts w:ascii="Calibri" w:hAnsi="Calibri"/>
      <w:szCs w:val="20"/>
    </w:rPr>
  </w:style>
  <w:style w:type="paragraph" w:customStyle="1" w:styleId="28">
    <w:name w:val="样式 宋体 行距: 1.5 倍行距"/>
    <w:basedOn w:val="1"/>
    <w:qFormat/>
    <w:uiPriority w:val="0"/>
    <w:pPr>
      <w:jc w:val="center"/>
    </w:pPr>
    <w:rPr>
      <w:b/>
    </w:rPr>
  </w:style>
  <w:style w:type="paragraph" w:styleId="29">
    <w:name w:val="List Paragraph"/>
    <w:basedOn w:val="1"/>
    <w:qFormat/>
    <w:uiPriority w:val="34"/>
    <w:pPr>
      <w:ind w:firstLine="420" w:firstLineChars="200"/>
    </w:pPr>
  </w:style>
  <w:style w:type="character" w:customStyle="1" w:styleId="30">
    <w:name w:val="font11"/>
    <w:qFormat/>
    <w:uiPriority w:val="99"/>
    <w:rPr>
      <w:rFonts w:ascii="仿宋" w:eastAsia="仿宋"/>
      <w:color w:val="000000"/>
      <w:sz w:val="28"/>
      <w:u w:val="none"/>
    </w:rPr>
  </w:style>
  <w:style w:type="character" w:customStyle="1" w:styleId="31">
    <w:name w:val="font21"/>
    <w:qFormat/>
    <w:uiPriority w:val="99"/>
    <w:rPr>
      <w:rFonts w:ascii="仿宋" w:eastAsia="仿宋"/>
      <w:b/>
      <w:color w:val="000000"/>
      <w:sz w:val="28"/>
      <w:u w:val="none"/>
    </w:rPr>
  </w:style>
  <w:style w:type="paragraph" w:customStyle="1" w:styleId="32">
    <w:name w:val="文二"/>
    <w:basedOn w:val="1"/>
    <w:qFormat/>
    <w:uiPriority w:val="0"/>
    <w:rPr>
      <w:rFonts w:ascii="宋体" w:hAnsi="宋体" w:cs="Calibri"/>
      <w:szCs w:val="21"/>
    </w:rPr>
  </w:style>
  <w:style w:type="paragraph" w:customStyle="1" w:styleId="3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NormalCharacter"/>
    <w:semiHidden/>
    <w:qFormat/>
    <w:uiPriority w:val="0"/>
  </w:style>
  <w:style w:type="paragraph" w:customStyle="1" w:styleId="36">
    <w:name w:val="Table Paragraph"/>
    <w:basedOn w:val="1"/>
    <w:unhideWhenUsed/>
    <w:qFormat/>
    <w:uiPriority w:val="99"/>
    <w:rPr>
      <w:rFonts w:hint="eastAsia"/>
    </w:rPr>
  </w:style>
  <w:style w:type="paragraph" w:customStyle="1" w:styleId="37">
    <w:name w:val="p0"/>
    <w:basedOn w:val="1"/>
    <w:qFormat/>
    <w:uiPriority w:val="0"/>
    <w:pPr>
      <w:widowControl/>
      <w:spacing w:before="75" w:after="75"/>
      <w:jc w:val="left"/>
    </w:pPr>
    <w:rPr>
      <w:rFonts w:ascii="宋体" w:hAnsi="宋体" w:cs="宋体"/>
      <w:kern w:val="0"/>
      <w:sz w:val="24"/>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5764</Words>
  <Characters>32855</Characters>
  <Lines>273</Lines>
  <Paragraphs>77</Paragraphs>
  <TotalTime>1</TotalTime>
  <ScaleCrop>false</ScaleCrop>
  <LinksUpToDate>false</LinksUpToDate>
  <CharactersWithSpaces>38542</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2023-11-15T01:01:00Z</dcterms:created>
  <dc:creator>unigo</dc:creator>
  <cp:lastModifiedBy>黄佳浩</cp:lastModifiedBy>
  <cp:lastPrinted>2024-10-30T14:58:00Z</cp:lastPrinted>
  <dcterms:modified xsi:type="dcterms:W3CDTF">2024-10-31T09:23:29Z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ACF508AEBB324580B981EE4820F0F765_13</vt:lpwstr>
  </property>
</Properties>
</file>