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ind w:right="10" w:rightChars="5"/>
        <w:rPr>
          <w:rFonts w:hint="eastAsia"/>
          <w:color w:val="000000"/>
          <w:sz w:val="48"/>
          <w:szCs w:val="48"/>
          <w:highlight w:val="none"/>
        </w:rPr>
      </w:pPr>
    </w:p>
    <w:p>
      <w:pPr>
        <w:widowControl/>
        <w:autoSpaceDE w:val="0"/>
        <w:autoSpaceDN w:val="0"/>
        <w:spacing w:line="360" w:lineRule="auto"/>
        <w:jc w:val="center"/>
        <w:rPr>
          <w:rFonts w:hint="eastAsia" w:ascii="宋体" w:hAnsi="宋体" w:eastAsia="宋体" w:cs="宋体"/>
          <w:b/>
          <w:kern w:val="0"/>
          <w:sz w:val="52"/>
          <w:szCs w:val="52"/>
          <w:lang w:val="zh-CN" w:bidi="zh-CN"/>
        </w:rPr>
      </w:pPr>
      <w:r>
        <w:rPr>
          <w:rFonts w:hint="eastAsia" w:ascii="宋体" w:hAnsi="宋体" w:cs="宋体"/>
          <w:b/>
          <w:kern w:val="0"/>
          <w:sz w:val="52"/>
          <w:szCs w:val="52"/>
          <w:lang w:val="zh-CN" w:eastAsia="zh-CN" w:bidi="zh-CN"/>
        </w:rPr>
        <w:t>110千伏志诚变电站项目监理（含全过程咨询）</w:t>
      </w:r>
    </w:p>
    <w:p>
      <w:pPr>
        <w:ind w:firstLine="1440"/>
        <w:jc w:val="center"/>
        <w:rPr>
          <w:rFonts w:hint="eastAsia"/>
          <w:color w:val="000000"/>
          <w:sz w:val="72"/>
          <w:szCs w:val="72"/>
          <w:highlight w:val="none"/>
        </w:rPr>
      </w:pPr>
    </w:p>
    <w:p>
      <w:pPr>
        <w:ind w:firstLine="1440"/>
        <w:jc w:val="center"/>
        <w:rPr>
          <w:rFonts w:hint="eastAsia"/>
          <w:color w:val="000000"/>
          <w:sz w:val="72"/>
          <w:szCs w:val="72"/>
          <w:highlight w:val="none"/>
        </w:rPr>
      </w:pPr>
    </w:p>
    <w:p>
      <w:pPr>
        <w:ind w:firstLine="1440"/>
        <w:jc w:val="center"/>
        <w:rPr>
          <w:rFonts w:hint="eastAsia"/>
          <w:color w:val="000000"/>
          <w:sz w:val="72"/>
          <w:szCs w:val="72"/>
          <w:highlight w:val="none"/>
        </w:rPr>
      </w:pPr>
    </w:p>
    <w:p>
      <w:pPr>
        <w:tabs>
          <w:tab w:val="left" w:pos="1118"/>
        </w:tabs>
        <w:spacing w:before="307" w:line="360" w:lineRule="auto"/>
        <w:ind w:right="453"/>
        <w:jc w:val="center"/>
        <w:rPr>
          <w:b/>
          <w:spacing w:val="26"/>
          <w:kern w:val="2"/>
          <w:sz w:val="110"/>
          <w:lang w:val="en-US" w:bidi="ar-SA"/>
        </w:rPr>
      </w:pPr>
      <w:r>
        <w:rPr>
          <w:rFonts w:hint="eastAsia"/>
          <w:b/>
          <w:spacing w:val="26"/>
          <w:kern w:val="2"/>
          <w:sz w:val="110"/>
          <w:lang w:val="en-US" w:bidi="ar-SA"/>
        </w:rPr>
        <w:t>招标公告</w:t>
      </w:r>
    </w:p>
    <w:p>
      <w:pPr>
        <w:jc w:val="center"/>
        <w:rPr>
          <w:rStyle w:val="15"/>
          <w:rFonts w:hint="eastAsia"/>
          <w:color w:val="000000"/>
          <w:sz w:val="48"/>
          <w:highlight w:val="none"/>
        </w:rPr>
      </w:pPr>
    </w:p>
    <w:p>
      <w:pPr>
        <w:ind w:firstLine="480"/>
        <w:jc w:val="center"/>
        <w:rPr>
          <w:rFonts w:hint="eastAsia"/>
          <w:color w:val="000000"/>
          <w:highlight w:val="none"/>
        </w:rPr>
      </w:pPr>
    </w:p>
    <w:p>
      <w:pPr>
        <w:ind w:firstLine="480"/>
        <w:jc w:val="center"/>
        <w:rPr>
          <w:rFonts w:hint="eastAsia"/>
          <w:color w:val="000000"/>
          <w:highlight w:val="none"/>
        </w:rPr>
      </w:pPr>
    </w:p>
    <w:p>
      <w:pPr>
        <w:pStyle w:val="17"/>
        <w:ind w:firstLine="482"/>
        <w:rPr>
          <w:rFonts w:hint="eastAsia"/>
          <w:color w:val="000000"/>
          <w:highlight w:val="none"/>
        </w:rPr>
      </w:pPr>
    </w:p>
    <w:p>
      <w:pPr>
        <w:pStyle w:val="17"/>
        <w:ind w:firstLine="482"/>
        <w:rPr>
          <w:rFonts w:hint="eastAsia"/>
          <w:color w:val="000000"/>
          <w:highlight w:val="none"/>
        </w:rPr>
      </w:pPr>
    </w:p>
    <w:p>
      <w:pPr>
        <w:pStyle w:val="17"/>
        <w:ind w:firstLine="482"/>
        <w:rPr>
          <w:color w:val="000000"/>
          <w:highlight w:val="none"/>
        </w:rPr>
      </w:pPr>
    </w:p>
    <w:p>
      <w:pPr>
        <w:ind w:firstLine="480"/>
        <w:rPr>
          <w:rFonts w:hint="eastAsia"/>
          <w:color w:val="000000"/>
          <w:highlight w:val="none"/>
        </w:rPr>
      </w:pPr>
    </w:p>
    <w:p>
      <w:pPr>
        <w:ind w:firstLine="480"/>
        <w:jc w:val="center"/>
        <w:rPr>
          <w:rFonts w:hint="eastAsia"/>
          <w:color w:val="000000"/>
          <w:highlight w:val="none"/>
        </w:rPr>
      </w:pPr>
    </w:p>
    <w:p>
      <w:pPr>
        <w:pStyle w:val="2"/>
        <w:rPr>
          <w:rFonts w:hint="eastAsia"/>
        </w:rPr>
      </w:pPr>
    </w:p>
    <w:p>
      <w:pPr>
        <w:ind w:leftChars="700" w:firstLine="0" w:firstLineChars="0"/>
        <w:jc w:val="both"/>
        <w:rPr>
          <w:rFonts w:hint="eastAsia" w:ascii="宋体" w:hAnsi="宋体" w:eastAsia="宋体" w:cs="宋体"/>
          <w:b w:val="0"/>
          <w:bCs w:val="0"/>
          <w:color w:val="000000"/>
          <w:kern w:val="0"/>
          <w:sz w:val="36"/>
          <w:szCs w:val="36"/>
          <w:highlight w:val="none"/>
          <w:lang w:eastAsia="zh-CN"/>
        </w:rPr>
      </w:pPr>
      <w:r>
        <w:rPr>
          <w:rFonts w:hint="eastAsia" w:ascii="宋体" w:hAnsi="宋体" w:eastAsia="宋体" w:cs="宋体"/>
          <w:b w:val="0"/>
          <w:bCs w:val="0"/>
          <w:color w:val="000000"/>
          <w:sz w:val="36"/>
          <w:szCs w:val="36"/>
          <w:highlight w:val="none"/>
        </w:rPr>
        <w:t>招 标 人：</w:t>
      </w:r>
      <w:r>
        <w:rPr>
          <w:rFonts w:hint="eastAsia" w:ascii="宋体" w:hAnsi="宋体" w:eastAsia="宋体" w:cs="宋体"/>
          <w:b w:val="0"/>
          <w:bCs w:val="0"/>
          <w:color w:val="000000"/>
          <w:kern w:val="0"/>
          <w:sz w:val="36"/>
          <w:szCs w:val="36"/>
          <w:highlight w:val="none"/>
          <w:lang w:eastAsia="zh-CN"/>
        </w:rPr>
        <w:t>广州科鑫运营管理有限公司</w:t>
      </w:r>
    </w:p>
    <w:p>
      <w:pPr>
        <w:ind w:leftChars="700" w:firstLine="0" w:firstLineChars="0"/>
        <w:jc w:val="both"/>
        <w:rPr>
          <w:rFonts w:hint="eastAsia" w:ascii="宋体" w:hAnsi="宋体" w:eastAsia="宋体" w:cs="宋体"/>
          <w:b w:val="0"/>
          <w:bCs w:val="0"/>
          <w:color w:val="000000"/>
          <w:kern w:val="0"/>
          <w:sz w:val="36"/>
          <w:szCs w:val="36"/>
          <w:highlight w:val="none"/>
          <w:lang w:eastAsia="zh-CN"/>
        </w:rPr>
      </w:pPr>
      <w:r>
        <w:rPr>
          <w:rFonts w:hint="eastAsia" w:ascii="宋体" w:hAnsi="宋体" w:eastAsia="宋体" w:cs="宋体"/>
          <w:b w:val="0"/>
          <w:bCs w:val="0"/>
          <w:color w:val="000000"/>
          <w:sz w:val="36"/>
          <w:szCs w:val="36"/>
          <w:highlight w:val="none"/>
        </w:rPr>
        <w:t>招标代理机构：</w:t>
      </w:r>
      <w:r>
        <w:rPr>
          <w:rFonts w:hint="eastAsia" w:ascii="宋体" w:hAnsi="宋体" w:eastAsia="宋体" w:cs="宋体"/>
          <w:b w:val="0"/>
          <w:bCs w:val="0"/>
          <w:color w:val="000000"/>
          <w:sz w:val="36"/>
          <w:szCs w:val="36"/>
          <w:highlight w:val="none"/>
          <w:lang w:eastAsia="zh-CN"/>
        </w:rPr>
        <w:t>广州竣盛工程造价咨询有限公司</w:t>
      </w:r>
    </w:p>
    <w:p>
      <w:pPr>
        <w:ind w:leftChars="700"/>
        <w:jc w:val="both"/>
        <w:rPr>
          <w:rFonts w:hint="eastAsia" w:ascii="宋体" w:hAnsi="宋体" w:eastAsia="宋体" w:cs="宋体"/>
          <w:b w:val="0"/>
          <w:bCs w:val="0"/>
          <w:color w:val="000000"/>
          <w:sz w:val="36"/>
          <w:szCs w:val="36"/>
          <w:highlight w:val="none"/>
        </w:rPr>
      </w:pPr>
      <w:r>
        <w:rPr>
          <w:rFonts w:hint="eastAsia" w:ascii="宋体" w:hAnsi="宋体" w:eastAsia="宋体" w:cs="宋体"/>
          <w:b w:val="0"/>
          <w:bCs w:val="0"/>
          <w:color w:val="000000"/>
          <w:sz w:val="36"/>
          <w:szCs w:val="36"/>
          <w:highlight w:val="none"/>
        </w:rPr>
        <w:t>日    期：202</w:t>
      </w:r>
      <w:r>
        <w:rPr>
          <w:rFonts w:hint="eastAsia" w:ascii="宋体" w:hAnsi="宋体" w:eastAsia="宋体" w:cs="宋体"/>
          <w:b w:val="0"/>
          <w:bCs w:val="0"/>
          <w:color w:val="000000"/>
          <w:sz w:val="36"/>
          <w:szCs w:val="36"/>
          <w:highlight w:val="none"/>
          <w:lang w:val="en-US" w:eastAsia="zh-CN"/>
        </w:rPr>
        <w:t>4</w:t>
      </w:r>
      <w:r>
        <w:rPr>
          <w:rFonts w:hint="eastAsia" w:ascii="宋体" w:hAnsi="宋体" w:eastAsia="宋体" w:cs="宋体"/>
          <w:b w:val="0"/>
          <w:bCs w:val="0"/>
          <w:color w:val="000000"/>
          <w:sz w:val="36"/>
          <w:szCs w:val="36"/>
          <w:highlight w:val="none"/>
        </w:rPr>
        <w:t>年</w:t>
      </w:r>
      <w:r>
        <w:rPr>
          <w:rFonts w:hint="eastAsia" w:ascii="宋体" w:hAnsi="宋体" w:cs="宋体"/>
          <w:b w:val="0"/>
          <w:bCs w:val="0"/>
          <w:color w:val="000000"/>
          <w:sz w:val="36"/>
          <w:szCs w:val="36"/>
          <w:highlight w:val="none"/>
          <w:lang w:val="en-US" w:eastAsia="zh-CN"/>
        </w:rPr>
        <w:t>10</w:t>
      </w:r>
      <w:r>
        <w:rPr>
          <w:rFonts w:hint="eastAsia" w:ascii="宋体" w:hAnsi="宋体" w:eastAsia="宋体" w:cs="宋体"/>
          <w:b w:val="0"/>
          <w:bCs w:val="0"/>
          <w:color w:val="000000"/>
          <w:sz w:val="36"/>
          <w:szCs w:val="36"/>
          <w:highlight w:val="none"/>
        </w:rPr>
        <w:t>月</w:t>
      </w:r>
    </w:p>
    <w:p>
      <w:pPr>
        <w:rPr>
          <w:rFonts w:hint="eastAsia" w:ascii="宋体" w:hAnsi="宋体" w:cs="宋体"/>
          <w:b/>
          <w:bCs/>
          <w:color w:val="auto"/>
          <w:sz w:val="30"/>
          <w:szCs w:val="30"/>
          <w:highlight w:val="none"/>
          <w:lang w:eastAsia="zh-CN"/>
        </w:rPr>
      </w:pPr>
      <w:r>
        <w:rPr>
          <w:rFonts w:hint="eastAsia" w:ascii="宋体" w:hAnsi="宋体" w:cs="宋体"/>
          <w:b/>
          <w:bCs/>
          <w:color w:val="auto"/>
          <w:sz w:val="30"/>
          <w:szCs w:val="30"/>
          <w:highlight w:val="none"/>
          <w:lang w:eastAsia="zh-CN"/>
        </w:rPr>
        <w:br w:type="page"/>
      </w:r>
    </w:p>
    <w:p>
      <w:pPr>
        <w:spacing w:line="360" w:lineRule="auto"/>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lang w:eastAsia="zh-CN"/>
        </w:rPr>
        <w:t>110千伏志诚变电站项目监理（含全过程咨询）</w:t>
      </w:r>
    </w:p>
    <w:p>
      <w:pPr>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招标公告</w:t>
      </w:r>
    </w:p>
    <w:p>
      <w:pPr>
        <w:pStyle w:val="2"/>
        <w:keepNext w:val="0"/>
        <w:keepLines w:val="0"/>
        <w:spacing w:before="0" w:after="0" w:line="360" w:lineRule="auto"/>
        <w:rPr>
          <w:rFonts w:ascii="宋体" w:hAnsi="宋体" w:eastAsia="宋体" w:cs="宋体"/>
          <w:color w:val="auto"/>
          <w:highlight w:val="none"/>
        </w:rPr>
      </w:pPr>
      <w:bookmarkStart w:id="0" w:name="_Toc511557025"/>
      <w:bookmarkStart w:id="1" w:name="_Toc515033010"/>
      <w:bookmarkStart w:id="2" w:name="_Toc25668"/>
      <w:r>
        <w:rPr>
          <w:rFonts w:hint="eastAsia" w:ascii="宋体" w:hAnsi="宋体" w:eastAsia="宋体" w:cs="宋体"/>
          <w:color w:val="auto"/>
          <w:highlight w:val="none"/>
        </w:rPr>
        <w:t>1. 招标条件</w:t>
      </w:r>
      <w:bookmarkEnd w:id="0"/>
      <w:bookmarkEnd w:id="1"/>
      <w:bookmarkEnd w:id="2"/>
    </w:p>
    <w:p>
      <w:pPr>
        <w:spacing w:line="360" w:lineRule="auto"/>
        <w:ind w:firstLine="480" w:firstLineChars="200"/>
        <w:rPr>
          <w:rFonts w:ascii="宋体" w:hAnsi="宋体" w:cs="宋体"/>
          <w:color w:val="auto"/>
          <w:sz w:val="24"/>
          <w:highlight w:val="none"/>
        </w:rPr>
      </w:pPr>
      <w:r>
        <w:rPr>
          <w:rFonts w:hint="eastAsia" w:ascii="宋体" w:hAnsi="宋体"/>
          <w:sz w:val="24"/>
          <w:szCs w:val="24"/>
          <w:highlight w:val="none"/>
        </w:rPr>
        <w:t>根据</w:t>
      </w:r>
      <w:r>
        <w:rPr>
          <w:rFonts w:hint="eastAsia" w:ascii="宋体" w:hAnsi="宋体"/>
          <w:b w:val="0"/>
          <w:bCs/>
          <w:sz w:val="24"/>
          <w:szCs w:val="24"/>
          <w:highlight w:val="none"/>
          <w:u w:val="single"/>
        </w:rPr>
        <w:t>广东省</w:t>
      </w:r>
      <w:r>
        <w:rPr>
          <w:rFonts w:hint="eastAsia" w:ascii="宋体" w:hAnsi="宋体"/>
          <w:b w:val="0"/>
          <w:bCs/>
          <w:sz w:val="24"/>
          <w:szCs w:val="24"/>
          <w:highlight w:val="none"/>
          <w:u w:val="single"/>
          <w:lang w:val="en-US" w:eastAsia="zh-CN"/>
        </w:rPr>
        <w:t>投资项目代码</w:t>
      </w:r>
      <w:r>
        <w:rPr>
          <w:rFonts w:hint="eastAsia" w:ascii="宋体" w:hAnsi="宋体"/>
          <w:b w:val="0"/>
          <w:bCs/>
          <w:sz w:val="24"/>
          <w:szCs w:val="24"/>
          <w:highlight w:val="none"/>
          <w:u w:val="single"/>
        </w:rPr>
        <w:t>（2402-440116-04-01-122010）</w:t>
      </w:r>
      <w:r>
        <w:rPr>
          <w:rFonts w:hint="eastAsia" w:ascii="宋体" w:hAnsi="宋体"/>
          <w:sz w:val="24"/>
          <w:szCs w:val="24"/>
          <w:highlight w:val="none"/>
        </w:rPr>
        <w:t>批准</w:t>
      </w:r>
      <w:r>
        <w:rPr>
          <w:rFonts w:hint="eastAsia" w:ascii="宋体" w:hAnsi="宋体" w:cs="宋体"/>
          <w:color w:val="auto"/>
          <w:sz w:val="24"/>
          <w:highlight w:val="none"/>
        </w:rPr>
        <w:t>，项目业主为</w:t>
      </w:r>
      <w:r>
        <w:rPr>
          <w:rFonts w:hint="eastAsia" w:ascii="宋体" w:hAnsi="宋体" w:cs="宋体"/>
          <w:bCs/>
          <w:color w:val="auto"/>
          <w:sz w:val="24"/>
          <w:highlight w:val="none"/>
          <w:u w:val="single"/>
          <w:lang w:eastAsia="zh-CN"/>
        </w:rPr>
        <w:t>广州科鑫运营管理有限公司</w:t>
      </w:r>
      <w:r>
        <w:rPr>
          <w:rFonts w:hint="eastAsia" w:ascii="宋体" w:hAnsi="宋体" w:cs="宋体"/>
          <w:color w:val="auto"/>
          <w:sz w:val="24"/>
          <w:highlight w:val="none"/>
        </w:rPr>
        <w:t>，建设资金来自</w:t>
      </w:r>
      <w:r>
        <w:rPr>
          <w:rFonts w:hint="eastAsia" w:ascii="宋体" w:hAnsi="宋体" w:cs="宋体"/>
          <w:color w:val="auto"/>
          <w:sz w:val="24"/>
          <w:highlight w:val="none"/>
          <w:u w:val="single"/>
        </w:rPr>
        <w:t>企业自筹</w:t>
      </w:r>
      <w:r>
        <w:rPr>
          <w:rFonts w:hint="eastAsia" w:ascii="宋体" w:hAnsi="宋体" w:cs="宋体"/>
          <w:color w:val="auto"/>
          <w:sz w:val="24"/>
          <w:highlight w:val="none"/>
        </w:rPr>
        <w:t>，出资比例为</w:t>
      </w:r>
      <w:r>
        <w:rPr>
          <w:rFonts w:hint="eastAsia" w:ascii="宋体" w:hAnsi="宋体" w:cs="宋体"/>
          <w:color w:val="auto"/>
          <w:sz w:val="24"/>
          <w:highlight w:val="none"/>
          <w:u w:val="single"/>
        </w:rPr>
        <w:t>100%</w:t>
      </w:r>
      <w:r>
        <w:rPr>
          <w:rFonts w:hint="eastAsia" w:ascii="宋体" w:hAnsi="宋体" w:cs="宋体"/>
          <w:color w:val="auto"/>
          <w:sz w:val="24"/>
          <w:highlight w:val="none"/>
        </w:rPr>
        <w:t>，招标人为</w:t>
      </w:r>
      <w:r>
        <w:rPr>
          <w:rFonts w:hint="eastAsia" w:ascii="宋体" w:hAnsi="宋体" w:cs="宋体"/>
          <w:bCs/>
          <w:color w:val="auto"/>
          <w:sz w:val="24"/>
          <w:highlight w:val="none"/>
          <w:u w:val="single"/>
          <w:lang w:eastAsia="zh-CN"/>
        </w:rPr>
        <w:t>广州科鑫运营管理有限公司</w:t>
      </w:r>
      <w:r>
        <w:rPr>
          <w:rFonts w:hint="eastAsia" w:ascii="宋体" w:hAnsi="宋体" w:cs="宋体"/>
          <w:color w:val="auto"/>
          <w:sz w:val="24"/>
          <w:highlight w:val="none"/>
        </w:rPr>
        <w:t>。项目已具备招标条件，现对该项目的监理</w:t>
      </w:r>
      <w:r>
        <w:rPr>
          <w:rFonts w:hint="eastAsia" w:ascii="宋体" w:hAnsi="宋体" w:cs="宋体"/>
          <w:color w:val="auto"/>
          <w:sz w:val="24"/>
          <w:highlight w:val="none"/>
          <w:lang w:val="en-US" w:eastAsia="zh-CN"/>
        </w:rPr>
        <w:t>及全过程造价咨询</w:t>
      </w:r>
      <w:r>
        <w:rPr>
          <w:rFonts w:hint="eastAsia" w:ascii="宋体" w:hAnsi="宋体" w:cs="宋体"/>
          <w:color w:val="auto"/>
          <w:sz w:val="24"/>
          <w:highlight w:val="none"/>
        </w:rPr>
        <w:t>进行公开招标。</w:t>
      </w:r>
    </w:p>
    <w:p>
      <w:pPr>
        <w:pStyle w:val="2"/>
        <w:keepNext w:val="0"/>
        <w:keepLines w:val="0"/>
        <w:spacing w:before="0" w:after="0" w:line="360" w:lineRule="auto"/>
        <w:rPr>
          <w:rFonts w:ascii="宋体" w:hAnsi="宋体" w:eastAsia="宋体" w:cs="宋体"/>
          <w:color w:val="auto"/>
          <w:highlight w:val="none"/>
        </w:rPr>
      </w:pPr>
      <w:bookmarkStart w:id="3" w:name="_Toc515033011"/>
      <w:bookmarkStart w:id="4" w:name="_Toc511557026"/>
      <w:bookmarkStart w:id="5" w:name="_Toc19001"/>
      <w:r>
        <w:rPr>
          <w:rFonts w:hint="eastAsia" w:ascii="宋体" w:hAnsi="宋体" w:eastAsia="宋体" w:cs="宋体"/>
          <w:color w:val="auto"/>
          <w:highlight w:val="none"/>
        </w:rPr>
        <w:t>2. 项目概况与招标范围</w:t>
      </w:r>
      <w:bookmarkEnd w:id="3"/>
      <w:bookmarkEnd w:id="4"/>
      <w:bookmarkEnd w:id="5"/>
    </w:p>
    <w:p>
      <w:pPr>
        <w:tabs>
          <w:tab w:val="left" w:pos="7513"/>
        </w:tabs>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2.1招标项目概况</w:t>
      </w:r>
    </w:p>
    <w:p>
      <w:pPr>
        <w:tabs>
          <w:tab w:val="left" w:pos="7513"/>
        </w:tabs>
        <w:spacing w:line="360" w:lineRule="auto"/>
        <w:ind w:firstLine="424" w:firstLineChars="177"/>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2.1.1 招标项目名称：</w:t>
      </w:r>
      <w:r>
        <w:rPr>
          <w:rFonts w:hint="eastAsia" w:ascii="宋体" w:hAnsi="宋体" w:cs="宋体"/>
          <w:bCs/>
          <w:color w:val="auto"/>
          <w:sz w:val="24"/>
          <w:highlight w:val="none"/>
          <w:u w:val="single"/>
          <w:lang w:eastAsia="zh-CN"/>
        </w:rPr>
        <w:t>110千伏志诚变电站项目监理（含全过程咨询）。</w:t>
      </w:r>
    </w:p>
    <w:p>
      <w:pPr>
        <w:tabs>
          <w:tab w:val="left" w:pos="7513"/>
        </w:tabs>
        <w:spacing w:line="360" w:lineRule="auto"/>
        <w:ind w:firstLine="424" w:firstLineChars="177"/>
        <w:rPr>
          <w:rFonts w:hint="eastAsia" w:ascii="宋体" w:hAnsi="宋体" w:eastAsia="宋体" w:cs="宋体"/>
          <w:color w:val="auto"/>
          <w:sz w:val="24"/>
          <w:highlight w:val="none"/>
          <w:u w:val="single"/>
          <w:lang w:val="en-US" w:eastAsia="zh-CN"/>
        </w:rPr>
      </w:pPr>
      <w:r>
        <w:rPr>
          <w:rFonts w:hint="eastAsia" w:ascii="宋体" w:hAnsi="宋体" w:cs="宋体"/>
          <w:color w:val="auto"/>
          <w:sz w:val="24"/>
          <w:highlight w:val="none"/>
        </w:rPr>
        <w:t>2.1.2 工程建设规模：110千伏志诚站接入系统方案为#1主变1回接入220kV开元站；#2主变1回T接黄元围线（采用一进一出方式），终期建设规模如下：1）主变容量：本期无；终期3×63MVA；2）110kV出线：本期无；终期出线3回；3）10kV出线：本期无，终期3×16回；4）无功补偿：本期无，终期电容器组3×2×6Mvar，电抗组2×1×6Mvar。为避免后续扩建工程施工导致变电站停电，本期尽量按照终期规划开展建设。</w:t>
      </w:r>
      <w:r>
        <w:rPr>
          <w:rFonts w:hint="eastAsia" w:ascii="宋体" w:hAnsi="宋体" w:cs="宋体"/>
          <w:color w:val="auto"/>
          <w:sz w:val="24"/>
          <w:szCs w:val="20"/>
          <w:highlight w:val="none"/>
          <w:u w:val="none"/>
          <w:lang w:val="zh-CN"/>
        </w:rPr>
        <w:t>项目为益海嘉里华南粮油生产销售基地的配套公用变电站，用地面积3011.9㎡，总建筑面积3,690㎡，地上3层，地下2层建筑，拟建1栋配电装置楼。具体内容以发包人或政府部门审批为准</w:t>
      </w:r>
      <w:r>
        <w:rPr>
          <w:rFonts w:hint="default" w:ascii="宋体" w:hAnsi="宋体" w:eastAsia="宋体" w:cs="宋体"/>
          <w:b w:val="0"/>
          <w:color w:val="auto"/>
          <w:sz w:val="24"/>
          <w:highlight w:val="none"/>
          <w:u w:val="none"/>
        </w:rPr>
        <w:t>。</w:t>
      </w:r>
    </w:p>
    <w:p>
      <w:pPr>
        <w:tabs>
          <w:tab w:val="left" w:pos="7513"/>
        </w:tabs>
        <w:spacing w:line="360" w:lineRule="auto"/>
        <w:ind w:firstLine="424" w:firstLineChars="177"/>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2.1.3 工程建</w:t>
      </w:r>
      <w:r>
        <w:rPr>
          <w:rFonts w:hint="eastAsia" w:ascii="宋体" w:hAnsi="宋体" w:cs="宋体"/>
          <w:color w:val="auto"/>
          <w:sz w:val="24"/>
          <w:highlight w:val="none"/>
        </w:rPr>
        <w:t>设地点：</w:t>
      </w:r>
      <w:r>
        <w:rPr>
          <w:rFonts w:hint="eastAsia" w:ascii="宋体" w:cs="宋体"/>
          <w:sz w:val="24"/>
          <w:szCs w:val="24"/>
          <w:highlight w:val="none"/>
          <w:u w:val="single"/>
          <w:lang w:eastAsia="zh-CN"/>
        </w:rPr>
        <w:t>广州市黄埔区夏港街道景盛街与西滘涌交界东南侧</w:t>
      </w:r>
      <w:r>
        <w:rPr>
          <w:rFonts w:hint="eastAsia" w:ascii="宋体" w:hAnsi="宋体" w:cs="宋体"/>
          <w:color w:val="auto"/>
          <w:sz w:val="24"/>
          <w:highlight w:val="none"/>
          <w:u w:val="single"/>
        </w:rPr>
        <w:t>。</w:t>
      </w:r>
    </w:p>
    <w:p>
      <w:pPr>
        <w:tabs>
          <w:tab w:val="left" w:pos="7513"/>
        </w:tabs>
        <w:spacing w:line="360" w:lineRule="auto"/>
        <w:ind w:firstLine="424" w:firstLineChars="177"/>
        <w:rPr>
          <w:rFonts w:hint="eastAsia" w:ascii="宋体" w:hAnsi="宋体"/>
          <w:color w:val="auto"/>
          <w:sz w:val="24"/>
          <w:highlight w:val="none"/>
          <w:u w:val="single"/>
        </w:rPr>
      </w:pPr>
      <w:r>
        <w:rPr>
          <w:rFonts w:hint="eastAsia" w:ascii="宋体" w:hAnsi="宋体" w:cs="宋体"/>
          <w:color w:val="auto"/>
          <w:sz w:val="24"/>
          <w:highlight w:val="none"/>
          <w:u w:val="none"/>
        </w:rPr>
        <w:t>2.1.4 工程投资额：</w:t>
      </w:r>
      <w:r>
        <w:rPr>
          <w:rFonts w:hint="eastAsia" w:ascii="宋体" w:hAnsi="宋体" w:cs="宋体"/>
          <w:color w:val="auto"/>
          <w:sz w:val="24"/>
          <w:highlight w:val="none"/>
          <w:u w:val="single"/>
        </w:rPr>
        <w:t>本工程项目投资估算约为3,587.35万元，其中：土建投资2,331.72万元</w:t>
      </w:r>
      <w:r>
        <w:rPr>
          <w:rFonts w:hint="eastAsia" w:ascii="宋体" w:hAnsi="宋体"/>
          <w:color w:val="auto"/>
          <w:sz w:val="24"/>
          <w:highlight w:val="none"/>
          <w:u w:val="single"/>
        </w:rPr>
        <w:t>。</w:t>
      </w:r>
    </w:p>
    <w:p>
      <w:pPr>
        <w:tabs>
          <w:tab w:val="left" w:pos="7513"/>
        </w:tabs>
        <w:spacing w:line="360" w:lineRule="auto"/>
        <w:ind w:firstLine="424" w:firstLineChars="177"/>
        <w:rPr>
          <w:rFonts w:hint="eastAsia" w:ascii="宋体" w:hAnsi="宋体" w:cs="宋体"/>
          <w:color w:val="auto"/>
          <w:sz w:val="24"/>
          <w:highlight w:val="none"/>
          <w:u w:val="single"/>
          <w:lang w:eastAsia="zh-CN"/>
        </w:rPr>
      </w:pPr>
      <w:r>
        <w:rPr>
          <w:rFonts w:hint="eastAsia" w:ascii="宋体" w:hAnsi="宋体" w:cs="宋体"/>
          <w:color w:val="auto"/>
          <w:sz w:val="24"/>
          <w:highlight w:val="none"/>
          <w:u w:val="none"/>
        </w:rPr>
        <w:t>2.1.5 资金来源：</w:t>
      </w:r>
      <w:r>
        <w:rPr>
          <w:rFonts w:hint="eastAsia" w:ascii="宋体" w:hAnsi="宋体" w:cs="宋体"/>
          <w:color w:val="auto"/>
          <w:sz w:val="24"/>
          <w:highlight w:val="none"/>
          <w:u w:val="single"/>
        </w:rPr>
        <w:t>企业自筹</w:t>
      </w:r>
      <w:r>
        <w:rPr>
          <w:rFonts w:hint="eastAsia" w:ascii="宋体" w:hAnsi="宋体" w:cs="宋体"/>
          <w:color w:val="auto"/>
          <w:sz w:val="24"/>
          <w:highlight w:val="none"/>
          <w:u w:val="single"/>
          <w:lang w:eastAsia="zh-CN"/>
        </w:rPr>
        <w:t>。</w:t>
      </w:r>
    </w:p>
    <w:p>
      <w:pPr>
        <w:tabs>
          <w:tab w:val="left" w:pos="7513"/>
        </w:tabs>
        <w:spacing w:line="360" w:lineRule="auto"/>
        <w:ind w:firstLine="424" w:firstLineChars="177"/>
        <w:rPr>
          <w:rFonts w:hint="eastAsia" w:ascii="宋体" w:hAnsi="宋体" w:cs="宋体"/>
          <w:color w:val="auto"/>
          <w:sz w:val="24"/>
          <w:highlight w:val="none"/>
          <w:u w:val="none"/>
        </w:rPr>
      </w:pPr>
      <w:r>
        <w:rPr>
          <w:rFonts w:hint="eastAsia" w:ascii="宋体" w:hAnsi="宋体" w:cs="宋体"/>
          <w:color w:val="auto"/>
          <w:sz w:val="24"/>
          <w:highlight w:val="none"/>
          <w:u w:val="none"/>
        </w:rPr>
        <w:t xml:space="preserve">2.1.6 </w:t>
      </w:r>
      <w:r>
        <w:rPr>
          <w:rFonts w:hint="eastAsia" w:ascii="宋体" w:hAnsi="宋体" w:cs="宋体"/>
          <w:color w:val="auto"/>
          <w:sz w:val="24"/>
          <w:highlight w:val="none"/>
          <w:u w:val="none"/>
          <w:lang w:val="en-US" w:eastAsia="zh-CN"/>
        </w:rPr>
        <w:t>质量标准</w:t>
      </w:r>
      <w:r>
        <w:rPr>
          <w:rFonts w:hint="eastAsia" w:ascii="宋体" w:hAnsi="宋体" w:cs="宋体"/>
          <w:color w:val="auto"/>
          <w:sz w:val="24"/>
          <w:highlight w:val="none"/>
          <w:u w:val="none"/>
        </w:rPr>
        <w:t>：</w:t>
      </w:r>
      <w:r>
        <w:rPr>
          <w:rFonts w:hint="eastAsia" w:ascii="宋体" w:hAnsi="宋体" w:cs="宋体"/>
          <w:color w:val="auto"/>
          <w:sz w:val="24"/>
          <w:highlight w:val="none"/>
          <w:u w:val="single"/>
        </w:rPr>
        <w:t>符合设计图纸要求和国家、省、市相关法律法规规定要求及行业颁发的工程质量合格标准，实际要求以施工合同为准。</w:t>
      </w:r>
    </w:p>
    <w:p>
      <w:pPr>
        <w:tabs>
          <w:tab w:val="left" w:pos="7513"/>
        </w:tabs>
        <w:spacing w:line="360" w:lineRule="auto"/>
        <w:ind w:firstLine="424" w:firstLineChars="177"/>
        <w:rPr>
          <w:rFonts w:hint="eastAsia" w:ascii="宋体" w:hAnsi="宋体" w:cs="宋体"/>
          <w:color w:val="auto"/>
          <w:sz w:val="24"/>
          <w:highlight w:val="none"/>
          <w:u w:val="single"/>
        </w:rPr>
      </w:pPr>
      <w:r>
        <w:rPr>
          <w:rFonts w:hint="eastAsia" w:ascii="宋体" w:hAnsi="宋体" w:cs="宋体"/>
          <w:color w:val="auto"/>
          <w:sz w:val="24"/>
          <w:highlight w:val="none"/>
          <w:u w:val="single"/>
        </w:rPr>
        <w:t>质量控制目标:规范达标、绿色可靠、文档齐全、零缺陷作为质量总体目标。杜绝重大设备一般及以上质量事故，确保工程无永久性缺陷。满足国家、行业、中国南方电网有限责任公司质量标准、控制标准和验收规范，在质量管理过程中达到或超过质量标准，通过各级验收合格并完成启动投产。</w:t>
      </w:r>
    </w:p>
    <w:p>
      <w:pPr>
        <w:tabs>
          <w:tab w:val="left" w:pos="7513"/>
        </w:tabs>
        <w:spacing w:line="360" w:lineRule="auto"/>
        <w:ind w:firstLine="424" w:firstLineChars="177"/>
        <w:rPr>
          <w:rFonts w:hint="eastAsia" w:ascii="宋体" w:hAnsi="宋体" w:cs="宋体"/>
          <w:color w:val="auto"/>
          <w:sz w:val="24"/>
          <w:highlight w:val="none"/>
          <w:u w:val="single"/>
        </w:rPr>
      </w:pPr>
      <w:r>
        <w:rPr>
          <w:rFonts w:hint="eastAsia" w:ascii="宋体" w:hAnsi="宋体" w:cs="宋体"/>
          <w:color w:val="auto"/>
          <w:sz w:val="24"/>
          <w:highlight w:val="none"/>
          <w:u w:val="single"/>
        </w:rPr>
        <w:t>安全控制目标：杜绝人身死亡事故、杜绝人身重伤事故。杜绝重大设备、一般及以上质量事故，确保工程“零缺陷”投运。</w:t>
      </w:r>
    </w:p>
    <w:p>
      <w:pPr>
        <w:tabs>
          <w:tab w:val="left" w:pos="7513"/>
        </w:tabs>
        <w:spacing w:line="360" w:lineRule="auto"/>
        <w:ind w:firstLine="424" w:firstLineChars="177"/>
        <w:rPr>
          <w:rFonts w:hint="eastAsia" w:ascii="宋体" w:hAnsi="宋体" w:cs="宋体"/>
          <w:color w:val="auto"/>
          <w:sz w:val="24"/>
          <w:highlight w:val="none"/>
          <w:u w:val="single"/>
        </w:rPr>
      </w:pPr>
      <w:r>
        <w:rPr>
          <w:rFonts w:hint="eastAsia" w:ascii="宋体" w:hAnsi="宋体" w:cs="宋体"/>
          <w:color w:val="auto"/>
          <w:sz w:val="24"/>
          <w:highlight w:val="none"/>
          <w:u w:val="single"/>
        </w:rPr>
        <w:t>现场文明施工目标：按照《基建安全管理业务指导书》的要求和标准布置施工现场的文明施工设施，根据《广东电网有限责任公司作业现场智慧安全监督办法》的要求开展作业现场智慧安全监督工作，创造良好和规范的安全文明施工环境。按中国南方电网有限责任公司及工程所在地电网公司有关要求和标准。</w:t>
      </w:r>
    </w:p>
    <w:p>
      <w:pPr>
        <w:tabs>
          <w:tab w:val="left" w:pos="7513"/>
        </w:tabs>
        <w:spacing w:line="360" w:lineRule="auto"/>
        <w:ind w:firstLine="424" w:firstLineChars="177"/>
        <w:rPr>
          <w:rFonts w:hint="eastAsia" w:ascii="宋体" w:hAnsi="宋体" w:cs="宋体"/>
          <w:color w:val="auto"/>
          <w:sz w:val="24"/>
          <w:highlight w:val="none"/>
          <w:u w:val="single"/>
        </w:rPr>
      </w:pPr>
      <w:r>
        <w:rPr>
          <w:rFonts w:hint="eastAsia" w:ascii="宋体" w:hAnsi="宋体" w:cs="宋体"/>
          <w:color w:val="auto"/>
          <w:sz w:val="24"/>
          <w:highlight w:val="none"/>
          <w:u w:val="single"/>
        </w:rPr>
        <w:t>造价咨询服务目标：坚持估算控制概算，概算控制预算，预算控制结算；过程控制准确，杜绝出现进度款超付现象；项目按期、高质完成，同时能取得良好的社会效益、环境效益和经济效益。造价咨询审核精度须在招标人控制目标范围以内。</w:t>
      </w:r>
    </w:p>
    <w:p>
      <w:pPr>
        <w:tabs>
          <w:tab w:val="left" w:pos="7513"/>
        </w:tabs>
        <w:spacing w:line="360" w:lineRule="auto"/>
        <w:ind w:firstLine="424" w:firstLineChars="177"/>
        <w:rPr>
          <w:rFonts w:hint="eastAsia" w:ascii="宋体" w:hAnsi="宋体" w:cs="宋体"/>
          <w:color w:val="auto"/>
          <w:sz w:val="24"/>
          <w:highlight w:val="none"/>
          <w:u w:val="none"/>
        </w:rPr>
      </w:pPr>
      <w:r>
        <w:rPr>
          <w:rFonts w:hint="eastAsia" w:ascii="宋体" w:hAnsi="宋体" w:cs="宋体"/>
          <w:color w:val="auto"/>
          <w:sz w:val="24"/>
          <w:highlight w:val="none"/>
          <w:u w:val="none"/>
        </w:rPr>
        <w:t>2.2招标范围</w:t>
      </w:r>
    </w:p>
    <w:p>
      <w:pPr>
        <w:tabs>
          <w:tab w:val="left" w:pos="7513"/>
        </w:tabs>
        <w:spacing w:line="360" w:lineRule="auto"/>
        <w:ind w:firstLine="424" w:firstLineChars="177"/>
        <w:rPr>
          <w:rFonts w:hint="eastAsia" w:ascii="宋体" w:hAnsi="宋体" w:cs="宋体"/>
          <w:color w:val="auto"/>
          <w:sz w:val="24"/>
          <w:highlight w:val="none"/>
          <w:u w:val="single"/>
        </w:rPr>
      </w:pPr>
      <w:r>
        <w:rPr>
          <w:rFonts w:hint="eastAsia" w:ascii="宋体" w:hAnsi="宋体" w:cs="宋体"/>
          <w:color w:val="auto"/>
          <w:sz w:val="24"/>
          <w:highlight w:val="none"/>
          <w:u w:val="none"/>
        </w:rPr>
        <w:t>2.2.1 标段划分：</w:t>
      </w:r>
      <w:r>
        <w:rPr>
          <w:rFonts w:hint="eastAsia" w:ascii="宋体" w:hAnsi="宋体" w:cs="宋体"/>
          <w:color w:val="auto"/>
          <w:sz w:val="24"/>
          <w:highlight w:val="none"/>
          <w:u w:val="single"/>
        </w:rPr>
        <w:t>本项目设 壹 个标段。</w:t>
      </w:r>
    </w:p>
    <w:p>
      <w:pPr>
        <w:tabs>
          <w:tab w:val="left" w:pos="7513"/>
        </w:tabs>
        <w:spacing w:line="360" w:lineRule="auto"/>
        <w:ind w:firstLine="424" w:firstLineChars="177"/>
        <w:rPr>
          <w:rFonts w:hint="eastAsia" w:ascii="宋体" w:hAnsi="宋体" w:cs="宋体"/>
          <w:bCs/>
          <w:color w:val="auto"/>
          <w:sz w:val="24"/>
          <w:highlight w:val="none"/>
          <w:u w:val="single"/>
          <w:lang w:eastAsia="zh-CN"/>
        </w:rPr>
      </w:pPr>
      <w:r>
        <w:rPr>
          <w:rFonts w:hint="eastAsia" w:ascii="宋体" w:hAnsi="宋体" w:cs="宋体"/>
          <w:color w:val="auto"/>
          <w:sz w:val="24"/>
          <w:highlight w:val="none"/>
          <w:u w:val="none"/>
        </w:rPr>
        <w:t xml:space="preserve">2.2.2 </w:t>
      </w:r>
      <w:r>
        <w:rPr>
          <w:rFonts w:hint="eastAsia" w:ascii="宋体" w:hAnsi="宋体" w:cs="宋体"/>
          <w:color w:val="auto"/>
          <w:sz w:val="24"/>
          <w:highlight w:val="none"/>
          <w:u w:val="none"/>
          <w:lang w:val="en-US" w:eastAsia="zh-CN"/>
        </w:rPr>
        <w:t>服务</w:t>
      </w:r>
      <w:r>
        <w:rPr>
          <w:rFonts w:hint="eastAsia" w:ascii="宋体" w:hAnsi="宋体" w:cs="宋体"/>
          <w:color w:val="auto"/>
          <w:sz w:val="24"/>
          <w:highlight w:val="none"/>
          <w:u w:val="none"/>
        </w:rPr>
        <w:t>范围：</w:t>
      </w:r>
      <w:r>
        <w:rPr>
          <w:rFonts w:hint="eastAsia" w:ascii="宋体" w:hAnsi="宋体" w:cs="宋体"/>
          <w:bCs/>
          <w:color w:val="auto"/>
          <w:sz w:val="24"/>
          <w:highlight w:val="none"/>
          <w:u w:val="single"/>
          <w:lang w:eastAsia="zh-CN"/>
        </w:rPr>
        <w:t>110千伏志诚变电站项目监理（含全过程咨询）服务，包括以下工作内容（具体详见合同约定条款及委托人要求）：</w:t>
      </w:r>
    </w:p>
    <w:p>
      <w:pPr>
        <w:tabs>
          <w:tab w:val="left" w:pos="7513"/>
        </w:tabs>
        <w:spacing w:line="360" w:lineRule="auto"/>
        <w:ind w:firstLine="424" w:firstLineChars="177"/>
        <w:rPr>
          <w:rFonts w:hint="eastAsia" w:ascii="宋体" w:hAnsi="宋体" w:cs="宋体"/>
          <w:bCs/>
          <w:color w:val="auto"/>
          <w:sz w:val="24"/>
          <w:highlight w:val="none"/>
          <w:u w:val="single"/>
          <w:lang w:eastAsia="zh-CN"/>
        </w:rPr>
      </w:pPr>
      <w:r>
        <w:rPr>
          <w:rFonts w:hint="eastAsia" w:ascii="宋体" w:hAnsi="宋体" w:cs="宋体"/>
          <w:bCs/>
          <w:color w:val="auto"/>
          <w:sz w:val="24"/>
          <w:highlight w:val="none"/>
          <w:u w:val="single"/>
          <w:lang w:eastAsia="zh-CN"/>
        </w:rPr>
        <w:t>（1）工程监理服务：监理内容包括但不限于以下内容：前期工作阶段（包括设计各阶段、施工准备等）、施工阶段（含基坑支护及土方开挖）、缺陷责任期阶段、竣工结算期的监理及监理范围内的造价服务（设计概算审核、施工图预算审核、进度款审核、变更签证审核、结算审核）等相关工作。</w:t>
      </w:r>
    </w:p>
    <w:p>
      <w:pPr>
        <w:widowControl/>
        <w:spacing w:after="0" w:afterLines="0" w:line="540" w:lineRule="exact"/>
        <w:ind w:firstLine="480" w:firstLineChars="200"/>
        <w:jc w:val="left"/>
        <w:rPr>
          <w:rFonts w:hint="eastAsia" w:ascii="宋体" w:hAnsi="宋体" w:cs="宋体"/>
          <w:bCs/>
          <w:color w:val="auto"/>
          <w:kern w:val="0"/>
          <w:sz w:val="24"/>
          <w:szCs w:val="24"/>
          <w:highlight w:val="none"/>
          <w:u w:val="single"/>
          <w:shd w:val="clear" w:color="auto" w:fill="FFFFFF"/>
          <w:lang w:eastAsia="zh-CN"/>
        </w:rPr>
      </w:pPr>
      <w:r>
        <w:rPr>
          <w:rFonts w:hint="eastAsia" w:ascii="宋体" w:hAnsi="宋体" w:cs="宋体"/>
          <w:bCs/>
          <w:color w:val="auto"/>
          <w:sz w:val="24"/>
          <w:highlight w:val="none"/>
          <w:u w:val="single"/>
          <w:lang w:eastAsia="zh-CN"/>
        </w:rPr>
        <w:t>（2）全过程造价咨询服务：包括（但不限于）设计阶段、招标阶段、施工阶段、采购阶段等全过程工程造价控制咨询服务、投资控制工作，协助业主配合审计，协助业主处理工程造价司法纠纷（招标人根据项目实际情况有权调整招标范围和内容）。每个阶段具体的工作内容详见下表。</w:t>
      </w:r>
    </w:p>
    <w:tbl>
      <w:tblPr>
        <w:tblStyle w:val="12"/>
        <w:tblW w:w="9210" w:type="dxa"/>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437"/>
        <w:gridCol w:w="1064"/>
        <w:gridCol w:w="7709"/>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85" w:hRule="atLeast"/>
          <w:jc w:val="center"/>
        </w:trPr>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240" w:lineRule="atLeas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序号</w:t>
            </w:r>
          </w:p>
        </w:tc>
        <w:tc>
          <w:tcPr>
            <w:tcW w:w="10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240" w:lineRule="atLeast"/>
              <w:jc w:val="center"/>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阶段</w:t>
            </w:r>
          </w:p>
        </w:tc>
        <w:tc>
          <w:tcPr>
            <w:tcW w:w="77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240" w:lineRule="atLeast"/>
              <w:jc w:val="center"/>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工作内容</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85" w:hRule="atLeast"/>
          <w:jc w:val="center"/>
        </w:trPr>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240" w:lineRule="atLeas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1</w:t>
            </w:r>
          </w:p>
        </w:tc>
        <w:tc>
          <w:tcPr>
            <w:tcW w:w="10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240" w:lineRule="atLeas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设计阶段</w:t>
            </w:r>
          </w:p>
        </w:tc>
        <w:tc>
          <w:tcPr>
            <w:tcW w:w="7709"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widowControl/>
              <w:shd w:val="solid" w:color="FFFFFF" w:fill="auto"/>
              <w:autoSpaceDN w:val="0"/>
              <w:snapToGrid w:val="0"/>
              <w:spacing w:line="300" w:lineRule="exact"/>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1.根据设计方案，提出工程项目的各专业工程和各阶段造价限额指标。</w:t>
            </w:r>
          </w:p>
          <w:p>
            <w:pPr>
              <w:widowControl/>
              <w:shd w:val="solid" w:color="FFFFFF" w:fill="auto"/>
              <w:autoSpaceDN w:val="0"/>
              <w:snapToGrid w:val="0"/>
              <w:spacing w:line="300" w:lineRule="exac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2.审核设计概算。</w:t>
            </w:r>
          </w:p>
          <w:p>
            <w:pPr>
              <w:widowControl/>
              <w:shd w:val="solid" w:color="FFFFFF" w:fill="auto"/>
              <w:autoSpaceDN w:val="0"/>
              <w:snapToGrid w:val="0"/>
              <w:spacing w:line="300" w:lineRule="exac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3.负责对设计中采用的主材、设备</w:t>
            </w:r>
            <w:r>
              <w:rPr>
                <w:rFonts w:hint="eastAsia"/>
                <w:color w:val="auto"/>
                <w:highlight w:val="none"/>
              </w:rPr>
              <w:t>（明确型号规格）</w:t>
            </w:r>
            <w:r>
              <w:rPr>
                <w:rFonts w:hint="eastAsia" w:ascii="宋体" w:hAnsi="宋体" w:cs="宋体"/>
                <w:color w:val="auto"/>
                <w:kern w:val="0"/>
                <w:szCs w:val="21"/>
                <w:highlight w:val="none"/>
                <w:shd w:val="clear" w:color="auto" w:fill="FFFFFF"/>
              </w:rPr>
              <w:t>等提供市场询价信息，进行方案比较，提出优化建议。</w:t>
            </w:r>
          </w:p>
          <w:p>
            <w:pPr>
              <w:widowControl/>
              <w:shd w:val="solid" w:color="FFFFFF" w:fill="auto"/>
              <w:autoSpaceDN w:val="0"/>
              <w:snapToGrid w:val="0"/>
              <w:spacing w:line="300" w:lineRule="exac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4.负责编制或审核施工图预算（含设计图纸修改后调整相应预算），按时提交编制报告、调整意见及合理化建议。</w:t>
            </w:r>
          </w:p>
          <w:p>
            <w:pPr>
              <w:widowControl/>
              <w:shd w:val="solid" w:color="FFFFFF" w:fill="auto"/>
              <w:autoSpaceDN w:val="0"/>
              <w:snapToGrid w:val="0"/>
              <w:spacing w:line="300" w:lineRule="exac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5.负责参加设计方案论证会议、工程图纸会审、变更论证等专题会，提出造价专业意见。</w:t>
            </w:r>
          </w:p>
          <w:p>
            <w:pPr>
              <w:widowControl/>
              <w:shd w:val="solid" w:color="FFFFFF" w:fill="auto"/>
              <w:autoSpaceDN w:val="0"/>
              <w:snapToGrid w:val="0"/>
              <w:spacing w:line="300" w:lineRule="exac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6.根据确定的设计方案编制详细的工程成本预测和资金流量预测分析，以作为进度和成本控制的目标；随设计的深入定期分析工程成本、定期修正资金流量预测。</w:t>
            </w:r>
          </w:p>
          <w:p>
            <w:pPr>
              <w:widowControl/>
              <w:shd w:val="solid" w:color="FFFFFF" w:fill="auto"/>
              <w:autoSpaceDN w:val="0"/>
              <w:snapToGrid w:val="0"/>
              <w:spacing w:line="300" w:lineRule="exact"/>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7.负责按发包人要求编制清单计价模式等各类造价管理文件。</w:t>
            </w:r>
          </w:p>
          <w:p>
            <w:pPr>
              <w:widowControl/>
              <w:shd w:val="solid" w:color="FFFFFF" w:fill="auto"/>
              <w:autoSpaceDN w:val="0"/>
              <w:snapToGrid w:val="0"/>
              <w:spacing w:line="300" w:lineRule="exac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8.负责审核工程建设其他费用的合同价及报价方案。</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85" w:hRule="atLeast"/>
          <w:jc w:val="center"/>
        </w:trPr>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240" w:lineRule="atLeas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2</w:t>
            </w:r>
          </w:p>
        </w:tc>
        <w:tc>
          <w:tcPr>
            <w:tcW w:w="10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240" w:lineRule="atLeas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招标阶段</w:t>
            </w:r>
          </w:p>
        </w:tc>
        <w:tc>
          <w:tcPr>
            <w:tcW w:w="77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300" w:lineRule="exac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1.负责按甲方要求编制各类造价管理文件，进行市场调查、询价或预（暂）估。</w:t>
            </w:r>
          </w:p>
          <w:p>
            <w:pPr>
              <w:widowControl/>
              <w:shd w:val="solid" w:color="FFFFFF" w:fill="auto"/>
              <w:autoSpaceDN w:val="0"/>
              <w:snapToGrid w:val="0"/>
              <w:spacing w:line="300" w:lineRule="exac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2.负责根据项目的标段划分方案，包括各标段工程（所有各类标及各标段）承包内容、界面，按甲方要求编制工程量清单、预算及招标控制价</w:t>
            </w:r>
            <w:r>
              <w:rPr>
                <w:rFonts w:hint="eastAsia"/>
                <w:color w:val="auto"/>
                <w:highlight w:val="none"/>
              </w:rPr>
              <w:t>（附</w:t>
            </w:r>
            <w:r>
              <w:rPr>
                <w:rFonts w:hint="eastAsia" w:ascii="宋体" w:hAnsi="宋体" w:cs="宋体"/>
                <w:color w:val="auto"/>
                <w:kern w:val="0"/>
                <w:szCs w:val="21"/>
                <w:highlight w:val="none"/>
                <w:shd w:val="clear" w:color="auto" w:fill="FFFFFF"/>
              </w:rPr>
              <w:t>工程量计算书，顺序与工程量清单一致、计价软件版、电子表格版、询价记录），对合同方式和可能存在的风险因素及解决办法等提出合理化建议供甲方参考。办理市造价部门的招标控制价备案。</w:t>
            </w:r>
          </w:p>
          <w:p>
            <w:pPr>
              <w:widowControl/>
              <w:shd w:val="solid" w:color="FFFFFF" w:fill="auto"/>
              <w:autoSpaceDN w:val="0"/>
              <w:snapToGrid w:val="0"/>
              <w:spacing w:line="300" w:lineRule="exac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3.负责根据设计单位的图纸及技术规范、用户需求书编制设备、材料询价或采购清单。</w:t>
            </w:r>
          </w:p>
          <w:p>
            <w:pPr>
              <w:widowControl/>
              <w:shd w:val="solid" w:color="FFFFFF" w:fill="auto"/>
              <w:autoSpaceDN w:val="0"/>
              <w:snapToGrid w:val="0"/>
              <w:spacing w:line="300" w:lineRule="exact"/>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4.负责对中标人的经济标文件或报价书等进行分析和汇总，形成造价咨询报告。</w:t>
            </w:r>
          </w:p>
          <w:p>
            <w:pPr>
              <w:widowControl/>
              <w:shd w:val="solid" w:color="FFFFFF" w:fill="auto"/>
              <w:autoSpaceDN w:val="0"/>
              <w:snapToGrid w:val="0"/>
              <w:spacing w:line="300" w:lineRule="exact"/>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5.负责材料检测及各专业检测、监测清单及预算的编制工作。</w:t>
            </w:r>
          </w:p>
          <w:p>
            <w:pPr>
              <w:widowControl/>
              <w:shd w:val="solid" w:color="FFFFFF" w:fill="auto"/>
              <w:autoSpaceDN w:val="0"/>
              <w:snapToGrid w:val="0"/>
              <w:spacing w:line="300" w:lineRule="exact"/>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6</w:t>
            </w:r>
            <w:r>
              <w:rPr>
                <w:rFonts w:hint="eastAsia" w:ascii="宋体" w:hAnsi="宋体" w:cs="宋体"/>
                <w:color w:val="auto"/>
                <w:kern w:val="0"/>
                <w:szCs w:val="21"/>
                <w:highlight w:val="none"/>
                <w:shd w:val="clear" w:color="auto" w:fill="FFFFFF"/>
              </w:rPr>
              <w:t>.</w:t>
            </w:r>
            <w:r>
              <w:rPr>
                <w:rFonts w:hint="eastAsia" w:ascii="宋体" w:hAnsi="宋体" w:cs="宋体"/>
                <w:color w:val="auto"/>
                <w:szCs w:val="21"/>
                <w:highlight w:val="none"/>
                <w:shd w:val="clear" w:color="auto" w:fill="FFFFFF"/>
              </w:rPr>
              <w:t>对招标文件及合同提供专业意见，对招标文件及合同中涉及工程造价的计量、计价等内容进行编制或审核工作。</w:t>
            </w:r>
          </w:p>
          <w:p>
            <w:pPr>
              <w:widowControl/>
              <w:shd w:val="solid" w:color="FFFFFF" w:fill="auto"/>
              <w:autoSpaceDN w:val="0"/>
              <w:snapToGrid w:val="0"/>
              <w:spacing w:line="300" w:lineRule="exact"/>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7</w:t>
            </w:r>
            <w:r>
              <w:rPr>
                <w:rFonts w:hint="eastAsia" w:ascii="宋体" w:hAnsi="宋体" w:cs="宋体"/>
                <w:color w:val="auto"/>
                <w:kern w:val="0"/>
                <w:szCs w:val="21"/>
                <w:highlight w:val="none"/>
                <w:shd w:val="clear" w:color="auto" w:fill="FFFFFF"/>
              </w:rPr>
              <w:t>.</w:t>
            </w:r>
            <w:r>
              <w:rPr>
                <w:rFonts w:hint="eastAsia" w:cs="宋体"/>
                <w:color w:val="auto"/>
                <w:highlight w:val="none"/>
                <w:shd w:val="solid" w:color="FFFFFF" w:fill="auto"/>
              </w:rPr>
              <w:t>提供工程造价政策、材料、设备（市场）价格信息等工程造价信息咨询服务。</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85" w:hRule="atLeast"/>
          <w:jc w:val="center"/>
        </w:trPr>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240" w:lineRule="atLeas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3</w:t>
            </w:r>
          </w:p>
        </w:tc>
        <w:tc>
          <w:tcPr>
            <w:tcW w:w="10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240" w:lineRule="atLeas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施工阶段</w:t>
            </w:r>
          </w:p>
        </w:tc>
        <w:tc>
          <w:tcPr>
            <w:tcW w:w="77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300" w:lineRule="exact"/>
              <w:rPr>
                <w:color w:val="auto"/>
                <w:highlight w:val="none"/>
              </w:rPr>
            </w:pPr>
            <w:r>
              <w:rPr>
                <w:rFonts w:hint="eastAsia"/>
                <w:color w:val="auto"/>
                <w:highlight w:val="none"/>
              </w:rPr>
              <w:t>1.审核施工图预算，出具审核报告（包含审核方工程量计算书（顺序与工程量清单一致）、计价软件版、电子表格版、询价记录）。</w:t>
            </w:r>
          </w:p>
          <w:p>
            <w:pPr>
              <w:widowControl/>
              <w:shd w:val="solid" w:color="FFFFFF" w:fill="auto"/>
              <w:autoSpaceDN w:val="0"/>
              <w:snapToGrid w:val="0"/>
              <w:spacing w:line="300" w:lineRule="exact"/>
              <w:rPr>
                <w:color w:val="auto"/>
                <w:highlight w:val="none"/>
              </w:rPr>
            </w:pPr>
            <w:r>
              <w:rPr>
                <w:rFonts w:hint="eastAsia"/>
                <w:color w:val="auto"/>
                <w:highlight w:val="none"/>
              </w:rPr>
              <w:t>2.负责按甲方要求编制各类造价管理文件，包括工程变更程序、工程款支付程序等并定制专门的合同管理支付系统平台。</w:t>
            </w:r>
          </w:p>
          <w:p>
            <w:pPr>
              <w:widowControl/>
              <w:shd w:val="solid" w:color="FFFFFF" w:fill="auto"/>
              <w:autoSpaceDN w:val="0"/>
              <w:snapToGrid w:val="0"/>
              <w:spacing w:line="300" w:lineRule="exact"/>
              <w:rPr>
                <w:color w:val="auto"/>
                <w:highlight w:val="none"/>
              </w:rPr>
            </w:pPr>
            <w:r>
              <w:rPr>
                <w:rFonts w:hint="eastAsia"/>
                <w:color w:val="auto"/>
                <w:highlight w:val="none"/>
              </w:rPr>
              <w:t>3.制定项目总体投资进度计划，根据实际进度与每月实际投资和计划投资作分析比较，分析成本偏差的原因和修正项目投资进度计划。</w:t>
            </w:r>
          </w:p>
          <w:p>
            <w:pPr>
              <w:widowControl/>
              <w:shd w:val="solid" w:color="FFFFFF" w:fill="auto"/>
              <w:autoSpaceDN w:val="0"/>
              <w:snapToGrid w:val="0"/>
              <w:spacing w:line="300" w:lineRule="exact"/>
              <w:rPr>
                <w:color w:val="auto"/>
                <w:highlight w:val="none"/>
              </w:rPr>
            </w:pPr>
            <w:r>
              <w:rPr>
                <w:rFonts w:hint="eastAsia"/>
                <w:color w:val="auto"/>
                <w:highlight w:val="none"/>
              </w:rPr>
              <w:t>4.负责施工过程造价控制（含编制方案及实施计划），审核工程量与进度款，7个日历天内完成。</w:t>
            </w:r>
          </w:p>
          <w:p>
            <w:pPr>
              <w:widowControl/>
              <w:shd w:val="solid" w:color="FFFFFF" w:fill="auto"/>
              <w:autoSpaceDN w:val="0"/>
              <w:snapToGrid w:val="0"/>
              <w:spacing w:line="300" w:lineRule="exact"/>
              <w:rPr>
                <w:color w:val="auto"/>
                <w:highlight w:val="none"/>
              </w:rPr>
            </w:pPr>
            <w:r>
              <w:rPr>
                <w:rFonts w:hint="eastAsia"/>
                <w:color w:val="auto"/>
                <w:highlight w:val="none"/>
              </w:rPr>
              <w:t>5.根据经验主动地、有预见性地提醒甲方节约费用，防范工期索赔，负责协助甲方合同索赔处理，参加合同变更谈判，负责处理合同变更，向甲方提供专业评估意见及估算书，维护甲方的合法权益。</w:t>
            </w:r>
          </w:p>
          <w:p>
            <w:pPr>
              <w:widowControl/>
              <w:shd w:val="solid" w:color="FFFFFF" w:fill="auto"/>
              <w:autoSpaceDN w:val="0"/>
              <w:snapToGrid w:val="0"/>
              <w:spacing w:line="300" w:lineRule="exact"/>
              <w:rPr>
                <w:color w:val="auto"/>
                <w:highlight w:val="none"/>
              </w:rPr>
            </w:pPr>
            <w:r>
              <w:rPr>
                <w:rFonts w:hint="eastAsia"/>
                <w:color w:val="auto"/>
                <w:highlight w:val="none"/>
              </w:rPr>
              <w:t>6.负责编制或审核每月项目建安费用资金计划，建立合同台账、支付台账、工程变更管理等相关台账（按变更原因分类）、动态投资台账，负责每个季度月底前提交工程项目整体结算价预估分析、动态成本（须与目标成本对比分析偏差原因及解决方案），统计分析工程投资情况，定期向甲方汇报，为投资控制提供依据，确保工程总投资控制在合理范围内。</w:t>
            </w:r>
          </w:p>
          <w:p>
            <w:pPr>
              <w:widowControl/>
              <w:shd w:val="solid" w:color="FFFFFF" w:fill="auto"/>
              <w:autoSpaceDN w:val="0"/>
              <w:snapToGrid w:val="0"/>
              <w:spacing w:line="300" w:lineRule="exact"/>
              <w:rPr>
                <w:color w:val="auto"/>
                <w:highlight w:val="none"/>
              </w:rPr>
            </w:pPr>
            <w:r>
              <w:rPr>
                <w:rFonts w:hint="eastAsia"/>
                <w:color w:val="auto"/>
                <w:highlight w:val="none"/>
              </w:rPr>
              <w:t>7.负责定期召开造价控制会议，参与选择技术经济性最佳的方案，控制好技术设计和施工图设计的不合理变更，集中会审现场签证、工程变更的工程量和造价预算，确认变更价款。负责每月提交工程变更（包括：图纸会审、图纸修改、工程洽商等）对造价影响分析，及成本控制报告。</w:t>
            </w:r>
          </w:p>
          <w:p>
            <w:pPr>
              <w:widowControl/>
              <w:shd w:val="solid" w:color="FFFFFF" w:fill="auto"/>
              <w:autoSpaceDN w:val="0"/>
              <w:snapToGrid w:val="0"/>
              <w:spacing w:line="300" w:lineRule="exact"/>
              <w:rPr>
                <w:color w:val="auto"/>
                <w:highlight w:val="none"/>
              </w:rPr>
            </w:pPr>
            <w:r>
              <w:rPr>
                <w:rFonts w:hint="eastAsia"/>
                <w:color w:val="auto"/>
                <w:highlight w:val="none"/>
              </w:rPr>
              <w:t>8.负责定期收集和整理有关设备材料的市场价格动态信息，对施工方案、材料选用提供成本控制建议。每月提交人工机械主材设备价格造价影响分析（含价格过程控制资料）。</w:t>
            </w:r>
          </w:p>
          <w:p>
            <w:pPr>
              <w:widowControl/>
              <w:shd w:val="solid" w:color="FFFFFF" w:fill="auto"/>
              <w:autoSpaceDN w:val="0"/>
              <w:snapToGrid w:val="0"/>
              <w:spacing w:line="300" w:lineRule="exact"/>
              <w:rPr>
                <w:color w:val="auto"/>
                <w:highlight w:val="none"/>
              </w:rPr>
            </w:pPr>
            <w:r>
              <w:rPr>
                <w:rFonts w:hint="eastAsia"/>
                <w:color w:val="auto"/>
                <w:highlight w:val="none"/>
              </w:rPr>
              <w:t>9.发生现场签证时，须与发包人、工程监理、施工单位一起进行工程量现场核查，各方签认后作为签证依据。</w:t>
            </w:r>
          </w:p>
          <w:p>
            <w:pPr>
              <w:widowControl/>
              <w:shd w:val="solid" w:color="FFFFFF" w:fill="auto"/>
              <w:autoSpaceDN w:val="0"/>
              <w:snapToGrid w:val="0"/>
              <w:spacing w:line="300" w:lineRule="exact"/>
              <w:rPr>
                <w:color w:val="auto"/>
                <w:highlight w:val="none"/>
              </w:rPr>
            </w:pPr>
            <w:r>
              <w:rPr>
                <w:rFonts w:hint="eastAsia"/>
                <w:color w:val="auto"/>
                <w:highlight w:val="none"/>
              </w:rPr>
              <w:t>10.根据甲方的需要参与合同谈判、合同价款修正及调整的审核。</w:t>
            </w:r>
          </w:p>
          <w:p>
            <w:pPr>
              <w:widowControl/>
              <w:shd w:val="solid" w:color="FFFFFF" w:fill="auto"/>
              <w:autoSpaceDN w:val="0"/>
              <w:snapToGrid w:val="0"/>
              <w:spacing w:line="300" w:lineRule="exact"/>
              <w:rPr>
                <w:rFonts w:hint="eastAsia"/>
                <w:color w:val="auto"/>
                <w:highlight w:val="none"/>
              </w:rPr>
            </w:pPr>
            <w:r>
              <w:rPr>
                <w:color w:val="auto"/>
                <w:highlight w:val="none"/>
              </w:rPr>
              <w:t>11</w:t>
            </w:r>
            <w:r>
              <w:rPr>
                <w:rFonts w:hint="eastAsia"/>
                <w:color w:val="auto"/>
                <w:highlight w:val="none"/>
              </w:rPr>
              <w:t>.工程建设其他费用合同的审核以及报价方案的审核。</w:t>
            </w:r>
          </w:p>
          <w:p>
            <w:pPr>
              <w:widowControl/>
              <w:shd w:val="solid" w:color="FFFFFF" w:fill="auto"/>
              <w:autoSpaceDN w:val="0"/>
              <w:snapToGrid w:val="0"/>
              <w:spacing w:line="300" w:lineRule="exact"/>
              <w:rPr>
                <w:rFonts w:hint="eastAsia"/>
                <w:color w:val="auto"/>
                <w:highlight w:val="none"/>
              </w:rPr>
            </w:pPr>
            <w:r>
              <w:rPr>
                <w:rFonts w:hint="eastAsia"/>
                <w:color w:val="auto"/>
                <w:highlight w:val="none"/>
              </w:rPr>
              <w:t>12、</w:t>
            </w:r>
            <w:r>
              <w:rPr>
                <w:color w:val="auto"/>
                <w:highlight w:val="none"/>
              </w:rPr>
              <w:t>提供与造价控制相关的人工、材料、设备等造价信息和其他咨询服务</w:t>
            </w:r>
            <w:r>
              <w:rPr>
                <w:rFonts w:hint="eastAsia"/>
                <w:color w:val="auto"/>
                <w:highlight w:val="none"/>
              </w:rPr>
              <w:t>。</w:t>
            </w:r>
          </w:p>
          <w:p>
            <w:pPr>
              <w:widowControl/>
              <w:shd w:val="solid" w:color="FFFFFF" w:fill="auto"/>
              <w:autoSpaceDN w:val="0"/>
              <w:snapToGrid w:val="0"/>
              <w:spacing w:line="300" w:lineRule="exact"/>
              <w:rPr>
                <w:color w:val="auto"/>
                <w:highlight w:val="none"/>
              </w:rPr>
            </w:pPr>
            <w:r>
              <w:rPr>
                <w:rFonts w:hint="eastAsia" w:ascii="宋体" w:hAnsi="宋体" w:cs="宋体"/>
                <w:color w:val="auto"/>
                <w:szCs w:val="21"/>
                <w:highlight w:val="none"/>
              </w:rPr>
              <w:t>13、建立过程控制资料收发记录和联系单台帐、进度款台账。</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85" w:hRule="atLeast"/>
          <w:jc w:val="center"/>
        </w:trPr>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240" w:lineRule="atLeas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4</w:t>
            </w:r>
          </w:p>
        </w:tc>
        <w:tc>
          <w:tcPr>
            <w:tcW w:w="10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240" w:lineRule="atLeas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结算阶段</w:t>
            </w:r>
          </w:p>
        </w:tc>
        <w:tc>
          <w:tcPr>
            <w:tcW w:w="77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300" w:lineRule="exact"/>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1.负责按甲方要求编制结算管理文件，配合甲方开展过程结算，完成工程结算审核工作，并与施工单位完成对数，</w:t>
            </w:r>
            <w:r>
              <w:rPr>
                <w:rFonts w:hint="eastAsia" w:ascii="宋体" w:hAnsi="宋体" w:cs="宋体"/>
                <w:color w:val="auto"/>
                <w:kern w:val="0"/>
                <w:szCs w:val="21"/>
                <w:highlight w:val="none"/>
                <w:u w:val="none"/>
                <w:shd w:val="clear" w:color="auto" w:fill="FFFFFF"/>
                <w:lang w:val="en-US" w:eastAsia="zh-CN"/>
              </w:rPr>
              <w:t>按规定的时间</w:t>
            </w:r>
            <w:r>
              <w:rPr>
                <w:rFonts w:hint="eastAsia" w:ascii="宋体" w:hAnsi="宋体" w:cs="宋体"/>
                <w:color w:val="auto"/>
                <w:kern w:val="0"/>
                <w:szCs w:val="21"/>
                <w:highlight w:val="none"/>
                <w:u w:val="none"/>
                <w:shd w:val="clear" w:color="auto" w:fill="FFFFFF"/>
              </w:rPr>
              <w:t>出具结算审核报告（含审核方工程量计算书（顺序与工程量清单一致）、计价软件版、电子表格版、询价记录）</w:t>
            </w:r>
            <w:r>
              <w:rPr>
                <w:rFonts w:hint="eastAsia" w:ascii="宋体" w:hAnsi="宋体" w:cs="宋体"/>
                <w:color w:val="auto"/>
                <w:kern w:val="0"/>
                <w:szCs w:val="21"/>
                <w:highlight w:val="none"/>
                <w:shd w:val="clear" w:color="auto" w:fill="FFFFFF"/>
              </w:rPr>
              <w:t>。</w:t>
            </w:r>
          </w:p>
          <w:p/>
          <w:p>
            <w:pPr>
              <w:widowControl/>
              <w:shd w:val="solid" w:color="FFFFFF" w:fill="auto"/>
              <w:autoSpaceDN w:val="0"/>
              <w:snapToGrid w:val="0"/>
              <w:spacing w:line="300" w:lineRule="exac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3.负责收集和整理结（决）算依据资料，收集有关工程费用方面的签证资料，核对单据并及时归档。</w:t>
            </w:r>
          </w:p>
          <w:p>
            <w:r>
              <w:rPr>
                <w:rFonts w:hint="eastAsia" w:ascii="宋体" w:hAnsi="宋体" w:cs="宋体"/>
                <w:color w:val="auto"/>
                <w:kern w:val="0"/>
                <w:szCs w:val="21"/>
                <w:highlight w:val="none"/>
                <w:shd w:val="clear" w:color="auto" w:fill="FFFFFF"/>
              </w:rPr>
              <w:t>4.负责施工类、服务类、货物类等合同结算审核工作并出具审核报告；负责工程结算审核工作，提交合同管理及执行情况的专题报告。</w:t>
            </w:r>
          </w:p>
          <w:p/>
          <w:p>
            <w:pPr>
              <w:widowControl/>
              <w:shd w:val="solid" w:color="FFFFFF" w:fill="auto"/>
              <w:autoSpaceDN w:val="0"/>
              <w:snapToGrid w:val="0"/>
              <w:spacing w:line="300" w:lineRule="exact"/>
              <w:rPr>
                <w:rFonts w:ascii="宋体" w:hAnsi="宋体" w:cs="宋体"/>
                <w:color w:val="auto"/>
                <w:kern w:val="0"/>
                <w:szCs w:val="21"/>
                <w:highlight w:val="none"/>
                <w:shd w:val="clear" w:color="auto" w:fill="FFFFFF"/>
              </w:rPr>
            </w:pPr>
          </w:p>
          <w:p>
            <w:pPr>
              <w:widowControl/>
              <w:shd w:val="solid" w:color="FFFFFF" w:fill="auto"/>
              <w:autoSpaceDN w:val="0"/>
              <w:snapToGrid w:val="0"/>
              <w:spacing w:line="300" w:lineRule="exac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7.</w:t>
            </w:r>
            <w:r>
              <w:rPr>
                <w:rFonts w:hint="eastAsia" w:cs="宋体"/>
                <w:color w:val="auto"/>
                <w:highlight w:val="none"/>
                <w:shd w:val="solid" w:color="FFFFFF" w:fill="auto"/>
              </w:rPr>
              <w:t>结算后进行资料汇总、提交结算后评估分析，包括对项目及实施过程的描述、估算、概算、预算、合同价及结算价进行比较，编制单体、各项各专业等工程建筑技术经济指标，对产生偏差的原因及投资控制的效果进行分析，提交合同管理及执行情况的专题报告。</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85" w:hRule="atLeast"/>
          <w:jc w:val="center"/>
        </w:trPr>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240" w:lineRule="atLeast"/>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5</w:t>
            </w:r>
          </w:p>
        </w:tc>
        <w:tc>
          <w:tcPr>
            <w:tcW w:w="10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240" w:lineRule="atLeast"/>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审计阶段</w:t>
            </w:r>
          </w:p>
        </w:tc>
        <w:tc>
          <w:tcPr>
            <w:tcW w:w="77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300" w:lineRule="exact"/>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配合审计部门的工程造价审计工作以及其他相关配合服务等。</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85" w:hRule="atLeast"/>
          <w:jc w:val="center"/>
        </w:trPr>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240" w:lineRule="atLeas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6</w:t>
            </w:r>
          </w:p>
        </w:tc>
        <w:tc>
          <w:tcPr>
            <w:tcW w:w="10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240" w:lineRule="atLeast"/>
              <w:jc w:val="center"/>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其他</w:t>
            </w:r>
          </w:p>
        </w:tc>
        <w:tc>
          <w:tcPr>
            <w:tcW w:w="77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300" w:lineRule="exact"/>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1.负责组织相关造价控制评审会议，包括邀请相应的经济专家。</w:t>
            </w:r>
          </w:p>
          <w:p>
            <w:pPr>
              <w:widowControl/>
              <w:shd w:val="solid" w:color="FFFFFF" w:fill="auto"/>
              <w:autoSpaceDN w:val="0"/>
              <w:snapToGrid w:val="0"/>
              <w:spacing w:line="300" w:lineRule="exact"/>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2.视情况邀请高级经济顾问对造价问题进行咨询把关。</w:t>
            </w:r>
          </w:p>
          <w:p>
            <w:pPr>
              <w:widowControl/>
              <w:shd w:val="solid" w:color="FFFFFF" w:fill="auto"/>
              <w:autoSpaceDN w:val="0"/>
              <w:snapToGrid w:val="0"/>
              <w:spacing w:line="300" w:lineRule="exact"/>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3.征地拆迁、管线 、绿化迁移及其他标段的造价审核工作。</w:t>
            </w:r>
          </w:p>
          <w:p>
            <w:pPr>
              <w:widowControl/>
              <w:shd w:val="solid" w:color="FFFFFF" w:fill="auto"/>
              <w:autoSpaceDN w:val="0"/>
              <w:snapToGrid w:val="0"/>
              <w:spacing w:line="300" w:lineRule="exact"/>
              <w:rPr>
                <w:color w:val="auto"/>
                <w:highlight w:val="none"/>
                <w:shd w:val="solid" w:color="FFFFFF" w:fill="auto"/>
              </w:rPr>
            </w:pPr>
            <w:r>
              <w:rPr>
                <w:rFonts w:hint="eastAsia" w:ascii="宋体" w:hAnsi="宋体" w:cs="宋体"/>
                <w:color w:val="auto"/>
                <w:kern w:val="0"/>
                <w:szCs w:val="21"/>
                <w:highlight w:val="none"/>
                <w:shd w:val="clear" w:color="auto" w:fill="FFFFFF"/>
              </w:rPr>
              <w:t>4.</w:t>
            </w:r>
            <w:r>
              <w:rPr>
                <w:rFonts w:hint="eastAsia" w:cs="宋体"/>
                <w:color w:val="auto"/>
                <w:highlight w:val="none"/>
                <w:shd w:val="solid" w:color="FFFFFF" w:fill="auto"/>
              </w:rPr>
              <w:t>向甲方提出专业性建议并提供相关的服务，协助甲方解决与第三方的合同。</w:t>
            </w:r>
          </w:p>
          <w:p>
            <w:pPr>
              <w:widowControl/>
              <w:shd w:val="solid" w:color="FFFFFF" w:fill="auto"/>
              <w:autoSpaceDN w:val="0"/>
              <w:snapToGrid w:val="0"/>
              <w:spacing w:line="300" w:lineRule="exact"/>
              <w:rPr>
                <w:rFonts w:ascii="宋体" w:hAnsi="宋体" w:cs="宋体"/>
                <w:color w:val="auto"/>
                <w:kern w:val="0"/>
                <w:szCs w:val="21"/>
                <w:highlight w:val="none"/>
                <w:shd w:val="clear" w:color="auto" w:fill="FFFFFF"/>
              </w:rPr>
            </w:pPr>
            <w:r>
              <w:rPr>
                <w:color w:val="auto"/>
                <w:highlight w:val="none"/>
                <w:shd w:val="solid" w:color="FFFFFF" w:fill="auto"/>
              </w:rPr>
              <w:t>5</w:t>
            </w:r>
            <w:r>
              <w:rPr>
                <w:rFonts w:hint="eastAsia" w:ascii="宋体" w:hAnsi="宋体" w:cs="宋体"/>
                <w:color w:val="auto"/>
                <w:kern w:val="0"/>
                <w:szCs w:val="21"/>
                <w:highlight w:val="none"/>
                <w:shd w:val="clear" w:color="auto" w:fill="FFFFFF"/>
              </w:rPr>
              <w:t>.</w:t>
            </w:r>
            <w:r>
              <w:rPr>
                <w:rFonts w:hint="eastAsia" w:cs="宋体"/>
                <w:color w:val="auto"/>
                <w:highlight w:val="none"/>
                <w:shd w:val="solid" w:color="FFFFFF" w:fill="auto"/>
              </w:rPr>
              <w:t>根据工程实际情况独立编制所有工程造价成果文件，并按工程进度、甲方要求及时上报</w:t>
            </w:r>
          </w:p>
          <w:p>
            <w:pPr>
              <w:widowControl/>
              <w:shd w:val="solid" w:color="FFFFFF" w:fill="auto"/>
              <w:autoSpaceDN w:val="0"/>
              <w:snapToGrid w:val="0"/>
              <w:spacing w:line="300" w:lineRule="exact"/>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6.委派项目负责人或项目主要专业人员出席委托召开的专业会议。</w:t>
            </w:r>
          </w:p>
          <w:p>
            <w:pPr>
              <w:widowControl/>
              <w:shd w:val="solid" w:color="FFFFFF" w:fill="auto"/>
              <w:autoSpaceDN w:val="0"/>
              <w:snapToGrid w:val="0"/>
              <w:spacing w:line="300" w:lineRule="exact"/>
              <w:rPr>
                <w:color w:val="auto"/>
                <w:highlight w:val="none"/>
                <w:shd w:val="solid" w:color="FFFFFF" w:fill="auto"/>
              </w:rPr>
            </w:pPr>
            <w:r>
              <w:rPr>
                <w:rFonts w:hint="eastAsia" w:ascii="宋体" w:hAnsi="宋体" w:cs="宋体"/>
                <w:color w:val="auto"/>
                <w:kern w:val="0"/>
                <w:szCs w:val="21"/>
                <w:highlight w:val="none"/>
                <w:shd w:val="clear" w:color="auto" w:fill="FFFFFF"/>
              </w:rPr>
              <w:t>7.</w:t>
            </w:r>
            <w:r>
              <w:rPr>
                <w:rFonts w:hint="eastAsia" w:cs="宋体"/>
                <w:color w:val="auto"/>
                <w:highlight w:val="none"/>
                <w:shd w:val="solid" w:color="FFFFFF" w:fill="auto"/>
              </w:rPr>
              <w:t>在招标限价、合同价、结算等关键节点审核时，应及时合理安排能满足以上各关键节点的造价团队，专业配置齐全，确保按甲方要求时间完成相关审核工作，出具审核报告</w:t>
            </w:r>
            <w:r>
              <w:rPr>
                <w:rFonts w:hint="eastAsia" w:ascii="宋体" w:hAnsi="宋体" w:cs="宋体"/>
                <w:color w:val="auto"/>
                <w:kern w:val="0"/>
                <w:szCs w:val="21"/>
                <w:highlight w:val="none"/>
                <w:shd w:val="clear" w:color="auto" w:fill="FFFFFF"/>
              </w:rPr>
              <w:t>（含审核方工程量计算书</w:t>
            </w:r>
            <w:r>
              <w:rPr>
                <w:rFonts w:hint="eastAsia" w:ascii="宋体" w:hAnsi="宋体" w:cs="宋体"/>
                <w:color w:val="auto"/>
                <w:kern w:val="0"/>
                <w:szCs w:val="21"/>
                <w:highlight w:val="none"/>
                <w:u w:val="none"/>
                <w:shd w:val="clear" w:color="auto" w:fill="FFFFFF"/>
              </w:rPr>
              <w:t>（</w:t>
            </w:r>
            <w:r>
              <w:rPr>
                <w:rFonts w:hint="eastAsia" w:ascii="宋体" w:hAnsi="宋体" w:cs="宋体"/>
                <w:color w:val="auto"/>
                <w:kern w:val="0"/>
                <w:szCs w:val="21"/>
                <w:highlight w:val="none"/>
                <w:shd w:val="clear" w:color="auto" w:fill="FFFFFF"/>
              </w:rPr>
              <w:t>顺序与工程量清单</w:t>
            </w:r>
            <w:r>
              <w:rPr>
                <w:rFonts w:hint="eastAsia" w:ascii="宋体" w:hAnsi="宋体" w:cs="宋体"/>
                <w:color w:val="auto"/>
                <w:kern w:val="0"/>
                <w:szCs w:val="21"/>
                <w:highlight w:val="none"/>
                <w:u w:val="none"/>
                <w:shd w:val="clear" w:color="auto" w:fill="FFFFFF"/>
              </w:rPr>
              <w:t>一致）</w:t>
            </w:r>
            <w:r>
              <w:rPr>
                <w:rFonts w:hint="eastAsia" w:ascii="宋体" w:hAnsi="宋体" w:cs="宋体"/>
                <w:color w:val="auto"/>
                <w:kern w:val="0"/>
                <w:szCs w:val="21"/>
                <w:highlight w:val="none"/>
                <w:shd w:val="clear" w:color="auto" w:fill="FFFFFF"/>
              </w:rPr>
              <w:t>、计价软件版、电子表格版）。</w:t>
            </w:r>
          </w:p>
          <w:p>
            <w:pPr>
              <w:widowControl/>
              <w:shd w:val="solid" w:color="FFFFFF" w:fill="auto"/>
              <w:autoSpaceDN w:val="0"/>
              <w:snapToGrid w:val="0"/>
              <w:spacing w:line="300" w:lineRule="exact"/>
              <w:rPr>
                <w:color w:val="auto"/>
                <w:highlight w:val="none"/>
                <w:shd w:val="solid" w:color="FFFFFF" w:fill="auto"/>
              </w:rPr>
            </w:pPr>
            <w:r>
              <w:rPr>
                <w:color w:val="auto"/>
                <w:highlight w:val="none"/>
                <w:shd w:val="solid" w:color="FFFFFF" w:fill="auto"/>
              </w:rPr>
              <w:t>8</w:t>
            </w:r>
            <w:r>
              <w:rPr>
                <w:rFonts w:hint="eastAsia" w:ascii="宋体" w:hAnsi="宋体" w:cs="宋体"/>
                <w:color w:val="auto"/>
                <w:kern w:val="0"/>
                <w:szCs w:val="21"/>
                <w:highlight w:val="none"/>
                <w:shd w:val="clear" w:color="auto" w:fill="FFFFFF"/>
              </w:rPr>
              <w:t>.</w:t>
            </w:r>
            <w:r>
              <w:rPr>
                <w:rFonts w:hint="eastAsia" w:cs="宋体"/>
                <w:color w:val="auto"/>
                <w:highlight w:val="none"/>
                <w:shd w:val="solid" w:color="FFFFFF" w:fill="auto"/>
              </w:rPr>
              <w:t>项目推进过程中，协助委托完成相关的专业评审工作，评审的相关费用已包含在合同价款内。</w:t>
            </w:r>
          </w:p>
          <w:p>
            <w:pPr>
              <w:widowControl/>
              <w:shd w:val="solid" w:color="FFFFFF" w:fill="auto"/>
              <w:autoSpaceDN w:val="0"/>
              <w:snapToGrid w:val="0"/>
              <w:spacing w:line="300" w:lineRule="exact"/>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9.甲方安排的其他造价管理工作。</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85" w:hRule="atLeast"/>
          <w:jc w:val="center"/>
        </w:trPr>
        <w:tc>
          <w:tcPr>
            <w:tcW w:w="9210"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315" w:lineRule="atLeast"/>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备注：</w:t>
            </w:r>
          </w:p>
          <w:p>
            <w:pPr>
              <w:widowControl/>
              <w:shd w:val="solid" w:color="FFFFFF" w:fill="auto"/>
              <w:autoSpaceDN w:val="0"/>
              <w:snapToGrid w:val="0"/>
              <w:spacing w:line="300" w:lineRule="atLeast"/>
              <w:ind w:firstLine="315"/>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1、为实现项目的投资控制目标，由中标人安排有类似的项目管理经验的工程造价专业人员为本项目服务，组成项目组，人员配备见合同，如需更换人员需提前通知并取得甲方的同意，</w:t>
            </w:r>
            <w:r>
              <w:rPr>
                <w:rFonts w:hint="eastAsia" w:ascii="宋体" w:hAnsi="宋体" w:cs="宋体"/>
                <w:color w:val="auto"/>
                <w:szCs w:val="21"/>
                <w:highlight w:val="none"/>
                <w:u w:val="single"/>
                <w:shd w:val="solid" w:color="FFFFFF" w:fill="auto"/>
              </w:rPr>
              <w:t>更换新的人员资格及经验不低于被更换人员</w:t>
            </w:r>
            <w:r>
              <w:rPr>
                <w:rFonts w:hint="eastAsia" w:ascii="宋体" w:hAnsi="宋体" w:cs="宋体"/>
                <w:color w:val="auto"/>
                <w:kern w:val="0"/>
                <w:szCs w:val="21"/>
                <w:highlight w:val="none"/>
                <w:shd w:val="clear" w:color="auto" w:fill="FFFFFF"/>
              </w:rPr>
              <w:t>。甲方仅提供驻场人员办公场地，其他如办公设备、办公用品、就餐、住宿、现场踏勘、差旅费、驻场人员费、税费等一切支出由中标人自行解决，费用已包含在合同价款内。</w:t>
            </w:r>
          </w:p>
          <w:p>
            <w:pPr>
              <w:widowControl/>
              <w:shd w:val="solid" w:color="FFFFFF" w:fill="auto"/>
              <w:autoSpaceDN w:val="0"/>
              <w:snapToGrid w:val="0"/>
              <w:spacing w:line="315" w:lineRule="atLeast"/>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2、中标人</w:t>
            </w:r>
            <w:r>
              <w:rPr>
                <w:rFonts w:hint="eastAsia" w:ascii="宋体" w:hAnsi="宋体" w:cs="宋体"/>
                <w:color w:val="auto"/>
                <w:kern w:val="0"/>
                <w:szCs w:val="21"/>
                <w:highlight w:val="none"/>
                <w:u w:val="single"/>
                <w:shd w:val="clear" w:color="auto" w:fill="FFFFFF"/>
              </w:rPr>
              <w:t>需承诺保证项目负责人1名，具有有效的注册造价工程师资格（或注册一级造价工程师资格）（注册执业单位须与投标单位一致）。</w:t>
            </w:r>
          </w:p>
          <w:p>
            <w:pPr>
              <w:widowControl/>
              <w:shd w:val="solid" w:color="FFFFFF" w:fill="auto"/>
              <w:autoSpaceDN w:val="0"/>
              <w:snapToGrid w:val="0"/>
              <w:spacing w:line="315" w:lineRule="atLeast"/>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lang w:val="en-US" w:eastAsia="zh-CN"/>
              </w:rPr>
              <w:t>3</w:t>
            </w:r>
            <w:r>
              <w:rPr>
                <w:rFonts w:hint="eastAsia" w:ascii="宋体" w:hAnsi="宋体" w:cs="宋体"/>
                <w:color w:val="auto"/>
                <w:kern w:val="0"/>
                <w:szCs w:val="21"/>
                <w:highlight w:val="none"/>
                <w:shd w:val="clear" w:color="auto" w:fill="FFFFFF"/>
              </w:rPr>
              <w:t>、中标人需在甲方要求的期限内完成各项工作内容，如未按要求完成的，甲方有权进行相应处理。</w:t>
            </w:r>
          </w:p>
          <w:p>
            <w:pPr>
              <w:widowControl/>
              <w:shd w:val="solid" w:color="FFFFFF" w:fill="auto"/>
              <w:autoSpaceDN w:val="0"/>
              <w:snapToGrid w:val="0"/>
              <w:spacing w:line="315" w:lineRule="atLeast"/>
              <w:ind w:firstLine="420" w:firstLineChars="200"/>
              <w:rPr>
                <w:rFonts w:ascii="宋体" w:hAnsi="宋体" w:cs="宋体"/>
                <w:color w:val="auto"/>
                <w:kern w:val="0"/>
                <w:szCs w:val="21"/>
                <w:highlight w:val="none"/>
                <w:shd w:val="clear" w:color="auto" w:fill="FFFFFF"/>
              </w:rPr>
            </w:pPr>
          </w:p>
        </w:tc>
      </w:tr>
    </w:tbl>
    <w:p>
      <w:pPr>
        <w:tabs>
          <w:tab w:val="left" w:pos="7513"/>
        </w:tabs>
        <w:spacing w:line="360" w:lineRule="auto"/>
        <w:ind w:firstLine="480" w:firstLineChars="200"/>
        <w:rPr>
          <w:rFonts w:hint="eastAsia" w:ascii="宋体" w:hAnsi="宋体" w:eastAsia="宋体" w:cs="宋体"/>
          <w:color w:val="auto"/>
          <w:sz w:val="24"/>
          <w:highlight w:val="none"/>
          <w:u w:val="single"/>
          <w:lang w:eastAsia="zh-CN"/>
        </w:rPr>
      </w:pPr>
    </w:p>
    <w:p>
      <w:pPr>
        <w:tabs>
          <w:tab w:val="left" w:pos="7513"/>
        </w:tabs>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2.2.3 服务期限</w:t>
      </w:r>
    </w:p>
    <w:p>
      <w:pPr>
        <w:tabs>
          <w:tab w:val="left" w:pos="7513"/>
        </w:tabs>
        <w:spacing w:line="360" w:lineRule="auto"/>
        <w:ind w:firstLine="600" w:firstLineChars="250"/>
        <w:rPr>
          <w:rFonts w:hint="eastAsia" w:ascii="宋体" w:hAnsi="宋体" w:cs="宋体"/>
          <w:color w:val="auto"/>
          <w:sz w:val="24"/>
          <w:highlight w:val="none"/>
          <w:u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）监理服务期限</w:t>
      </w:r>
      <w:r>
        <w:rPr>
          <w:rFonts w:hint="eastAsia" w:ascii="宋体" w:hAnsi="宋体" w:cs="宋体"/>
          <w:color w:val="auto"/>
          <w:sz w:val="24"/>
          <w:highlight w:val="none"/>
          <w:u w:val="none"/>
          <w:lang w:eastAsia="zh-CN"/>
        </w:rPr>
        <w:t>：</w:t>
      </w:r>
    </w:p>
    <w:p>
      <w:pPr>
        <w:tabs>
          <w:tab w:val="left" w:pos="7513"/>
        </w:tabs>
        <w:spacing w:line="360" w:lineRule="auto"/>
        <w:ind w:firstLine="600" w:firstLineChars="250"/>
        <w:rPr>
          <w:rFonts w:ascii="宋体" w:hAnsi="宋体" w:cs="宋体"/>
          <w:color w:val="auto"/>
          <w:sz w:val="24"/>
          <w:highlight w:val="none"/>
          <w:u w:val="single"/>
        </w:rPr>
      </w:pPr>
      <w:r>
        <w:rPr>
          <w:rFonts w:hint="eastAsia" w:ascii="宋体" w:hAnsi="宋体" w:cs="宋体"/>
          <w:color w:val="auto"/>
          <w:sz w:val="24"/>
          <w:highlight w:val="none"/>
          <w:u w:val="single"/>
        </w:rPr>
        <w:t>前期工作阶段、施工阶段、缺陷责任期阶段、竣工结算期的监理服务期：</w:t>
      </w:r>
    </w:p>
    <w:p>
      <w:pPr>
        <w:tabs>
          <w:tab w:val="left" w:pos="7513"/>
        </w:tabs>
        <w:spacing w:line="360" w:lineRule="auto"/>
        <w:ind w:firstLine="600" w:firstLineChars="250"/>
        <w:rPr>
          <w:rFonts w:hint="eastAsia" w:ascii="宋体" w:hAnsi="宋体" w:cs="宋体"/>
          <w:color w:val="auto"/>
          <w:sz w:val="24"/>
          <w:highlight w:val="none"/>
          <w:u w:val="single"/>
        </w:rPr>
      </w:pPr>
      <w:r>
        <w:rPr>
          <w:rFonts w:hint="eastAsia" w:ascii="宋体" w:hAnsi="宋体" w:cs="宋体"/>
          <w:color w:val="auto"/>
          <w:sz w:val="24"/>
          <w:highlight w:val="none"/>
          <w:u w:val="single"/>
        </w:rPr>
        <w:t>1</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前期工作阶段：从签订合同之日到所有前期工作完成之日；</w:t>
      </w:r>
    </w:p>
    <w:p>
      <w:pPr>
        <w:tabs>
          <w:tab w:val="left" w:pos="7513"/>
        </w:tabs>
        <w:spacing w:line="360" w:lineRule="auto"/>
        <w:ind w:firstLine="600" w:firstLineChars="250"/>
        <w:rPr>
          <w:rFonts w:hint="eastAsia" w:ascii="宋体" w:hAnsi="宋体" w:cs="宋体"/>
          <w:color w:val="auto"/>
          <w:sz w:val="24"/>
          <w:highlight w:val="none"/>
          <w:u w:val="single"/>
        </w:rPr>
      </w:pPr>
      <w:r>
        <w:rPr>
          <w:rFonts w:hint="eastAsia" w:ascii="宋体" w:hAnsi="宋体" w:cs="宋体"/>
          <w:color w:val="auto"/>
          <w:sz w:val="24"/>
          <w:highlight w:val="none"/>
          <w:u w:val="single"/>
        </w:rPr>
        <w:t>2</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施工阶段：从业主下达开工令或开工报告审批之日起至施工项目全部完工并办理竣工验收、竣工结算、备案管理为止；</w:t>
      </w:r>
    </w:p>
    <w:p>
      <w:pPr>
        <w:tabs>
          <w:tab w:val="left" w:pos="7513"/>
        </w:tabs>
        <w:spacing w:line="360" w:lineRule="auto"/>
        <w:ind w:firstLine="600" w:firstLineChars="250"/>
        <w:rPr>
          <w:rFonts w:hint="eastAsia" w:ascii="宋体" w:hAnsi="宋体" w:cs="宋体"/>
          <w:color w:val="auto"/>
          <w:sz w:val="24"/>
          <w:highlight w:val="none"/>
          <w:u w:val="single"/>
        </w:rPr>
      </w:pPr>
      <w:r>
        <w:rPr>
          <w:rFonts w:hint="eastAsia" w:ascii="宋体" w:hAnsi="宋体" w:cs="宋体"/>
          <w:color w:val="auto"/>
          <w:sz w:val="24"/>
          <w:highlight w:val="none"/>
          <w:u w:val="single"/>
        </w:rPr>
        <w:t>3</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缺陷责任期阶段：从工程实际竣工验收合格之日起2年；</w:t>
      </w:r>
    </w:p>
    <w:p>
      <w:pPr>
        <w:tabs>
          <w:tab w:val="left" w:pos="7513"/>
        </w:tabs>
        <w:spacing w:line="360" w:lineRule="auto"/>
        <w:ind w:firstLine="600" w:firstLineChars="250"/>
        <w:rPr>
          <w:rFonts w:hint="eastAsia" w:ascii="宋体" w:hAnsi="宋体" w:cs="宋体"/>
          <w:color w:val="auto"/>
          <w:sz w:val="24"/>
          <w:highlight w:val="none"/>
          <w:u w:val="single"/>
          <w:lang w:eastAsia="zh-CN"/>
        </w:rPr>
      </w:pPr>
      <w:r>
        <w:rPr>
          <w:rFonts w:hint="eastAsia" w:ascii="宋体" w:hAnsi="宋体" w:cs="宋体"/>
          <w:color w:val="auto"/>
          <w:sz w:val="24"/>
          <w:highlight w:val="none"/>
          <w:u w:val="single"/>
        </w:rPr>
        <w:t>4</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竣工结算期：从结算送审到终审。</w:t>
      </w:r>
    </w:p>
    <w:p>
      <w:pPr>
        <w:tabs>
          <w:tab w:val="left" w:pos="7513"/>
        </w:tabs>
        <w:spacing w:line="360" w:lineRule="auto"/>
        <w:ind w:firstLine="600" w:firstLineChars="250"/>
        <w:rPr>
          <w:rFonts w:hint="eastAsia" w:ascii="宋体" w:hAnsi="宋体" w:cs="宋体"/>
          <w:color w:val="auto"/>
          <w:sz w:val="24"/>
          <w:highlight w:val="none"/>
          <w:u w:val="none"/>
        </w:rPr>
      </w:pPr>
      <w:r>
        <w:rPr>
          <w:rFonts w:hint="eastAsia" w:ascii="宋体" w:hAnsi="宋体" w:eastAsia="宋体" w:cs="宋体"/>
          <w:color w:val="000000"/>
          <w:sz w:val="24"/>
          <w:highlight w:val="none"/>
          <w:u w:val="none"/>
        </w:rPr>
        <w:t>（</w:t>
      </w:r>
      <w:r>
        <w:rPr>
          <w:rFonts w:hint="eastAsia" w:ascii="宋体" w:hAnsi="宋体" w:eastAsia="宋体" w:cs="宋体"/>
          <w:color w:val="000000"/>
          <w:sz w:val="24"/>
          <w:highlight w:val="none"/>
          <w:u w:val="none"/>
          <w:lang w:val="en-US" w:eastAsia="zh-CN"/>
        </w:rPr>
        <w:t>2</w:t>
      </w:r>
      <w:r>
        <w:rPr>
          <w:rFonts w:hint="eastAsia" w:ascii="宋体" w:hAnsi="宋体" w:eastAsia="宋体" w:cs="宋体"/>
          <w:color w:val="000000"/>
          <w:sz w:val="24"/>
          <w:highlight w:val="none"/>
          <w:u w:val="none"/>
        </w:rPr>
        <w:t>）全过程造价咨询服务期限：</w:t>
      </w:r>
      <w:r>
        <w:rPr>
          <w:rFonts w:hint="eastAsia" w:ascii="宋体" w:hAnsi="宋体" w:eastAsia="宋体" w:cs="宋体"/>
          <w:color w:val="000000"/>
          <w:sz w:val="24"/>
          <w:highlight w:val="none"/>
          <w:u w:val="single"/>
        </w:rPr>
        <w:t>中标通知书发出之日起至完成合同约定的全部服务内容并结算完毕时止。</w:t>
      </w:r>
    </w:p>
    <w:p>
      <w:pPr>
        <w:tabs>
          <w:tab w:val="left" w:pos="7513"/>
        </w:tabs>
        <w:spacing w:line="360" w:lineRule="auto"/>
        <w:ind w:firstLine="600" w:firstLineChars="250"/>
        <w:rPr>
          <w:rFonts w:hint="eastAsia" w:ascii="宋体" w:hAnsi="宋体" w:cs="宋体"/>
          <w:color w:val="auto"/>
          <w:sz w:val="24"/>
          <w:highlight w:val="none"/>
          <w:u w:val="single"/>
          <w:lang w:eastAsia="zh-CN"/>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 服务阶段要求</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single"/>
          <w:lang w:eastAsia="zh-CN"/>
        </w:rPr>
        <w:t>前期工程阶段、施工阶段、结算阶段、保修阶段。</w:t>
      </w:r>
    </w:p>
    <w:p>
      <w:pPr>
        <w:tabs>
          <w:tab w:val="left" w:pos="7513"/>
        </w:tabs>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xml:space="preserve"> </w:t>
      </w:r>
      <w:r>
        <w:rPr>
          <w:rFonts w:hint="eastAsia" w:ascii="宋体" w:hAnsi="宋体" w:eastAsia="宋体" w:cs="宋体"/>
          <w:sz w:val="24"/>
          <w:szCs w:val="24"/>
          <w:highlight w:val="none"/>
          <w:lang w:val="en-US"/>
        </w:rPr>
        <w:t>本项目</w:t>
      </w:r>
      <w:r>
        <w:rPr>
          <w:rFonts w:hint="eastAsia" w:ascii="宋体" w:hAnsi="宋体" w:eastAsia="宋体" w:cs="宋体"/>
          <w:color w:val="auto"/>
          <w:sz w:val="24"/>
          <w:highlight w:val="none"/>
        </w:rPr>
        <w:t>最高投标限价：</w:t>
      </w:r>
      <w:r>
        <w:rPr>
          <w:rFonts w:hint="eastAsia" w:ascii="宋体" w:hAnsi="宋体" w:eastAsia="宋体" w:cs="宋体"/>
          <w:color w:val="auto"/>
          <w:sz w:val="24"/>
          <w:highlight w:val="none"/>
          <w:u w:val="single"/>
          <w:lang w:val="en-US" w:eastAsia="zh-CN"/>
        </w:rPr>
        <w:t>13</w:t>
      </w:r>
      <w:r>
        <w:rPr>
          <w:rFonts w:hint="eastAsia" w:ascii="宋体" w:hAnsi="宋体" w:cs="宋体"/>
          <w:color w:val="auto"/>
          <w:sz w:val="24"/>
          <w:highlight w:val="none"/>
          <w:u w:val="single"/>
          <w:lang w:val="en-US" w:eastAsia="zh-CN"/>
        </w:rPr>
        <w:t>56100</w:t>
      </w:r>
      <w:r>
        <w:rPr>
          <w:rFonts w:hint="eastAsia" w:ascii="宋体" w:hAnsi="宋体" w:eastAsia="宋体" w:cs="宋体"/>
          <w:color w:val="auto"/>
          <w:sz w:val="24"/>
          <w:highlight w:val="none"/>
        </w:rPr>
        <w:t>元</w:t>
      </w:r>
      <w:r>
        <w:rPr>
          <w:rFonts w:hint="eastAsia" w:ascii="宋体" w:hAnsi="宋体" w:eastAsia="宋体" w:cs="宋体"/>
          <w:sz w:val="24"/>
          <w:szCs w:val="24"/>
          <w:highlight w:val="none"/>
          <w:u w:val="none"/>
          <w:lang w:val="en-US"/>
        </w:rPr>
        <w:t>，其中</w:t>
      </w:r>
      <w:r>
        <w:rPr>
          <w:rFonts w:hint="eastAsia" w:ascii="宋体" w:hAnsi="宋体" w:eastAsia="宋体" w:cs="宋体"/>
          <w:sz w:val="24"/>
          <w:szCs w:val="24"/>
          <w:highlight w:val="none"/>
          <w:u w:val="none"/>
          <w:lang w:val="en-US" w:eastAsia="zh-CN"/>
        </w:rPr>
        <w:t>：</w:t>
      </w:r>
      <w:r>
        <w:rPr>
          <w:rFonts w:hint="eastAsia" w:ascii="宋体" w:hAnsi="宋体" w:cs="宋体"/>
          <w:color w:val="auto"/>
          <w:sz w:val="24"/>
          <w:highlight w:val="none"/>
          <w:lang w:val="en-US" w:eastAsia="zh-CN"/>
        </w:rPr>
        <w:t>（1）</w:t>
      </w:r>
      <w:r>
        <w:rPr>
          <w:rFonts w:hint="eastAsia" w:ascii="宋体" w:hAnsi="宋体" w:eastAsia="宋体" w:cs="宋体"/>
          <w:sz w:val="24"/>
          <w:szCs w:val="24"/>
          <w:highlight w:val="none"/>
          <w:u w:val="none"/>
          <w:lang w:val="en-US"/>
        </w:rPr>
        <w:t>监理服务费最高投标限价：</w:t>
      </w:r>
      <w:r>
        <w:rPr>
          <w:rFonts w:hint="eastAsia" w:ascii="宋体" w:hAnsi="宋体" w:eastAsia="宋体" w:cs="宋体"/>
          <w:sz w:val="24"/>
          <w:szCs w:val="24"/>
          <w:highlight w:val="none"/>
          <w:u w:val="single"/>
          <w:lang w:val="en-US" w:eastAsia="zh-CN"/>
        </w:rPr>
        <w:t>12906</w:t>
      </w:r>
      <w:r>
        <w:rPr>
          <w:rFonts w:hint="eastAsia" w:ascii="宋体" w:hAnsi="宋体" w:cs="宋体"/>
          <w:sz w:val="24"/>
          <w:szCs w:val="24"/>
          <w:highlight w:val="none"/>
          <w:u w:val="single"/>
          <w:lang w:val="en-US" w:eastAsia="zh-CN"/>
        </w:rPr>
        <w:t>00</w:t>
      </w:r>
      <w:r>
        <w:rPr>
          <w:rFonts w:hint="eastAsia" w:ascii="宋体" w:hAnsi="宋体" w:eastAsia="宋体" w:cs="宋体"/>
          <w:sz w:val="24"/>
          <w:szCs w:val="24"/>
          <w:highlight w:val="none"/>
          <w:u w:val="none"/>
          <w:lang w:val="en-US"/>
        </w:rPr>
        <w:t>元；</w:t>
      </w:r>
      <w:r>
        <w:rPr>
          <w:rFonts w:hint="eastAsia" w:ascii="宋体" w:hAnsi="宋体" w:cs="宋体"/>
          <w:color w:val="auto"/>
          <w:sz w:val="24"/>
          <w:highlight w:val="none"/>
          <w:lang w:val="en-US" w:eastAsia="zh-CN"/>
        </w:rPr>
        <w:t>（2）</w:t>
      </w:r>
      <w:r>
        <w:rPr>
          <w:rFonts w:hint="eastAsia" w:ascii="宋体" w:hAnsi="宋体" w:eastAsia="宋体" w:cs="宋体"/>
          <w:sz w:val="24"/>
          <w:szCs w:val="24"/>
          <w:highlight w:val="none"/>
          <w:u w:val="none"/>
          <w:lang w:val="en-US"/>
        </w:rPr>
        <w:t>全过程造价咨询服务费最高投标限价：</w:t>
      </w:r>
      <w:r>
        <w:rPr>
          <w:rFonts w:hint="eastAsia" w:ascii="宋体" w:hAnsi="宋体" w:cs="宋体"/>
          <w:sz w:val="24"/>
          <w:szCs w:val="24"/>
          <w:highlight w:val="none"/>
          <w:u w:val="single"/>
          <w:lang w:val="en-US" w:eastAsia="zh-CN"/>
        </w:rPr>
        <w:t>65500</w:t>
      </w:r>
      <w:r>
        <w:rPr>
          <w:rFonts w:hint="eastAsia" w:ascii="宋体" w:hAnsi="宋体" w:eastAsia="宋体" w:cs="宋体"/>
          <w:sz w:val="24"/>
          <w:szCs w:val="24"/>
          <w:highlight w:val="none"/>
          <w:u w:val="none"/>
          <w:lang w:val="en-US"/>
        </w:rPr>
        <w:t>元（其中设计概算审核费最高投标限价为</w:t>
      </w:r>
      <w:r>
        <w:rPr>
          <w:rFonts w:hint="eastAsia" w:ascii="宋体" w:hAnsi="宋体" w:cs="宋体"/>
          <w:sz w:val="24"/>
          <w:szCs w:val="24"/>
          <w:highlight w:val="none"/>
          <w:u w:val="none"/>
          <w:lang w:val="en-US" w:eastAsia="zh-CN"/>
        </w:rPr>
        <w:t>18900</w:t>
      </w:r>
      <w:r>
        <w:rPr>
          <w:rFonts w:hint="eastAsia" w:ascii="宋体" w:hAnsi="宋体" w:eastAsia="宋体" w:cs="宋体"/>
          <w:sz w:val="24"/>
          <w:szCs w:val="24"/>
          <w:highlight w:val="none"/>
          <w:u w:val="none"/>
          <w:lang w:val="en-US"/>
        </w:rPr>
        <w:t>元、施工图预算审核费最高投标限价为</w:t>
      </w:r>
      <w:r>
        <w:rPr>
          <w:rFonts w:hint="eastAsia" w:ascii="宋体" w:hAnsi="宋体" w:cs="宋体"/>
          <w:sz w:val="24"/>
          <w:szCs w:val="24"/>
          <w:highlight w:val="none"/>
          <w:u w:val="none"/>
          <w:lang w:val="en-US" w:eastAsia="zh-CN"/>
        </w:rPr>
        <w:t>46</w:t>
      </w:r>
      <w:r>
        <w:rPr>
          <w:rFonts w:hint="eastAsia" w:ascii="宋体" w:hAnsi="宋体" w:eastAsia="宋体" w:cs="宋体"/>
          <w:sz w:val="24"/>
          <w:szCs w:val="24"/>
          <w:highlight w:val="none"/>
          <w:u w:val="none"/>
          <w:lang w:val="en-US"/>
        </w:rPr>
        <w:t>6</w:t>
      </w:r>
      <w:r>
        <w:rPr>
          <w:rFonts w:hint="eastAsia" w:ascii="宋体" w:hAnsi="宋体" w:cs="宋体"/>
          <w:sz w:val="24"/>
          <w:szCs w:val="24"/>
          <w:highlight w:val="none"/>
          <w:u w:val="none"/>
          <w:lang w:val="en-US" w:eastAsia="zh-CN"/>
        </w:rPr>
        <w:t>00</w:t>
      </w:r>
      <w:r>
        <w:rPr>
          <w:rFonts w:hint="eastAsia" w:ascii="宋体" w:hAnsi="宋体" w:eastAsia="宋体" w:cs="宋体"/>
          <w:sz w:val="24"/>
          <w:szCs w:val="24"/>
          <w:highlight w:val="none"/>
          <w:u w:val="none"/>
          <w:lang w:val="en-US"/>
        </w:rPr>
        <w:t>元，结算审核费已含在全过程工程咨询中，不单独计费）。</w:t>
      </w:r>
    </w:p>
    <w:p>
      <w:pPr>
        <w:tabs>
          <w:tab w:val="left" w:pos="7513"/>
        </w:tabs>
        <w:spacing w:line="360" w:lineRule="auto"/>
        <w:ind w:firstLine="600" w:firstLineChars="250"/>
        <w:rPr>
          <w:color w:val="auto"/>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 xml:space="preserve">6 </w:t>
      </w:r>
      <w:r>
        <w:rPr>
          <w:rFonts w:hint="eastAsia" w:ascii="宋体" w:hAnsi="宋体" w:cs="宋体"/>
          <w:color w:val="auto"/>
          <w:sz w:val="24"/>
          <w:highlight w:val="none"/>
        </w:rPr>
        <w:t>若本项目因国土、规划、建筑主管部门等原因，调整建设规模或终止实施，中标人只能就完成且通过招</w:t>
      </w:r>
      <w:r>
        <w:rPr>
          <w:rFonts w:ascii="宋体" w:hAnsi="宋体" w:cs="宋体"/>
          <w:color w:val="auto"/>
          <w:sz w:val="24"/>
          <w:highlight w:val="none"/>
        </w:rPr>
        <w:t>标人确认的工作量申请补偿，其他内容均不得索赔。中标人不得有异议。</w:t>
      </w:r>
    </w:p>
    <w:p>
      <w:pPr>
        <w:pStyle w:val="2"/>
        <w:keepNext w:val="0"/>
        <w:keepLines w:val="0"/>
        <w:spacing w:before="0" w:after="0" w:line="360" w:lineRule="auto"/>
        <w:rPr>
          <w:rFonts w:ascii="宋体" w:hAnsi="宋体" w:eastAsia="宋体" w:cs="宋体"/>
          <w:color w:val="auto"/>
          <w:highlight w:val="none"/>
        </w:rPr>
      </w:pPr>
      <w:bookmarkStart w:id="6" w:name="_Toc19360"/>
      <w:bookmarkStart w:id="7" w:name="_Toc515033012"/>
      <w:bookmarkStart w:id="8" w:name="_Toc511557027"/>
      <w:r>
        <w:rPr>
          <w:rFonts w:hint="eastAsia" w:ascii="宋体" w:hAnsi="宋体" w:eastAsia="宋体" w:cs="宋体"/>
          <w:color w:val="auto"/>
          <w:highlight w:val="none"/>
        </w:rPr>
        <w:t>3. 投标人资格要求</w:t>
      </w:r>
      <w:bookmarkEnd w:id="6"/>
      <w:bookmarkEnd w:id="7"/>
      <w:bookmarkEnd w:id="8"/>
    </w:p>
    <w:p>
      <w:pPr>
        <w:pStyle w:val="18"/>
        <w:spacing w:line="360" w:lineRule="auto"/>
        <w:jc w:val="both"/>
        <w:rPr>
          <w:rFonts w:eastAsia="宋体"/>
          <w:sz w:val="24"/>
          <w:szCs w:val="28"/>
          <w:highlight w:val="none"/>
        </w:rPr>
      </w:pPr>
      <w:r>
        <w:rPr>
          <w:rFonts w:hint="eastAsia" w:eastAsia="宋体"/>
          <w:sz w:val="24"/>
          <w:szCs w:val="28"/>
          <w:highlight w:val="none"/>
        </w:rPr>
        <w:t>3</w:t>
      </w:r>
      <w:r>
        <w:rPr>
          <w:rFonts w:eastAsia="宋体"/>
          <w:sz w:val="24"/>
          <w:szCs w:val="28"/>
          <w:highlight w:val="none"/>
        </w:rPr>
        <w:t>.1</w:t>
      </w:r>
      <w:r>
        <w:rPr>
          <w:rFonts w:hint="eastAsia" w:eastAsia="宋体"/>
          <w:sz w:val="24"/>
          <w:szCs w:val="28"/>
          <w:highlight w:val="none"/>
        </w:rPr>
        <w:t>投标人参加投标的意思表达清楚，投标人代表被授权有效。</w:t>
      </w:r>
    </w:p>
    <w:p>
      <w:pPr>
        <w:pStyle w:val="18"/>
        <w:spacing w:line="360" w:lineRule="auto"/>
        <w:jc w:val="both"/>
        <w:rPr>
          <w:rFonts w:eastAsia="宋体"/>
          <w:sz w:val="24"/>
          <w:szCs w:val="28"/>
          <w:highlight w:val="none"/>
        </w:rPr>
      </w:pPr>
      <w:r>
        <w:rPr>
          <w:rFonts w:eastAsia="宋体"/>
          <w:sz w:val="24"/>
          <w:szCs w:val="28"/>
          <w:highlight w:val="none"/>
        </w:rPr>
        <w:t>3.2</w:t>
      </w:r>
      <w:r>
        <w:rPr>
          <w:rFonts w:hint="eastAsia" w:eastAsia="宋体"/>
          <w:sz w:val="24"/>
          <w:szCs w:val="28"/>
          <w:highlight w:val="none"/>
        </w:rPr>
        <w:t>投标人均具有独立法人资格，持有工商行政管理部门（或市场监督管理部门）核发的法人营业执照，按国家法律经营。香港企业具有在香港公司注册证书及商业登记证。</w:t>
      </w:r>
    </w:p>
    <w:p>
      <w:pPr>
        <w:pStyle w:val="18"/>
        <w:spacing w:line="360" w:lineRule="auto"/>
        <w:jc w:val="both"/>
        <w:rPr>
          <w:rFonts w:eastAsia="宋体"/>
          <w:sz w:val="24"/>
          <w:szCs w:val="28"/>
          <w:highlight w:val="none"/>
        </w:rPr>
      </w:pPr>
      <w:r>
        <w:rPr>
          <w:rFonts w:eastAsia="宋体"/>
          <w:sz w:val="24"/>
          <w:szCs w:val="28"/>
          <w:highlight w:val="none"/>
        </w:rPr>
        <w:t>3.3</w:t>
      </w:r>
      <w:r>
        <w:rPr>
          <w:rFonts w:hint="eastAsia" w:eastAsia="宋体"/>
          <w:sz w:val="24"/>
          <w:szCs w:val="28"/>
          <w:highlight w:val="none"/>
        </w:rPr>
        <w:t>投标人须具备建设行政主管部门颁发的</w:t>
      </w:r>
      <w:r>
        <w:rPr>
          <w:rFonts w:hint="eastAsia" w:eastAsia="宋体"/>
          <w:sz w:val="24"/>
          <w:szCs w:val="28"/>
          <w:highlight w:val="none"/>
          <w:u w:val="single"/>
        </w:rPr>
        <w:t>工程监理综合资质或电力工程监理</w:t>
      </w:r>
      <w:r>
        <w:rPr>
          <w:rFonts w:hint="eastAsia" w:eastAsia="宋体"/>
          <w:sz w:val="24"/>
          <w:szCs w:val="28"/>
          <w:highlight w:val="none"/>
          <w:u w:val="single"/>
          <w:lang w:val="en-US" w:eastAsia="zh-CN"/>
        </w:rPr>
        <w:t>乙</w:t>
      </w:r>
      <w:r>
        <w:rPr>
          <w:rFonts w:hint="eastAsia" w:eastAsia="宋体"/>
          <w:sz w:val="24"/>
          <w:szCs w:val="28"/>
          <w:highlight w:val="none"/>
          <w:u w:val="single"/>
        </w:rPr>
        <w:t>级</w:t>
      </w:r>
      <w:r>
        <w:rPr>
          <w:rFonts w:hint="eastAsia" w:ascii="宋体" w:hAnsi="宋体"/>
          <w:kern w:val="0"/>
          <w:sz w:val="24"/>
          <w:szCs w:val="24"/>
          <w:highlight w:val="none"/>
          <w:u w:val="single"/>
        </w:rPr>
        <w:t>（或以上）</w:t>
      </w:r>
      <w:r>
        <w:rPr>
          <w:rFonts w:hint="eastAsia" w:eastAsia="宋体"/>
          <w:sz w:val="24"/>
          <w:szCs w:val="28"/>
          <w:highlight w:val="none"/>
        </w:rPr>
        <w:t>资质。</w:t>
      </w:r>
      <w:r>
        <w:rPr>
          <w:rFonts w:hint="eastAsia" w:ascii="宋体" w:hAnsi="宋体" w:cs="宋体"/>
          <w:color w:val="auto"/>
          <w:sz w:val="24"/>
          <w:highlight w:val="none"/>
        </w:rPr>
        <w:t>香港企业参加投标的，须在广东省住房和城乡建设主管部门备案且备案的业务范围满足本项目招标文件要求。[注：依据《广东省住房和城乡建设厅关于印发香港工程建设咨询企业和专业人士在粤港澳大湾区内地城市开业执业试点管理暂行办法的通知》（粤建规范[2020]1号）确定]。</w:t>
      </w:r>
    </w:p>
    <w:p>
      <w:pPr>
        <w:pStyle w:val="18"/>
        <w:spacing w:line="360" w:lineRule="auto"/>
        <w:jc w:val="both"/>
        <w:rPr>
          <w:rFonts w:eastAsia="宋体" w:cs="Times New Roman"/>
          <w:sz w:val="24"/>
          <w:szCs w:val="28"/>
          <w:highlight w:val="none"/>
        </w:rPr>
      </w:pPr>
      <w:r>
        <w:rPr>
          <w:rFonts w:hint="eastAsia" w:eastAsia="宋体" w:cs="Times New Roman"/>
          <w:sz w:val="24"/>
          <w:szCs w:val="28"/>
          <w:highlight w:val="none"/>
        </w:rPr>
        <w:t>工程监理企业资质证书有效期按《住房和城乡建设部办公厅关于建设工程企业资质延续有关事项的通知》（建办市函〔2020〕334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pPr>
        <w:pStyle w:val="18"/>
        <w:spacing w:line="360" w:lineRule="auto"/>
        <w:jc w:val="both"/>
        <w:rPr>
          <w:rFonts w:eastAsia="宋体" w:cs="Times New Roman"/>
          <w:sz w:val="24"/>
          <w:szCs w:val="28"/>
          <w:highlight w:val="none"/>
        </w:rPr>
      </w:pPr>
      <w:r>
        <w:rPr>
          <w:rFonts w:eastAsia="宋体" w:cs="Times New Roman"/>
          <w:sz w:val="24"/>
          <w:szCs w:val="28"/>
          <w:highlight w:val="none"/>
        </w:rPr>
        <w:t xml:space="preserve">3.4 </w:t>
      </w:r>
      <w:r>
        <w:rPr>
          <w:rFonts w:hint="eastAsia" w:eastAsia="宋体"/>
          <w:sz w:val="24"/>
          <w:szCs w:val="28"/>
          <w:highlight w:val="none"/>
        </w:rPr>
        <w:t>本次招标</w:t>
      </w:r>
      <w:r>
        <w:rPr>
          <w:rFonts w:eastAsia="宋体" w:cs="Times New Roman"/>
          <w:sz w:val="24"/>
          <w:szCs w:val="28"/>
          <w:highlight w:val="none"/>
          <w:u w:val="single"/>
        </w:rPr>
        <w:t xml:space="preserve"> </w:t>
      </w:r>
      <w:r>
        <w:rPr>
          <w:rFonts w:hint="eastAsia" w:eastAsia="宋体"/>
          <w:sz w:val="24"/>
          <w:szCs w:val="28"/>
          <w:highlight w:val="none"/>
          <w:u w:val="single"/>
        </w:rPr>
        <w:t>接受</w:t>
      </w:r>
      <w:r>
        <w:rPr>
          <w:rFonts w:eastAsia="宋体" w:cs="Times New Roman"/>
          <w:sz w:val="24"/>
          <w:szCs w:val="28"/>
          <w:highlight w:val="none"/>
          <w:u w:val="single"/>
        </w:rPr>
        <w:t xml:space="preserve"> </w:t>
      </w:r>
      <w:r>
        <w:rPr>
          <w:rFonts w:hint="eastAsia" w:eastAsia="宋体"/>
          <w:sz w:val="24"/>
          <w:szCs w:val="28"/>
          <w:highlight w:val="none"/>
        </w:rPr>
        <w:t>联合体投标，应以承担</w:t>
      </w:r>
      <w:r>
        <w:rPr>
          <w:rFonts w:hint="eastAsia" w:eastAsia="宋体"/>
          <w:sz w:val="24"/>
          <w:szCs w:val="28"/>
          <w:highlight w:val="none"/>
          <w:lang w:val="en-US" w:eastAsia="zh-CN"/>
        </w:rPr>
        <w:t>监理</w:t>
      </w:r>
      <w:r>
        <w:rPr>
          <w:rFonts w:hint="eastAsia" w:eastAsia="宋体"/>
          <w:sz w:val="24"/>
          <w:szCs w:val="28"/>
          <w:highlight w:val="none"/>
        </w:rPr>
        <w:t>工作任务的单位为主办方，并签定联合体协议书（格式按附件二内容签署盖章）。联合体共同投标协议应明确约定各方拟承担的工作和责任。</w:t>
      </w:r>
    </w:p>
    <w:p>
      <w:pPr>
        <w:pStyle w:val="18"/>
        <w:spacing w:line="360" w:lineRule="auto"/>
        <w:jc w:val="both"/>
        <w:rPr>
          <w:rFonts w:eastAsia="宋体" w:cs="Times New Roman"/>
          <w:sz w:val="24"/>
          <w:szCs w:val="28"/>
          <w:highlight w:val="none"/>
        </w:rPr>
      </w:pPr>
      <w:r>
        <w:rPr>
          <w:rFonts w:hint="eastAsia" w:eastAsia="宋体"/>
          <w:sz w:val="24"/>
          <w:szCs w:val="28"/>
          <w:highlight w:val="none"/>
        </w:rPr>
        <w:t>注：①联合体投标时，除联合体协议书必须联合体各方分别按要求进行签字或盖章外，其他资料若需要签字或盖章的均可由联合体主办方签字或盖章；投标资料封面及其他内容及落款中的“投标人”、“投标单位”、“声明企业”应填写联合体各方的单位全称【格式示例为：(主)单位全称(成)单位全称(成)单位全称】，由联合体主办方签字或盖章即可。</w:t>
      </w:r>
    </w:p>
    <w:p>
      <w:pPr>
        <w:pStyle w:val="18"/>
        <w:spacing w:line="360" w:lineRule="auto"/>
        <w:jc w:val="both"/>
        <w:rPr>
          <w:rFonts w:eastAsia="宋体"/>
          <w:sz w:val="24"/>
          <w:szCs w:val="28"/>
          <w:highlight w:val="none"/>
        </w:rPr>
      </w:pPr>
      <w:r>
        <w:rPr>
          <w:rFonts w:hint="eastAsia" w:eastAsia="宋体"/>
          <w:sz w:val="24"/>
          <w:szCs w:val="28"/>
          <w:highlight w:val="none"/>
        </w:rPr>
        <w:t>②联合体各方（包括主办方及联合体成员）不得再以自己名义单独或参加其他联合体在本项目中投标，否则各相关投标均无效。</w:t>
      </w:r>
    </w:p>
    <w:p>
      <w:pPr>
        <w:pStyle w:val="18"/>
        <w:spacing w:line="360" w:lineRule="auto"/>
        <w:jc w:val="both"/>
        <w:rPr>
          <w:rFonts w:eastAsia="宋体"/>
          <w:sz w:val="24"/>
          <w:szCs w:val="28"/>
          <w:highlight w:val="none"/>
        </w:rPr>
      </w:pPr>
      <w:r>
        <w:rPr>
          <w:rFonts w:eastAsia="宋体"/>
          <w:sz w:val="24"/>
          <w:szCs w:val="28"/>
          <w:highlight w:val="none"/>
        </w:rPr>
        <w:t>3.5</w:t>
      </w:r>
      <w:r>
        <w:rPr>
          <w:rFonts w:hint="eastAsia" w:eastAsia="宋体"/>
          <w:sz w:val="24"/>
          <w:szCs w:val="28"/>
          <w:highlight w:val="none"/>
        </w:rPr>
        <w:t>总监理工程师须具有建设部</w:t>
      </w:r>
      <w:r>
        <w:rPr>
          <w:rFonts w:eastAsia="宋体"/>
          <w:sz w:val="24"/>
          <w:szCs w:val="28"/>
          <w:highlight w:val="none"/>
        </w:rPr>
        <w:t>2006</w:t>
      </w:r>
      <w:r>
        <w:rPr>
          <w:rFonts w:hint="eastAsia" w:eastAsia="宋体"/>
          <w:sz w:val="24"/>
          <w:szCs w:val="28"/>
          <w:highlight w:val="none"/>
        </w:rPr>
        <w:t>年</w:t>
      </w:r>
      <w:r>
        <w:rPr>
          <w:rFonts w:eastAsia="宋体"/>
          <w:sz w:val="24"/>
          <w:szCs w:val="28"/>
          <w:highlight w:val="none"/>
        </w:rPr>
        <w:t>4</w:t>
      </w:r>
      <w:r>
        <w:rPr>
          <w:rFonts w:hint="eastAsia" w:eastAsia="宋体"/>
          <w:sz w:val="24"/>
          <w:szCs w:val="28"/>
          <w:highlight w:val="none"/>
        </w:rPr>
        <w:t>月</w:t>
      </w:r>
      <w:r>
        <w:rPr>
          <w:rFonts w:eastAsia="宋体"/>
          <w:sz w:val="24"/>
          <w:szCs w:val="28"/>
          <w:highlight w:val="none"/>
        </w:rPr>
        <w:t>1</w:t>
      </w:r>
      <w:r>
        <w:rPr>
          <w:rFonts w:hint="eastAsia" w:eastAsia="宋体"/>
          <w:sz w:val="24"/>
          <w:szCs w:val="28"/>
          <w:highlight w:val="none"/>
        </w:rPr>
        <w:t>日后颁发的中华人民共和国注册监理工程师注册执业证书，且其注册专业为</w:t>
      </w:r>
      <w:r>
        <w:rPr>
          <w:rFonts w:hint="eastAsia" w:eastAsia="宋体"/>
          <w:sz w:val="24"/>
          <w:szCs w:val="28"/>
          <w:highlight w:val="none"/>
          <w:u w:val="single"/>
          <w:lang w:val="en-US" w:eastAsia="zh-CN"/>
        </w:rPr>
        <w:t>电力</w:t>
      </w:r>
      <w:r>
        <w:rPr>
          <w:rFonts w:hint="eastAsia" w:eastAsia="宋体"/>
          <w:sz w:val="24"/>
          <w:szCs w:val="28"/>
          <w:highlight w:val="none"/>
          <w:u w:val="single"/>
        </w:rPr>
        <w:t>工程</w:t>
      </w:r>
      <w:r>
        <w:rPr>
          <w:rFonts w:hint="eastAsia" w:eastAsia="宋体"/>
          <w:sz w:val="24"/>
          <w:szCs w:val="28"/>
          <w:highlight w:val="none"/>
        </w:rPr>
        <w:t>，注册执业单位为本公司。拟派总监理工程师必须为企业正式员工。</w:t>
      </w:r>
      <w:r>
        <w:rPr>
          <w:rFonts w:hint="eastAsia" w:eastAsia="宋体"/>
          <w:sz w:val="24"/>
          <w:szCs w:val="28"/>
          <w:highlight w:val="none"/>
          <w:u w:val="single"/>
        </w:rPr>
        <w:t>或已在广东省住房和城乡建设主管部门备案且备案的业务范围相当于注册监理工程师的香港专业人士</w:t>
      </w:r>
      <w:r>
        <w:rPr>
          <w:rFonts w:eastAsia="宋体"/>
          <w:sz w:val="24"/>
          <w:szCs w:val="28"/>
          <w:highlight w:val="none"/>
          <w:u w:val="single"/>
        </w:rPr>
        <w:t>[</w:t>
      </w:r>
      <w:r>
        <w:rPr>
          <w:rFonts w:hint="eastAsia" w:eastAsia="宋体"/>
          <w:sz w:val="24"/>
          <w:szCs w:val="28"/>
          <w:highlight w:val="none"/>
          <w:u w:val="single"/>
        </w:rPr>
        <w:t>香港专业人士的备案业务范围依据《广东省住房和城乡建设厅关于印发香港工程建设咨询企业和专业人士在粤港澳大湾区内地城市开业执业试点管理暂行办法的通知》（粤建规范</w:t>
      </w:r>
      <w:r>
        <w:rPr>
          <w:rFonts w:eastAsia="宋体"/>
          <w:sz w:val="24"/>
          <w:szCs w:val="28"/>
          <w:highlight w:val="none"/>
          <w:u w:val="single"/>
        </w:rPr>
        <w:t>[2020]1</w:t>
      </w:r>
      <w:r>
        <w:rPr>
          <w:rFonts w:hint="eastAsia" w:eastAsia="宋体"/>
          <w:sz w:val="24"/>
          <w:szCs w:val="28"/>
          <w:highlight w:val="none"/>
          <w:u w:val="single"/>
        </w:rPr>
        <w:t>号）确定</w:t>
      </w:r>
      <w:r>
        <w:rPr>
          <w:rFonts w:eastAsia="宋体"/>
          <w:sz w:val="24"/>
          <w:szCs w:val="28"/>
          <w:highlight w:val="none"/>
          <w:u w:val="single"/>
        </w:rPr>
        <w:t>]</w:t>
      </w:r>
      <w:r>
        <w:rPr>
          <w:rFonts w:hint="eastAsia" w:eastAsia="宋体"/>
          <w:sz w:val="24"/>
          <w:szCs w:val="28"/>
          <w:highlight w:val="none"/>
          <w:u w:val="single"/>
        </w:rPr>
        <w:t>。</w:t>
      </w:r>
    </w:p>
    <w:p>
      <w:pPr>
        <w:pStyle w:val="18"/>
        <w:spacing w:line="360" w:lineRule="auto"/>
        <w:jc w:val="both"/>
        <w:rPr>
          <w:rFonts w:eastAsia="宋体"/>
          <w:sz w:val="24"/>
          <w:szCs w:val="28"/>
          <w:highlight w:val="none"/>
        </w:rPr>
      </w:pPr>
      <w:r>
        <w:rPr>
          <w:rFonts w:eastAsia="宋体"/>
          <w:sz w:val="24"/>
          <w:szCs w:val="28"/>
          <w:highlight w:val="none"/>
        </w:rPr>
        <w:t>3.6</w:t>
      </w:r>
      <w:r>
        <w:rPr>
          <w:rFonts w:hint="eastAsia" w:eastAsia="宋体"/>
          <w:sz w:val="24"/>
          <w:szCs w:val="28"/>
          <w:highlight w:val="none"/>
        </w:rPr>
        <w:t>其他要求：</w:t>
      </w:r>
    </w:p>
    <w:p>
      <w:pPr>
        <w:pStyle w:val="18"/>
        <w:spacing w:line="360" w:lineRule="auto"/>
        <w:jc w:val="both"/>
        <w:rPr>
          <w:rFonts w:eastAsia="宋体"/>
          <w:sz w:val="24"/>
          <w:szCs w:val="28"/>
          <w:highlight w:val="none"/>
        </w:rPr>
      </w:pPr>
      <w:r>
        <w:rPr>
          <w:rFonts w:hint="eastAsia" w:eastAsia="宋体"/>
          <w:sz w:val="24"/>
          <w:szCs w:val="28"/>
          <w:highlight w:val="none"/>
        </w:rPr>
        <w:t>①投标人已按规定格式签字盖章《投标人声明》（格式见本招标公告附件一）。</w:t>
      </w:r>
    </w:p>
    <w:p>
      <w:pPr>
        <w:pStyle w:val="18"/>
        <w:spacing w:line="360" w:lineRule="auto"/>
        <w:jc w:val="both"/>
        <w:rPr>
          <w:rFonts w:eastAsia="宋体"/>
          <w:sz w:val="24"/>
          <w:szCs w:val="28"/>
          <w:highlight w:val="none"/>
        </w:rPr>
      </w:pPr>
      <w:r>
        <w:rPr>
          <w:rFonts w:hint="eastAsia" w:eastAsia="宋体"/>
          <w:sz w:val="24"/>
          <w:szCs w:val="28"/>
          <w:highlight w:val="none"/>
        </w:rPr>
        <w:t>②</w:t>
      </w:r>
      <w:r>
        <w:rPr>
          <w:rFonts w:hint="eastAsia" w:ascii="宋体" w:hAnsi="宋体"/>
          <w:sz w:val="24"/>
        </w:rPr>
        <w:t>资格审查前，投标人须在广州公共资源交易中心办理企业信息登记及拟担任本工程</w:t>
      </w:r>
      <w:r>
        <w:rPr>
          <w:rFonts w:hint="eastAsia" w:eastAsia="宋体"/>
          <w:sz w:val="24"/>
          <w:szCs w:val="28"/>
          <w:highlight w:val="none"/>
        </w:rPr>
        <w:t>总监理工程师</w:t>
      </w:r>
      <w:r>
        <w:rPr>
          <w:rFonts w:hint="eastAsia" w:ascii="宋体" w:hAnsi="宋体"/>
          <w:sz w:val="24"/>
        </w:rPr>
        <w:t>须是本企业信息登记中的在册人员。</w:t>
      </w:r>
    </w:p>
    <w:p>
      <w:pPr>
        <w:topLinePunct/>
        <w:adjustRightInd w:val="0"/>
        <w:snapToGrid w:val="0"/>
        <w:spacing w:line="360" w:lineRule="auto"/>
        <w:ind w:firstLine="424" w:firstLineChars="177"/>
        <w:rPr>
          <w:rFonts w:hint="eastAsia" w:ascii="宋体" w:hAnsi="宋体" w:cs="宋体"/>
          <w:color w:val="auto"/>
          <w:sz w:val="24"/>
          <w:highlight w:val="none"/>
        </w:rPr>
      </w:pPr>
      <w:r>
        <w:rPr>
          <w:rFonts w:hint="eastAsia" w:ascii="宋体" w:hAnsi="宋体" w:cs="宋体"/>
          <w:color w:val="auto"/>
          <w:sz w:val="24"/>
          <w:highlight w:val="none"/>
        </w:rPr>
        <w:t>3.7投标人未被列入拖欠农民工工资失信联合惩戒对象名单（投标人无需提供资料，按交易系统比对的结果进行评审）。</w:t>
      </w:r>
    </w:p>
    <w:p>
      <w:pPr>
        <w:topLinePunct/>
        <w:adjustRightInd w:val="0"/>
        <w:snapToGrid w:val="0"/>
        <w:spacing w:line="360" w:lineRule="auto"/>
        <w:ind w:firstLine="424" w:firstLineChars="177"/>
        <w:rPr>
          <w:rFonts w:hint="eastAsia" w:ascii="宋体" w:hAnsi="宋体" w:cs="宋体"/>
          <w:color w:val="auto"/>
          <w:sz w:val="24"/>
          <w:highlight w:val="none"/>
        </w:rPr>
      </w:pPr>
      <w:r>
        <w:rPr>
          <w:rFonts w:hint="eastAsia" w:ascii="宋体" w:hAnsi="宋体" w:cs="宋体"/>
          <w:color w:val="auto"/>
          <w:sz w:val="24"/>
          <w:highlight w:val="none"/>
        </w:rPr>
        <w:t>注：</w:t>
      </w:r>
    </w:p>
    <w:p>
      <w:pPr>
        <w:topLinePunct/>
        <w:adjustRightInd w:val="0"/>
        <w:snapToGrid w:val="0"/>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1、未在招标公告第</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条单列的投标人资格要求条件，不作为资审不合格的依据。</w:t>
      </w:r>
    </w:p>
    <w:p>
      <w:pPr>
        <w:topLinePunct/>
        <w:adjustRightInd w:val="0"/>
        <w:snapToGrid w:val="0"/>
        <w:spacing w:line="360" w:lineRule="auto"/>
        <w:ind w:firstLine="480" w:firstLineChars="200"/>
        <w:jc w:val="both"/>
        <w:rPr>
          <w:rFonts w:hint="eastAsia"/>
          <w:highlight w:val="none"/>
        </w:rPr>
      </w:pPr>
      <w:r>
        <w:rPr>
          <w:rFonts w:hint="eastAsia" w:ascii="宋体" w:hAnsi="宋体" w:cs="宋体"/>
          <w:color w:val="auto"/>
          <w:sz w:val="24"/>
          <w:highlight w:val="none"/>
        </w:rPr>
        <w:t>2、依据《广东省住房和城乡建设厅关于印发香港工程建设咨询企业和专业人士在粤港澳大湾区内地城市开业执业试点管理暂行办法的通知》（粤建规范〔2020〕1号，详见链接：http://zfcxjst.gd.gov.cn/xxgk/wjtz/content/post_3137220.html），自2021年1月1日起，经备案且备案的业务范围满足招标文件要求的香港企业及香港专业人士参与本次投标的，应按招标文件要求提供满足评审的相关证明文件。</w:t>
      </w:r>
    </w:p>
    <w:p>
      <w:pPr>
        <w:pStyle w:val="2"/>
        <w:keepNext w:val="0"/>
        <w:keepLines w:val="0"/>
        <w:spacing w:before="0" w:after="0" w:line="360" w:lineRule="auto"/>
        <w:rPr>
          <w:rFonts w:ascii="宋体" w:hAnsi="宋体" w:eastAsia="宋体" w:cs="宋体"/>
          <w:color w:val="auto"/>
          <w:highlight w:val="none"/>
        </w:rPr>
      </w:pPr>
      <w:bookmarkStart w:id="9" w:name="_Toc515033013"/>
      <w:bookmarkStart w:id="10" w:name="_Toc5770"/>
      <w:bookmarkStart w:id="11" w:name="_Toc511557028"/>
      <w:r>
        <w:rPr>
          <w:rFonts w:hint="eastAsia" w:ascii="宋体" w:hAnsi="宋体" w:eastAsia="宋体" w:cs="宋体"/>
          <w:color w:val="auto"/>
          <w:highlight w:val="none"/>
        </w:rPr>
        <w:t>4. 招标文件的获取</w:t>
      </w:r>
      <w:bookmarkEnd w:id="9"/>
      <w:bookmarkEnd w:id="10"/>
      <w:bookmarkEnd w:id="11"/>
    </w:p>
    <w:p>
      <w:pPr>
        <w:topLinePunct/>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4.1 凡有意参加投标者，请于</w:t>
      </w:r>
      <w:r>
        <w:rPr>
          <w:rFonts w:hint="eastAsia" w:ascii="宋体" w:hAnsi="宋体" w:cs="宋体"/>
          <w:color w:val="auto"/>
          <w:sz w:val="24"/>
          <w:highlight w:val="none"/>
          <w:u w:val="single"/>
          <w:lang w:val="en-US" w:eastAsia="zh-CN"/>
        </w:rPr>
        <w:t>2024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rPr>
        <w:t>分至</w:t>
      </w:r>
      <w:r>
        <w:rPr>
          <w:rFonts w:hint="eastAsia" w:ascii="宋体" w:hAnsi="宋体" w:cs="宋体"/>
          <w:color w:val="auto"/>
          <w:sz w:val="24"/>
          <w:highlight w:val="none"/>
          <w:u w:val="single"/>
          <w:lang w:val="en-US" w:eastAsia="zh-CN"/>
        </w:rPr>
        <w:t>2024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10</w:t>
      </w:r>
      <w:r>
        <w:rPr>
          <w:rFonts w:hint="eastAsia" w:ascii="宋体" w:hAnsi="宋体" w:cs="宋体"/>
          <w:color w:val="auto"/>
          <w:sz w:val="24"/>
          <w:highlight w:val="none"/>
        </w:rPr>
        <w:t xml:space="preserve"> 时</w:t>
      </w:r>
      <w:r>
        <w:rPr>
          <w:rFonts w:hint="eastAsia" w:ascii="宋体" w:hAnsi="宋体" w:cs="宋体"/>
          <w:color w:val="auto"/>
          <w:sz w:val="24"/>
          <w:highlight w:val="none"/>
          <w:u w:val="single"/>
        </w:rPr>
        <w:t>00</w:t>
      </w:r>
      <w:r>
        <w:rPr>
          <w:rFonts w:hint="eastAsia" w:ascii="宋体" w:hAnsi="宋体" w:cs="宋体"/>
          <w:color w:val="auto"/>
          <w:sz w:val="24"/>
          <w:highlight w:val="none"/>
        </w:rPr>
        <w:t>分(北京时间，下同)，登录</w:t>
      </w:r>
      <w:r>
        <w:rPr>
          <w:rFonts w:hint="eastAsia" w:ascii="宋体" w:cs="宋体"/>
          <w:color w:val="auto"/>
          <w:sz w:val="24"/>
          <w:szCs w:val="24"/>
          <w:highlight w:val="none"/>
          <w:u w:val="single"/>
        </w:rPr>
        <w:t>广州交易集团有限公司（广州公共资源交易中心）</w:t>
      </w:r>
      <w:r>
        <w:rPr>
          <w:rFonts w:hint="eastAsia" w:ascii="宋体" w:cs="宋体"/>
          <w:color w:val="auto"/>
          <w:sz w:val="24"/>
          <w:szCs w:val="24"/>
          <w:highlight w:val="none"/>
        </w:rPr>
        <w:t>网站（http://www.gzggzy.cn）</w:t>
      </w:r>
      <w:r>
        <w:rPr>
          <w:rFonts w:hint="eastAsia" w:ascii="宋体" w:hAnsi="宋体"/>
          <w:color w:val="auto"/>
          <w:sz w:val="24"/>
          <w:szCs w:val="24"/>
          <w:highlight w:val="none"/>
        </w:rPr>
        <w:t>下载电子招标文件</w:t>
      </w:r>
      <w:r>
        <w:rPr>
          <w:rFonts w:hint="eastAsia" w:ascii="宋体" w:hAnsi="宋体" w:cs="宋体"/>
          <w:color w:val="auto"/>
          <w:sz w:val="24"/>
          <w:highlight w:val="none"/>
        </w:rPr>
        <w:t>。</w:t>
      </w:r>
    </w:p>
    <w:p>
      <w:pPr>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4.2本项目采用资格后审方式。</w:t>
      </w:r>
    </w:p>
    <w:p>
      <w:pPr>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pPr>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（1）电子招投标操作流程详见</w:t>
      </w:r>
      <w:r>
        <w:rPr>
          <w:rFonts w:hint="eastAsia" w:ascii="宋体" w:cs="宋体"/>
          <w:color w:val="auto"/>
          <w:sz w:val="24"/>
          <w:szCs w:val="24"/>
          <w:highlight w:val="none"/>
          <w:u w:val="single"/>
        </w:rPr>
        <w:t>广州交易集团有限公司（广州公共资源交易中心）</w:t>
      </w:r>
      <w:r>
        <w:rPr>
          <w:rFonts w:hint="eastAsia" w:ascii="宋体" w:hAnsi="宋体" w:cs="宋体"/>
          <w:color w:val="auto"/>
          <w:sz w:val="24"/>
          <w:highlight w:val="none"/>
        </w:rPr>
        <w:t>网站发布的最新版操作指引。</w:t>
      </w:r>
    </w:p>
    <w:p>
      <w:pPr>
        <w:spacing w:line="360" w:lineRule="auto"/>
        <w:ind w:left="210" w:leftChars="100" w:firstLine="240" w:firstLineChars="100"/>
        <w:rPr>
          <w:rFonts w:ascii="宋体" w:hAnsi="宋体" w:cs="宋体"/>
          <w:color w:val="auto"/>
          <w:sz w:val="24"/>
          <w:highlight w:val="none"/>
        </w:rPr>
      </w:pPr>
      <w:r>
        <w:rPr>
          <w:rFonts w:hint="eastAsia" w:ascii="宋体" w:hAnsi="宋体" w:cs="宋体"/>
          <w:color w:val="auto"/>
          <w:sz w:val="24"/>
          <w:highlight w:val="none"/>
        </w:rPr>
        <w:t>（2）从招标公告发布之日起开始计算备标时间。</w:t>
      </w:r>
    </w:p>
    <w:p>
      <w:pPr>
        <w:pStyle w:val="2"/>
        <w:keepNext w:val="0"/>
        <w:keepLines w:val="0"/>
        <w:spacing w:before="0" w:after="0" w:line="360" w:lineRule="auto"/>
        <w:rPr>
          <w:rFonts w:ascii="宋体" w:hAnsi="宋体" w:eastAsia="宋体" w:cs="宋体"/>
          <w:color w:val="auto"/>
          <w:highlight w:val="none"/>
        </w:rPr>
      </w:pPr>
      <w:bookmarkStart w:id="12" w:name="_Toc26420"/>
      <w:bookmarkStart w:id="13" w:name="_Toc4149"/>
      <w:bookmarkStart w:id="14" w:name="_Toc2258"/>
      <w:bookmarkStart w:id="15" w:name="_Toc11995"/>
      <w:bookmarkStart w:id="16" w:name="_Toc11887"/>
      <w:bookmarkStart w:id="17" w:name="_Toc288"/>
      <w:bookmarkStart w:id="18" w:name="_Toc23283"/>
      <w:bookmarkStart w:id="19" w:name="_Toc18027"/>
      <w:bookmarkStart w:id="20" w:name="_Toc19232"/>
      <w:bookmarkStart w:id="21" w:name="_Toc14812"/>
      <w:bookmarkStart w:id="22" w:name="_Toc511557031"/>
      <w:bookmarkStart w:id="23" w:name="_Toc515033016"/>
      <w:r>
        <w:rPr>
          <w:rFonts w:hint="eastAsia" w:ascii="宋体" w:hAnsi="宋体" w:eastAsia="宋体" w:cs="宋体"/>
          <w:color w:val="auto"/>
          <w:highlight w:val="none"/>
        </w:rPr>
        <w:t xml:space="preserve">5. </w:t>
      </w:r>
      <w:bookmarkEnd w:id="12"/>
      <w:bookmarkEnd w:id="13"/>
      <w:bookmarkEnd w:id="14"/>
      <w:bookmarkEnd w:id="15"/>
      <w:bookmarkEnd w:id="16"/>
      <w:bookmarkEnd w:id="17"/>
      <w:bookmarkEnd w:id="18"/>
      <w:bookmarkEnd w:id="19"/>
      <w:bookmarkEnd w:id="20"/>
      <w:r>
        <w:rPr>
          <w:rFonts w:hint="eastAsia" w:ascii="宋体" w:hAnsi="宋体" w:eastAsia="宋体" w:cs="宋体"/>
          <w:color w:val="auto"/>
          <w:highlight w:val="none"/>
        </w:rPr>
        <w:t>发布招标</w:t>
      </w:r>
      <w:r>
        <w:rPr>
          <w:rFonts w:ascii="宋体" w:hAnsi="宋体" w:eastAsia="宋体" w:cs="宋体"/>
          <w:color w:val="auto"/>
          <w:highlight w:val="none"/>
        </w:rPr>
        <w:t>公告、递交投标文件</w:t>
      </w:r>
      <w:r>
        <w:rPr>
          <w:rFonts w:hint="eastAsia" w:ascii="宋体" w:hAnsi="宋体" w:eastAsia="宋体" w:cs="宋体"/>
          <w:color w:val="auto"/>
          <w:highlight w:val="none"/>
        </w:rPr>
        <w:t>时间</w:t>
      </w:r>
      <w:r>
        <w:rPr>
          <w:rFonts w:ascii="宋体" w:hAnsi="宋体" w:eastAsia="宋体" w:cs="宋体"/>
          <w:color w:val="auto"/>
          <w:highlight w:val="none"/>
        </w:rPr>
        <w:t>、</w:t>
      </w:r>
      <w:r>
        <w:rPr>
          <w:rFonts w:hint="eastAsia" w:ascii="宋体" w:hAnsi="宋体" w:eastAsia="宋体" w:cs="宋体"/>
          <w:color w:val="auto"/>
          <w:highlight w:val="none"/>
        </w:rPr>
        <w:t>开标</w:t>
      </w:r>
      <w:r>
        <w:rPr>
          <w:rFonts w:ascii="宋体" w:hAnsi="宋体" w:eastAsia="宋体" w:cs="宋体"/>
          <w:color w:val="auto"/>
          <w:highlight w:val="none"/>
        </w:rPr>
        <w:t>时间</w:t>
      </w:r>
    </w:p>
    <w:p>
      <w:pPr>
        <w:adjustRightInd w:val="0"/>
        <w:snapToGrid w:val="0"/>
        <w:spacing w:line="360" w:lineRule="auto"/>
        <w:ind w:left="1140" w:leftChars="200" w:hanging="720" w:hangingChars="300"/>
        <w:rPr>
          <w:rFonts w:hint="default"/>
          <w:highlight w:val="none"/>
          <w:lang w:val="en-US" w:eastAsia="zh-CN"/>
        </w:rPr>
      </w:pPr>
      <w:r>
        <w:rPr>
          <w:rFonts w:hint="eastAsia" w:ascii="宋体" w:hAnsi="宋体" w:cs="宋体"/>
          <w:color w:val="auto"/>
          <w:sz w:val="24"/>
          <w:highlight w:val="none"/>
        </w:rPr>
        <w:t>5.1 发布招标公告时间（含本日）：</w:t>
      </w:r>
      <w:r>
        <w:rPr>
          <w:rFonts w:hint="eastAsia" w:ascii="宋体" w:hAnsi="宋体" w:cs="宋体"/>
          <w:color w:val="auto"/>
          <w:sz w:val="24"/>
          <w:highlight w:val="none"/>
          <w:u w:val="single"/>
          <w:lang w:val="en-US" w:eastAsia="zh-CN"/>
        </w:rPr>
        <w:t>2024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00</w:t>
      </w:r>
      <w:r>
        <w:rPr>
          <w:rFonts w:hint="eastAsia" w:ascii="宋体" w:hAnsi="宋体" w:cs="宋体"/>
          <w:color w:val="auto"/>
          <w:sz w:val="24"/>
          <w:highlight w:val="none"/>
        </w:rPr>
        <w:t>时</w:t>
      </w:r>
      <w:r>
        <w:rPr>
          <w:rFonts w:hint="eastAsia" w:ascii="宋体" w:hAnsi="宋体" w:cs="宋体"/>
          <w:color w:val="auto"/>
          <w:sz w:val="24"/>
          <w:highlight w:val="none"/>
          <w:u w:val="single"/>
        </w:rPr>
        <w:t>00</w:t>
      </w:r>
      <w:r>
        <w:rPr>
          <w:rFonts w:hint="eastAsia" w:ascii="宋体" w:hAnsi="宋体" w:cs="宋体"/>
          <w:color w:val="auto"/>
          <w:sz w:val="24"/>
          <w:highlight w:val="none"/>
        </w:rPr>
        <w:t>分至</w:t>
      </w:r>
      <w:r>
        <w:rPr>
          <w:rFonts w:hint="eastAsia" w:ascii="宋体" w:hAnsi="宋体" w:cs="宋体"/>
          <w:color w:val="auto"/>
          <w:sz w:val="24"/>
          <w:highlight w:val="none"/>
          <w:u w:val="single"/>
          <w:lang w:val="en-US" w:eastAsia="zh-CN"/>
        </w:rPr>
        <w:t>2024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p>
    <w:p>
      <w:pPr>
        <w:adjustRightInd w:val="0"/>
        <w:snapToGrid w:val="0"/>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日</w:t>
      </w:r>
      <w:r>
        <w:rPr>
          <w:rFonts w:hint="eastAsia" w:ascii="宋体" w:hAnsi="宋体" w:cs="宋体"/>
          <w:color w:val="auto"/>
          <w:sz w:val="24"/>
          <w:highlight w:val="none"/>
          <w:u w:val="single"/>
        </w:rPr>
        <w:t>10</w:t>
      </w:r>
      <w:r>
        <w:rPr>
          <w:rFonts w:hint="eastAsia" w:ascii="宋体" w:hAnsi="宋体" w:cs="宋体"/>
          <w:color w:val="auto"/>
          <w:sz w:val="24"/>
          <w:highlight w:val="none"/>
        </w:rPr>
        <w:t>时</w:t>
      </w:r>
      <w:r>
        <w:rPr>
          <w:rFonts w:hint="eastAsia" w:ascii="宋体" w:hAnsi="宋体" w:cs="宋体"/>
          <w:color w:val="auto"/>
          <w:sz w:val="24"/>
          <w:highlight w:val="none"/>
          <w:u w:val="single"/>
        </w:rPr>
        <w:t>00</w:t>
      </w:r>
      <w:r>
        <w:rPr>
          <w:rFonts w:hint="eastAsia" w:ascii="宋体" w:hAnsi="宋体" w:cs="宋体"/>
          <w:color w:val="auto"/>
          <w:sz w:val="24"/>
          <w:highlight w:val="none"/>
        </w:rPr>
        <w:t>分。</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注：发布招标公告的时间为招标公告发出之日起至递交投标文件截止时间止。</w:t>
      </w:r>
    </w:p>
    <w:p>
      <w:pPr>
        <w:adjustRightInd w:val="0"/>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5.2 递交投标文件时间：</w:t>
      </w:r>
      <w:r>
        <w:rPr>
          <w:rFonts w:hint="eastAsia" w:ascii="宋体" w:hAnsi="宋体" w:cs="宋体"/>
          <w:color w:val="auto"/>
          <w:sz w:val="24"/>
          <w:highlight w:val="none"/>
          <w:u w:val="single"/>
          <w:lang w:val="en-US" w:eastAsia="zh-CN"/>
        </w:rPr>
        <w:t>2024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00</w:t>
      </w:r>
      <w:r>
        <w:rPr>
          <w:rFonts w:hint="eastAsia" w:ascii="宋体" w:hAnsi="宋体" w:cs="宋体"/>
          <w:color w:val="auto"/>
          <w:sz w:val="24"/>
          <w:highlight w:val="none"/>
        </w:rPr>
        <w:t>时</w:t>
      </w:r>
      <w:r>
        <w:rPr>
          <w:rFonts w:hint="eastAsia" w:ascii="宋体" w:hAnsi="宋体" w:cs="宋体"/>
          <w:color w:val="auto"/>
          <w:sz w:val="24"/>
          <w:highlight w:val="none"/>
          <w:u w:val="single"/>
        </w:rPr>
        <w:t>00</w:t>
      </w:r>
      <w:r>
        <w:rPr>
          <w:rFonts w:hint="eastAsia" w:ascii="宋体" w:hAnsi="宋体" w:cs="宋体"/>
          <w:color w:val="auto"/>
          <w:sz w:val="24"/>
          <w:highlight w:val="none"/>
        </w:rPr>
        <w:t>分至</w:t>
      </w:r>
      <w:r>
        <w:rPr>
          <w:rFonts w:hint="eastAsia" w:ascii="宋体" w:hAnsi="宋体" w:cs="宋体"/>
          <w:color w:val="auto"/>
          <w:sz w:val="24"/>
          <w:highlight w:val="none"/>
          <w:u w:val="single"/>
          <w:lang w:val="en-US" w:eastAsia="zh-CN"/>
        </w:rPr>
        <w:t>2024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10</w:t>
      </w:r>
      <w:r>
        <w:rPr>
          <w:rFonts w:hint="eastAsia" w:ascii="宋体" w:hAnsi="宋体" w:cs="宋体"/>
          <w:color w:val="auto"/>
          <w:sz w:val="24"/>
          <w:highlight w:val="none"/>
        </w:rPr>
        <w:t>时</w:t>
      </w:r>
      <w:r>
        <w:rPr>
          <w:rFonts w:hint="eastAsia" w:ascii="宋体" w:hAnsi="宋体" w:cs="宋体"/>
          <w:color w:val="auto"/>
          <w:sz w:val="24"/>
          <w:highlight w:val="none"/>
          <w:u w:val="single"/>
        </w:rPr>
        <w:t>00</w:t>
      </w:r>
      <w:r>
        <w:rPr>
          <w:rFonts w:hint="eastAsia" w:ascii="宋体" w:hAnsi="宋体" w:cs="宋体"/>
          <w:color w:val="auto"/>
          <w:sz w:val="24"/>
          <w:highlight w:val="none"/>
        </w:rPr>
        <w:t>分。投标人通过</w:t>
      </w:r>
      <w:r>
        <w:rPr>
          <w:rFonts w:hint="eastAsia" w:ascii="宋体" w:cs="宋体"/>
          <w:color w:val="auto"/>
          <w:sz w:val="24"/>
          <w:szCs w:val="24"/>
          <w:highlight w:val="none"/>
          <w:u w:val="single"/>
        </w:rPr>
        <w:t>广州交易集团有限公司（广州公共资源交易中心）</w:t>
      </w:r>
      <w:r>
        <w:rPr>
          <w:rFonts w:hint="eastAsia" w:ascii="宋体" w:hAnsi="宋体" w:cs="宋体"/>
          <w:color w:val="auto"/>
          <w:sz w:val="24"/>
          <w:highlight w:val="none"/>
        </w:rPr>
        <w:t>交易平台递交电子投标文件。投标人应在递交投标文件截止时间前，登录</w:t>
      </w:r>
      <w:r>
        <w:rPr>
          <w:rFonts w:hint="eastAsia" w:ascii="宋体" w:cs="宋体"/>
          <w:color w:val="auto"/>
          <w:sz w:val="24"/>
          <w:szCs w:val="24"/>
          <w:highlight w:val="none"/>
          <w:u w:val="single"/>
        </w:rPr>
        <w:t>广州交易集团有限公司（广州公共资源交易中心）</w:t>
      </w:r>
      <w:r>
        <w:rPr>
          <w:rFonts w:hint="eastAsia" w:ascii="宋体" w:hAnsi="宋体" w:cs="宋体"/>
          <w:color w:val="auto"/>
          <w:sz w:val="24"/>
          <w:highlight w:val="none"/>
        </w:rPr>
        <w:t>交易平台网站办理网上投标登记手续。按照交易平台关于全流程电子化项目的相关指南进行操作。详见：</w:t>
      </w:r>
      <w:r>
        <w:rPr>
          <w:rFonts w:hint="eastAsia" w:ascii="宋体" w:cs="宋体"/>
          <w:color w:val="auto"/>
          <w:sz w:val="24"/>
          <w:szCs w:val="24"/>
          <w:highlight w:val="none"/>
          <w:u w:val="single"/>
        </w:rPr>
        <w:t>广州交易集团有限公司（广州公共资源交易中心）</w:t>
      </w:r>
      <w:r>
        <w:rPr>
          <w:rFonts w:hint="eastAsia" w:ascii="宋体" w:hAnsi="宋体" w:cs="宋体"/>
          <w:color w:val="auto"/>
          <w:sz w:val="24"/>
          <w:highlight w:val="none"/>
          <w:u w:val="single"/>
        </w:rPr>
        <w:t>网站首页-服务指南。</w:t>
      </w:r>
    </w:p>
    <w:p>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登记时，投标人应按要求在交易系统中填写《监理项目管理团队人员信息表》（详见招标文件第六章投标文件格式），表中的项目管理团队人员信息作为投标文件的一部分，将由交易系统提取后供各相关单位在中标人履约时进行比对、查核。</w:t>
      </w:r>
    </w:p>
    <w:p>
      <w:pPr>
        <w:tabs>
          <w:tab w:val="left" w:pos="360"/>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5.3递交备用投标文件电子光盘时间为：</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分；地点：广州公共资源交易中心黄埔交易部第</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开标室。（电子光盘需按规定封装。投标人在将数据刻录到光盘之后，投标前自行检查文件是否可以读取）。</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5.4 逾期送达的投标文件，电子招标投标交易平台将予以拒收。逾期未上传成功的电子投标文件，招标人拒绝接收。逾期或未在指定地点递交投标文件光盘的,招标人拒绝接收其投标文件光盘。</w:t>
      </w:r>
    </w:p>
    <w:p>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5.5 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分。地点：广州公共资源交易中心黄埔交易部第</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开标室。</w:t>
      </w:r>
    </w:p>
    <w:p>
      <w:pPr>
        <w:spacing w:line="360" w:lineRule="auto"/>
        <w:ind w:firstLine="480" w:firstLineChars="200"/>
        <w:jc w:val="left"/>
        <w:rPr>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本项目各项投标活动具体可通过</w:t>
      </w:r>
      <w:r>
        <w:rPr>
          <w:rFonts w:hint="eastAsia" w:ascii="宋体" w:cs="宋体"/>
          <w:color w:val="auto"/>
          <w:sz w:val="24"/>
          <w:szCs w:val="24"/>
          <w:highlight w:val="none"/>
          <w:u w:val="single"/>
        </w:rPr>
        <w:t>广州交易集团有限公司（广州公共资源交易中心）</w:t>
      </w:r>
      <w:r>
        <w:rPr>
          <w:rFonts w:hint="eastAsia" w:ascii="宋体" w:hAnsi="宋体" w:cs="宋体"/>
          <w:color w:val="auto"/>
          <w:sz w:val="24"/>
          <w:highlight w:val="none"/>
        </w:rPr>
        <w:t>网站查询具体的时间和场地安排。</w:t>
      </w:r>
    </w:p>
    <w:p>
      <w:pPr>
        <w:pStyle w:val="2"/>
        <w:keepNext w:val="0"/>
        <w:keepLines w:val="0"/>
        <w:spacing w:before="0" w:after="0" w:line="360" w:lineRule="auto"/>
        <w:rPr>
          <w:rFonts w:ascii="宋体" w:hAnsi="宋体" w:eastAsia="宋体" w:cs="宋体"/>
          <w:color w:val="auto"/>
          <w:highlight w:val="none"/>
        </w:rPr>
      </w:pPr>
      <w:bookmarkStart w:id="24" w:name="_Toc11768"/>
      <w:bookmarkStart w:id="25" w:name="_Toc20810"/>
      <w:bookmarkStart w:id="26" w:name="_Toc18413"/>
      <w:bookmarkStart w:id="27" w:name="_Toc2775"/>
      <w:bookmarkStart w:id="28" w:name="_Toc1826"/>
      <w:bookmarkStart w:id="29" w:name="_Toc3130"/>
      <w:bookmarkStart w:id="30" w:name="_Toc31102"/>
      <w:bookmarkStart w:id="31" w:name="_Toc15608"/>
      <w:bookmarkStart w:id="32" w:name="_Toc8256"/>
      <w:r>
        <w:rPr>
          <w:rFonts w:hint="eastAsia" w:ascii="宋体" w:hAnsi="宋体" w:eastAsia="宋体" w:cs="宋体"/>
          <w:color w:val="auto"/>
          <w:highlight w:val="none"/>
        </w:rPr>
        <w:t>6. 发布公告的媒介</w:t>
      </w:r>
      <w:bookmarkEnd w:id="24"/>
      <w:bookmarkEnd w:id="25"/>
      <w:bookmarkEnd w:id="26"/>
      <w:bookmarkEnd w:id="27"/>
      <w:bookmarkEnd w:id="28"/>
      <w:bookmarkEnd w:id="29"/>
      <w:bookmarkEnd w:id="30"/>
      <w:bookmarkEnd w:id="31"/>
      <w:bookmarkEnd w:id="32"/>
    </w:p>
    <w:p>
      <w:pPr>
        <w:adjustRightInd w:val="0"/>
        <w:snapToGrid w:val="0"/>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cs="宋体"/>
          <w:color w:val="auto"/>
          <w:sz w:val="24"/>
          <w:highlight w:val="none"/>
          <w:lang w:val="en-US" w:eastAsia="zh-CN"/>
        </w:rPr>
        <w:t>6.1</w:t>
      </w:r>
      <w:r>
        <w:rPr>
          <w:rFonts w:hint="eastAsia" w:ascii="宋体" w:hAnsi="宋体" w:cs="宋体"/>
          <w:color w:val="auto"/>
          <w:sz w:val="24"/>
          <w:highlight w:val="none"/>
        </w:rPr>
        <w:t>本次招标公告同时在</w:t>
      </w:r>
      <w:r>
        <w:rPr>
          <w:rFonts w:hint="eastAsia" w:ascii="宋体" w:hAnsi="宋体" w:cs="宋体"/>
          <w:color w:val="auto"/>
          <w:sz w:val="24"/>
          <w:highlight w:val="none"/>
          <w:u w:val="single"/>
        </w:rPr>
        <w:t>广州交易集团有限公司（广州公共资源交易中心）网（网址：http://www.gzggzy.cn）、广东省招标投标监管网（网址：http://zbtb.gd.gov.cn/）和中国招标投标公共服务平台（网址：http://www.cebpubservice.com/）</w:t>
      </w:r>
      <w:r>
        <w:rPr>
          <w:rFonts w:hint="eastAsia" w:ascii="宋体" w:hAnsi="宋体" w:cs="宋体"/>
          <w:color w:val="auto"/>
          <w:sz w:val="24"/>
          <w:highlight w:val="none"/>
          <w:u w:val="single"/>
          <w:lang w:eastAsia="zh-CN"/>
        </w:rPr>
        <w:t>、</w:t>
      </w:r>
      <w:r>
        <w:rPr>
          <w:rFonts w:hint="eastAsia" w:ascii="宋体" w:hAnsi="宋体" w:eastAsia="宋体" w:cs="宋体"/>
          <w:color w:val="000000"/>
          <w:sz w:val="24"/>
          <w:szCs w:val="24"/>
          <w:highlight w:val="none"/>
          <w:u w:val="single"/>
        </w:rPr>
        <w:t>广州国企阳光采购信息发布平台（网址：https://ygcg.gzggzy.cn/p92/index.html）</w:t>
      </w:r>
      <w:r>
        <w:rPr>
          <w:rFonts w:hint="eastAsia" w:ascii="宋体" w:hAnsi="宋体" w:cs="宋体"/>
          <w:color w:val="auto"/>
          <w:sz w:val="24"/>
          <w:highlight w:val="none"/>
          <w:u w:val="single"/>
        </w:rPr>
        <w:t>发布，</w:t>
      </w:r>
      <w:r>
        <w:rPr>
          <w:rFonts w:hint="eastAsia" w:ascii="宋体" w:hAnsi="宋体" w:eastAsia="宋体" w:cs="宋体"/>
          <w:color w:val="000000"/>
          <w:sz w:val="24"/>
          <w:szCs w:val="24"/>
          <w:highlight w:val="none"/>
          <w:u w:val="single"/>
        </w:rPr>
        <w:t>本公告的修改、补充，在以上平台均同步发布。本公告在各媒体发布的文本如有不同之处，以在广州交易集团有限公司（广州公共资源交易中心）发布的文本为准</w:t>
      </w:r>
      <w:r>
        <w:rPr>
          <w:rFonts w:hint="eastAsia" w:ascii="宋体" w:hAnsi="宋体" w:cs="宋体"/>
          <w:color w:val="auto"/>
          <w:sz w:val="24"/>
          <w:highlight w:val="none"/>
          <w:u w:val="single"/>
        </w:rPr>
        <w:t>。</w:t>
      </w:r>
    </w:p>
    <w:p>
      <w:pPr>
        <w:adjustRightInd w:val="0"/>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6.2潜在投标人或利害关系人对本招标公告及招标文件有异议的，应当在投标截止时间10日前向招标人提出。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pacing w:line="360" w:lineRule="auto"/>
        <w:ind w:right="482"/>
        <w:rPr>
          <w:rFonts w:hint="eastAsia" w:ascii="宋体" w:hAnsi="宋体" w:eastAsia="宋体" w:cs="宋体"/>
          <w:b/>
          <w:color w:val="auto"/>
          <w:kern w:val="0"/>
          <w:sz w:val="32"/>
          <w:highlight w:val="none"/>
        </w:rPr>
      </w:pPr>
      <w:r>
        <w:rPr>
          <w:rFonts w:hint="eastAsia" w:ascii="宋体" w:hAnsi="宋体" w:cs="宋体"/>
          <w:b/>
          <w:color w:val="auto"/>
          <w:kern w:val="0"/>
          <w:sz w:val="32"/>
          <w:highlight w:val="none"/>
          <w:lang w:val="en-US" w:eastAsia="zh-CN"/>
        </w:rPr>
        <w:t>7.</w:t>
      </w:r>
      <w:r>
        <w:rPr>
          <w:rFonts w:hint="eastAsia" w:ascii="宋体" w:hAnsi="宋体" w:cs="宋体"/>
          <w:b/>
          <w:color w:val="auto"/>
          <w:kern w:val="0"/>
          <w:sz w:val="32"/>
          <w:highlight w:val="none"/>
        </w:rPr>
        <w:t>异议受理</w:t>
      </w:r>
    </w:p>
    <w:p>
      <w:pPr>
        <w:shd w:val="clear" w:color="auto" w:fill="FFFFFF"/>
        <w:spacing w:line="360" w:lineRule="auto"/>
        <w:ind w:firstLine="0" w:firstLineChars="0"/>
        <w:rPr>
          <w:rFonts w:hint="eastAsia" w:ascii="宋体" w:hAnsi="宋体"/>
          <w:sz w:val="24"/>
          <w:highlight w:val="none"/>
        </w:rPr>
      </w:pPr>
      <w:r>
        <w:rPr>
          <w:rFonts w:hint="eastAsia" w:ascii="宋体" w:hAnsi="宋体"/>
          <w:sz w:val="24"/>
          <w:highlight w:val="none"/>
        </w:rPr>
        <w:t>潜在投标人或利害关系人对本招标公告及招标内容异议的，可向招标人书面提出。</w:t>
      </w:r>
    </w:p>
    <w:p>
      <w:pPr>
        <w:spacing w:line="360" w:lineRule="auto"/>
        <w:ind w:right="482" w:firstLine="0" w:firstLineChars="0"/>
        <w:rPr>
          <w:rFonts w:hint="eastAsia" w:ascii="宋体" w:hAnsi="宋体" w:eastAsia="宋体" w:cs="宋体"/>
          <w:color w:val="auto"/>
          <w:sz w:val="24"/>
          <w:highlight w:val="none"/>
          <w:lang w:eastAsia="zh-CN"/>
        </w:rPr>
      </w:pPr>
      <w:r>
        <w:rPr>
          <w:rFonts w:hint="eastAsia" w:ascii="宋体" w:hAnsi="宋体" w:cs="宋体"/>
          <w:color w:val="auto"/>
          <w:sz w:val="24"/>
          <w:highlight w:val="none"/>
        </w:rPr>
        <w:t>异议受理部门：</w:t>
      </w:r>
      <w:r>
        <w:rPr>
          <w:rFonts w:hint="eastAsia" w:ascii="宋体" w:hAnsi="宋体" w:cs="宋体"/>
          <w:bCs/>
          <w:color w:val="auto"/>
          <w:sz w:val="24"/>
          <w:highlight w:val="none"/>
          <w:lang w:eastAsia="zh-CN"/>
        </w:rPr>
        <w:t>广州科鑫运营管理有限公司</w:t>
      </w:r>
    </w:p>
    <w:p>
      <w:pPr>
        <w:spacing w:line="360" w:lineRule="auto"/>
        <w:ind w:right="482" w:firstLine="0" w:firstLineChars="0"/>
        <w:rPr>
          <w:rFonts w:hint="eastAsia" w:ascii="宋体" w:hAnsi="宋体" w:eastAsia="宋体" w:cs="宋体"/>
          <w:color w:val="auto"/>
          <w:sz w:val="24"/>
          <w:highlight w:val="none"/>
          <w:lang w:eastAsia="zh-CN"/>
        </w:rPr>
      </w:pPr>
      <w:r>
        <w:rPr>
          <w:rFonts w:hint="eastAsia" w:ascii="宋体" w:hAnsi="宋体" w:cs="宋体"/>
          <w:color w:val="auto"/>
          <w:sz w:val="24"/>
          <w:highlight w:val="none"/>
        </w:rPr>
        <w:t>异议受理电话：020-82111450</w:t>
      </w:r>
    </w:p>
    <w:p>
      <w:pPr>
        <w:spacing w:line="360" w:lineRule="auto"/>
        <w:ind w:right="482" w:firstLine="0" w:firstLineChars="0"/>
        <w:rPr>
          <w:rFonts w:ascii="宋体" w:hAnsi="宋体" w:cs="宋体"/>
          <w:color w:val="auto"/>
          <w:sz w:val="24"/>
          <w:highlight w:val="none"/>
          <w:u w:val="single"/>
        </w:rPr>
      </w:pPr>
      <w:r>
        <w:rPr>
          <w:rFonts w:hint="eastAsia" w:ascii="宋体" w:hAnsi="宋体" w:cs="宋体"/>
          <w:color w:val="auto"/>
          <w:sz w:val="24"/>
          <w:highlight w:val="none"/>
        </w:rPr>
        <w:t>联系</w:t>
      </w:r>
      <w:r>
        <w:rPr>
          <w:rFonts w:hint="eastAsia" w:ascii="宋体" w:hAnsi="宋体" w:cs="宋体"/>
          <w:color w:val="auto"/>
          <w:sz w:val="24"/>
          <w:highlight w:val="none"/>
          <w:lang w:val="en-US" w:eastAsia="zh-CN"/>
        </w:rPr>
        <w:t>地址</w:t>
      </w:r>
      <w:r>
        <w:rPr>
          <w:rFonts w:hint="eastAsia" w:ascii="宋体" w:hAnsi="宋体" w:cs="宋体"/>
          <w:color w:val="auto"/>
          <w:sz w:val="24"/>
          <w:highlight w:val="none"/>
        </w:rPr>
        <w:t>：广州市黄埔区伴河路190号自编B栋311房</w:t>
      </w:r>
    </w:p>
    <w:p>
      <w:pPr>
        <w:pStyle w:val="2"/>
        <w:keepNext w:val="0"/>
        <w:keepLines w:val="0"/>
        <w:spacing w:before="0" w:after="0" w:line="360" w:lineRule="auto"/>
        <w:rPr>
          <w:rFonts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 联系方式</w:t>
      </w:r>
      <w:bookmarkEnd w:id="21"/>
      <w:bookmarkEnd w:id="22"/>
      <w:bookmarkEnd w:id="23"/>
      <w:bookmarkStart w:id="33" w:name="_Toc369531497"/>
      <w:bookmarkEnd w:id="33"/>
      <w:bookmarkStart w:id="34" w:name="_Toc17972"/>
      <w:bookmarkEnd w:id="34"/>
      <w:bookmarkStart w:id="35" w:name="_Toc384308185"/>
      <w:bookmarkEnd w:id="35"/>
      <w:bookmarkStart w:id="36" w:name="_Toc352691455"/>
      <w:bookmarkEnd w:id="36"/>
      <w:bookmarkStart w:id="37" w:name="_Toc369531498"/>
      <w:bookmarkEnd w:id="37"/>
      <w:bookmarkStart w:id="38" w:name="_Toc152045513"/>
      <w:bookmarkEnd w:id="38"/>
      <w:bookmarkStart w:id="39" w:name="_Toc152042288"/>
      <w:bookmarkEnd w:id="39"/>
      <w:bookmarkStart w:id="40" w:name="_Toc247513935"/>
      <w:bookmarkEnd w:id="40"/>
      <w:bookmarkStart w:id="41" w:name="_Toc361508560"/>
      <w:bookmarkEnd w:id="41"/>
      <w:bookmarkStart w:id="42" w:name="_Toc384308188"/>
      <w:bookmarkEnd w:id="42"/>
      <w:bookmarkStart w:id="43" w:name="_Toc247513934"/>
      <w:bookmarkEnd w:id="43"/>
      <w:bookmarkStart w:id="44" w:name="_Toc361508562"/>
      <w:bookmarkEnd w:id="44"/>
      <w:bookmarkStart w:id="45" w:name="_Toc352691456"/>
      <w:bookmarkEnd w:id="45"/>
      <w:bookmarkStart w:id="46" w:name="_Toc30817"/>
      <w:bookmarkEnd w:id="46"/>
      <w:bookmarkStart w:id="47" w:name="_Toc144974480"/>
      <w:bookmarkEnd w:id="47"/>
      <w:bookmarkStart w:id="48" w:name="_Toc300834930"/>
      <w:bookmarkEnd w:id="48"/>
      <w:bookmarkStart w:id="49" w:name="_Toc300834929"/>
      <w:bookmarkEnd w:id="49"/>
      <w:bookmarkStart w:id="50" w:name="_Toc300834927"/>
      <w:bookmarkEnd w:id="50"/>
      <w:bookmarkStart w:id="51" w:name="_Toc384308187"/>
      <w:bookmarkEnd w:id="51"/>
      <w:bookmarkStart w:id="52" w:name="_Toc352691453"/>
      <w:bookmarkEnd w:id="52"/>
      <w:bookmarkStart w:id="53" w:name="_Toc361508563"/>
      <w:bookmarkEnd w:id="53"/>
      <w:bookmarkStart w:id="54" w:name="_Toc247527535"/>
      <w:bookmarkEnd w:id="54"/>
      <w:bookmarkStart w:id="55" w:name="_Toc152045512"/>
      <w:bookmarkEnd w:id="55"/>
      <w:bookmarkStart w:id="56" w:name="_Toc144974481"/>
      <w:bookmarkEnd w:id="56"/>
      <w:bookmarkStart w:id="57" w:name="_Toc369531495"/>
      <w:bookmarkEnd w:id="57"/>
      <w:bookmarkStart w:id="58" w:name="_Toc247527536"/>
      <w:bookmarkEnd w:id="58"/>
      <w:bookmarkStart w:id="59" w:name="_Toc10785"/>
      <w:bookmarkEnd w:id="59"/>
      <w:bookmarkStart w:id="60" w:name="_Toc152042289"/>
      <w:bookmarkEnd w:id="60"/>
    </w:p>
    <w:p>
      <w:pPr>
        <w:spacing w:line="360" w:lineRule="auto"/>
        <w:ind w:right="482"/>
        <w:rPr>
          <w:rFonts w:hint="eastAsia" w:ascii="宋体" w:hAnsi="宋体" w:eastAsia="宋体" w:cs="宋体"/>
          <w:color w:val="auto"/>
          <w:sz w:val="24"/>
          <w:highlight w:val="none"/>
          <w:lang w:eastAsia="zh-CN"/>
        </w:rPr>
      </w:pPr>
      <w:r>
        <w:rPr>
          <w:rFonts w:hint="eastAsia" w:ascii="宋体" w:hAnsi="宋体" w:cs="宋体"/>
          <w:color w:val="auto"/>
          <w:sz w:val="24"/>
          <w:highlight w:val="none"/>
        </w:rPr>
        <w:t>招 标 人：</w:t>
      </w:r>
      <w:r>
        <w:rPr>
          <w:rFonts w:hint="eastAsia" w:ascii="宋体" w:hAnsi="宋体" w:cs="宋体"/>
          <w:color w:val="auto"/>
          <w:sz w:val="24"/>
          <w:highlight w:val="none"/>
          <w:lang w:eastAsia="zh-CN"/>
        </w:rPr>
        <w:t>广州科鑫运营管理有限公司</w:t>
      </w:r>
    </w:p>
    <w:p>
      <w:pPr>
        <w:spacing w:line="360" w:lineRule="auto"/>
        <w:ind w:right="482"/>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址：广州市黄埔区伴河路190号自编B栋311房</w:t>
      </w:r>
    </w:p>
    <w:p>
      <w:pPr>
        <w:spacing w:line="360" w:lineRule="auto"/>
        <w:ind w:right="482"/>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 系 人：</w:t>
      </w:r>
      <w:r>
        <w:rPr>
          <w:rFonts w:hint="eastAsia" w:ascii="宋体" w:hAnsi="宋体" w:cs="宋体"/>
          <w:color w:val="auto"/>
          <w:sz w:val="24"/>
          <w:highlight w:val="none"/>
          <w:lang w:eastAsia="zh-CN"/>
        </w:rPr>
        <w:t>薛</w:t>
      </w:r>
      <w:r>
        <w:rPr>
          <w:rFonts w:hint="eastAsia" w:ascii="宋体" w:hAnsi="宋体" w:cs="宋体"/>
          <w:color w:val="auto"/>
          <w:sz w:val="24"/>
          <w:highlight w:val="none"/>
          <w:lang w:val="en-US" w:eastAsia="zh-CN"/>
        </w:rPr>
        <w:t>工</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rPr>
        <w:t xml:space="preserve">    电话：020-82111450</w:t>
      </w:r>
    </w:p>
    <w:p>
      <w:pPr>
        <w:spacing w:line="360" w:lineRule="auto"/>
        <w:ind w:right="482"/>
        <w:rPr>
          <w:rFonts w:ascii="宋体" w:hAnsi="宋体" w:cs="宋体"/>
          <w:color w:val="auto"/>
          <w:sz w:val="24"/>
          <w:highlight w:val="none"/>
        </w:rPr>
      </w:pPr>
    </w:p>
    <w:p>
      <w:pPr>
        <w:spacing w:line="360" w:lineRule="auto"/>
        <w:ind w:right="482"/>
        <w:rPr>
          <w:rFonts w:ascii="宋体" w:hAnsi="宋体" w:cs="宋体"/>
          <w:color w:val="auto"/>
          <w:sz w:val="24"/>
          <w:highlight w:val="none"/>
        </w:rPr>
      </w:pPr>
      <w:r>
        <w:rPr>
          <w:rFonts w:hint="eastAsia" w:ascii="宋体" w:hAnsi="宋体" w:cs="宋体"/>
          <w:color w:val="auto"/>
          <w:sz w:val="24"/>
          <w:highlight w:val="none"/>
        </w:rPr>
        <w:t>招标代理机构：</w:t>
      </w:r>
      <w:r>
        <w:rPr>
          <w:color w:val="auto"/>
          <w:highlight w:val="none"/>
        </w:rPr>
        <w:fldChar w:fldCharType="begin"/>
      </w:r>
      <w:r>
        <w:rPr>
          <w:color w:val="auto"/>
          <w:highlight w:val="none"/>
        </w:rPr>
        <w:instrText xml:space="preserve"> HYPERLINK "http://202.104.65.182:8081/G2/webdrive/web-enterprise!view.do?enterpriseId=4028a95f643b93c00164a729fb5e4fc7" \t "_blank" </w:instrText>
      </w:r>
      <w:r>
        <w:rPr>
          <w:color w:val="auto"/>
          <w:highlight w:val="none"/>
        </w:rPr>
        <w:fldChar w:fldCharType="separate"/>
      </w:r>
      <w:r>
        <w:rPr>
          <w:rFonts w:hint="eastAsia" w:ascii="宋体" w:hAnsi="宋体" w:cs="宋体"/>
          <w:bCs/>
          <w:color w:val="auto"/>
          <w:sz w:val="24"/>
          <w:highlight w:val="none"/>
          <w:lang w:eastAsia="zh-CN"/>
        </w:rPr>
        <w:t>广州竣盛工程造价咨询有限公司</w:t>
      </w:r>
      <w:r>
        <w:rPr>
          <w:rFonts w:hint="eastAsia" w:ascii="宋体" w:hAnsi="宋体" w:cs="宋体"/>
          <w:bCs/>
          <w:color w:val="auto"/>
          <w:sz w:val="24"/>
          <w:highlight w:val="none"/>
        </w:rPr>
        <w:fldChar w:fldCharType="end"/>
      </w:r>
    </w:p>
    <w:p>
      <w:pPr>
        <w:spacing w:line="360" w:lineRule="auto"/>
        <w:ind w:right="482"/>
        <w:rPr>
          <w:rFonts w:hint="eastAsia" w:ascii="宋体" w:hAnsi="宋体" w:cs="宋体"/>
          <w:color w:val="auto"/>
          <w:sz w:val="24"/>
          <w:highlight w:val="none"/>
          <w:u w:val="none"/>
        </w:rPr>
      </w:pPr>
      <w:r>
        <w:rPr>
          <w:rFonts w:hint="eastAsia" w:ascii="宋体" w:hAnsi="宋体" w:cs="宋体"/>
          <w:color w:val="auto"/>
          <w:sz w:val="24"/>
          <w:highlight w:val="none"/>
        </w:rPr>
        <w:t xml:space="preserve">地   </w:t>
      </w:r>
      <w:r>
        <w:rPr>
          <w:rFonts w:hint="eastAsia" w:ascii="宋体" w:hAnsi="宋体" w:cs="宋体"/>
          <w:color w:val="auto"/>
          <w:sz w:val="24"/>
          <w:highlight w:val="none"/>
          <w:u w:val="none"/>
        </w:rPr>
        <w:t xml:space="preserve"> 址：广州市海珠区琶洲大道188-190号南方投资大厦12-13层</w:t>
      </w:r>
    </w:p>
    <w:p>
      <w:pPr>
        <w:spacing w:line="360" w:lineRule="auto"/>
        <w:ind w:right="482"/>
        <w:rPr>
          <w:rFonts w:ascii="宋体" w:hAnsi="宋体" w:cs="宋体"/>
          <w:color w:val="auto"/>
          <w:sz w:val="24"/>
          <w:highlight w:val="none"/>
          <w:u w:val="none"/>
        </w:rPr>
      </w:pPr>
      <w:r>
        <w:rPr>
          <w:rFonts w:hint="eastAsia" w:ascii="宋体" w:hAnsi="宋体" w:cs="宋体"/>
          <w:color w:val="auto"/>
          <w:sz w:val="24"/>
          <w:highlight w:val="none"/>
          <w:u w:val="none"/>
        </w:rPr>
        <w:t>联 系 人：</w:t>
      </w:r>
      <w:r>
        <w:rPr>
          <w:rFonts w:hint="eastAsia" w:ascii="宋体" w:hAnsi="宋体" w:cs="宋体"/>
          <w:color w:val="auto"/>
          <w:sz w:val="24"/>
          <w:highlight w:val="none"/>
          <w:u w:val="none"/>
          <w:lang w:val="en-US" w:eastAsia="zh-CN"/>
        </w:rPr>
        <w:t>何</w:t>
      </w:r>
      <w:r>
        <w:rPr>
          <w:rFonts w:hint="eastAsia" w:ascii="宋体" w:hAnsi="宋体" w:cs="宋体"/>
          <w:color w:val="auto"/>
          <w:kern w:val="0"/>
          <w:sz w:val="24"/>
          <w:szCs w:val="24"/>
          <w:highlight w:val="none"/>
          <w:u w:val="none"/>
          <w:lang w:bidi="ar"/>
        </w:rPr>
        <w:t>工</w:t>
      </w:r>
      <w:r>
        <w:rPr>
          <w:rFonts w:hint="eastAsia" w:ascii="宋体" w:hAnsi="宋体" w:cs="宋体"/>
          <w:color w:val="auto"/>
          <w:sz w:val="24"/>
          <w:highlight w:val="none"/>
          <w:u w:val="none"/>
        </w:rPr>
        <w:t xml:space="preserve">      电话：13902278703</w:t>
      </w:r>
    </w:p>
    <w:p>
      <w:pPr>
        <w:spacing w:line="360" w:lineRule="auto"/>
        <w:ind w:right="482"/>
        <w:rPr>
          <w:rFonts w:ascii="宋体" w:hAnsi="宋体" w:cs="宋体"/>
          <w:color w:val="auto"/>
          <w:sz w:val="24"/>
          <w:highlight w:val="none"/>
        </w:rPr>
      </w:pPr>
    </w:p>
    <w:p>
      <w:pPr>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招标监督机构：</w:t>
      </w:r>
      <w:r>
        <w:rPr>
          <w:rFonts w:hint="eastAsia" w:ascii="宋体" w:hAnsi="宋体" w:cs="宋体"/>
          <w:color w:val="auto"/>
          <w:sz w:val="24"/>
          <w:highlight w:val="none"/>
          <w:lang w:eastAsia="zh-CN"/>
        </w:rPr>
        <w:t>广州开发区建设工程招投标管理办公室（广州市黄埔区建设工程招投标管理办公室）</w:t>
      </w:r>
    </w:p>
    <w:p>
      <w:pPr>
        <w:spacing w:line="360" w:lineRule="auto"/>
        <w:ind w:left="7198" w:right="480" w:hanging="7197" w:hangingChars="2999"/>
        <w:jc w:val="left"/>
        <w:rPr>
          <w:rFonts w:ascii="宋体" w:hAnsi="宋体" w:cs="宋体"/>
          <w:color w:val="auto"/>
          <w:sz w:val="24"/>
          <w:highlight w:val="none"/>
        </w:rPr>
      </w:pPr>
      <w:r>
        <w:rPr>
          <w:rFonts w:hint="eastAsia" w:ascii="宋体" w:hAnsi="宋体" w:cs="宋体"/>
          <w:color w:val="auto"/>
          <w:sz w:val="24"/>
          <w:highlight w:val="none"/>
        </w:rPr>
        <w:t>地址：广州开发区科学城水西路30号汇丽写字楼4楼</w:t>
      </w:r>
    </w:p>
    <w:p>
      <w:pPr>
        <w:spacing w:line="360" w:lineRule="auto"/>
        <w:ind w:left="7198" w:right="480" w:hanging="7197" w:hangingChars="2999"/>
        <w:jc w:val="left"/>
        <w:rPr>
          <w:rFonts w:ascii="宋体" w:hAnsi="宋体" w:cs="宋体"/>
          <w:color w:val="auto"/>
          <w:sz w:val="24"/>
          <w:highlight w:val="none"/>
        </w:rPr>
      </w:pPr>
      <w:r>
        <w:rPr>
          <w:rFonts w:hint="eastAsia" w:ascii="宋体" w:hAnsi="宋体" w:cs="宋体"/>
          <w:color w:val="auto"/>
          <w:sz w:val="24"/>
          <w:highlight w:val="none"/>
        </w:rPr>
        <w:t>监管电话：</w:t>
      </w:r>
      <w:bookmarkStart w:id="61" w:name="_GoBack"/>
      <w:r>
        <w:rPr>
          <w:rFonts w:hint="eastAsia" w:ascii="宋体" w:hAnsi="宋体" w:cs="宋体"/>
          <w:color w:val="auto"/>
          <w:sz w:val="24"/>
          <w:highlight w:val="none"/>
        </w:rPr>
        <w:t>020-82118560/82112206</w:t>
      </w:r>
    </w:p>
    <w:bookmarkEnd w:id="61"/>
    <w:p>
      <w:pPr>
        <w:topLinePunct/>
        <w:spacing w:line="360" w:lineRule="auto"/>
        <w:ind w:right="238"/>
        <w:jc w:val="right"/>
        <w:rPr>
          <w:rFonts w:ascii="宋体" w:hAnsi="宋体" w:cs="宋体"/>
          <w:color w:val="auto"/>
          <w:sz w:val="24"/>
          <w:highlight w:val="none"/>
        </w:rPr>
      </w:pPr>
    </w:p>
    <w:p>
      <w:pPr>
        <w:topLinePunct/>
        <w:spacing w:line="360" w:lineRule="auto"/>
        <w:ind w:right="238"/>
        <w:jc w:val="right"/>
        <w:rPr>
          <w:rFonts w:hint="eastAsia" w:ascii="宋体" w:hAnsi="宋体" w:eastAsia="宋体" w:cs="宋体"/>
          <w:color w:val="auto"/>
          <w:sz w:val="24"/>
          <w:highlight w:val="none"/>
          <w:lang w:eastAsia="zh-CN"/>
        </w:rPr>
      </w:pPr>
      <w:r>
        <w:rPr>
          <w:rFonts w:hint="eastAsia" w:ascii="宋体" w:hAnsi="宋体" w:cs="宋体"/>
          <w:color w:val="auto"/>
          <w:sz w:val="24"/>
          <w:highlight w:val="none"/>
        </w:rPr>
        <w:t>招标人：</w:t>
      </w:r>
      <w:r>
        <w:rPr>
          <w:rFonts w:hint="eastAsia" w:ascii="宋体" w:hAnsi="宋体" w:cs="宋体"/>
          <w:bCs/>
          <w:color w:val="auto"/>
          <w:sz w:val="24"/>
          <w:highlight w:val="none"/>
          <w:lang w:eastAsia="zh-CN"/>
        </w:rPr>
        <w:t>广州科鑫运营管理有限公司</w:t>
      </w:r>
    </w:p>
    <w:p>
      <w:pPr>
        <w:topLinePunct/>
        <w:spacing w:line="360" w:lineRule="auto"/>
        <w:ind w:right="238"/>
        <w:jc w:val="right"/>
        <w:rPr>
          <w:rFonts w:ascii="宋体" w:hAnsi="宋体" w:cs="宋体"/>
          <w:bCs/>
          <w:color w:val="auto"/>
          <w:sz w:val="24"/>
          <w:highlight w:val="none"/>
        </w:rPr>
      </w:pPr>
      <w:r>
        <w:rPr>
          <w:rFonts w:hint="eastAsia" w:ascii="宋体" w:hAnsi="宋体" w:cs="宋体"/>
          <w:color w:val="auto"/>
          <w:sz w:val="24"/>
          <w:highlight w:val="none"/>
        </w:rPr>
        <w:t>招标代理机构：</w:t>
      </w:r>
      <w:r>
        <w:rPr>
          <w:color w:val="auto"/>
          <w:highlight w:val="none"/>
        </w:rPr>
        <w:fldChar w:fldCharType="begin"/>
      </w:r>
      <w:r>
        <w:rPr>
          <w:color w:val="auto"/>
          <w:highlight w:val="none"/>
        </w:rPr>
        <w:instrText xml:space="preserve"> HYPERLINK "http://202.104.65.182:8081/G2/webdrive/web-enterprise!view.do?enterpriseId=4028a95f643b93c00164a729fb5e4fc7" \t "_blank" </w:instrText>
      </w:r>
      <w:r>
        <w:rPr>
          <w:color w:val="auto"/>
          <w:highlight w:val="none"/>
        </w:rPr>
        <w:fldChar w:fldCharType="separate"/>
      </w:r>
      <w:r>
        <w:rPr>
          <w:rFonts w:hint="eastAsia" w:ascii="宋体" w:hAnsi="宋体" w:cs="宋体"/>
          <w:bCs/>
          <w:color w:val="auto"/>
          <w:sz w:val="24"/>
          <w:highlight w:val="none"/>
          <w:lang w:eastAsia="zh-CN"/>
        </w:rPr>
        <w:t>广州竣盛工程造价咨询有限公司</w:t>
      </w:r>
      <w:r>
        <w:rPr>
          <w:rFonts w:hint="eastAsia" w:ascii="宋体" w:hAnsi="宋体" w:cs="宋体"/>
          <w:bCs/>
          <w:color w:val="auto"/>
          <w:sz w:val="24"/>
          <w:highlight w:val="none"/>
        </w:rPr>
        <w:fldChar w:fldCharType="end"/>
      </w:r>
    </w:p>
    <w:p>
      <w:pPr>
        <w:topLinePunct/>
        <w:spacing w:line="360" w:lineRule="auto"/>
        <w:ind w:right="238"/>
        <w:jc w:val="right"/>
        <w:rPr>
          <w:rFonts w:ascii="宋体" w:hAnsi="宋体" w:cs="宋体"/>
          <w:color w:val="auto"/>
          <w:highlight w:val="none"/>
        </w:rPr>
      </w:pPr>
      <w:r>
        <w:rPr>
          <w:rFonts w:hint="eastAsia" w:ascii="宋体" w:hAnsi="宋体" w:cs="宋体"/>
          <w:color w:val="auto"/>
          <w:sz w:val="24"/>
          <w:highlight w:val="none"/>
        </w:rPr>
        <w:t>日期：202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pPr>
        <w:rPr>
          <w:rFonts w:hint="eastAsia" w:ascii="宋体" w:hAnsi="宋体" w:cs="宋体"/>
          <w:color w:val="auto"/>
          <w:kern w:val="0"/>
          <w:sz w:val="24"/>
          <w:highlight w:val="none"/>
        </w:rPr>
      </w:pPr>
      <w:r>
        <w:rPr>
          <w:rFonts w:hint="eastAsia" w:ascii="宋体" w:hAnsi="宋体" w:cs="宋体"/>
          <w:color w:val="auto"/>
          <w:kern w:val="0"/>
          <w:sz w:val="24"/>
          <w:highlight w:val="none"/>
        </w:rPr>
        <w:br w:type="page"/>
      </w:r>
    </w:p>
    <w:p>
      <w:pPr>
        <w:adjustRightInd w:val="0"/>
        <w:spacing w:line="360" w:lineRule="auto"/>
        <w:ind w:left="8" w:right="360" w:firstLine="57" w:firstLineChars="24"/>
        <w:rPr>
          <w:color w:val="auto"/>
          <w:kern w:val="0"/>
          <w:highlight w:val="none"/>
        </w:rPr>
      </w:pPr>
      <w:r>
        <w:rPr>
          <w:rFonts w:hint="eastAsia" w:ascii="宋体" w:hAnsi="宋体" w:cs="宋体"/>
          <w:color w:val="auto"/>
          <w:kern w:val="0"/>
          <w:sz w:val="24"/>
          <w:highlight w:val="none"/>
        </w:rPr>
        <w:t>附件一：</w:t>
      </w:r>
    </w:p>
    <w:p>
      <w:pPr>
        <w:widowControl/>
        <w:spacing w:line="360" w:lineRule="auto"/>
        <w:ind w:right="384"/>
        <w:jc w:val="center"/>
        <w:rPr>
          <w:rFonts w:ascii="宋体" w:hAnsi="宋体" w:cs="宋体"/>
          <w:b/>
          <w:bCs/>
          <w:color w:val="auto"/>
          <w:kern w:val="0"/>
          <w:sz w:val="24"/>
          <w:highlight w:val="none"/>
        </w:rPr>
      </w:pPr>
      <w:r>
        <w:rPr>
          <w:rFonts w:hint="eastAsia" w:ascii="宋体" w:hAnsi="宋体" w:cs="宋体"/>
          <w:b/>
          <w:bCs/>
          <w:color w:val="auto"/>
          <w:kern w:val="0"/>
          <w:sz w:val="28"/>
          <w:szCs w:val="28"/>
          <w:highlight w:val="none"/>
        </w:rPr>
        <w:t>投标人声明</w:t>
      </w:r>
    </w:p>
    <w:p>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广州市住房和城乡建设局、本招标项目招标人及招标监管机构：</w:t>
      </w:r>
    </w:p>
    <w:p>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本公司就参加</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项目投标工作，作出郑重声明：</w:t>
      </w:r>
    </w:p>
    <w:p>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一、本公司保证投标</w:t>
      </w:r>
      <w:r>
        <w:rPr>
          <w:rFonts w:hint="eastAsia" w:ascii="宋体" w:hAnsi="宋体" w:cs="宋体"/>
          <w:color w:val="auto"/>
          <w:kern w:val="0"/>
          <w:sz w:val="24"/>
          <w:szCs w:val="24"/>
          <w:highlight w:val="none"/>
          <w:u w:val="none"/>
        </w:rPr>
        <w:t>登记</w:t>
      </w:r>
      <w:r>
        <w:rPr>
          <w:rFonts w:hint="eastAsia" w:ascii="宋体" w:hAnsi="宋体" w:cs="宋体"/>
          <w:color w:val="auto"/>
          <w:kern w:val="0"/>
          <w:sz w:val="24"/>
          <w:szCs w:val="24"/>
          <w:highlight w:val="none"/>
        </w:rPr>
        <w:t>材料及其后提供的一切材料都是真实的。如我司成为本项目中标候选人，我司同意并授权招标人将我司投标文件商务部分的人员、业绩、奖项等资料进行公开。</w:t>
      </w:r>
    </w:p>
    <w:p>
      <w:pPr>
        <w:snapToGrid w:val="0"/>
        <w:spacing w:line="360" w:lineRule="auto"/>
        <w:ind w:firstLine="480" w:firstLineChars="200"/>
        <w:rPr>
          <w:rFonts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二、</w:t>
      </w:r>
      <w:r>
        <w:rPr>
          <w:rFonts w:hint="eastAsia"/>
          <w:b w:val="0"/>
          <w:bCs/>
          <w:color w:val="000000"/>
          <w:sz w:val="24"/>
          <w:highlight w:val="none"/>
        </w:rPr>
        <w:t>本公司承诺遵循公平公正、公开、诚实信用原则，如实投标，真实反映企业实力，公平竞争，不弄虚作假，不以低于企业成本价竞标而降低服务质量，不与任何建设单位订立违背企业成本取费标准及相关规定的“阴阳合同”进行恶性竞争，扰乱市场秩序，不与其他单位串通投标或以行贿手段谋取中标，不出借资质、转包或违法分包业务</w:t>
      </w:r>
      <w:r>
        <w:rPr>
          <w:rFonts w:hint="eastAsia" w:ascii="宋体" w:hAnsi="宋体" w:cs="宋体"/>
          <w:b w:val="0"/>
          <w:bCs/>
          <w:color w:val="auto"/>
          <w:kern w:val="0"/>
          <w:sz w:val="24"/>
          <w:szCs w:val="24"/>
          <w:highlight w:val="none"/>
        </w:rPr>
        <w:t>。</w:t>
      </w:r>
    </w:p>
    <w:p>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三、本公司不存在招标文件第二章投标人须知第1.4.3项所规定的任何一种情形。</w:t>
      </w:r>
    </w:p>
    <w:p>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四、本公司及其有隶属关系的机构，没有参加本项目招标文件的编写工作；本公司与本次招标的招标代理机构没有隶属关系或其他利害关系。</w:t>
      </w:r>
    </w:p>
    <w:p>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五、本公司承诺，中标后严格执行安全生产相关管理规定。</w:t>
      </w:r>
    </w:p>
    <w:p>
      <w:pPr>
        <w:spacing w:line="360" w:lineRule="auto"/>
        <w:ind w:firstLine="480" w:firstLineChars="200"/>
        <w:rPr>
          <w:color w:val="000000"/>
          <w:sz w:val="24"/>
          <w:highlight w:val="none"/>
        </w:rPr>
      </w:pPr>
      <w:r>
        <w:rPr>
          <w:color w:val="000000"/>
          <w:sz w:val="24"/>
          <w:highlight w:val="none"/>
        </w:rPr>
        <w:t>本公司违反上述</w:t>
      </w:r>
      <w:r>
        <w:rPr>
          <w:rFonts w:hint="eastAsia"/>
          <w:color w:val="000000"/>
          <w:sz w:val="24"/>
          <w:highlight w:val="none"/>
        </w:rPr>
        <w:t>承诺</w:t>
      </w:r>
      <w:r>
        <w:rPr>
          <w:color w:val="000000"/>
          <w:sz w:val="24"/>
          <w:highlight w:val="none"/>
        </w:rPr>
        <w:t>，或本声明陈述与事实不符，经查实，本公司愿意接受公开通报，</w:t>
      </w:r>
      <w:r>
        <w:rPr>
          <w:rFonts w:hint="eastAsia"/>
          <w:color w:val="000000"/>
          <w:sz w:val="24"/>
          <w:highlight w:val="none"/>
        </w:rPr>
        <w:t>愿意按照《广州市建筑市场信用管理办法》（穗建规字﹝2019﹞16号）的规定被记录为失信信息，本公司对失信行为产生的一切后果已知悉。承担由此带来的法律后果。</w:t>
      </w:r>
    </w:p>
    <w:p>
      <w:pPr>
        <w:spacing w:line="360" w:lineRule="auto"/>
        <w:ind w:firstLine="480" w:firstLineChars="200"/>
        <w:rPr>
          <w:color w:val="000000"/>
          <w:sz w:val="24"/>
          <w:highlight w:val="none"/>
        </w:rPr>
      </w:pPr>
      <w:r>
        <w:rPr>
          <w:color w:val="000000"/>
          <w:sz w:val="24"/>
          <w:highlight w:val="none"/>
        </w:rPr>
        <w:t>特此声明。</w:t>
      </w:r>
    </w:p>
    <w:p>
      <w:pPr>
        <w:pStyle w:val="6"/>
        <w:spacing w:line="360" w:lineRule="auto"/>
        <w:rPr>
          <w:color w:val="000000"/>
          <w:sz w:val="24"/>
          <w:highlight w:val="none"/>
        </w:rPr>
      </w:pPr>
    </w:p>
    <w:p>
      <w:pPr>
        <w:spacing w:line="480" w:lineRule="auto"/>
        <w:jc w:val="center"/>
        <w:rPr>
          <w:rFonts w:hint="eastAsia" w:eastAsia="宋体"/>
          <w:color w:val="000000"/>
          <w:sz w:val="24"/>
          <w:highlight w:val="none"/>
          <w:u w:val="single"/>
          <w:lang w:eastAsia="zh-CN"/>
        </w:rPr>
      </w:pPr>
      <w:r>
        <w:rPr>
          <w:rFonts w:hint="eastAsia"/>
          <w:color w:val="000000"/>
          <w:sz w:val="24"/>
          <w:highlight w:val="none"/>
        </w:rPr>
        <w:t xml:space="preserve">         </w:t>
      </w:r>
      <w:r>
        <w:rPr>
          <w:rFonts w:hint="eastAsia"/>
          <w:color w:val="000000"/>
          <w:sz w:val="24"/>
          <w:highlight w:val="none"/>
          <w:lang w:val="en-US" w:eastAsia="zh-CN"/>
        </w:rPr>
        <w:t xml:space="preserve">                    声明企业</w:t>
      </w:r>
      <w:r>
        <w:rPr>
          <w:rFonts w:hint="eastAsia"/>
          <w:color w:val="000000"/>
          <w:sz w:val="24"/>
          <w:highlight w:val="none"/>
        </w:rPr>
        <w:t>：</w:t>
      </w:r>
      <w:r>
        <w:rPr>
          <w:rFonts w:hint="eastAsia"/>
          <w:color w:val="000000"/>
          <w:sz w:val="24"/>
          <w:highlight w:val="none"/>
          <w:u w:val="single"/>
          <w:lang w:val="en-US" w:eastAsia="zh-CN"/>
        </w:rPr>
        <w:t xml:space="preserve">           </w:t>
      </w:r>
      <w:r>
        <w:rPr>
          <w:rFonts w:hint="eastAsia"/>
          <w:color w:val="000000"/>
          <w:sz w:val="24"/>
          <w:highlight w:val="none"/>
          <w:u w:val="single"/>
          <w:lang w:eastAsia="zh-CN"/>
        </w:rPr>
        <w:t>（</w:t>
      </w:r>
      <w:r>
        <w:rPr>
          <w:rFonts w:hint="eastAsia"/>
          <w:color w:val="000000"/>
          <w:sz w:val="24"/>
          <w:highlight w:val="none"/>
          <w:u w:val="single"/>
          <w:lang w:val="en-US" w:eastAsia="zh-CN"/>
        </w:rPr>
        <w:t>企业公章）</w:t>
      </w:r>
    </w:p>
    <w:p>
      <w:pPr>
        <w:spacing w:line="480" w:lineRule="auto"/>
        <w:jc w:val="center"/>
        <w:rPr>
          <w:rFonts w:hint="default"/>
          <w:color w:val="000000"/>
          <w:sz w:val="24"/>
          <w:highlight w:val="none"/>
          <w:u w:val="single"/>
        </w:rPr>
      </w:pPr>
      <w:r>
        <w:rPr>
          <w:rFonts w:hint="eastAsia"/>
          <w:color w:val="000000"/>
          <w:sz w:val="24"/>
          <w:highlight w:val="none"/>
        </w:rPr>
        <w:t xml:space="preserve">                 法定代表人签字或盖章：</w:t>
      </w:r>
      <w:r>
        <w:rPr>
          <w:rFonts w:hint="eastAsia"/>
          <w:color w:val="000000"/>
          <w:sz w:val="24"/>
          <w:highlight w:val="none"/>
          <w:u w:val="single"/>
          <w:lang w:val="en-US" w:eastAsia="zh-CN"/>
        </w:rPr>
        <w:t xml:space="preserve">           </w:t>
      </w:r>
    </w:p>
    <w:p>
      <w:pPr>
        <w:spacing w:line="480" w:lineRule="auto"/>
        <w:jc w:val="center"/>
        <w:rPr>
          <w:rFonts w:hint="eastAsia"/>
          <w:color w:val="000000"/>
          <w:sz w:val="24"/>
          <w:highlight w:val="none"/>
        </w:rPr>
      </w:pPr>
      <w:r>
        <w:rPr>
          <w:rFonts w:hint="eastAsia"/>
          <w:color w:val="000000"/>
          <w:sz w:val="24"/>
          <w:highlight w:val="none"/>
        </w:rPr>
        <w:t xml:space="preserve">          </w:t>
      </w:r>
      <w:r>
        <w:rPr>
          <w:rFonts w:hint="eastAsia"/>
          <w:color w:val="000000"/>
          <w:sz w:val="24"/>
          <w:highlight w:val="none"/>
          <w:lang w:val="en-US" w:eastAsia="zh-CN"/>
        </w:rPr>
        <w:t xml:space="preserve">    </w:t>
      </w:r>
      <w:r>
        <w:rPr>
          <w:rFonts w:hint="eastAsia"/>
          <w:color w:val="000000"/>
          <w:sz w:val="24"/>
          <w:highlight w:val="none"/>
        </w:rPr>
        <w:t xml:space="preserve">   日期：    年   月   日</w:t>
      </w:r>
    </w:p>
    <w:p>
      <w:pPr>
        <w:rPr>
          <w:highlight w:val="none"/>
        </w:rPr>
      </w:pPr>
      <w:r>
        <w:rPr>
          <w:highlight w:val="none"/>
        </w:rPr>
        <w:br w:type="page"/>
      </w:r>
    </w:p>
    <w:p>
      <w:pPr>
        <w:pStyle w:val="3"/>
        <w:autoSpaceDE w:val="0"/>
        <w:adjustRightInd w:val="0"/>
        <w:spacing w:line="360" w:lineRule="auto"/>
        <w:jc w:val="left"/>
        <w:rPr>
          <w:rFonts w:hint="eastAsia" w:ascii="宋体" w:hAnsi="宋体" w:eastAsia="宋体" w:cs="宋体"/>
          <w:color w:val="000000"/>
          <w:sz w:val="24"/>
          <w:highlight w:val="none"/>
          <w:lang w:val="zh-CN" w:eastAsia="zh-CN"/>
        </w:rPr>
      </w:pPr>
      <w:r>
        <w:rPr>
          <w:rFonts w:hint="eastAsia" w:ascii="宋体" w:hAnsi="宋体" w:cs="宋体"/>
          <w:color w:val="000000"/>
          <w:sz w:val="24"/>
          <w:highlight w:val="none"/>
          <w:lang w:val="zh-CN"/>
        </w:rPr>
        <w:t>附件</w:t>
      </w:r>
      <w:r>
        <w:rPr>
          <w:rFonts w:hint="eastAsia" w:ascii="宋体" w:hAnsi="宋体" w:cs="宋体"/>
          <w:color w:val="000000"/>
          <w:sz w:val="24"/>
          <w:highlight w:val="none"/>
          <w:lang w:val="en-US" w:eastAsia="zh-CN"/>
        </w:rPr>
        <w:t>二</w:t>
      </w:r>
    </w:p>
    <w:p>
      <w:pPr>
        <w:autoSpaceDE w:val="0"/>
        <w:autoSpaceDN w:val="0"/>
        <w:adjustRightInd w:val="0"/>
        <w:jc w:val="center"/>
        <w:rPr>
          <w:rFonts w:hint="eastAsia" w:ascii="宋体" w:hAnsi="宋体" w:cs="黑体"/>
          <w:b/>
          <w:bCs/>
          <w:color w:val="000000"/>
          <w:sz w:val="32"/>
          <w:szCs w:val="32"/>
          <w:highlight w:val="none"/>
          <w:lang w:val="zh-CN"/>
        </w:rPr>
      </w:pPr>
      <w:r>
        <w:rPr>
          <w:rFonts w:hint="eastAsia" w:ascii="宋体" w:hAnsi="宋体" w:cs="黑体"/>
          <w:b/>
          <w:bCs/>
          <w:color w:val="000000"/>
          <w:sz w:val="32"/>
          <w:szCs w:val="32"/>
          <w:highlight w:val="none"/>
          <w:lang w:val="zh-CN"/>
        </w:rPr>
        <w:t>联合体协议书</w:t>
      </w:r>
    </w:p>
    <w:p>
      <w:pPr>
        <w:autoSpaceDE w:val="0"/>
        <w:autoSpaceDN w:val="0"/>
        <w:adjustRightInd w:val="0"/>
        <w:spacing w:line="300" w:lineRule="auto"/>
        <w:jc w:val="left"/>
        <w:rPr>
          <w:rFonts w:hint="eastAsia" w:ascii="宋体" w:hAnsi="宋体" w:cs="宋体"/>
          <w:bCs/>
          <w:color w:val="000000"/>
          <w:szCs w:val="21"/>
          <w:highlight w:val="none"/>
          <w:lang w:val="zh-CN"/>
        </w:rPr>
      </w:pPr>
    </w:p>
    <w:p>
      <w:pPr>
        <w:autoSpaceDE w:val="0"/>
        <w:autoSpaceDN w:val="0"/>
        <w:adjustRightInd w:val="0"/>
        <w:spacing w:line="300" w:lineRule="auto"/>
        <w:ind w:firstLine="420" w:firstLineChars="200"/>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u w:val="single"/>
          <w:lang w:val="zh-CN"/>
        </w:rPr>
        <w:t>（所有成员单位名称）</w:t>
      </w:r>
      <w:r>
        <w:rPr>
          <w:rFonts w:hint="eastAsia" w:ascii="宋体" w:hAnsi="宋体" w:cs="宋体"/>
          <w:bCs/>
          <w:color w:val="000000"/>
          <w:szCs w:val="21"/>
          <w:highlight w:val="none"/>
          <w:u w:val="single"/>
          <w:lang w:val="en-US" w:eastAsia="zh-CN"/>
        </w:rPr>
        <w:t xml:space="preserve">  </w:t>
      </w:r>
      <w:r>
        <w:rPr>
          <w:rFonts w:hint="eastAsia" w:ascii="宋体" w:hAnsi="宋体" w:cs="宋体"/>
          <w:bCs/>
          <w:color w:val="000000"/>
          <w:szCs w:val="21"/>
          <w:highlight w:val="none"/>
          <w:lang w:val="zh-CN"/>
        </w:rPr>
        <w:t>自愿组成</w:t>
      </w:r>
      <w:r>
        <w:rPr>
          <w:rFonts w:hint="eastAsia" w:ascii="宋体" w:hAnsi="宋体" w:cs="宋体"/>
          <w:bCs/>
          <w:color w:val="000000"/>
          <w:szCs w:val="21"/>
          <w:highlight w:val="none"/>
          <w:u w:val="single"/>
          <w:lang w:val="en-US" w:eastAsia="zh-CN"/>
        </w:rPr>
        <w:t xml:space="preserve">  </w:t>
      </w:r>
      <w:r>
        <w:rPr>
          <w:rFonts w:hint="eastAsia" w:ascii="宋体" w:hAnsi="宋体" w:cs="宋体"/>
          <w:bCs/>
          <w:color w:val="000000"/>
          <w:szCs w:val="21"/>
          <w:highlight w:val="none"/>
          <w:u w:val="single"/>
          <w:lang w:val="zh-CN"/>
        </w:rPr>
        <w:t>（联合体名称）</w:t>
      </w:r>
      <w:r>
        <w:rPr>
          <w:rFonts w:hint="eastAsia" w:ascii="宋体" w:hAnsi="宋体" w:cs="宋体"/>
          <w:bCs/>
          <w:color w:val="000000"/>
          <w:szCs w:val="21"/>
          <w:highlight w:val="none"/>
          <w:u w:val="single"/>
          <w:lang w:val="en-US" w:eastAsia="zh-CN"/>
        </w:rPr>
        <w:t xml:space="preserve">  </w:t>
      </w:r>
      <w:r>
        <w:rPr>
          <w:rFonts w:hint="eastAsia" w:ascii="宋体" w:hAnsi="宋体" w:cs="宋体"/>
          <w:bCs/>
          <w:color w:val="000000"/>
          <w:szCs w:val="21"/>
          <w:highlight w:val="none"/>
          <w:lang w:val="zh-CN"/>
        </w:rPr>
        <w:t>联合体，共同参加</w:t>
      </w:r>
      <w:r>
        <w:rPr>
          <w:rFonts w:hint="eastAsia" w:ascii="宋体" w:hAnsi="宋体" w:cs="宋体"/>
          <w:bCs/>
          <w:color w:val="000000"/>
          <w:szCs w:val="21"/>
          <w:highlight w:val="none"/>
          <w:u w:val="single"/>
          <w:lang w:val="en-US" w:eastAsia="zh-CN"/>
        </w:rPr>
        <w:t xml:space="preserve">  </w:t>
      </w:r>
      <w:r>
        <w:rPr>
          <w:rFonts w:hint="eastAsia" w:ascii="宋体" w:hAnsi="宋体" w:cs="宋体"/>
          <w:bCs/>
          <w:color w:val="000000"/>
          <w:szCs w:val="21"/>
          <w:highlight w:val="none"/>
          <w:u w:val="single"/>
          <w:lang w:val="zh-CN"/>
        </w:rPr>
        <w:t>（项目名称）</w:t>
      </w:r>
      <w:r>
        <w:rPr>
          <w:rFonts w:hint="eastAsia" w:ascii="宋体" w:hAnsi="宋体" w:cs="宋体"/>
          <w:bCs/>
          <w:color w:val="000000"/>
          <w:szCs w:val="21"/>
          <w:highlight w:val="none"/>
          <w:u w:val="single"/>
          <w:lang w:val="en-US" w:eastAsia="zh-CN"/>
        </w:rPr>
        <w:t xml:space="preserve">  </w:t>
      </w:r>
      <w:r>
        <w:rPr>
          <w:rFonts w:hint="eastAsia" w:ascii="宋体" w:hAnsi="宋体" w:cs="宋体"/>
          <w:bCs/>
          <w:color w:val="000000"/>
          <w:szCs w:val="21"/>
          <w:highlight w:val="none"/>
          <w:lang w:val="zh-CN"/>
        </w:rPr>
        <w:t>招标项目投标。现就联合体投标事宜订立如下协议。</w:t>
      </w:r>
    </w:p>
    <w:p>
      <w:pPr>
        <w:autoSpaceDE w:val="0"/>
        <w:autoSpaceDN w:val="0"/>
        <w:adjustRightInd w:val="0"/>
        <w:spacing w:line="300" w:lineRule="auto"/>
        <w:ind w:firstLine="420" w:firstLineChars="200"/>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w:t>
      </w:r>
      <w:r>
        <w:rPr>
          <w:rFonts w:hint="eastAsia" w:ascii="宋体" w:hAnsi="宋体" w:cs="宋体"/>
          <w:bCs/>
          <w:color w:val="000000"/>
          <w:szCs w:val="21"/>
          <w:highlight w:val="none"/>
          <w:u w:val="single"/>
          <w:lang w:val="en-US" w:eastAsia="zh-CN"/>
        </w:rPr>
        <w:t xml:space="preserve">     </w:t>
      </w:r>
      <w:r>
        <w:rPr>
          <w:rFonts w:hint="eastAsia" w:ascii="宋体" w:hAnsi="宋体" w:cs="宋体"/>
        </w:rPr>
        <w:t>（某成员单位名称）</w:t>
      </w:r>
      <w:r>
        <w:rPr>
          <w:rFonts w:hint="eastAsia" w:ascii="宋体" w:hAnsi="宋体" w:cs="宋体"/>
          <w:bCs/>
          <w:color w:val="000000"/>
          <w:szCs w:val="21"/>
          <w:highlight w:val="none"/>
          <w:lang w:val="zh-CN"/>
        </w:rPr>
        <w:t>为</w:t>
      </w:r>
      <w:r>
        <w:rPr>
          <w:rFonts w:hint="eastAsia" w:ascii="宋体" w:hAnsi="宋体" w:cs="宋体"/>
          <w:bCs/>
          <w:color w:val="000000"/>
          <w:szCs w:val="21"/>
          <w:highlight w:val="none"/>
          <w:u w:val="single"/>
          <w:lang w:val="en-US" w:eastAsia="zh-CN"/>
        </w:rPr>
        <w:t xml:space="preserve">  </w:t>
      </w:r>
      <w:r>
        <w:rPr>
          <w:rFonts w:hint="eastAsia" w:ascii="宋体" w:hAnsi="宋体" w:cs="宋体"/>
          <w:bCs/>
          <w:color w:val="000000"/>
          <w:szCs w:val="21"/>
          <w:highlight w:val="none"/>
          <w:u w:val="single"/>
          <w:lang w:val="zh-CN"/>
        </w:rPr>
        <w:t>（联合体名称）</w:t>
      </w:r>
      <w:r>
        <w:rPr>
          <w:rFonts w:hint="eastAsia" w:ascii="宋体" w:hAnsi="宋体" w:cs="宋体"/>
          <w:bCs/>
          <w:color w:val="000000"/>
          <w:szCs w:val="21"/>
          <w:highlight w:val="none"/>
          <w:u w:val="single"/>
          <w:lang w:val="en-US" w:eastAsia="zh-CN"/>
        </w:rPr>
        <w:t xml:space="preserve">  </w:t>
      </w:r>
      <w:r>
        <w:rPr>
          <w:rFonts w:hint="eastAsia" w:ascii="宋体" w:hAnsi="宋体" w:cs="宋体"/>
          <w:bCs/>
          <w:color w:val="000000"/>
          <w:szCs w:val="21"/>
          <w:highlight w:val="none"/>
          <w:lang w:val="zh-CN"/>
        </w:rPr>
        <w:t>主办方。</w:t>
      </w:r>
    </w:p>
    <w:p>
      <w:pPr>
        <w:autoSpaceDE w:val="0"/>
        <w:autoSpaceDN w:val="0"/>
        <w:adjustRightInd w:val="0"/>
        <w:spacing w:line="300" w:lineRule="auto"/>
        <w:ind w:firstLine="420" w:firstLineChars="200"/>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2.联合体各成员授权主办方代表联合体参加投标活动，签署文件，提交和接收相关的资料、信息及指示，进行合同谈判活动，负责合同实施阶段的组织和协调工作，以及处理与本招标项目有关的一切事宜。</w:t>
      </w:r>
    </w:p>
    <w:p>
      <w:pPr>
        <w:autoSpaceDE w:val="0"/>
        <w:autoSpaceDN w:val="0"/>
        <w:adjustRightInd w:val="0"/>
        <w:spacing w:line="300" w:lineRule="auto"/>
        <w:ind w:firstLine="420" w:firstLineChars="200"/>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3.联合体主办方在本项目中签署的一切文件和处理的一切事宜，联合体各成员均予以承认。联合体各成员将严格按照招标文件、投标文件和合同的要求全面履行义务，并向招标人承担连带责任。</w:t>
      </w:r>
    </w:p>
    <w:p>
      <w:pPr>
        <w:autoSpaceDE w:val="0"/>
        <w:autoSpaceDN w:val="0"/>
        <w:adjustRightInd w:val="0"/>
        <w:spacing w:line="300" w:lineRule="auto"/>
        <w:ind w:firstLine="420" w:firstLineChars="200"/>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4.联合体各成员单位内部的职责分工如下：</w:t>
      </w:r>
    </w:p>
    <w:p>
      <w:pPr>
        <w:autoSpaceDE w:val="0"/>
        <w:autoSpaceDN w:val="0"/>
        <w:adjustRightInd w:val="0"/>
        <w:spacing w:line="300" w:lineRule="auto"/>
        <w:ind w:firstLine="420" w:firstLineChars="200"/>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w:t>
      </w:r>
      <w:r>
        <w:rPr>
          <w:rFonts w:hint="eastAsia" w:ascii="宋体" w:hAnsi="宋体" w:cs="宋体"/>
          <w:bCs/>
          <w:color w:val="000000"/>
          <w:szCs w:val="21"/>
          <w:highlight w:val="none"/>
          <w:u w:val="single"/>
          <w:lang w:val="en-US" w:eastAsia="zh-CN"/>
        </w:rPr>
        <w:t xml:space="preserve">                 </w:t>
      </w:r>
      <w:r>
        <w:rPr>
          <w:rFonts w:hint="eastAsia" w:ascii="宋体" w:hAnsi="宋体" w:cs="宋体"/>
          <w:bCs/>
          <w:color w:val="000000"/>
          <w:szCs w:val="21"/>
          <w:highlight w:val="none"/>
          <w:u w:val="single"/>
          <w:lang w:val="zh-CN"/>
        </w:rPr>
        <w:t>（联合体主办方）</w:t>
      </w:r>
      <w:r>
        <w:rPr>
          <w:rFonts w:hint="eastAsia" w:ascii="宋体" w:hAnsi="宋体" w:cs="宋体"/>
          <w:bCs/>
          <w:color w:val="000000"/>
          <w:szCs w:val="21"/>
          <w:highlight w:val="none"/>
          <w:lang w:val="zh-CN"/>
        </w:rPr>
        <w:t>：作为联合体的主办方除负责本项目的管理职责外，还应负责</w:t>
      </w:r>
      <w:r>
        <w:rPr>
          <w:rFonts w:hint="eastAsia" w:ascii="宋体" w:hAnsi="宋体" w:cs="宋体"/>
          <w:b/>
          <w:bCs w:val="0"/>
          <w:color w:val="000000"/>
          <w:szCs w:val="21"/>
          <w:highlight w:val="none"/>
          <w:u w:val="single"/>
          <w:lang w:val="en-US" w:eastAsia="zh-CN"/>
        </w:rPr>
        <w:t>监理工作任务</w:t>
      </w:r>
      <w:r>
        <w:rPr>
          <w:rFonts w:hint="eastAsia" w:ascii="宋体" w:hAnsi="宋体" w:cs="宋体"/>
          <w:bCs/>
          <w:color w:val="000000"/>
          <w:szCs w:val="21"/>
          <w:highlight w:val="none"/>
          <w:lang w:val="zh-CN"/>
        </w:rPr>
        <w:t>。联合体其他相关方违约时，主办方应承担连带责任，具体按合同要求。</w:t>
      </w:r>
    </w:p>
    <w:p>
      <w:pPr>
        <w:autoSpaceDE w:val="0"/>
        <w:autoSpaceDN w:val="0"/>
        <w:adjustRightInd w:val="0"/>
        <w:spacing w:line="300" w:lineRule="auto"/>
        <w:ind w:firstLine="420" w:firstLineChars="200"/>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w:t>
      </w:r>
      <w:r>
        <w:rPr>
          <w:rFonts w:hint="eastAsia" w:ascii="宋体" w:hAnsi="宋体" w:cs="宋体"/>
          <w:bCs/>
          <w:color w:val="000000"/>
          <w:szCs w:val="21"/>
          <w:highlight w:val="none"/>
          <w:lang w:val="en-US" w:eastAsia="zh-CN"/>
        </w:rPr>
        <w:t>2</w:t>
      </w:r>
      <w:r>
        <w:rPr>
          <w:rFonts w:hint="eastAsia" w:ascii="宋体" w:hAnsi="宋体" w:cs="宋体"/>
          <w:bCs/>
          <w:color w:val="000000"/>
          <w:szCs w:val="21"/>
          <w:highlight w:val="none"/>
          <w:lang w:val="zh-CN"/>
        </w:rPr>
        <w:t>）</w:t>
      </w:r>
      <w:r>
        <w:rPr>
          <w:rFonts w:hint="eastAsia" w:ascii="宋体" w:hAnsi="宋体" w:cs="宋体"/>
          <w:bCs/>
          <w:color w:val="000000"/>
          <w:szCs w:val="21"/>
          <w:highlight w:val="none"/>
          <w:u w:val="single"/>
          <w:lang w:val="en-US" w:eastAsia="zh-CN"/>
        </w:rPr>
        <w:t xml:space="preserve">                 </w:t>
      </w:r>
      <w:r>
        <w:rPr>
          <w:rFonts w:hint="eastAsia" w:ascii="宋体" w:hAnsi="宋体" w:cs="宋体"/>
          <w:bCs/>
          <w:color w:val="000000"/>
          <w:szCs w:val="21"/>
          <w:highlight w:val="none"/>
          <w:u w:val="single"/>
          <w:lang w:val="zh-CN"/>
        </w:rPr>
        <w:t>（联合体成员）</w:t>
      </w:r>
      <w:r>
        <w:rPr>
          <w:rFonts w:hint="eastAsia" w:ascii="宋体" w:hAnsi="宋体" w:cs="宋体"/>
          <w:bCs/>
          <w:color w:val="000000"/>
          <w:szCs w:val="21"/>
          <w:highlight w:val="none"/>
          <w:lang w:val="zh-CN"/>
        </w:rPr>
        <w:t>：主要负责</w:t>
      </w:r>
      <w:r>
        <w:rPr>
          <w:rFonts w:hint="eastAsia" w:ascii="宋体" w:hAnsi="宋体" w:cs="宋体"/>
          <w:b/>
          <w:bCs w:val="0"/>
          <w:color w:val="000000"/>
          <w:szCs w:val="21"/>
          <w:highlight w:val="none"/>
          <w:u w:val="single"/>
          <w:lang w:val="en-US" w:eastAsia="zh-CN"/>
        </w:rPr>
        <w:t>全过程造价咨询工作任务</w:t>
      </w:r>
      <w:r>
        <w:rPr>
          <w:rFonts w:hint="eastAsia" w:ascii="宋体" w:hAnsi="宋体" w:cs="宋体"/>
          <w:bCs/>
          <w:color w:val="000000"/>
          <w:szCs w:val="21"/>
          <w:highlight w:val="none"/>
          <w:lang w:val="zh-CN"/>
        </w:rPr>
        <w:t>，具体按合同要求。</w:t>
      </w:r>
    </w:p>
    <w:p>
      <w:pPr>
        <w:autoSpaceDE w:val="0"/>
        <w:autoSpaceDN w:val="0"/>
        <w:adjustRightInd w:val="0"/>
        <w:spacing w:line="300" w:lineRule="auto"/>
        <w:ind w:firstLine="420" w:firstLineChars="200"/>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lang w:val="en-US" w:eastAsia="zh-CN"/>
        </w:rPr>
        <w:t>5</w:t>
      </w:r>
      <w:r>
        <w:rPr>
          <w:rFonts w:hint="eastAsia" w:ascii="宋体" w:hAnsi="宋体" w:cs="宋体"/>
          <w:bCs/>
          <w:color w:val="000000"/>
          <w:szCs w:val="21"/>
          <w:highlight w:val="none"/>
          <w:lang w:val="zh-CN"/>
        </w:rPr>
        <w:t>.本协议书自所有成员单位法定代表人或其委托代理人签字或盖单位章之日起生效，合同履行完毕后自动失效。</w:t>
      </w:r>
    </w:p>
    <w:p>
      <w:pPr>
        <w:autoSpaceDE w:val="0"/>
        <w:autoSpaceDN w:val="0"/>
        <w:adjustRightInd w:val="0"/>
        <w:spacing w:line="300" w:lineRule="auto"/>
        <w:ind w:firstLine="420" w:firstLineChars="200"/>
        <w:jc w:val="left"/>
        <w:rPr>
          <w:rFonts w:hint="eastAsia" w:ascii="宋体" w:hAnsi="宋体" w:cs="宋体"/>
          <w:bCs/>
          <w:color w:val="000000"/>
          <w:szCs w:val="21"/>
          <w:highlight w:val="none"/>
          <w:lang w:val="zh-CN"/>
        </w:rPr>
      </w:pPr>
    </w:p>
    <w:p>
      <w:pPr>
        <w:autoSpaceDE w:val="0"/>
        <w:autoSpaceDN w:val="0"/>
        <w:adjustRightInd w:val="0"/>
        <w:spacing w:line="300" w:lineRule="auto"/>
        <w:ind w:firstLine="422" w:firstLineChars="200"/>
        <w:jc w:val="left"/>
        <w:rPr>
          <w:rFonts w:hint="eastAsia" w:ascii="宋体" w:hAnsi="宋体" w:cs="宋体"/>
          <w:b/>
          <w:bCs w:val="0"/>
          <w:color w:val="000000"/>
          <w:szCs w:val="21"/>
          <w:highlight w:val="none"/>
          <w:lang w:val="zh-CN"/>
        </w:rPr>
      </w:pPr>
      <w:r>
        <w:rPr>
          <w:rFonts w:hint="eastAsia" w:ascii="宋体" w:hAnsi="宋体" w:cs="宋体"/>
          <w:b/>
          <w:bCs w:val="0"/>
          <w:color w:val="000000"/>
          <w:szCs w:val="21"/>
          <w:highlight w:val="none"/>
          <w:lang w:val="zh-CN"/>
        </w:rPr>
        <w:t>注：本协议书由法定代表人签字的，应附法定代表人身份证明；由委托代理人签字的，应附授权委托书。（联合体各方需出具）</w:t>
      </w:r>
    </w:p>
    <w:p>
      <w:pPr>
        <w:autoSpaceDE w:val="0"/>
        <w:autoSpaceDN w:val="0"/>
        <w:adjustRightInd w:val="0"/>
        <w:spacing w:line="300" w:lineRule="auto"/>
        <w:ind w:firstLine="420" w:firstLineChars="200"/>
        <w:jc w:val="left"/>
        <w:rPr>
          <w:rFonts w:hint="eastAsia" w:ascii="宋体" w:hAnsi="宋体" w:cs="宋体"/>
          <w:bCs/>
          <w:color w:val="000000"/>
          <w:szCs w:val="21"/>
          <w:highlight w:val="none"/>
          <w:lang w:val="zh-CN"/>
        </w:rPr>
      </w:pPr>
    </w:p>
    <w:p>
      <w:pPr>
        <w:autoSpaceDE w:val="0"/>
        <w:autoSpaceDN w:val="0"/>
        <w:adjustRightInd w:val="0"/>
        <w:spacing w:line="300" w:lineRule="auto"/>
        <w:ind w:firstLine="420" w:firstLineChars="200"/>
        <w:jc w:val="left"/>
        <w:rPr>
          <w:rFonts w:hint="eastAsia" w:ascii="宋体" w:hAnsi="宋体" w:cs="宋体"/>
          <w:bCs/>
          <w:color w:val="000000"/>
          <w:szCs w:val="21"/>
          <w:highlight w:val="none"/>
          <w:lang w:val="zh-CN"/>
        </w:rPr>
      </w:pPr>
    </w:p>
    <w:p>
      <w:pPr>
        <w:autoSpaceDE w:val="0"/>
        <w:autoSpaceDN w:val="0"/>
        <w:adjustRightInd w:val="0"/>
        <w:spacing w:line="300" w:lineRule="auto"/>
        <w:ind w:firstLine="420" w:firstLineChars="200"/>
        <w:jc w:val="left"/>
        <w:rPr>
          <w:rFonts w:hint="eastAsia" w:ascii="宋体" w:hAnsi="宋体" w:cs="宋体"/>
          <w:bCs/>
          <w:color w:val="000000"/>
          <w:szCs w:val="21"/>
          <w:highlight w:val="none"/>
          <w:lang w:val="zh-CN"/>
        </w:rPr>
      </w:pPr>
    </w:p>
    <w:p>
      <w:pPr>
        <w:autoSpaceDE w:val="0"/>
        <w:autoSpaceDN w:val="0"/>
        <w:adjustRightInd w:val="0"/>
        <w:spacing w:line="300" w:lineRule="auto"/>
        <w:ind w:firstLine="420" w:firstLineChars="200"/>
        <w:jc w:val="righ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联合体主办方名称：</w:t>
      </w:r>
      <w:r>
        <w:rPr>
          <w:rFonts w:hint="eastAsia" w:ascii="宋体" w:hAnsi="宋体" w:cs="宋体"/>
          <w:bCs/>
          <w:color w:val="000000"/>
          <w:szCs w:val="21"/>
          <w:highlight w:val="none"/>
          <w:u w:val="single"/>
          <w:lang w:val="en-US" w:eastAsia="zh-CN"/>
        </w:rPr>
        <w:t xml:space="preserve">                  </w:t>
      </w:r>
      <w:r>
        <w:rPr>
          <w:rFonts w:hint="eastAsia" w:ascii="宋体" w:hAnsi="宋体" w:cs="宋体"/>
          <w:bCs/>
          <w:color w:val="000000"/>
          <w:szCs w:val="21"/>
          <w:highlight w:val="none"/>
          <w:lang w:val="zh-CN"/>
        </w:rPr>
        <w:t>（盖单位章）</w:t>
      </w:r>
    </w:p>
    <w:p>
      <w:pPr>
        <w:autoSpaceDE w:val="0"/>
        <w:autoSpaceDN w:val="0"/>
        <w:adjustRightInd w:val="0"/>
        <w:spacing w:line="300" w:lineRule="auto"/>
        <w:ind w:firstLine="420" w:firstLineChars="200"/>
        <w:jc w:val="righ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法定代表人或其委托代理人：</w:t>
      </w:r>
      <w:r>
        <w:rPr>
          <w:rFonts w:hint="eastAsia" w:ascii="宋体" w:hAnsi="宋体" w:cs="宋体"/>
          <w:bCs/>
          <w:color w:val="000000"/>
          <w:szCs w:val="21"/>
          <w:highlight w:val="none"/>
          <w:u w:val="single"/>
          <w:lang w:val="en-US" w:eastAsia="zh-CN"/>
        </w:rPr>
        <w:t xml:space="preserve">        </w:t>
      </w:r>
      <w:r>
        <w:rPr>
          <w:rFonts w:hint="eastAsia" w:ascii="宋体" w:hAnsi="宋体" w:cs="宋体"/>
          <w:bCs/>
          <w:color w:val="000000"/>
          <w:szCs w:val="21"/>
          <w:highlight w:val="none"/>
          <w:lang w:val="zh-CN"/>
        </w:rPr>
        <w:t>（签字或盖章）</w:t>
      </w:r>
    </w:p>
    <w:p>
      <w:pPr>
        <w:autoSpaceDE w:val="0"/>
        <w:autoSpaceDN w:val="0"/>
        <w:adjustRightInd w:val="0"/>
        <w:spacing w:line="300" w:lineRule="auto"/>
        <w:ind w:firstLine="420" w:firstLineChars="200"/>
        <w:jc w:val="righ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联合体成员名称：</w:t>
      </w:r>
      <w:r>
        <w:rPr>
          <w:rFonts w:hint="eastAsia" w:ascii="宋体" w:hAnsi="宋体" w:cs="宋体"/>
          <w:bCs/>
          <w:color w:val="000000"/>
          <w:szCs w:val="21"/>
          <w:highlight w:val="none"/>
          <w:u w:val="single"/>
          <w:lang w:val="en-US" w:eastAsia="zh-CN"/>
        </w:rPr>
        <w:t xml:space="preserve">                  </w:t>
      </w:r>
      <w:r>
        <w:rPr>
          <w:rFonts w:hint="eastAsia" w:ascii="宋体" w:hAnsi="宋体" w:cs="宋体"/>
          <w:bCs/>
          <w:color w:val="000000"/>
          <w:szCs w:val="21"/>
          <w:highlight w:val="none"/>
          <w:lang w:val="zh-CN"/>
        </w:rPr>
        <w:t>（盖单位章）</w:t>
      </w:r>
    </w:p>
    <w:p>
      <w:pPr>
        <w:autoSpaceDE w:val="0"/>
        <w:autoSpaceDN w:val="0"/>
        <w:adjustRightInd w:val="0"/>
        <w:spacing w:line="300" w:lineRule="auto"/>
        <w:ind w:firstLine="420" w:firstLineChars="200"/>
        <w:jc w:val="righ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法定代表人或其委托代理人：</w:t>
      </w:r>
      <w:r>
        <w:rPr>
          <w:rFonts w:hint="eastAsia" w:ascii="宋体" w:hAnsi="宋体" w:cs="宋体"/>
          <w:bCs/>
          <w:color w:val="000000"/>
          <w:szCs w:val="21"/>
          <w:highlight w:val="none"/>
          <w:u w:val="single"/>
          <w:lang w:val="en-US" w:eastAsia="zh-CN"/>
        </w:rPr>
        <w:t xml:space="preserve">        </w:t>
      </w:r>
      <w:r>
        <w:rPr>
          <w:rFonts w:hint="eastAsia" w:ascii="宋体" w:hAnsi="宋体" w:cs="宋体"/>
          <w:bCs/>
          <w:color w:val="000000"/>
          <w:szCs w:val="21"/>
          <w:highlight w:val="none"/>
          <w:lang w:val="zh-CN"/>
        </w:rPr>
        <w:t>（签字或盖章）</w:t>
      </w:r>
    </w:p>
    <w:p>
      <w:pPr>
        <w:autoSpaceDE w:val="0"/>
        <w:autoSpaceDN w:val="0"/>
        <w:adjustRightInd w:val="0"/>
        <w:spacing w:line="300" w:lineRule="auto"/>
        <w:ind w:firstLine="420" w:firstLineChars="200"/>
        <w:jc w:val="righ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联合体成员名称：</w:t>
      </w:r>
      <w:r>
        <w:rPr>
          <w:rFonts w:hint="eastAsia" w:ascii="宋体" w:hAnsi="宋体" w:cs="宋体"/>
          <w:bCs/>
          <w:color w:val="000000"/>
          <w:szCs w:val="21"/>
          <w:highlight w:val="none"/>
          <w:u w:val="single"/>
          <w:lang w:val="en-US" w:eastAsia="zh-CN"/>
        </w:rPr>
        <w:t xml:space="preserve">                  </w:t>
      </w:r>
      <w:r>
        <w:rPr>
          <w:rFonts w:hint="eastAsia" w:ascii="宋体" w:hAnsi="宋体" w:cs="宋体"/>
          <w:bCs/>
          <w:color w:val="000000"/>
          <w:szCs w:val="21"/>
          <w:highlight w:val="none"/>
          <w:lang w:val="zh-CN"/>
        </w:rPr>
        <w:t>（盖单位章）</w:t>
      </w:r>
    </w:p>
    <w:p>
      <w:pPr>
        <w:autoSpaceDE w:val="0"/>
        <w:autoSpaceDN w:val="0"/>
        <w:adjustRightInd w:val="0"/>
        <w:spacing w:line="300" w:lineRule="auto"/>
        <w:ind w:firstLine="420" w:firstLineChars="200"/>
        <w:jc w:val="righ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法定代表人或其委托代理人：</w:t>
      </w:r>
      <w:r>
        <w:rPr>
          <w:rFonts w:hint="eastAsia" w:ascii="宋体" w:hAnsi="宋体" w:cs="宋体"/>
          <w:bCs/>
          <w:color w:val="000000"/>
          <w:szCs w:val="21"/>
          <w:highlight w:val="none"/>
          <w:u w:val="single"/>
          <w:lang w:val="en-US" w:eastAsia="zh-CN"/>
        </w:rPr>
        <w:t xml:space="preserve">        </w:t>
      </w:r>
      <w:r>
        <w:rPr>
          <w:rFonts w:hint="eastAsia" w:ascii="宋体" w:hAnsi="宋体" w:cs="宋体"/>
          <w:bCs/>
          <w:color w:val="000000"/>
          <w:szCs w:val="21"/>
          <w:highlight w:val="none"/>
          <w:lang w:val="zh-CN"/>
        </w:rPr>
        <w:t>（签字或盖章）</w:t>
      </w:r>
    </w:p>
    <w:p>
      <w:pPr>
        <w:pStyle w:val="6"/>
        <w:rPr>
          <w:rFonts w:hint="eastAsia"/>
          <w:color w:val="000000"/>
          <w:highlight w:val="none"/>
          <w:lang w:val="zh-CN"/>
        </w:rPr>
      </w:pPr>
    </w:p>
    <w:p>
      <w:pPr>
        <w:autoSpaceDE w:val="0"/>
        <w:autoSpaceDN w:val="0"/>
        <w:adjustRightInd w:val="0"/>
        <w:spacing w:line="300" w:lineRule="auto"/>
        <w:ind w:firstLine="420" w:firstLineChars="200"/>
        <w:jc w:val="right"/>
        <w:rPr>
          <w:rFonts w:hint="eastAsia" w:ascii="宋体" w:hAnsi="宋体" w:cs="宋体"/>
          <w:bCs/>
          <w:color w:val="000000"/>
          <w:szCs w:val="21"/>
          <w:highlight w:val="none"/>
          <w:lang w:val="zh-CN"/>
        </w:rPr>
      </w:pPr>
      <w:r>
        <w:rPr>
          <w:rFonts w:hint="eastAsia" w:ascii="宋体" w:hAnsi="宋体" w:cs="宋体"/>
          <w:bCs/>
          <w:color w:val="000000"/>
          <w:szCs w:val="21"/>
          <w:highlight w:val="none"/>
          <w:u w:val="single"/>
          <w:lang w:val="en-US" w:eastAsia="zh-CN"/>
        </w:rPr>
        <w:t xml:space="preserve">     </w:t>
      </w:r>
      <w:r>
        <w:rPr>
          <w:rFonts w:hint="eastAsia" w:ascii="宋体" w:hAnsi="宋体" w:cs="宋体"/>
          <w:bCs/>
          <w:color w:val="000000"/>
          <w:szCs w:val="21"/>
          <w:highlight w:val="none"/>
          <w:lang w:val="zh-CN"/>
        </w:rPr>
        <w:t>年</w:t>
      </w:r>
      <w:r>
        <w:rPr>
          <w:rFonts w:hint="eastAsia" w:ascii="宋体" w:hAnsi="宋体" w:cs="宋体"/>
          <w:bCs/>
          <w:color w:val="000000"/>
          <w:szCs w:val="21"/>
          <w:highlight w:val="none"/>
          <w:u w:val="single"/>
          <w:lang w:val="en-US" w:eastAsia="zh-CN"/>
        </w:rPr>
        <w:t xml:space="preserve">   </w:t>
      </w:r>
      <w:r>
        <w:rPr>
          <w:rFonts w:hint="eastAsia" w:ascii="宋体" w:hAnsi="宋体" w:cs="宋体"/>
          <w:bCs/>
          <w:color w:val="000000"/>
          <w:szCs w:val="21"/>
          <w:highlight w:val="none"/>
          <w:lang w:val="zh-CN"/>
        </w:rPr>
        <w:t>月</w:t>
      </w:r>
      <w:r>
        <w:rPr>
          <w:rFonts w:hint="eastAsia" w:ascii="宋体" w:hAnsi="宋体" w:cs="宋体"/>
          <w:bCs/>
          <w:color w:val="000000"/>
          <w:szCs w:val="21"/>
          <w:highlight w:val="none"/>
          <w:u w:val="single"/>
          <w:lang w:val="en-US" w:eastAsia="zh-CN"/>
        </w:rPr>
        <w:t xml:space="preserve">   </w:t>
      </w:r>
      <w:r>
        <w:rPr>
          <w:rFonts w:hint="eastAsia" w:ascii="宋体" w:hAnsi="宋体" w:cs="宋体"/>
          <w:bCs/>
          <w:color w:val="000000"/>
          <w:szCs w:val="21"/>
          <w:highlight w:val="none"/>
          <w:lang w:val="zh-CN"/>
        </w:rPr>
        <w:t>日</w:t>
      </w:r>
    </w:p>
    <w:p>
      <w:pPr>
        <w:pStyle w:val="6"/>
        <w:rPr>
          <w:rFonts w:hint="eastAsia" w:eastAsia="宋体"/>
          <w:lang w:val="en-US" w:eastAsia="zh-CN"/>
        </w:rPr>
      </w:pPr>
      <w:r>
        <w:rPr>
          <w:rFonts w:hint="eastAsia" w:ascii="宋体" w:hAnsi="宋体" w:cs="宋体"/>
          <w:bCs/>
          <w:color w:val="000000"/>
          <w:szCs w:val="21"/>
          <w:highlight w:val="none"/>
          <w:lang w:val="zh-CN"/>
        </w:rPr>
        <w:t>注：单独投标的，无需提交本协议书。</w:t>
      </w:r>
    </w:p>
    <w:sectPr>
      <w:headerReference r:id="rId3" w:type="default"/>
      <w:footerReference r:id="rId4" w:type="default"/>
      <w:pgSz w:w="11906" w:h="16838"/>
      <w:pgMar w:top="1440" w:right="1274"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w:t>
    </w:r>
    <w:r>
      <w:fldChar w:fldCharType="end"/>
    </w:r>
  </w:p>
  <w:p>
    <w:pPr>
      <w:pStyle w:val="9"/>
      <w:tabs>
        <w:tab w:val="clear" w:pos="4153"/>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1MTI3OTRkYjRiOWZhYjMyOWY1N2FkNTBiOTIwYzMifQ=="/>
  </w:docVars>
  <w:rsids>
    <w:rsidRoot w:val="00000000"/>
    <w:rsid w:val="027D0F8C"/>
    <w:rsid w:val="032367D4"/>
    <w:rsid w:val="035D5ADF"/>
    <w:rsid w:val="0376055F"/>
    <w:rsid w:val="046A31E1"/>
    <w:rsid w:val="064045CE"/>
    <w:rsid w:val="066F6991"/>
    <w:rsid w:val="06A4752D"/>
    <w:rsid w:val="06EB17BD"/>
    <w:rsid w:val="07E757B0"/>
    <w:rsid w:val="08FF26FB"/>
    <w:rsid w:val="0AC560ED"/>
    <w:rsid w:val="0B5004FC"/>
    <w:rsid w:val="0BEE3495"/>
    <w:rsid w:val="0C490619"/>
    <w:rsid w:val="11C371C3"/>
    <w:rsid w:val="144638D4"/>
    <w:rsid w:val="16004A0E"/>
    <w:rsid w:val="164B1398"/>
    <w:rsid w:val="167202D8"/>
    <w:rsid w:val="176205D3"/>
    <w:rsid w:val="186356CB"/>
    <w:rsid w:val="18A354A2"/>
    <w:rsid w:val="18E637EA"/>
    <w:rsid w:val="19E020D4"/>
    <w:rsid w:val="1A5171B8"/>
    <w:rsid w:val="1B3851DB"/>
    <w:rsid w:val="1C5520DC"/>
    <w:rsid w:val="1C9B204E"/>
    <w:rsid w:val="1CFF47FD"/>
    <w:rsid w:val="1DD255DE"/>
    <w:rsid w:val="1EC84DEF"/>
    <w:rsid w:val="1F515C61"/>
    <w:rsid w:val="1FFC12EA"/>
    <w:rsid w:val="20454A56"/>
    <w:rsid w:val="22C95DFC"/>
    <w:rsid w:val="237D650A"/>
    <w:rsid w:val="24074EA7"/>
    <w:rsid w:val="24CE77F6"/>
    <w:rsid w:val="25441A90"/>
    <w:rsid w:val="266149A8"/>
    <w:rsid w:val="269D4B35"/>
    <w:rsid w:val="269E759F"/>
    <w:rsid w:val="279544FE"/>
    <w:rsid w:val="2798776A"/>
    <w:rsid w:val="2CCB572F"/>
    <w:rsid w:val="2CEB7AC7"/>
    <w:rsid w:val="2DD55231"/>
    <w:rsid w:val="2E72140B"/>
    <w:rsid w:val="2E984E55"/>
    <w:rsid w:val="2F5E5B1E"/>
    <w:rsid w:val="2F630D19"/>
    <w:rsid w:val="303E7AA1"/>
    <w:rsid w:val="308B7DEE"/>
    <w:rsid w:val="310959FE"/>
    <w:rsid w:val="319A3E5D"/>
    <w:rsid w:val="329B27ED"/>
    <w:rsid w:val="33CD3272"/>
    <w:rsid w:val="34254E5C"/>
    <w:rsid w:val="342B29CF"/>
    <w:rsid w:val="34814C96"/>
    <w:rsid w:val="34DB113C"/>
    <w:rsid w:val="367E6BC1"/>
    <w:rsid w:val="36F32FEF"/>
    <w:rsid w:val="371B250F"/>
    <w:rsid w:val="376143FD"/>
    <w:rsid w:val="37721E11"/>
    <w:rsid w:val="38E7418B"/>
    <w:rsid w:val="39A9583C"/>
    <w:rsid w:val="3B7C6DE4"/>
    <w:rsid w:val="3BEE1FD7"/>
    <w:rsid w:val="3ECA731B"/>
    <w:rsid w:val="3F045EC9"/>
    <w:rsid w:val="3F935EA3"/>
    <w:rsid w:val="40871009"/>
    <w:rsid w:val="426F528B"/>
    <w:rsid w:val="43056584"/>
    <w:rsid w:val="43FD55B4"/>
    <w:rsid w:val="463A26D8"/>
    <w:rsid w:val="464709F1"/>
    <w:rsid w:val="47545B5A"/>
    <w:rsid w:val="492B563E"/>
    <w:rsid w:val="4A30334E"/>
    <w:rsid w:val="4BE403A3"/>
    <w:rsid w:val="4C13678A"/>
    <w:rsid w:val="4C726431"/>
    <w:rsid w:val="4E031912"/>
    <w:rsid w:val="4E4F5CB5"/>
    <w:rsid w:val="4EC15DB0"/>
    <w:rsid w:val="4F727617"/>
    <w:rsid w:val="51D966D5"/>
    <w:rsid w:val="52417765"/>
    <w:rsid w:val="526D238F"/>
    <w:rsid w:val="52CE4A94"/>
    <w:rsid w:val="530E56EF"/>
    <w:rsid w:val="5389448B"/>
    <w:rsid w:val="538D65EE"/>
    <w:rsid w:val="53940191"/>
    <w:rsid w:val="53DB68FA"/>
    <w:rsid w:val="547B689D"/>
    <w:rsid w:val="553D6779"/>
    <w:rsid w:val="560A4BB8"/>
    <w:rsid w:val="562A1763"/>
    <w:rsid w:val="56C02A96"/>
    <w:rsid w:val="580845F6"/>
    <w:rsid w:val="58095FD8"/>
    <w:rsid w:val="58767AE1"/>
    <w:rsid w:val="58C352F8"/>
    <w:rsid w:val="59DA63CD"/>
    <w:rsid w:val="5BE85AFE"/>
    <w:rsid w:val="5C6209E3"/>
    <w:rsid w:val="5C7D38A7"/>
    <w:rsid w:val="5E94370E"/>
    <w:rsid w:val="5F781D09"/>
    <w:rsid w:val="61100A06"/>
    <w:rsid w:val="61BF323D"/>
    <w:rsid w:val="629C467A"/>
    <w:rsid w:val="6377613F"/>
    <w:rsid w:val="63A81293"/>
    <w:rsid w:val="66CB0AD2"/>
    <w:rsid w:val="6714281A"/>
    <w:rsid w:val="6C636F4A"/>
    <w:rsid w:val="6CC61D04"/>
    <w:rsid w:val="6E5B4AA6"/>
    <w:rsid w:val="701E018B"/>
    <w:rsid w:val="70723935"/>
    <w:rsid w:val="71CB5165"/>
    <w:rsid w:val="71E05992"/>
    <w:rsid w:val="72E3393E"/>
    <w:rsid w:val="7315137C"/>
    <w:rsid w:val="7328462E"/>
    <w:rsid w:val="736D33EC"/>
    <w:rsid w:val="739E3BBB"/>
    <w:rsid w:val="74666E87"/>
    <w:rsid w:val="76194D8E"/>
    <w:rsid w:val="779F3B72"/>
    <w:rsid w:val="77A779AB"/>
    <w:rsid w:val="7A355867"/>
    <w:rsid w:val="7B3147A6"/>
    <w:rsid w:val="7D023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0" w:lineRule="auto"/>
      <w:outlineLvl w:val="1"/>
    </w:pPr>
    <w:rPr>
      <w:rFonts w:ascii="Arial" w:hAnsi="Arial" w:eastAsia="黑体"/>
      <w:b/>
      <w:kern w:val="0"/>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next w:val="1"/>
    <w:semiHidden/>
    <w:qFormat/>
    <w:uiPriority w:val="99"/>
    <w:pPr>
      <w:ind w:firstLine="420"/>
    </w:pPr>
  </w:style>
  <w:style w:type="paragraph" w:styleId="4">
    <w:name w:val="annotation text"/>
    <w:basedOn w:val="1"/>
    <w:next w:val="5"/>
    <w:qFormat/>
    <w:uiPriority w:val="0"/>
    <w:pPr>
      <w:jc w:val="left"/>
    </w:pPr>
  </w:style>
  <w:style w:type="paragraph" w:styleId="5">
    <w:name w:val="Balloon Text"/>
    <w:basedOn w:val="1"/>
    <w:unhideWhenUsed/>
    <w:qFormat/>
    <w:uiPriority w:val="0"/>
    <w:rPr>
      <w:rFonts w:eastAsia="等线"/>
      <w:sz w:val="18"/>
      <w:szCs w:val="18"/>
    </w:rPr>
  </w:style>
  <w:style w:type="paragraph" w:styleId="6">
    <w:name w:val="Body Text"/>
    <w:basedOn w:val="1"/>
    <w:next w:val="7"/>
    <w:qFormat/>
    <w:uiPriority w:val="0"/>
    <w:pPr>
      <w:spacing w:after="120"/>
    </w:pPr>
    <w:rPr>
      <w:rFonts w:ascii="Calibri" w:hAnsi="Calibri"/>
    </w:rPr>
  </w:style>
  <w:style w:type="paragraph" w:styleId="7">
    <w:name w:val="Title"/>
    <w:basedOn w:val="1"/>
    <w:next w:val="1"/>
    <w:qFormat/>
    <w:uiPriority w:val="10"/>
    <w:pPr>
      <w:spacing w:before="240" w:after="60"/>
      <w:jc w:val="center"/>
      <w:outlineLvl w:val="0"/>
    </w:pPr>
    <w:rPr>
      <w:rFonts w:ascii="Cambria" w:hAnsi="Cambria"/>
      <w:b/>
      <w:bCs/>
      <w:sz w:val="32"/>
      <w:szCs w:val="32"/>
      <w:lang w:val="zh-CN"/>
    </w:rPr>
  </w:style>
  <w:style w:type="paragraph" w:styleId="8">
    <w:name w:val="Plain Text"/>
    <w:basedOn w:val="1"/>
    <w:next w:val="1"/>
    <w:qFormat/>
    <w:uiPriority w:val="0"/>
    <w:rPr>
      <w:rFonts w:ascii="宋体" w:hAnsi="Courier New"/>
      <w:szCs w:val="20"/>
    </w:rPr>
  </w:style>
  <w:style w:type="paragraph" w:styleId="9">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Body Text First Indent"/>
    <w:basedOn w:val="6"/>
    <w:next w:val="1"/>
    <w:qFormat/>
    <w:uiPriority w:val="0"/>
    <w:pPr>
      <w:ind w:firstLine="420" w:firstLineChars="100"/>
    </w:pPr>
  </w:style>
  <w:style w:type="character" w:styleId="14">
    <w:name w:val="Hyperlink"/>
    <w:basedOn w:val="13"/>
    <w:qFormat/>
    <w:uiPriority w:val="0"/>
    <w:rPr>
      <w:color w:val="0000FF"/>
      <w:u w:val="single"/>
    </w:rPr>
  </w:style>
  <w:style w:type="character" w:styleId="15">
    <w:name w:val="annotation reference"/>
    <w:qFormat/>
    <w:uiPriority w:val="0"/>
    <w:rPr>
      <w:sz w:val="21"/>
      <w:szCs w:val="21"/>
    </w:rPr>
  </w:style>
  <w:style w:type="paragraph" w:customStyle="1" w:styleId="16">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样式 宋体 行距: 1.5 倍行距"/>
    <w:basedOn w:val="1"/>
    <w:qFormat/>
    <w:uiPriority w:val="0"/>
    <w:pPr>
      <w:jc w:val="center"/>
    </w:pPr>
    <w:rPr>
      <w:b/>
    </w:rPr>
  </w:style>
  <w:style w:type="paragraph" w:customStyle="1" w:styleId="18">
    <w:name w:val="正文文本1"/>
    <w:basedOn w:val="1"/>
    <w:qFormat/>
    <w:uiPriority w:val="0"/>
    <w:pPr>
      <w:spacing w:line="420" w:lineRule="auto"/>
      <w:ind w:firstLine="400"/>
    </w:pPr>
    <w:rPr>
      <w:rFonts w:ascii="宋体" w:hAnsi="宋体" w:cs="宋体" w:eastAsiaTheme="minorEastAsia"/>
      <w:color w:val="auto"/>
      <w:kern w:val="2"/>
      <w:sz w:val="21"/>
      <w:szCs w:val="22"/>
      <w:lang w:eastAsia="zh-CN" w:bidi="ar-SA"/>
    </w:rPr>
  </w:style>
  <w:style w:type="paragraph" w:customStyle="1" w:styleId="19">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2023-11-15T01:02:00Z</dcterms:created>
  <dc:creator>unigo</dc:creator>
  <cp:lastModifiedBy>黄佳浩</cp:lastModifiedBy>
  <dcterms:modified xsi:type="dcterms:W3CDTF">2024-10-31T09:16:43Z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E455A791D39545F1AB83456929E121FD_12</vt:lpwstr>
  </property>
</Properties>
</file>