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09" w:leftChars="474" w:hanging="1566" w:hangingChars="300"/>
        <w:rPr>
          <w:rFonts w:hint="eastAsia" w:ascii="宋体" w:hAnsi="宋体" w:eastAsia="宋体" w:cs="Times New Roman"/>
          <w:b/>
          <w:color w:val="auto"/>
          <w:sz w:val="52"/>
          <w:szCs w:val="52"/>
          <w:highlight w:val="none"/>
          <w:lang w:eastAsia="zh-CN"/>
        </w:rPr>
      </w:pPr>
      <w:bookmarkStart w:id="0" w:name="_Toc23287_WPSOffice_Level3"/>
      <w:r>
        <w:rPr>
          <w:rFonts w:hint="eastAsia" w:ascii="宋体" w:hAnsi="宋体" w:eastAsia="宋体" w:cs="Times New Roman"/>
          <w:b/>
          <w:color w:val="auto"/>
          <w:sz w:val="52"/>
          <w:szCs w:val="52"/>
          <w:highlight w:val="none"/>
          <w:lang w:eastAsia="zh-CN"/>
        </w:rPr>
        <w:t>雷州市看守所迁建项目勘察</w:t>
      </w:r>
    </w:p>
    <w:p>
      <w:pPr>
        <w:ind w:left="2609" w:leftChars="474" w:hanging="1566" w:hangingChars="300"/>
        <w:rPr>
          <w:rFonts w:hint="eastAsia" w:ascii="宋体" w:hAnsi="宋体" w:eastAsia="宋体" w:cs="Times New Roman"/>
          <w:b/>
          <w:color w:val="auto"/>
          <w:sz w:val="52"/>
          <w:szCs w:val="52"/>
          <w:highlight w:val="none"/>
          <w:lang w:eastAsia="zh-CN"/>
        </w:rPr>
      </w:pPr>
      <w:r>
        <w:rPr>
          <w:rFonts w:hint="eastAsia" w:ascii="宋体" w:hAnsi="宋体" w:eastAsia="宋体" w:cs="Times New Roman"/>
          <w:b/>
          <w:color w:val="auto"/>
          <w:sz w:val="52"/>
          <w:szCs w:val="52"/>
          <w:highlight w:val="none"/>
          <w:lang w:eastAsia="zh-CN"/>
        </w:rPr>
        <w:t>和方案设计及初步设计项目</w:t>
      </w:r>
    </w:p>
    <w:p>
      <w:pPr>
        <w:ind w:left="2600" w:leftChars="1182" w:firstLine="522" w:firstLineChars="100"/>
        <w:rPr>
          <w:rFonts w:hint="eastAsia" w:ascii="宋体" w:hAnsi="宋体" w:eastAsia="宋体" w:cs="Times New Roman"/>
          <w:b/>
          <w:color w:val="auto"/>
          <w:sz w:val="52"/>
          <w:szCs w:val="52"/>
          <w:highlight w:val="none"/>
          <w:lang w:eastAsia="zh-CN"/>
        </w:rPr>
      </w:pPr>
      <w:r>
        <w:rPr>
          <w:rFonts w:hint="eastAsia" w:ascii="宋体" w:hAnsi="宋体" w:eastAsia="宋体" w:cs="Times New Roman"/>
          <w:b/>
          <w:color w:val="auto"/>
          <w:sz w:val="52"/>
          <w:szCs w:val="52"/>
          <w:highlight w:val="none"/>
          <w:lang w:eastAsia="zh-CN"/>
        </w:rPr>
        <w:t>招标公告</w:t>
      </w:r>
      <w:bookmarkEnd w:id="0"/>
    </w:p>
    <w:p>
      <w:pPr>
        <w:pStyle w:val="6"/>
        <w:numPr>
          <w:ilvl w:val="1"/>
          <w:numId w:val="1"/>
        </w:numPr>
        <w:autoSpaceDE w:val="0"/>
        <w:autoSpaceDN w:val="0"/>
        <w:snapToGrid w:val="0"/>
        <w:spacing w:before="196" w:after="160" w:line="360" w:lineRule="auto"/>
        <w:ind w:left="778" w:hanging="566"/>
        <w:jc w:val="both"/>
        <w:rPr>
          <w:color w:val="auto"/>
        </w:rPr>
      </w:pPr>
      <w:r>
        <w:rPr>
          <w:rFonts w:hint="eastAsia"/>
          <w:color w:val="auto"/>
        </w:rPr>
        <w:t>招标</w:t>
      </w:r>
      <w:r>
        <w:rPr>
          <w:rFonts w:hint="eastAsia"/>
          <w:color w:val="auto"/>
          <w:lang w:val="en-US" w:eastAsia="zh-CN"/>
        </w:rPr>
        <w:t>条件</w:t>
      </w:r>
    </w:p>
    <w:p>
      <w:pPr>
        <w:snapToGrid w:val="0"/>
        <w:spacing w:line="360" w:lineRule="auto"/>
        <w:ind w:firstLine="480" w:firstLineChars="200"/>
        <w:rPr>
          <w:rFonts w:hint="eastAsia"/>
          <w:color w:val="auto"/>
          <w:sz w:val="24"/>
          <w:szCs w:val="24"/>
        </w:rPr>
      </w:pPr>
      <w:r>
        <w:rPr>
          <w:rFonts w:hint="eastAsia"/>
          <w:color w:val="auto"/>
          <w:sz w:val="24"/>
          <w:szCs w:val="24"/>
        </w:rPr>
        <w:t xml:space="preserve">1.1.1 </w:t>
      </w:r>
      <w:r>
        <w:rPr>
          <w:rFonts w:hint="eastAsia"/>
          <w:color w:val="auto"/>
          <w:sz w:val="24"/>
          <w:szCs w:val="24"/>
          <w:u w:val="single"/>
        </w:rPr>
        <w:t>雷州市公安局</w:t>
      </w:r>
      <w:r>
        <w:rPr>
          <w:rFonts w:hint="eastAsia"/>
          <w:color w:val="auto"/>
          <w:sz w:val="24"/>
          <w:szCs w:val="24"/>
        </w:rPr>
        <w:t>作为</w:t>
      </w:r>
      <w:r>
        <w:rPr>
          <w:rFonts w:hint="eastAsia"/>
          <w:color w:val="auto"/>
          <w:sz w:val="24"/>
          <w:szCs w:val="24"/>
          <w:u w:val="single"/>
        </w:rPr>
        <w:t>雷州市看守所迁建项目勘察和方案设计及初步设计项目</w:t>
      </w:r>
      <w:r>
        <w:rPr>
          <w:rFonts w:hint="eastAsia"/>
          <w:color w:val="auto"/>
          <w:sz w:val="24"/>
          <w:szCs w:val="24"/>
        </w:rPr>
        <w:t>的招标人，已按照有关法律、法规、规章等规定完成了勘察和方案设计及初步设计招标前的所有批准、登记、备案等手续，已具备勘察和方案设计及初步设计招标的条件。项目业主为</w:t>
      </w:r>
      <w:r>
        <w:rPr>
          <w:rFonts w:hint="eastAsia"/>
          <w:color w:val="auto"/>
          <w:sz w:val="24"/>
          <w:szCs w:val="24"/>
          <w:u w:val="single"/>
        </w:rPr>
        <w:t>雷州市公安局</w:t>
      </w:r>
      <w:r>
        <w:rPr>
          <w:rFonts w:hint="eastAsia"/>
          <w:color w:val="auto"/>
          <w:sz w:val="24"/>
          <w:szCs w:val="24"/>
        </w:rPr>
        <w:t>，</w:t>
      </w:r>
      <w:r>
        <w:rPr>
          <w:rFonts w:hint="eastAsia"/>
          <w:color w:val="auto"/>
          <w:sz w:val="24"/>
          <w:szCs w:val="24"/>
          <w:u w:val="single"/>
        </w:rPr>
        <w:t>雷州市公安局</w:t>
      </w:r>
      <w:r>
        <w:rPr>
          <w:rFonts w:hint="eastAsia"/>
          <w:color w:val="auto"/>
          <w:sz w:val="24"/>
          <w:szCs w:val="24"/>
        </w:rPr>
        <w:t>委托</w:t>
      </w:r>
      <w:r>
        <w:rPr>
          <w:rFonts w:hint="eastAsia"/>
          <w:color w:val="auto"/>
          <w:sz w:val="24"/>
          <w:szCs w:val="24"/>
          <w:u w:val="single"/>
        </w:rPr>
        <w:t>北京市建壮咨询有限公司</w:t>
      </w:r>
      <w:r>
        <w:rPr>
          <w:rFonts w:hint="eastAsia"/>
          <w:color w:val="auto"/>
          <w:sz w:val="24"/>
          <w:szCs w:val="24"/>
        </w:rPr>
        <w:t>对项目进行招标代理，组织进行本工程的勘察和方案设计及初步设计公开招标工作，选定勘察和方案设计及初步设计单位。</w:t>
      </w:r>
    </w:p>
    <w:p>
      <w:pPr>
        <w:pStyle w:val="6"/>
        <w:numPr>
          <w:ilvl w:val="1"/>
          <w:numId w:val="1"/>
        </w:numPr>
        <w:autoSpaceDE w:val="0"/>
        <w:autoSpaceDN w:val="0"/>
        <w:snapToGrid w:val="0"/>
        <w:spacing w:before="196" w:after="160" w:line="360" w:lineRule="auto"/>
        <w:ind w:left="778" w:hanging="566"/>
        <w:jc w:val="both"/>
        <w:rPr>
          <w:color w:val="auto"/>
        </w:rPr>
      </w:pPr>
      <w:bookmarkStart w:id="1" w:name="_Toc27858_WPSOffice_Level3"/>
      <w:r>
        <w:rPr>
          <w:rFonts w:hint="eastAsia"/>
          <w:color w:val="auto"/>
        </w:rPr>
        <w:t>项目概况</w:t>
      </w:r>
      <w:bookmarkEnd w:id="1"/>
    </w:p>
    <w:p>
      <w:pPr>
        <w:snapToGrid w:val="0"/>
        <w:spacing w:line="360" w:lineRule="auto"/>
        <w:ind w:firstLine="480" w:firstLineChars="200"/>
        <w:rPr>
          <w:rFonts w:hint="eastAsia"/>
          <w:color w:val="auto"/>
          <w:sz w:val="24"/>
          <w:szCs w:val="24"/>
          <w:u w:val="single"/>
        </w:rPr>
      </w:pPr>
      <w:r>
        <w:rPr>
          <w:rFonts w:hint="eastAsia"/>
          <w:color w:val="auto"/>
          <w:sz w:val="24"/>
          <w:szCs w:val="24"/>
        </w:rPr>
        <w:t>1.2.1 工程名称：</w:t>
      </w:r>
      <w:r>
        <w:rPr>
          <w:rFonts w:hint="eastAsia"/>
          <w:color w:val="auto"/>
          <w:sz w:val="24"/>
          <w:szCs w:val="24"/>
          <w:u w:val="single"/>
        </w:rPr>
        <w:t>雷州市看守所迁建项目勘察和方案设计及初步设计项目</w:t>
      </w:r>
    </w:p>
    <w:p>
      <w:pPr>
        <w:snapToGrid w:val="0"/>
        <w:spacing w:line="360" w:lineRule="auto"/>
        <w:ind w:firstLine="480" w:firstLineChars="200"/>
        <w:rPr>
          <w:rFonts w:hint="eastAsia"/>
          <w:color w:val="auto"/>
          <w:sz w:val="24"/>
          <w:szCs w:val="24"/>
        </w:rPr>
      </w:pPr>
      <w:r>
        <w:rPr>
          <w:rFonts w:hint="eastAsia"/>
          <w:color w:val="auto"/>
          <w:sz w:val="24"/>
          <w:szCs w:val="24"/>
        </w:rPr>
        <w:t>1.2.2 工程位置：</w:t>
      </w:r>
      <w:r>
        <w:rPr>
          <w:rFonts w:hint="eastAsia"/>
          <w:color w:val="auto"/>
          <w:sz w:val="24"/>
          <w:szCs w:val="24"/>
          <w:u w:val="single"/>
        </w:rPr>
        <w:t>雷州市白沙镇慈里村东侧(原白沙镇合兴水果场）</w:t>
      </w:r>
    </w:p>
    <w:p>
      <w:pPr>
        <w:snapToGrid w:val="0"/>
        <w:spacing w:line="360" w:lineRule="auto"/>
        <w:ind w:firstLine="480" w:firstLineChars="200"/>
        <w:rPr>
          <w:rFonts w:hint="eastAsia"/>
          <w:color w:val="auto"/>
          <w:sz w:val="24"/>
          <w:szCs w:val="24"/>
        </w:rPr>
      </w:pPr>
      <w:r>
        <w:rPr>
          <w:rFonts w:hint="eastAsia"/>
          <w:color w:val="auto"/>
          <w:sz w:val="24"/>
          <w:szCs w:val="24"/>
        </w:rPr>
        <w:t xml:space="preserve">1.2.3 主要建设内容包括： </w:t>
      </w:r>
    </w:p>
    <w:p>
      <w:pPr>
        <w:snapToGrid w:val="0"/>
        <w:spacing w:line="360" w:lineRule="auto"/>
        <w:ind w:firstLine="480" w:firstLineChars="200"/>
        <w:rPr>
          <w:rFonts w:hint="eastAsia" w:cs="宋体"/>
          <w:color w:val="auto"/>
          <w:sz w:val="24"/>
          <w:szCs w:val="24"/>
          <w:u w:val="single"/>
        </w:rPr>
      </w:pPr>
      <w:r>
        <w:rPr>
          <w:rFonts w:hint="eastAsia"/>
          <w:color w:val="auto"/>
          <w:sz w:val="24"/>
          <w:szCs w:val="24"/>
        </w:rPr>
        <w:t xml:space="preserve">本项目用地面积 </w:t>
      </w:r>
      <w:r>
        <w:rPr>
          <w:color w:val="auto"/>
          <w:sz w:val="24"/>
          <w:szCs w:val="24"/>
        </w:rPr>
        <w:t xml:space="preserve">195264 </w:t>
      </w:r>
      <w:r>
        <w:rPr>
          <w:rFonts w:hint="eastAsia"/>
          <w:color w:val="auto"/>
          <w:sz w:val="24"/>
          <w:szCs w:val="24"/>
        </w:rPr>
        <w:t xml:space="preserve">㎡，含有预留发展用地 </w:t>
      </w:r>
      <w:r>
        <w:rPr>
          <w:color w:val="auto"/>
          <w:sz w:val="24"/>
          <w:szCs w:val="24"/>
        </w:rPr>
        <w:t xml:space="preserve">64847 </w:t>
      </w:r>
      <w:r>
        <w:rPr>
          <w:rFonts w:hint="eastAsia"/>
          <w:color w:val="auto"/>
          <w:sz w:val="24"/>
          <w:szCs w:val="24"/>
        </w:rPr>
        <w:t>㎡，总建筑面积</w:t>
      </w:r>
      <w:r>
        <w:rPr>
          <w:color w:val="auto"/>
          <w:sz w:val="24"/>
          <w:szCs w:val="24"/>
        </w:rPr>
        <w:t xml:space="preserve">59623 </w:t>
      </w:r>
      <w:r>
        <w:rPr>
          <w:rFonts w:hint="eastAsia"/>
          <w:color w:val="auto"/>
          <w:sz w:val="24"/>
          <w:szCs w:val="24"/>
        </w:rPr>
        <w:t xml:space="preserve">㎡，其中看守所建筑面积 </w:t>
      </w:r>
      <w:r>
        <w:rPr>
          <w:color w:val="auto"/>
          <w:sz w:val="24"/>
          <w:szCs w:val="24"/>
        </w:rPr>
        <w:t xml:space="preserve">55374 </w:t>
      </w:r>
      <w:r>
        <w:rPr>
          <w:rFonts w:hint="eastAsia"/>
          <w:color w:val="auto"/>
          <w:sz w:val="24"/>
          <w:szCs w:val="24"/>
        </w:rPr>
        <w:t>㎡，武警营区建筑面积</w:t>
      </w:r>
      <w:r>
        <w:rPr>
          <w:color w:val="auto"/>
          <w:sz w:val="24"/>
          <w:szCs w:val="24"/>
        </w:rPr>
        <w:t>4249</w:t>
      </w:r>
      <w:r>
        <w:rPr>
          <w:rFonts w:hint="eastAsia"/>
          <w:color w:val="auto"/>
          <w:sz w:val="24"/>
          <w:szCs w:val="24"/>
        </w:rPr>
        <w:t xml:space="preserve">㎡；看守所场地（含基底）面积 </w:t>
      </w:r>
      <w:r>
        <w:rPr>
          <w:color w:val="auto"/>
          <w:sz w:val="24"/>
          <w:szCs w:val="24"/>
        </w:rPr>
        <w:t xml:space="preserve">101625 </w:t>
      </w:r>
      <w:r>
        <w:rPr>
          <w:rFonts w:hint="eastAsia"/>
          <w:color w:val="auto"/>
          <w:sz w:val="24"/>
          <w:szCs w:val="24"/>
        </w:rPr>
        <w:t xml:space="preserve">㎡，其中场地面积 </w:t>
      </w:r>
      <w:r>
        <w:rPr>
          <w:color w:val="auto"/>
          <w:sz w:val="24"/>
          <w:szCs w:val="24"/>
        </w:rPr>
        <w:t>66094</w:t>
      </w:r>
      <w:r>
        <w:rPr>
          <w:rFonts w:hint="eastAsia"/>
          <w:color w:val="auto"/>
          <w:sz w:val="24"/>
          <w:szCs w:val="24"/>
        </w:rPr>
        <w:t xml:space="preserve">㎡，基底面积 </w:t>
      </w:r>
      <w:r>
        <w:rPr>
          <w:color w:val="auto"/>
          <w:sz w:val="24"/>
          <w:szCs w:val="24"/>
        </w:rPr>
        <w:t>35531</w:t>
      </w:r>
      <w:r>
        <w:rPr>
          <w:rFonts w:hint="eastAsia"/>
          <w:color w:val="auto"/>
          <w:sz w:val="24"/>
          <w:szCs w:val="24"/>
        </w:rPr>
        <w:t xml:space="preserve">㎡；武警营区场地（含基底）面积 </w:t>
      </w:r>
      <w:r>
        <w:rPr>
          <w:color w:val="auto"/>
          <w:sz w:val="24"/>
          <w:szCs w:val="24"/>
        </w:rPr>
        <w:t xml:space="preserve">10000 </w:t>
      </w:r>
      <w:r>
        <w:rPr>
          <w:rFonts w:hint="eastAsia"/>
          <w:color w:val="auto"/>
          <w:sz w:val="24"/>
          <w:szCs w:val="24"/>
        </w:rPr>
        <w:t>㎡（</w:t>
      </w:r>
      <w:r>
        <w:rPr>
          <w:color w:val="auto"/>
          <w:sz w:val="24"/>
          <w:szCs w:val="24"/>
        </w:rPr>
        <w:t>15</w:t>
      </w:r>
      <w:r>
        <w:rPr>
          <w:rFonts w:hint="eastAsia"/>
          <w:color w:val="auto"/>
          <w:sz w:val="24"/>
          <w:szCs w:val="24"/>
        </w:rPr>
        <w:t xml:space="preserve">亩），其中场地面积 </w:t>
      </w:r>
      <w:r>
        <w:rPr>
          <w:color w:val="auto"/>
          <w:sz w:val="24"/>
          <w:szCs w:val="24"/>
        </w:rPr>
        <w:t xml:space="preserve">8098 </w:t>
      </w:r>
      <w:r>
        <w:rPr>
          <w:rFonts w:hint="eastAsia"/>
          <w:color w:val="auto"/>
          <w:sz w:val="24"/>
          <w:szCs w:val="24"/>
        </w:rPr>
        <w:t xml:space="preserve">㎡，基底面积 </w:t>
      </w:r>
      <w:r>
        <w:rPr>
          <w:color w:val="auto"/>
          <w:sz w:val="24"/>
          <w:szCs w:val="24"/>
        </w:rPr>
        <w:t xml:space="preserve">1902 </w:t>
      </w:r>
      <w:r>
        <w:rPr>
          <w:rFonts w:hint="eastAsia"/>
          <w:color w:val="auto"/>
          <w:sz w:val="24"/>
          <w:szCs w:val="24"/>
        </w:rPr>
        <w:t xml:space="preserve">㎡；其他附属配套设施面积 </w:t>
      </w:r>
      <w:r>
        <w:rPr>
          <w:color w:val="auto"/>
          <w:sz w:val="24"/>
          <w:szCs w:val="24"/>
        </w:rPr>
        <w:t xml:space="preserve">18792 </w:t>
      </w:r>
      <w:r>
        <w:rPr>
          <w:rFonts w:hint="eastAsia"/>
          <w:color w:val="auto"/>
          <w:sz w:val="24"/>
          <w:szCs w:val="24"/>
        </w:rPr>
        <w:t xml:space="preserve">㎡；新建围墙长度 </w:t>
      </w:r>
      <w:r>
        <w:rPr>
          <w:color w:val="auto"/>
          <w:sz w:val="24"/>
          <w:szCs w:val="24"/>
        </w:rPr>
        <w:t>2946m</w:t>
      </w:r>
      <w:r>
        <w:rPr>
          <w:rFonts w:hint="eastAsia"/>
          <w:color w:val="auto"/>
          <w:sz w:val="24"/>
          <w:szCs w:val="24"/>
        </w:rPr>
        <w:t xml:space="preserve">，其中监区围墙 </w:t>
      </w:r>
      <w:r>
        <w:rPr>
          <w:color w:val="auto"/>
          <w:sz w:val="24"/>
          <w:szCs w:val="24"/>
        </w:rPr>
        <w:t>1126m</w:t>
      </w:r>
      <w:r>
        <w:rPr>
          <w:rFonts w:hint="eastAsia"/>
          <w:color w:val="auto"/>
          <w:sz w:val="24"/>
          <w:szCs w:val="24"/>
        </w:rPr>
        <w:t xml:space="preserve">，武警营区围墙长度 </w:t>
      </w:r>
      <w:r>
        <w:rPr>
          <w:color w:val="auto"/>
          <w:sz w:val="24"/>
          <w:szCs w:val="24"/>
        </w:rPr>
        <w:t>520m</w:t>
      </w:r>
      <w:r>
        <w:rPr>
          <w:rFonts w:hint="eastAsia"/>
          <w:color w:val="auto"/>
          <w:sz w:val="24"/>
          <w:szCs w:val="24"/>
        </w:rPr>
        <w:t xml:space="preserve">，建项目地块围墙 </w:t>
      </w:r>
      <w:r>
        <w:rPr>
          <w:color w:val="auto"/>
          <w:sz w:val="24"/>
          <w:szCs w:val="24"/>
        </w:rPr>
        <w:t>1300m</w:t>
      </w:r>
      <w:r>
        <w:rPr>
          <w:rFonts w:hint="eastAsia"/>
          <w:color w:val="auto"/>
          <w:sz w:val="24"/>
          <w:szCs w:val="24"/>
        </w:rPr>
        <w:t>（不含武警营区围墙）。</w:t>
      </w:r>
    </w:p>
    <w:p>
      <w:pPr>
        <w:pStyle w:val="7"/>
        <w:snapToGrid w:val="0"/>
        <w:spacing w:line="360" w:lineRule="auto"/>
        <w:rPr>
          <w:rFonts w:hint="eastAsia"/>
          <w:color w:val="auto"/>
          <w:szCs w:val="24"/>
          <w:u w:val="single"/>
        </w:rPr>
      </w:pPr>
      <w:r>
        <w:rPr>
          <w:rFonts w:hint="eastAsia" w:ascii="宋体" w:hAnsi="宋体"/>
          <w:color w:val="auto"/>
          <w:szCs w:val="24"/>
        </w:rPr>
        <w:t xml:space="preserve">1.2.4 </w:t>
      </w:r>
      <w:r>
        <w:rPr>
          <w:rFonts w:hint="eastAsia"/>
          <w:color w:val="auto"/>
          <w:szCs w:val="24"/>
        </w:rPr>
        <w:t>项目批准文件：</w:t>
      </w:r>
      <w:r>
        <w:rPr>
          <w:rFonts w:hint="eastAsia"/>
          <w:color w:val="auto"/>
          <w:szCs w:val="24"/>
          <w:u w:val="single"/>
        </w:rPr>
        <w:t>雷发改审[2021]74 号</w:t>
      </w:r>
    </w:p>
    <w:p>
      <w:pPr>
        <w:snapToGrid w:val="0"/>
        <w:spacing w:line="360" w:lineRule="auto"/>
        <w:ind w:firstLine="480" w:firstLineChars="200"/>
        <w:rPr>
          <w:color w:val="auto"/>
          <w:sz w:val="24"/>
          <w:szCs w:val="24"/>
        </w:rPr>
      </w:pPr>
      <w:r>
        <w:rPr>
          <w:rFonts w:hint="eastAsia"/>
          <w:color w:val="auto"/>
          <w:sz w:val="24"/>
          <w:szCs w:val="24"/>
        </w:rPr>
        <w:t>1.2.5 资金来源：</w:t>
      </w:r>
      <w:r>
        <w:rPr>
          <w:rFonts w:hint="eastAsia"/>
          <w:color w:val="auto"/>
          <w:sz w:val="24"/>
          <w:szCs w:val="24"/>
          <w:u w:val="single"/>
        </w:rPr>
        <w:t>省级财政及地方财政共同统筹安排</w:t>
      </w:r>
      <w:r>
        <w:rPr>
          <w:rFonts w:hint="eastAsia"/>
          <w:color w:val="auto"/>
          <w:sz w:val="24"/>
          <w:szCs w:val="24"/>
        </w:rPr>
        <w:t xml:space="preserve">  </w:t>
      </w:r>
    </w:p>
    <w:p>
      <w:pPr>
        <w:snapToGrid w:val="0"/>
        <w:spacing w:line="360" w:lineRule="auto"/>
        <w:ind w:firstLine="480" w:firstLineChars="200"/>
        <w:rPr>
          <w:rFonts w:hint="eastAsia"/>
          <w:color w:val="auto"/>
          <w:sz w:val="24"/>
          <w:szCs w:val="24"/>
          <w:u w:val="single"/>
        </w:rPr>
      </w:pPr>
      <w:r>
        <w:rPr>
          <w:rFonts w:hint="eastAsia"/>
          <w:color w:val="auto"/>
          <w:sz w:val="24"/>
          <w:szCs w:val="24"/>
        </w:rPr>
        <w:t>1.2.6 项目总投资：</w:t>
      </w:r>
      <w:r>
        <w:rPr>
          <w:rFonts w:hint="eastAsia"/>
          <w:color w:val="auto"/>
          <w:sz w:val="24"/>
          <w:szCs w:val="24"/>
          <w:u w:val="single"/>
        </w:rPr>
        <w:t>44420.62 万元，其中工程费用36878.11 万元，其他费用4252.06 万元，预备费 3290.45 万元。</w:t>
      </w:r>
    </w:p>
    <w:p>
      <w:pPr>
        <w:snapToGrid w:val="0"/>
        <w:spacing w:line="360" w:lineRule="auto"/>
        <w:ind w:firstLine="480" w:firstLineChars="200"/>
        <w:rPr>
          <w:rFonts w:hint="eastAsia"/>
          <w:color w:val="auto"/>
        </w:rPr>
      </w:pPr>
      <w:r>
        <w:rPr>
          <w:rFonts w:hint="eastAsia"/>
          <w:color w:val="auto"/>
          <w:sz w:val="24"/>
          <w:szCs w:val="24"/>
        </w:rPr>
        <w:t>1.2.7 招标内容：</w:t>
      </w:r>
      <w:r>
        <w:rPr>
          <w:rFonts w:hint="eastAsia"/>
          <w:color w:val="auto"/>
          <w:sz w:val="24"/>
          <w:szCs w:val="24"/>
          <w:u w:val="single"/>
        </w:rPr>
        <w:t>工程地质勘察、土壤氡浓度检测、建设用地红线范围内及周边地下管线物探、工程物探（如需）、总体规划（包括室外及景观设计）。本项目设计押量1800人；总占地面积195264平方米；总建筑面积59623平方米，其中看守所建筑面积55374平方米，武警营区建筑面积4249平方米。建设内容包含监房(不含室外活动场)、办案及管理用房、业务大楼、综合楼、训练馆、岗楼、室外活动场(加顶盖)、室外及其他配套设施、信息化系统、AB门、厨房设备等，及相关配套设施等勘察、方案设计、初步设计、概算编制，配合施工图设计单位承担的施工图设计与施工服务，现场指导与监督及质量缺陷处理等后续服务。最终提供成果满足发包人对该项目使用要求的一切相关配套附属项目的勘察、方案设计及初步设计和工程服务及工程后续等内容。</w:t>
      </w:r>
    </w:p>
    <w:p>
      <w:pPr>
        <w:pStyle w:val="6"/>
        <w:numPr>
          <w:ilvl w:val="1"/>
          <w:numId w:val="1"/>
        </w:numPr>
        <w:autoSpaceDE w:val="0"/>
        <w:autoSpaceDN w:val="0"/>
        <w:spacing w:before="196" w:after="160" w:line="360" w:lineRule="auto"/>
        <w:ind w:left="778" w:hanging="566"/>
        <w:jc w:val="both"/>
        <w:rPr>
          <w:color w:val="auto"/>
        </w:rPr>
      </w:pPr>
      <w:bookmarkStart w:id="2" w:name="_Toc20124_WPSOffice_Level3"/>
      <w:r>
        <w:rPr>
          <w:rFonts w:hint="eastAsia"/>
          <w:color w:val="auto"/>
        </w:rPr>
        <w:t>前期服务机构</w:t>
      </w:r>
      <w:bookmarkEnd w:id="2"/>
    </w:p>
    <w:p>
      <w:pPr>
        <w:snapToGrid w:val="0"/>
        <w:spacing w:line="360" w:lineRule="auto"/>
        <w:ind w:firstLine="480" w:firstLineChars="200"/>
        <w:rPr>
          <w:rFonts w:hint="eastAsia"/>
          <w:color w:val="auto"/>
          <w:sz w:val="24"/>
          <w:szCs w:val="24"/>
        </w:rPr>
      </w:pPr>
      <w:r>
        <w:rPr>
          <w:rFonts w:hint="eastAsia"/>
          <w:color w:val="auto"/>
          <w:sz w:val="24"/>
          <w:szCs w:val="24"/>
        </w:rPr>
        <w:t>1.3.1 机构名称：</w:t>
      </w:r>
      <w:r>
        <w:rPr>
          <w:rFonts w:hint="eastAsia"/>
          <w:color w:val="auto"/>
          <w:sz w:val="24"/>
          <w:szCs w:val="24"/>
          <w:u w:val="single"/>
        </w:rPr>
        <w:t>广东省建筑设计研究院有限公司</w:t>
      </w:r>
    </w:p>
    <w:p>
      <w:pPr>
        <w:snapToGrid w:val="0"/>
        <w:spacing w:line="360" w:lineRule="auto"/>
        <w:ind w:firstLine="480" w:firstLineChars="200"/>
        <w:rPr>
          <w:rFonts w:hint="eastAsia"/>
          <w:color w:val="auto"/>
          <w:sz w:val="24"/>
          <w:szCs w:val="24"/>
        </w:rPr>
      </w:pPr>
      <w:bookmarkStart w:id="3" w:name="_Toc20633_WPSOffice_Level3"/>
      <w:r>
        <w:rPr>
          <w:rFonts w:hint="eastAsia"/>
          <w:color w:val="auto"/>
          <w:sz w:val="24"/>
          <w:szCs w:val="24"/>
        </w:rPr>
        <w:t>1.3.2 如果前期服务机构参加本次投标，应将本公告发布前最终完成的工作成果（含电子文件）在投标人购买招标文件的同时提供给所有投标人参考，否则前期参与的服务机构中标无效。</w:t>
      </w:r>
    </w:p>
    <w:p>
      <w:pPr>
        <w:pStyle w:val="6"/>
        <w:numPr>
          <w:ilvl w:val="1"/>
          <w:numId w:val="1"/>
        </w:numPr>
        <w:autoSpaceDE w:val="0"/>
        <w:autoSpaceDN w:val="0"/>
        <w:spacing w:before="196" w:after="160" w:line="360" w:lineRule="auto"/>
        <w:ind w:left="778" w:hanging="566"/>
        <w:jc w:val="both"/>
        <w:rPr>
          <w:color w:val="auto"/>
        </w:rPr>
      </w:pPr>
      <w:r>
        <w:rPr>
          <w:rFonts w:hint="eastAsia"/>
          <w:color w:val="auto"/>
        </w:rPr>
        <w:t>投标资格</w:t>
      </w:r>
      <w:bookmarkEnd w:id="3"/>
    </w:p>
    <w:p>
      <w:pPr>
        <w:snapToGrid w:val="0"/>
        <w:spacing w:line="360" w:lineRule="auto"/>
        <w:ind w:firstLine="480" w:firstLineChars="200"/>
        <w:rPr>
          <w:rFonts w:hint="eastAsia"/>
          <w:color w:val="auto"/>
          <w:sz w:val="24"/>
          <w:szCs w:val="24"/>
        </w:rPr>
      </w:pPr>
      <w:r>
        <w:rPr>
          <w:rFonts w:hint="eastAsia"/>
          <w:color w:val="auto"/>
          <w:sz w:val="24"/>
          <w:szCs w:val="24"/>
        </w:rPr>
        <w:t>1.4.1 本招标工程只接受具有独立法人资格并依法取得有效营业执照的投标人投标。</w:t>
      </w:r>
    </w:p>
    <w:p>
      <w:pPr>
        <w:snapToGrid w:val="0"/>
        <w:spacing w:line="360" w:lineRule="auto"/>
        <w:ind w:firstLine="480" w:firstLineChars="200"/>
        <w:rPr>
          <w:rFonts w:hint="eastAsia"/>
          <w:color w:val="auto"/>
          <w:sz w:val="24"/>
          <w:szCs w:val="24"/>
        </w:rPr>
      </w:pPr>
      <w:r>
        <w:rPr>
          <w:rFonts w:hint="eastAsia"/>
          <w:color w:val="auto"/>
          <w:sz w:val="24"/>
          <w:szCs w:val="24"/>
        </w:rPr>
        <w:t>1.4.2 投标人须同时具备以下资质：</w:t>
      </w:r>
    </w:p>
    <w:p>
      <w:pPr>
        <w:snapToGrid w:val="0"/>
        <w:spacing w:line="360" w:lineRule="auto"/>
        <w:ind w:firstLine="480" w:firstLineChars="200"/>
        <w:rPr>
          <w:rFonts w:hint="eastAsia"/>
          <w:color w:val="auto"/>
          <w:sz w:val="24"/>
          <w:szCs w:val="24"/>
        </w:rPr>
      </w:pPr>
      <w:r>
        <w:rPr>
          <w:rFonts w:hint="eastAsia"/>
          <w:color w:val="auto"/>
          <w:sz w:val="24"/>
          <w:szCs w:val="24"/>
        </w:rPr>
        <w:t>（1）勘察资质：</w:t>
      </w:r>
      <w:r>
        <w:rPr>
          <w:rFonts w:hint="eastAsia"/>
          <w:color w:val="auto"/>
          <w:sz w:val="24"/>
          <w:szCs w:val="24"/>
          <w:u w:val="single"/>
        </w:rPr>
        <w:t>工程勘察综合类</w:t>
      </w:r>
      <w:r>
        <w:rPr>
          <w:rFonts w:hint="eastAsia"/>
          <w:color w:val="auto"/>
          <w:sz w:val="24"/>
          <w:szCs w:val="24"/>
          <w:u w:val="single"/>
          <w:lang w:eastAsia="zh-CN"/>
        </w:rPr>
        <w:t>甲级</w:t>
      </w:r>
      <w:r>
        <w:rPr>
          <w:rFonts w:hint="eastAsia"/>
          <w:color w:val="auto"/>
          <w:sz w:val="24"/>
          <w:szCs w:val="24"/>
          <w:u w:val="single"/>
        </w:rPr>
        <w:t>或工程勘察专业类（岩土工程）甲级资质。</w:t>
      </w:r>
    </w:p>
    <w:p>
      <w:pPr>
        <w:snapToGrid w:val="0"/>
        <w:spacing w:line="360" w:lineRule="auto"/>
        <w:ind w:firstLine="480" w:firstLineChars="200"/>
        <w:rPr>
          <w:rFonts w:hint="eastAsia"/>
          <w:color w:val="auto"/>
          <w:sz w:val="24"/>
          <w:szCs w:val="24"/>
          <w:u w:val="single"/>
        </w:rPr>
      </w:pPr>
      <w:r>
        <w:rPr>
          <w:rFonts w:hint="eastAsia"/>
          <w:color w:val="auto"/>
          <w:sz w:val="24"/>
          <w:szCs w:val="24"/>
        </w:rPr>
        <w:t>（2）设计资质：</w:t>
      </w:r>
      <w:r>
        <w:rPr>
          <w:rFonts w:hint="eastAsia"/>
          <w:color w:val="auto"/>
          <w:sz w:val="24"/>
          <w:szCs w:val="24"/>
          <w:u w:val="single"/>
        </w:rPr>
        <w:t>工程设计综合甲级资质；或建筑行业设计甲级资质；或建筑行业（建筑工程）专业设计甲级资质。</w:t>
      </w:r>
    </w:p>
    <w:p>
      <w:pPr>
        <w:snapToGrid w:val="0"/>
        <w:spacing w:line="360" w:lineRule="auto"/>
        <w:ind w:firstLine="480" w:firstLineChars="200"/>
        <w:rPr>
          <w:rFonts w:hint="eastAsia" w:cs="宋体"/>
          <w:color w:val="auto"/>
          <w:sz w:val="24"/>
          <w:szCs w:val="24"/>
          <w:u w:val="single"/>
        </w:rPr>
      </w:pPr>
      <w:r>
        <w:rPr>
          <w:rFonts w:hint="eastAsia"/>
          <w:color w:val="auto"/>
          <w:sz w:val="24"/>
          <w:szCs w:val="24"/>
        </w:rPr>
        <w:t xml:space="preserve"> 1.4.3 </w:t>
      </w:r>
      <w:r>
        <w:rPr>
          <w:rFonts w:hint="eastAsia" w:cs="宋体"/>
          <w:color w:val="auto"/>
          <w:sz w:val="24"/>
          <w:szCs w:val="24"/>
          <w:u w:val="single"/>
        </w:rPr>
        <w:t>本次招标接受联合体投标。联合体投标的，应满足下列要求：</w:t>
      </w:r>
    </w:p>
    <w:p>
      <w:pPr>
        <w:spacing w:line="360" w:lineRule="auto"/>
        <w:ind w:firstLine="480" w:firstLineChars="200"/>
        <w:rPr>
          <w:rFonts w:hint="eastAsia" w:cs="宋体"/>
          <w:color w:val="auto"/>
          <w:sz w:val="24"/>
          <w:szCs w:val="24"/>
          <w:u w:val="single"/>
        </w:rPr>
      </w:pPr>
      <w:r>
        <w:rPr>
          <w:rFonts w:hint="eastAsia" w:cs="宋体"/>
          <w:color w:val="auto"/>
          <w:sz w:val="24"/>
          <w:szCs w:val="24"/>
          <w:u w:val="single"/>
        </w:rPr>
        <w:t>（1）如投标人组成联合体，联合体应当在投标登记前组成，联合体组成单位不得超过2家，且应以满足本项目工程设计资质的单位为联合体主办方，并签定联合体共同投标协议</w:t>
      </w:r>
      <w:r>
        <w:rPr>
          <w:rFonts w:hint="eastAsia" w:cs="宋体"/>
          <w:color w:val="auto"/>
          <w:sz w:val="24"/>
          <w:szCs w:val="24"/>
          <w:u w:val="single"/>
          <w:lang w:eastAsia="zh-CN"/>
        </w:rPr>
        <w:t>书</w:t>
      </w:r>
      <w:r>
        <w:rPr>
          <w:rFonts w:hint="eastAsia" w:cs="宋体"/>
          <w:color w:val="auto"/>
          <w:sz w:val="24"/>
          <w:szCs w:val="24"/>
          <w:u w:val="single"/>
        </w:rPr>
        <w:t>。联合体共同投标协议</w:t>
      </w:r>
      <w:r>
        <w:rPr>
          <w:rFonts w:hint="eastAsia" w:cs="宋体"/>
          <w:color w:val="auto"/>
          <w:sz w:val="24"/>
          <w:szCs w:val="24"/>
          <w:u w:val="single"/>
          <w:lang w:eastAsia="zh-CN"/>
        </w:rPr>
        <w:t>书</w:t>
      </w:r>
      <w:r>
        <w:rPr>
          <w:rFonts w:hint="eastAsia" w:cs="宋体"/>
          <w:color w:val="auto"/>
          <w:sz w:val="24"/>
          <w:szCs w:val="24"/>
          <w:u w:val="single"/>
        </w:rPr>
        <w:t>应明确约定各方拟承担的工作和责任。投标</w:t>
      </w:r>
      <w:r>
        <w:rPr>
          <w:rFonts w:hint="eastAsia" w:cs="宋体"/>
          <w:color w:val="auto"/>
          <w:sz w:val="24"/>
          <w:szCs w:val="24"/>
          <w:u w:val="single"/>
          <w:lang w:eastAsia="zh-CN"/>
        </w:rPr>
        <w:t>登记</w:t>
      </w:r>
      <w:r>
        <w:rPr>
          <w:rFonts w:hint="eastAsia" w:cs="宋体"/>
          <w:color w:val="auto"/>
          <w:sz w:val="24"/>
          <w:szCs w:val="24"/>
          <w:u w:val="single"/>
        </w:rPr>
        <w:t>截止后联合体增减、更换成员的，其投标无效。</w:t>
      </w:r>
    </w:p>
    <w:p>
      <w:pPr>
        <w:spacing w:line="360" w:lineRule="auto"/>
        <w:ind w:firstLine="480" w:firstLineChars="200"/>
        <w:rPr>
          <w:rFonts w:hint="eastAsia" w:eastAsia="宋体" w:cs="宋体"/>
          <w:color w:val="auto"/>
          <w:sz w:val="24"/>
          <w:szCs w:val="24"/>
          <w:u w:val="single"/>
        </w:rPr>
      </w:pPr>
      <w:r>
        <w:rPr>
          <w:rFonts w:hint="eastAsia" w:cs="宋体"/>
          <w:color w:val="auto"/>
          <w:sz w:val="24"/>
          <w:szCs w:val="24"/>
        </w:rPr>
        <w:t>（2）联合体各方不得再以自己的名义单独投标，出现上述情况者，其投标申请和与此有关的联合体的投标将被拒绝；</w:t>
      </w:r>
    </w:p>
    <w:p>
      <w:pPr>
        <w:spacing w:line="360" w:lineRule="auto"/>
        <w:ind w:firstLine="480" w:firstLineChars="200"/>
        <w:rPr>
          <w:rFonts w:hint="eastAsia" w:ascii="宋体" w:hAnsi="宋体" w:eastAsia="宋体" w:cs="宋体"/>
          <w:color w:val="auto"/>
          <w:sz w:val="24"/>
          <w:szCs w:val="24"/>
          <w:u w:val="single"/>
          <w:lang w:eastAsia="zh-CN"/>
        </w:rPr>
      </w:pPr>
      <w:r>
        <w:rPr>
          <w:rFonts w:hint="eastAsia" w:eastAsia="宋体" w:cs="宋体"/>
          <w:color w:val="auto"/>
          <w:sz w:val="24"/>
          <w:szCs w:val="24"/>
          <w:u w:val="single"/>
        </w:rPr>
        <w:t xml:space="preserve">1.4.4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投标人委派的</w:t>
      </w:r>
      <w:r>
        <w:rPr>
          <w:rFonts w:hint="eastAsia" w:ascii="宋体" w:hAnsi="宋体" w:eastAsia="宋体" w:cs="宋体"/>
          <w:color w:val="auto"/>
          <w:sz w:val="24"/>
          <w:szCs w:val="24"/>
          <w:u w:val="single"/>
          <w:lang w:eastAsia="zh-CN"/>
        </w:rPr>
        <w:t>项目负责人</w:t>
      </w:r>
      <w:r>
        <w:rPr>
          <w:rFonts w:hint="eastAsia" w:ascii="宋体" w:hAnsi="宋体" w:eastAsia="宋体" w:cs="宋体"/>
          <w:color w:val="auto"/>
          <w:sz w:val="24"/>
          <w:szCs w:val="24"/>
          <w:u w:val="single"/>
        </w:rPr>
        <w:t>必须是独立体或联合体主办方</w:t>
      </w:r>
      <w:r>
        <w:rPr>
          <w:rFonts w:hint="eastAsia" w:ascii="宋体" w:hAnsi="宋体" w:eastAsia="宋体" w:cs="宋体"/>
          <w:color w:val="auto"/>
          <w:sz w:val="24"/>
          <w:szCs w:val="24"/>
          <w:u w:val="single"/>
          <w:lang w:val="en-US" w:eastAsia="zh-CN"/>
        </w:rPr>
        <w:t>(工程设计资质）</w:t>
      </w:r>
      <w:r>
        <w:rPr>
          <w:rFonts w:hint="eastAsia" w:ascii="宋体" w:hAnsi="宋体" w:eastAsia="宋体" w:cs="宋体"/>
          <w:color w:val="auto"/>
          <w:sz w:val="24"/>
          <w:szCs w:val="24"/>
          <w:u w:val="single"/>
        </w:rPr>
        <w:t>的在册人员，</w:t>
      </w:r>
      <w:r>
        <w:rPr>
          <w:rFonts w:hint="eastAsia" w:ascii="宋体" w:hAnsi="宋体" w:eastAsia="宋体" w:cs="宋体"/>
          <w:color w:val="auto"/>
          <w:sz w:val="24"/>
          <w:szCs w:val="24"/>
          <w:u w:val="single"/>
          <w:lang w:eastAsia="zh-CN"/>
        </w:rPr>
        <w:t>应</w:t>
      </w:r>
      <w:r>
        <w:rPr>
          <w:rFonts w:hint="eastAsia" w:ascii="宋体" w:hAnsi="宋体" w:eastAsia="宋体" w:cs="宋体"/>
          <w:color w:val="auto"/>
          <w:sz w:val="24"/>
          <w:szCs w:val="24"/>
          <w:u w:val="single"/>
        </w:rPr>
        <w:t>具有一级注册建筑师执业资格以及高级工程师职称，且注册执业章在有效期内。</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投标人拟派的勘察项目负责人须是本单位（独立体或联合体成员方）在册人员，具有注册岩土工程师或注册土木工程师（岩土）资格</w:t>
      </w:r>
      <w:r>
        <w:rPr>
          <w:rFonts w:hint="eastAsia" w:ascii="宋体" w:hAnsi="宋体" w:eastAsia="宋体" w:cs="宋体"/>
          <w:color w:val="auto"/>
          <w:sz w:val="24"/>
          <w:szCs w:val="24"/>
          <w:u w:val="single"/>
          <w:lang w:eastAsia="zh-CN"/>
        </w:rPr>
        <w:t>。</w:t>
      </w:r>
    </w:p>
    <w:p>
      <w:pPr>
        <w:snapToGrid w:val="0"/>
        <w:spacing w:line="360" w:lineRule="auto"/>
        <w:ind w:firstLine="480" w:firstLineChars="200"/>
        <w:rPr>
          <w:rFonts w:hint="eastAsia" w:eastAsia="宋体" w:cs="Times New Roman"/>
          <w:color w:val="auto"/>
          <w:sz w:val="24"/>
          <w:szCs w:val="24"/>
        </w:rPr>
      </w:pPr>
      <w:r>
        <w:rPr>
          <w:rFonts w:hint="eastAsia"/>
          <w:color w:val="auto"/>
          <w:sz w:val="24"/>
          <w:szCs w:val="24"/>
        </w:rPr>
        <w:t>1.4.5 投标人在“信用中国”网站（https://www.creditchina.gov.cn/）中被列入失信被执行人名单</w:t>
      </w:r>
      <w:r>
        <w:rPr>
          <w:rFonts w:hint="eastAsia"/>
          <w:color w:val="auto"/>
          <w:sz w:val="24"/>
          <w:szCs w:val="24"/>
          <w:lang w:val="en-US" w:eastAsia="zh-CN"/>
        </w:rPr>
        <w:t>,</w:t>
      </w:r>
      <w:r>
        <w:rPr>
          <w:rFonts w:hint="eastAsia" w:eastAsia="宋体" w:cs="Times New Roman"/>
          <w:color w:val="auto"/>
          <w:sz w:val="24"/>
          <w:szCs w:val="24"/>
        </w:rPr>
        <w:t>在国家企业信用信息公示系统（www.gsxt.gov.cn）中被列入严重违法失信企业名单的投标人，均按否决投标处理。</w:t>
      </w:r>
      <w:r>
        <w:rPr>
          <w:rFonts w:hint="eastAsia"/>
          <w:color w:val="auto"/>
          <w:sz w:val="24"/>
          <w:szCs w:val="24"/>
        </w:rPr>
        <w:t>（提供公告发布后网站的查询结果打印页面并加盖公章）</w:t>
      </w:r>
    </w:p>
    <w:p>
      <w:pPr>
        <w:snapToGrid w:val="0"/>
        <w:spacing w:line="360" w:lineRule="auto"/>
        <w:ind w:firstLine="480" w:firstLineChars="200"/>
        <w:rPr>
          <w:rFonts w:hint="eastAsia"/>
          <w:color w:val="auto"/>
          <w:sz w:val="24"/>
          <w:szCs w:val="24"/>
        </w:rPr>
      </w:pPr>
      <w:r>
        <w:rPr>
          <w:rFonts w:hint="eastAsia"/>
          <w:color w:val="auto"/>
          <w:sz w:val="24"/>
          <w:szCs w:val="24"/>
        </w:rPr>
        <w:t>1.4.6 根据《关于取消省外建筑企业和人员进粤信息备案有关工作的通知》粤建市[2015]52号文，省外进粤建筑企业(包括规划编制、工程初步设计、工程监理、工程设计与施工、建筑施工、城市园林绿化、工程招标代理和工程造价咨询、施工图设计文件审查、工程质量检测等单位)和人员(包括进粤建筑企业的注册执业人员、其他专业技术人员和管理人员)到我省开展建筑活动的，须在“进粤企业和人员诚信信息登记平台”录入相关信息并通过数据规范检查正常登记，提供网页截图资料。</w:t>
      </w:r>
    </w:p>
    <w:p>
      <w:pPr>
        <w:snapToGrid w:val="0"/>
        <w:spacing w:line="360" w:lineRule="auto"/>
        <w:ind w:firstLine="480" w:firstLineChars="200"/>
        <w:rPr>
          <w:rFonts w:hint="eastAsia"/>
          <w:color w:val="auto"/>
          <w:sz w:val="24"/>
          <w:szCs w:val="24"/>
        </w:rPr>
      </w:pPr>
      <w:r>
        <w:rPr>
          <w:rFonts w:hint="eastAsia"/>
          <w:color w:val="auto"/>
          <w:sz w:val="24"/>
          <w:szCs w:val="24"/>
        </w:rPr>
        <w:t>1.4.7本招标工程只接受投标人的总公司登记，不接受分公司登记。</w:t>
      </w:r>
    </w:p>
    <w:p>
      <w:pPr>
        <w:pStyle w:val="15"/>
        <w:ind w:firstLine="480" w:firstLineChars="200"/>
        <w:jc w:val="both"/>
        <w:rPr>
          <w:rFonts w:hint="eastAsia"/>
          <w:color w:val="auto"/>
        </w:rPr>
      </w:pPr>
      <w:r>
        <w:rPr>
          <w:rFonts w:hint="eastAsia" w:eastAsia="宋体"/>
          <w:color w:val="auto"/>
          <w:sz w:val="24"/>
          <w:szCs w:val="24"/>
        </w:rPr>
        <w:t>1.4.8本项目采用资格后审，资格审查的具体要求见招标文件</w:t>
      </w:r>
      <w:r>
        <w:rPr>
          <w:rFonts w:hint="eastAsia"/>
          <w:color w:val="auto"/>
          <w:sz w:val="28"/>
          <w:szCs w:val="28"/>
        </w:rPr>
        <w:t>。</w:t>
      </w:r>
    </w:p>
    <w:p>
      <w:pPr>
        <w:pStyle w:val="6"/>
        <w:numPr>
          <w:ilvl w:val="1"/>
          <w:numId w:val="1"/>
        </w:numPr>
        <w:autoSpaceDE w:val="0"/>
        <w:autoSpaceDN w:val="0"/>
        <w:spacing w:before="196" w:after="160" w:line="360" w:lineRule="auto"/>
        <w:ind w:left="778" w:hanging="566"/>
        <w:jc w:val="both"/>
        <w:rPr>
          <w:color w:val="auto"/>
        </w:rPr>
      </w:pPr>
      <w:bookmarkStart w:id="4" w:name="_Toc19524_WPSOffice_Level3"/>
      <w:r>
        <w:rPr>
          <w:rFonts w:hint="eastAsia"/>
          <w:color w:val="auto"/>
          <w:lang w:val="en-US" w:eastAsia="zh-CN"/>
        </w:rPr>
        <w:t>获取</w:t>
      </w:r>
      <w:r>
        <w:rPr>
          <w:rFonts w:hint="eastAsia"/>
          <w:color w:val="auto"/>
        </w:rPr>
        <w:t>招标文件</w:t>
      </w:r>
      <w:bookmarkEnd w:id="4"/>
    </w:p>
    <w:p>
      <w:pPr>
        <w:snapToGrid w:val="0"/>
        <w:spacing w:line="360" w:lineRule="auto"/>
        <w:ind w:firstLine="480" w:firstLineChars="200"/>
        <w:rPr>
          <w:rFonts w:hint="eastAsia"/>
          <w:color w:val="auto"/>
          <w:sz w:val="24"/>
          <w:szCs w:val="24"/>
        </w:rPr>
      </w:pPr>
      <w:r>
        <w:rPr>
          <w:rFonts w:hint="eastAsia"/>
          <w:color w:val="auto"/>
          <w:sz w:val="24"/>
          <w:szCs w:val="24"/>
        </w:rPr>
        <w:t>1.5.1 凡有意参加投标者，请于招标公告发布之日起至投标截止时间内，登录广州公共资源交易中心门户网站查看并下载招标文件以及项目有关资料。详见广州公共资源交易中心网站发布的最新版操作指引。</w:t>
      </w:r>
    </w:p>
    <w:p>
      <w:pPr>
        <w:pStyle w:val="6"/>
        <w:numPr>
          <w:ilvl w:val="1"/>
          <w:numId w:val="1"/>
        </w:numPr>
        <w:autoSpaceDE w:val="0"/>
        <w:autoSpaceDN w:val="0"/>
        <w:spacing w:before="196" w:after="160" w:line="360" w:lineRule="auto"/>
        <w:ind w:left="778" w:hanging="566"/>
        <w:jc w:val="both"/>
        <w:rPr>
          <w:color w:val="auto"/>
        </w:rPr>
      </w:pPr>
      <w:r>
        <w:rPr>
          <w:rFonts w:hint="eastAsia"/>
          <w:color w:val="auto"/>
        </w:rPr>
        <w:t>招标投标程序安排及要求</w:t>
      </w:r>
    </w:p>
    <w:p>
      <w:pPr>
        <w:pStyle w:val="17"/>
        <w:tabs>
          <w:tab w:val="left" w:pos="1500"/>
        </w:tabs>
        <w:kinsoku w:val="0"/>
        <w:overflowPunct w:val="0"/>
        <w:spacing w:before="168" w:line="374" w:lineRule="auto"/>
        <w:ind w:left="0" w:right="348" w:firstLineChars="200"/>
        <w:jc w:val="both"/>
        <w:rPr>
          <w:color w:val="000000" w:themeColor="text1"/>
          <w14:textFill>
            <w14:solidFill>
              <w14:schemeClr w14:val="tx1"/>
            </w14:solidFill>
          </w14:textFill>
        </w:rPr>
      </w:pPr>
      <w:r>
        <w:rPr>
          <w:color w:val="auto"/>
        </w:rPr>
        <w:t xml:space="preserve">1.6.1 </w:t>
      </w:r>
      <w:r>
        <w:rPr>
          <w:rFonts w:hint="eastAsia" w:ascii="宋体" w:hAnsi="宋体"/>
          <w:color w:val="auto"/>
          <w:sz w:val="24"/>
        </w:rPr>
        <w:t>本项目为非电子评标，投标人需按招标文件要求提交纸质文件及电子光盘，纸质投标文件及电子光盘递交的截止时间（投标截止时间，下同）为2022年</w:t>
      </w:r>
      <w:r>
        <w:rPr>
          <w:rFonts w:hint="eastAsia"/>
          <w:color w:val="auto"/>
          <w:sz w:val="24"/>
          <w:u w:val="single"/>
          <w:lang w:val="en-US" w:eastAsia="zh-CN"/>
        </w:rPr>
        <w:t>7</w:t>
      </w:r>
      <w:r>
        <w:rPr>
          <w:rFonts w:hint="eastAsia" w:ascii="宋体" w:hAnsi="宋体"/>
          <w:color w:val="auto"/>
          <w:sz w:val="24"/>
          <w:u w:val="single"/>
          <w:lang w:val="en-US" w:eastAsia="zh-CN"/>
        </w:rPr>
        <w:t xml:space="preserve"> </w:t>
      </w:r>
      <w:r>
        <w:rPr>
          <w:rFonts w:hint="eastAsia" w:ascii="宋体" w:hAnsi="宋体"/>
          <w:color w:val="auto"/>
          <w:sz w:val="24"/>
        </w:rPr>
        <w:t>月</w:t>
      </w:r>
      <w:r>
        <w:rPr>
          <w:rFonts w:hint="eastAsia"/>
          <w:color w:val="auto"/>
          <w:sz w:val="24"/>
          <w:u w:val="single"/>
          <w:lang w:val="en-US" w:eastAsia="zh-CN"/>
        </w:rPr>
        <w:t>18</w:t>
      </w:r>
      <w:r>
        <w:rPr>
          <w:rFonts w:hint="eastAsia" w:ascii="宋体" w:hAnsi="宋体"/>
          <w:color w:val="auto"/>
          <w:sz w:val="24"/>
        </w:rPr>
        <w:t>日</w:t>
      </w:r>
      <w:r>
        <w:rPr>
          <w:rFonts w:hint="eastAsia"/>
          <w:color w:val="auto"/>
          <w:sz w:val="24"/>
          <w:u w:val="single"/>
          <w:lang w:val="en-US" w:eastAsia="zh-CN"/>
        </w:rPr>
        <w:t>9</w:t>
      </w:r>
      <w:r>
        <w:rPr>
          <w:rFonts w:hint="eastAsia" w:ascii="宋体" w:hAnsi="宋体"/>
          <w:color w:val="auto"/>
          <w:sz w:val="24"/>
          <w:u w:val="single"/>
          <w:lang w:val="en-US" w:eastAsia="zh-CN"/>
        </w:rPr>
        <w:t xml:space="preserve"> </w:t>
      </w:r>
      <w:r>
        <w:rPr>
          <w:rFonts w:hint="eastAsia" w:ascii="宋体" w:hAnsi="宋体"/>
          <w:color w:val="auto"/>
          <w:sz w:val="24"/>
        </w:rPr>
        <w:t>时</w:t>
      </w:r>
      <w:r>
        <w:rPr>
          <w:rFonts w:hint="eastAsia"/>
          <w:color w:val="auto"/>
          <w:sz w:val="24"/>
          <w:lang w:val="en-US" w:eastAsia="zh-CN"/>
        </w:rPr>
        <w:t>30</w:t>
      </w:r>
      <w:r>
        <w:rPr>
          <w:rFonts w:hint="eastAsia" w:ascii="宋体" w:hAnsi="宋体"/>
          <w:color w:val="auto"/>
          <w:sz w:val="24"/>
        </w:rPr>
        <w:t>分，地点为广州公共资源交易中心（广州市天河区天润路333号</w:t>
      </w:r>
      <w:r>
        <w:rPr>
          <w:rFonts w:hint="eastAsia" w:ascii="宋体" w:hAnsi="宋体"/>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第</w:t>
      </w:r>
      <w:r>
        <w:rPr>
          <w:rFonts w:hint="eastAsia"/>
          <w:color w:val="000000" w:themeColor="text1"/>
          <w:sz w:val="24"/>
          <w:u w:val="single"/>
          <w:lang w:val="en-US" w:eastAsia="zh-CN"/>
          <w14:textFill>
            <w14:solidFill>
              <w14:schemeClr w14:val="tx1"/>
            </w14:solidFill>
          </w14:textFill>
        </w:rPr>
        <w:t>13</w:t>
      </w:r>
      <w:r>
        <w:rPr>
          <w:rFonts w:hint="eastAsia" w:ascii="宋体" w:hAnsi="宋体"/>
          <w:color w:val="000000" w:themeColor="text1"/>
          <w:sz w:val="24"/>
          <w14:textFill>
            <w14:solidFill>
              <w14:schemeClr w14:val="tx1"/>
            </w14:solidFill>
          </w14:textFill>
        </w:rPr>
        <w:t>开标室 （具体时</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间及地点安排详见广州公共资源交易中心网站-服务指南-交易活动安排进行查询）。</w:t>
      </w:r>
    </w:p>
    <w:p>
      <w:pPr>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1.6.2 招标公告发布时间</w:t>
      </w:r>
      <w:r>
        <w:rPr>
          <w:rFonts w:hint="eastAsia"/>
          <w:color w:val="000000" w:themeColor="text1"/>
          <w:sz w:val="24"/>
          <w:szCs w:val="24"/>
          <w:u w:val="single"/>
          <w14:textFill>
            <w14:solidFill>
              <w14:schemeClr w14:val="tx1"/>
            </w14:solidFill>
          </w14:textFill>
        </w:rPr>
        <w:t xml:space="preserve">：2022 </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6</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24</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日00时</w:t>
      </w:r>
      <w:r>
        <w:rPr>
          <w:rFonts w:hint="eastAsia"/>
          <w:color w:val="000000" w:themeColor="text1"/>
          <w:sz w:val="24"/>
          <w:szCs w:val="24"/>
          <w:lang w:eastAsia="zh-CN"/>
          <w14:textFill>
            <w14:solidFill>
              <w14:schemeClr w14:val="tx1"/>
            </w14:solidFill>
          </w14:textFill>
        </w:rPr>
        <w:t>。</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1.6.3 答疑提问截止时间：</w:t>
      </w:r>
      <w:r>
        <w:rPr>
          <w:rFonts w:hint="eastAsia"/>
          <w:color w:val="000000" w:themeColor="text1"/>
          <w:sz w:val="24"/>
          <w:szCs w:val="24"/>
          <w:u w:val="single"/>
          <w14:textFill>
            <w14:solidFill>
              <w14:schemeClr w14:val="tx1"/>
            </w14:solidFill>
          </w14:textFill>
        </w:rPr>
        <w:t>2022</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6</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27</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日17时。提问为匿名方式，通过邮箱</w:t>
      </w:r>
      <w:r>
        <w:rPr>
          <w:rStyle w:val="14"/>
          <w:rFonts w:hint="eastAsia" w:ascii="Times New Roman" w:hAnsi="Times New Roman"/>
          <w:color w:val="000000" w:themeColor="text1"/>
          <w:sz w:val="22"/>
          <w:u w:val="none"/>
          <w14:textFill>
            <w14:solidFill>
              <w14:schemeClr w14:val="tx1"/>
            </w14:solidFill>
          </w14:textFill>
        </w:rPr>
        <w:t>bjjzgs2022@163.com</w:t>
      </w:r>
      <w:r>
        <w:rPr>
          <w:rFonts w:hint="eastAsia"/>
          <w:color w:val="000000" w:themeColor="text1"/>
          <w:sz w:val="24"/>
          <w:szCs w:val="24"/>
          <w14:textFill>
            <w14:solidFill>
              <w14:schemeClr w14:val="tx1"/>
            </w14:solidFill>
          </w14:textFill>
        </w:rPr>
        <w:t>提出。</w:t>
      </w:r>
      <w:r>
        <w:rPr>
          <w:rStyle w:val="14"/>
          <w:rFonts w:hint="eastAsia"/>
          <w:color w:val="000000" w:themeColor="text1"/>
          <w:sz w:val="24"/>
          <w:szCs w:val="24"/>
          <w:u w:val="none"/>
          <w14:textFill>
            <w14:solidFill>
              <w14:schemeClr w14:val="tx1"/>
            </w14:solidFill>
          </w14:textFill>
        </w:rPr>
        <w:t>否则视为没有疑问，由此造成的后果由投标人负责。</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1.6.4 招标文件答疑、澄清、修改或补充内容发布答疑时间：</w:t>
      </w:r>
      <w:r>
        <w:rPr>
          <w:rFonts w:hint="eastAsia"/>
          <w:color w:val="000000" w:themeColor="text1"/>
          <w:sz w:val="24"/>
          <w:szCs w:val="24"/>
          <w:u w:val="single"/>
          <w14:textFill>
            <w14:solidFill>
              <w14:schemeClr w14:val="tx1"/>
            </w14:solidFill>
          </w14:textFill>
        </w:rPr>
        <w:t>2022</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7</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lang w:val="en-US" w:eastAsia="zh-CN"/>
          <w14:textFill>
            <w14:solidFill>
              <w14:schemeClr w14:val="tx1"/>
            </w14:solidFill>
          </w14:textFill>
        </w:rPr>
        <w:t>1</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日。统一在广州公共资源交易中心(http://www.gzggzy.cn/)发布。该内容在门户网站发布后将视作已发放给所有投标人，招标人不再逐一通知确认。</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1.6.5 投标文件递交的截止时间、开标时间：</w:t>
      </w:r>
    </w:p>
    <w:p>
      <w:pPr>
        <w:spacing w:line="360" w:lineRule="auto"/>
        <w:ind w:firstLine="720" w:firstLineChars="3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投标文件递交的截止时间：</w:t>
      </w:r>
      <w:r>
        <w:rPr>
          <w:rFonts w:hint="eastAsia"/>
          <w:color w:val="000000" w:themeColor="text1"/>
          <w:sz w:val="24"/>
          <w:szCs w:val="24"/>
          <w:u w:val="single"/>
          <w14:textFill>
            <w14:solidFill>
              <w14:schemeClr w14:val="tx1"/>
            </w14:solidFill>
          </w14:textFill>
        </w:rPr>
        <w:t xml:space="preserve"> 2022</w:t>
      </w:r>
      <w:r>
        <w:rPr>
          <w:rFonts w:hint="eastAsia"/>
          <w:color w:val="000000" w:themeColor="text1"/>
          <w:sz w:val="24"/>
          <w:szCs w:val="24"/>
          <w14:textFill>
            <w14:solidFill>
              <w14:schemeClr w14:val="tx1"/>
            </w14:solidFill>
          </w14:textFill>
        </w:rPr>
        <w:t>年</w:t>
      </w:r>
      <w:r>
        <w:rPr>
          <w:rFonts w:hint="eastAsia"/>
          <w:color w:val="000000" w:themeColor="text1"/>
          <w:spacing w:val="123"/>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7</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pacing w:val="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18</w:t>
      </w:r>
      <w:r>
        <w:rPr>
          <w:rFonts w:hint="eastAsia"/>
          <w:color w:val="000000" w:themeColor="text1"/>
          <w:spacing w:val="122"/>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9</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pacing w:val="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时</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30</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pacing w:val="-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分。投标文件递交地址：广州公共资源交易中心（</w:t>
      </w:r>
      <w:r>
        <w:rPr>
          <w:rFonts w:hint="eastAsia"/>
          <w:color w:val="000000" w:themeColor="text1"/>
          <w:spacing w:val="-3"/>
          <w:sz w:val="24"/>
          <w:szCs w:val="24"/>
          <w14:textFill>
            <w14:solidFill>
              <w14:schemeClr w14:val="tx1"/>
            </w14:solidFill>
          </w14:textFill>
        </w:rPr>
        <w:t xml:space="preserve">广州市天河区天润路 </w:t>
      </w:r>
      <w:r>
        <w:rPr>
          <w:rFonts w:hint="eastAsia"/>
          <w:color w:val="000000" w:themeColor="text1"/>
          <w:sz w:val="24"/>
          <w:szCs w:val="24"/>
          <w14:textFill>
            <w14:solidFill>
              <w14:schemeClr w14:val="tx1"/>
            </w14:solidFill>
          </w14:textFill>
        </w:rPr>
        <w:t>333</w:t>
      </w:r>
      <w:r>
        <w:rPr>
          <w:rFonts w:hint="eastAsia"/>
          <w:color w:val="000000" w:themeColor="text1"/>
          <w:spacing w:val="-14"/>
          <w:sz w:val="24"/>
          <w:szCs w:val="24"/>
          <w14:textFill>
            <w14:solidFill>
              <w14:schemeClr w14:val="tx1"/>
            </w14:solidFill>
          </w14:textFill>
        </w:rPr>
        <w:t xml:space="preserve"> 号</w:t>
      </w:r>
      <w:r>
        <w:rPr>
          <w:rFonts w:hint="eastAsia"/>
          <w:color w:val="000000" w:themeColor="text1"/>
          <w:sz w:val="24"/>
          <w:szCs w:val="24"/>
          <w14:textFill>
            <w14:solidFill>
              <w14:schemeClr w14:val="tx1"/>
            </w14:solidFill>
          </w14:textFill>
        </w:rPr>
        <w:t>）第</w:t>
      </w:r>
      <w:r>
        <w:rPr>
          <w:rFonts w:hint="eastAsia"/>
          <w:color w:val="000000" w:themeColor="text1"/>
          <w:spacing w:val="-28"/>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13</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pacing w:val="-29"/>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开标室。</w:t>
      </w:r>
    </w:p>
    <w:p>
      <w:pPr>
        <w:spacing w:line="360" w:lineRule="auto"/>
        <w:ind w:firstLine="720" w:firstLineChars="3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开标时间：</w:t>
      </w:r>
      <w:r>
        <w:rPr>
          <w:rFonts w:hint="eastAsia"/>
          <w:color w:val="000000" w:themeColor="text1"/>
          <w:spacing w:val="2"/>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2022</w:t>
      </w:r>
      <w:r>
        <w:rPr>
          <w:rFonts w:hint="eastAsia"/>
          <w:color w:val="000000" w:themeColor="text1"/>
          <w:spacing w:val="-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rFonts w:hint="eastAsia"/>
          <w:color w:val="000000" w:themeColor="text1"/>
          <w:spacing w:val="4"/>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7</w:t>
      </w:r>
      <w:r>
        <w:rPr>
          <w:rFonts w:hint="eastAsia"/>
          <w:color w:val="000000" w:themeColor="text1"/>
          <w:spacing w:val="-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pacing w:val="3"/>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18</w:t>
      </w:r>
      <w:r>
        <w:rPr>
          <w:rFonts w:hint="eastAsia"/>
          <w:color w:val="000000" w:themeColor="text1"/>
          <w:sz w:val="24"/>
          <w:szCs w:val="24"/>
          <w14:textFill>
            <w14:solidFill>
              <w14:schemeClr w14:val="tx1"/>
            </w14:solidFill>
          </w14:textFill>
        </w:rPr>
        <w:t>日</w:t>
      </w:r>
      <w:r>
        <w:rPr>
          <w:rFonts w:hint="eastAsia"/>
          <w:color w:val="000000" w:themeColor="text1"/>
          <w:spacing w:val="1"/>
          <w:sz w:val="24"/>
          <w:szCs w:val="24"/>
          <w:u w:val="single"/>
          <w14:textFill>
            <w14:solidFill>
              <w14:schemeClr w14:val="tx1"/>
            </w14:solidFill>
          </w14:textFill>
        </w:rPr>
        <w:t xml:space="preserve"> </w:t>
      </w:r>
      <w:r>
        <w:rPr>
          <w:rFonts w:hint="eastAsia"/>
          <w:color w:val="000000" w:themeColor="text1"/>
          <w:spacing w:val="1"/>
          <w:sz w:val="24"/>
          <w:szCs w:val="24"/>
          <w:u w:val="single"/>
          <w:lang w:val="en-US" w:eastAsia="zh-CN"/>
          <w14:textFill>
            <w14:solidFill>
              <w14:schemeClr w14:val="tx1"/>
            </w14:solidFill>
          </w14:textFill>
        </w:rPr>
        <w:t>9</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pacing w:val="2"/>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时</w:t>
      </w:r>
      <w:r>
        <w:rPr>
          <w:rFonts w:hint="eastAsia"/>
          <w:color w:val="000000" w:themeColor="text1"/>
          <w:sz w:val="24"/>
          <w:szCs w:val="24"/>
          <w:u w:val="single"/>
          <w:lang w:val="en-US" w:eastAsia="zh-CN"/>
          <w14:textFill>
            <w14:solidFill>
              <w14:schemeClr w14:val="tx1"/>
            </w14:solidFill>
          </w14:textFill>
        </w:rPr>
        <w:t xml:space="preserve"> 30</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分。开标地点：广州公共资源交易中心（广州市天河区天润路 333 号）第</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13</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开标室。</w:t>
      </w:r>
      <w:bookmarkStart w:id="13" w:name="_GoBack"/>
      <w:bookmarkEnd w:id="13"/>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1.6.6 逾期送达的、未送达指定地点的、不按照招标文件要求密封的投标文件，将予以拒收。</w:t>
      </w:r>
    </w:p>
    <w:p>
      <w:pPr>
        <w:pStyle w:val="6"/>
        <w:autoSpaceDE w:val="0"/>
        <w:autoSpaceDN w:val="0"/>
        <w:spacing w:before="196" w:after="160" w:line="360" w:lineRule="auto"/>
        <w:ind w:left="0" w:firstLine="241" w:firstLineChars="1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1.7费用</w:t>
      </w:r>
    </w:p>
    <w:p>
      <w:pPr>
        <w:snapToGrid w:val="0"/>
        <w:spacing w:line="360" w:lineRule="auto"/>
        <w:ind w:firstLine="480" w:firstLineChars="200"/>
        <w:rPr>
          <w:rFonts w:hint="eastAsia"/>
          <w:color w:val="auto"/>
          <w:sz w:val="24"/>
          <w:szCs w:val="24"/>
        </w:rPr>
      </w:pPr>
      <w:r>
        <w:rPr>
          <w:rFonts w:hint="eastAsia"/>
          <w:color w:val="auto"/>
          <w:sz w:val="24"/>
          <w:szCs w:val="24"/>
        </w:rPr>
        <w:t>1.7.1 本项目勘察设计费招标控制价为</w:t>
      </w:r>
      <w:r>
        <w:rPr>
          <w:rFonts w:hint="eastAsia"/>
          <w:color w:val="auto"/>
          <w:sz w:val="24"/>
          <w:szCs w:val="24"/>
          <w:u w:val="single"/>
        </w:rPr>
        <w:t xml:space="preserve"> 409.32 </w:t>
      </w:r>
      <w:r>
        <w:rPr>
          <w:rFonts w:hint="eastAsia"/>
          <w:color w:val="auto"/>
          <w:sz w:val="24"/>
          <w:szCs w:val="24"/>
        </w:rPr>
        <w:t>万元,其中工程</w:t>
      </w:r>
      <w:r>
        <w:rPr>
          <w:rFonts w:hint="eastAsia"/>
          <w:color w:val="auto"/>
          <w:sz w:val="24"/>
        </w:rPr>
        <w:t>设计费为</w:t>
      </w:r>
      <w:r>
        <w:rPr>
          <w:rFonts w:hint="eastAsia"/>
          <w:color w:val="auto"/>
          <w:sz w:val="24"/>
          <w:szCs w:val="24"/>
        </w:rPr>
        <w:t>：</w:t>
      </w:r>
      <w:r>
        <w:rPr>
          <w:rFonts w:hint="eastAsia"/>
          <w:color w:val="auto"/>
          <w:sz w:val="24"/>
          <w:szCs w:val="24"/>
          <w:u w:val="single"/>
        </w:rPr>
        <w:t xml:space="preserve"> 224.93  （其中方案设计费</w:t>
      </w:r>
      <w:r>
        <w:rPr>
          <w:rFonts w:hint="eastAsia"/>
          <w:color w:val="auto"/>
          <w:sz w:val="24"/>
          <w:szCs w:val="24"/>
          <w:u w:val="single"/>
          <w:lang w:val="en-US" w:eastAsia="zh-CN"/>
        </w:rPr>
        <w:t>56.23</w:t>
      </w:r>
      <w:r>
        <w:rPr>
          <w:rFonts w:hint="eastAsia"/>
          <w:color w:val="auto"/>
          <w:sz w:val="24"/>
          <w:szCs w:val="24"/>
          <w:u w:val="single"/>
        </w:rPr>
        <w:t>万元，初步设计费</w:t>
      </w:r>
      <w:r>
        <w:rPr>
          <w:rFonts w:hint="eastAsia"/>
          <w:color w:val="auto"/>
          <w:sz w:val="24"/>
          <w:szCs w:val="24"/>
          <w:u w:val="single"/>
          <w:lang w:val="en-US" w:eastAsia="zh-CN"/>
        </w:rPr>
        <w:t>168.70</w:t>
      </w:r>
      <w:r>
        <w:rPr>
          <w:rFonts w:hint="eastAsia"/>
          <w:color w:val="auto"/>
          <w:sz w:val="24"/>
          <w:szCs w:val="24"/>
          <w:u w:val="single"/>
        </w:rPr>
        <w:t xml:space="preserve"> 万元  ）</w:t>
      </w:r>
      <w:r>
        <w:rPr>
          <w:rFonts w:hint="eastAsia"/>
          <w:color w:val="auto"/>
          <w:sz w:val="24"/>
          <w:szCs w:val="24"/>
        </w:rPr>
        <w:t>，</w:t>
      </w:r>
      <w:r>
        <w:rPr>
          <w:rFonts w:hint="eastAsia"/>
          <w:color w:val="auto"/>
          <w:sz w:val="24"/>
        </w:rPr>
        <w:t>工程勘察费</w:t>
      </w:r>
      <w:r>
        <w:rPr>
          <w:rFonts w:hint="eastAsia"/>
          <w:color w:val="auto"/>
          <w:sz w:val="24"/>
          <w:szCs w:val="24"/>
        </w:rPr>
        <w:t>为</w:t>
      </w:r>
      <w:r>
        <w:rPr>
          <w:rFonts w:hint="eastAsia"/>
          <w:color w:val="auto"/>
          <w:sz w:val="24"/>
          <w:szCs w:val="24"/>
          <w:u w:val="single"/>
        </w:rPr>
        <w:t xml:space="preserve"> 184.39 </w:t>
      </w:r>
      <w:r>
        <w:rPr>
          <w:rFonts w:hint="eastAsia"/>
          <w:color w:val="auto"/>
          <w:sz w:val="24"/>
          <w:szCs w:val="24"/>
        </w:rPr>
        <w:t>万元。上述费用包括后续服务费用。</w:t>
      </w:r>
    </w:p>
    <w:p>
      <w:pPr>
        <w:snapToGrid w:val="0"/>
        <w:spacing w:line="360" w:lineRule="auto"/>
        <w:ind w:firstLine="480" w:firstLineChars="200"/>
        <w:rPr>
          <w:rFonts w:hint="eastAsia"/>
          <w:color w:val="auto"/>
          <w:sz w:val="24"/>
        </w:rPr>
      </w:pPr>
      <w:r>
        <w:rPr>
          <w:rFonts w:hint="eastAsia"/>
          <w:color w:val="auto"/>
          <w:sz w:val="24"/>
        </w:rPr>
        <w:t xml:space="preserve">1.7.2 </w:t>
      </w:r>
      <w:r>
        <w:rPr>
          <w:rFonts w:hint="eastAsia"/>
          <w:color w:val="auto"/>
          <w:sz w:val="24"/>
          <w:szCs w:val="24"/>
        </w:rPr>
        <w:t>勘察</w:t>
      </w:r>
      <w:r>
        <w:rPr>
          <w:rFonts w:hint="eastAsia"/>
          <w:color w:val="auto"/>
          <w:sz w:val="24"/>
        </w:rPr>
        <w:t>设计费结算以初步设计概算批复为准，参照《工程勘察设计收费导则(第二版)》2021年版、《广东省建设工程造价咨询服务收费项目和收费标准》粤价函(2011)742号和《关于进一步放开建设项目专业服务价格的通知(发改价格(2015)299号)》实行市场调节价规定的现行设计收费标准计算。无论设计工作出现任何调整，最终</w:t>
      </w:r>
      <w:r>
        <w:rPr>
          <w:rFonts w:hint="eastAsia"/>
          <w:color w:val="auto"/>
          <w:sz w:val="24"/>
          <w:szCs w:val="24"/>
        </w:rPr>
        <w:t>勘察</w:t>
      </w:r>
      <w:r>
        <w:rPr>
          <w:rFonts w:hint="eastAsia"/>
          <w:color w:val="auto"/>
          <w:sz w:val="24"/>
        </w:rPr>
        <w:t>设计费最终结算价不超过本次项目招标最高限价。</w:t>
      </w:r>
    </w:p>
    <w:p>
      <w:pPr>
        <w:spacing w:line="360" w:lineRule="auto"/>
        <w:ind w:firstLine="480" w:firstLineChars="200"/>
        <w:rPr>
          <w:rFonts w:hint="eastAsia"/>
          <w:color w:val="auto"/>
          <w:sz w:val="24"/>
        </w:rPr>
      </w:pPr>
      <w:r>
        <w:rPr>
          <w:rFonts w:hint="eastAsia"/>
          <w:color w:val="auto"/>
          <w:sz w:val="24"/>
        </w:rPr>
        <w:t>1.7.3 本</w:t>
      </w:r>
      <w:r>
        <w:rPr>
          <w:rFonts w:hint="eastAsia"/>
          <w:color w:val="auto"/>
          <w:sz w:val="24"/>
          <w:szCs w:val="24"/>
        </w:rPr>
        <w:t>勘察</w:t>
      </w:r>
      <w:r>
        <w:rPr>
          <w:rFonts w:hint="eastAsia"/>
          <w:color w:val="auto"/>
          <w:sz w:val="24"/>
        </w:rPr>
        <w:t>设计费包括本项目全部招标内容的勘察设计费，包括但不限于：</w:t>
      </w:r>
    </w:p>
    <w:p>
      <w:pPr>
        <w:spacing w:line="360" w:lineRule="auto"/>
        <w:ind w:firstLine="480" w:firstLineChars="200"/>
        <w:rPr>
          <w:rFonts w:hint="eastAsia"/>
          <w:color w:val="auto"/>
          <w:sz w:val="24"/>
        </w:rPr>
      </w:pPr>
      <w:r>
        <w:rPr>
          <w:rFonts w:hint="eastAsia"/>
          <w:color w:val="auto"/>
          <w:sz w:val="24"/>
        </w:rPr>
        <w:t>(1)岩土工程初步勘察费用，工程物探(含管线探测)费，方案设计及修改费，初步设计费，设计概算编制费，以及规划、建设等主管部门组织的方案、初步设计评审；</w:t>
      </w:r>
    </w:p>
    <w:p>
      <w:pPr>
        <w:spacing w:line="360" w:lineRule="auto"/>
        <w:ind w:firstLine="480" w:firstLineChars="200"/>
        <w:rPr>
          <w:rFonts w:hint="eastAsia"/>
          <w:color w:val="auto"/>
          <w:sz w:val="24"/>
        </w:rPr>
      </w:pPr>
      <w:r>
        <w:rPr>
          <w:rFonts w:hint="eastAsia"/>
          <w:color w:val="auto"/>
          <w:sz w:val="24"/>
        </w:rPr>
        <w:t>（2）投标人为完成本</w:t>
      </w:r>
      <w:r>
        <w:rPr>
          <w:rFonts w:hint="eastAsia"/>
          <w:color w:val="auto"/>
          <w:sz w:val="24"/>
          <w:lang w:eastAsia="zh-CN"/>
        </w:rPr>
        <w:t>方案设计及</w:t>
      </w:r>
      <w:r>
        <w:rPr>
          <w:rFonts w:hint="eastAsia"/>
          <w:color w:val="auto"/>
          <w:sz w:val="24"/>
        </w:rPr>
        <w:t>初步设计项目所需进行的研究等工作的所有费用：</w:t>
      </w:r>
    </w:p>
    <w:p>
      <w:pPr>
        <w:spacing w:line="360" w:lineRule="auto"/>
        <w:ind w:firstLine="480" w:firstLineChars="200"/>
        <w:rPr>
          <w:rFonts w:hint="eastAsia"/>
          <w:color w:val="auto"/>
          <w:sz w:val="24"/>
        </w:rPr>
      </w:pPr>
      <w:r>
        <w:rPr>
          <w:rFonts w:hint="eastAsia"/>
          <w:color w:val="auto"/>
          <w:sz w:val="24"/>
        </w:rPr>
        <w:t>（3）因设计人需要外出考察的所有费用；</w:t>
      </w:r>
    </w:p>
    <w:p>
      <w:pPr>
        <w:spacing w:line="360" w:lineRule="auto"/>
        <w:ind w:firstLine="480" w:firstLineChars="200"/>
        <w:rPr>
          <w:rFonts w:hint="eastAsia"/>
          <w:color w:val="auto"/>
          <w:sz w:val="24"/>
        </w:rPr>
      </w:pPr>
      <w:r>
        <w:rPr>
          <w:rFonts w:hint="eastAsia"/>
          <w:color w:val="auto"/>
          <w:sz w:val="24"/>
        </w:rPr>
        <w:t>（4）后续服务费用。</w:t>
      </w:r>
    </w:p>
    <w:p>
      <w:pPr>
        <w:spacing w:line="360" w:lineRule="auto"/>
        <w:ind w:firstLine="480" w:firstLineChars="200"/>
        <w:rPr>
          <w:rFonts w:hint="eastAsia"/>
          <w:color w:val="auto"/>
          <w:sz w:val="24"/>
        </w:rPr>
      </w:pPr>
      <w:r>
        <w:rPr>
          <w:rFonts w:hint="eastAsia"/>
          <w:color w:val="auto"/>
          <w:sz w:val="24"/>
        </w:rPr>
        <w:t>1.7.4在总投资范围内的工程</w:t>
      </w:r>
      <w:r>
        <w:rPr>
          <w:rFonts w:hint="eastAsia"/>
          <w:color w:val="auto"/>
          <w:sz w:val="24"/>
          <w:lang w:eastAsia="zh-CN"/>
        </w:rPr>
        <w:t>方案设计及</w:t>
      </w:r>
      <w:r>
        <w:rPr>
          <w:rFonts w:hint="eastAsia"/>
          <w:color w:val="auto"/>
          <w:sz w:val="24"/>
        </w:rPr>
        <w:t>初步设计工作必须在合同工期内完成本项目的全部内容，招标人不再另外支付任何费用。</w:t>
      </w:r>
    </w:p>
    <w:p>
      <w:pPr>
        <w:spacing w:line="360" w:lineRule="auto"/>
        <w:ind w:firstLine="480" w:firstLineChars="200"/>
        <w:rPr>
          <w:rFonts w:hint="eastAsia"/>
          <w:color w:val="auto"/>
          <w:sz w:val="24"/>
        </w:rPr>
      </w:pPr>
      <w:r>
        <w:rPr>
          <w:rFonts w:hint="eastAsia"/>
          <w:color w:val="auto"/>
          <w:sz w:val="24"/>
        </w:rPr>
        <w:t>1.7.5中标人必须严格掌握设计标准完成全部合同工作内容及控制工程造价，不得突破可研规定的工程建筑安装投资估算，建筑面积不大于规定的规模：如属中标人原因造成的，超出可研批复的工程建筑安装投资估算及建筑面积，中标人需无偿对设计资料及文件修改至满足要求，如果超出投资估算达10%及以上的，招标人还按合同价的比值扣减设计费。</w:t>
      </w:r>
    </w:p>
    <w:p>
      <w:pPr>
        <w:spacing w:line="360" w:lineRule="auto"/>
        <w:ind w:firstLine="480" w:firstLineChars="200"/>
        <w:rPr>
          <w:rFonts w:hint="eastAsia"/>
          <w:color w:val="auto"/>
          <w:sz w:val="24"/>
        </w:rPr>
      </w:pPr>
      <w:r>
        <w:rPr>
          <w:rFonts w:hint="eastAsia"/>
          <w:color w:val="auto"/>
          <w:sz w:val="24"/>
        </w:rPr>
        <w:t>1.7.6 本项目不设置方案补偿费。</w:t>
      </w:r>
    </w:p>
    <w:p>
      <w:pPr>
        <w:pStyle w:val="11"/>
        <w:rPr>
          <w:rFonts w:hint="eastAsia" w:hAnsi="宋体"/>
          <w:color w:val="auto"/>
          <w:szCs w:val="22"/>
          <w:lang w:val="en-US" w:eastAsia="zh-CN"/>
        </w:rPr>
      </w:pPr>
      <w:r>
        <w:rPr>
          <w:rFonts w:hint="eastAsia" w:hAnsi="宋体"/>
          <w:color w:val="auto"/>
          <w:szCs w:val="22"/>
          <w:lang w:val="en-US" w:eastAsia="zh-CN"/>
        </w:rPr>
        <w:t>1.7.7 本工程不设未中标单位经济补偿，投标费用由投标人自理。</w:t>
      </w:r>
    </w:p>
    <w:p>
      <w:pPr>
        <w:snapToGrid w:val="0"/>
        <w:spacing w:line="360" w:lineRule="auto"/>
        <w:ind w:firstLine="480" w:firstLineChars="200"/>
        <w:rPr>
          <w:color w:val="auto"/>
          <w:sz w:val="24"/>
          <w:szCs w:val="24"/>
        </w:rPr>
      </w:pPr>
      <w:r>
        <w:rPr>
          <w:rFonts w:hint="eastAsia"/>
          <w:color w:val="auto"/>
          <w:sz w:val="24"/>
          <w:szCs w:val="24"/>
        </w:rPr>
        <w:t>1.7.8 本项目招标代理费由中标单位支付，招标代理费按中标价计算，按国家计委计价格［2002］1980号文件及发改办价格［2003］857号文件规定标准收费下浮8%收取。</w:t>
      </w:r>
    </w:p>
    <w:p>
      <w:pPr>
        <w:pStyle w:val="11"/>
        <w:rPr>
          <w:color w:val="auto"/>
          <w:lang w:val="en-US" w:eastAsia="zh-CN"/>
        </w:rPr>
      </w:pPr>
      <w:r>
        <w:rPr>
          <w:rFonts w:hint="eastAsia"/>
          <w:color w:val="auto"/>
          <w:szCs w:val="24"/>
          <w:lang w:val="en-US" w:eastAsia="zh-CN"/>
        </w:rPr>
        <w:t xml:space="preserve"> </w:t>
      </w:r>
    </w:p>
    <w:p>
      <w:pPr>
        <w:pStyle w:val="6"/>
        <w:autoSpaceDE w:val="0"/>
        <w:autoSpaceDN w:val="0"/>
        <w:snapToGrid w:val="0"/>
        <w:spacing w:before="196" w:after="160" w:line="400" w:lineRule="exact"/>
        <w:ind w:left="212"/>
        <w:jc w:val="both"/>
        <w:rPr>
          <w:color w:val="auto"/>
        </w:rPr>
      </w:pPr>
      <w:r>
        <w:rPr>
          <w:rFonts w:hint="eastAsia"/>
          <w:color w:val="auto"/>
          <w:lang w:val="en-US" w:eastAsia="zh-CN"/>
        </w:rPr>
        <w:t xml:space="preserve">1.8 </w:t>
      </w:r>
      <w:r>
        <w:rPr>
          <w:rFonts w:hint="eastAsia"/>
          <w:color w:val="auto"/>
          <w:lang w:eastAsia="zh-CN"/>
        </w:rPr>
        <w:t>工期</w:t>
      </w:r>
      <w:r>
        <w:rPr>
          <w:rFonts w:hint="eastAsia"/>
          <w:color w:val="auto"/>
        </w:rPr>
        <w:t>：</w:t>
      </w:r>
    </w:p>
    <w:p>
      <w:pPr>
        <w:spacing w:line="360" w:lineRule="auto"/>
        <w:ind w:firstLine="480" w:firstLineChars="200"/>
        <w:rPr>
          <w:rFonts w:hint="eastAsia"/>
          <w:color w:val="auto"/>
          <w:sz w:val="24"/>
        </w:rPr>
      </w:pPr>
      <w:r>
        <w:rPr>
          <w:rFonts w:hint="eastAsia"/>
          <w:color w:val="auto"/>
          <w:sz w:val="24"/>
        </w:rPr>
        <w:t>1.8.1 勘察工期：合同签订后，承包人收到发包人发出的进场通知起计</w:t>
      </w:r>
      <w:r>
        <w:rPr>
          <w:rFonts w:hint="eastAsia"/>
          <w:color w:val="auto"/>
          <w:sz w:val="24"/>
          <w:u w:val="single"/>
        </w:rPr>
        <w:t xml:space="preserve"> 30 </w:t>
      </w:r>
      <w:r>
        <w:rPr>
          <w:rFonts w:hint="eastAsia"/>
          <w:color w:val="auto"/>
          <w:sz w:val="24"/>
        </w:rPr>
        <w:t>个日历天内提交勘察成果文件。如果延误工期，承包人向发包人支付的误期损害赔偿费每天为勘察费暂定合同价的0.5%；误期损害赔偿费的最高限额为勘察费暂定合同价的30%。</w:t>
      </w:r>
    </w:p>
    <w:p>
      <w:pPr>
        <w:spacing w:line="360" w:lineRule="auto"/>
        <w:ind w:firstLine="480" w:firstLineChars="200"/>
        <w:rPr>
          <w:rFonts w:hint="eastAsia"/>
          <w:color w:val="auto"/>
          <w:sz w:val="24"/>
        </w:rPr>
      </w:pPr>
      <w:r>
        <w:rPr>
          <w:rFonts w:hint="eastAsia"/>
          <w:color w:val="auto"/>
          <w:sz w:val="24"/>
        </w:rPr>
        <w:t>1.8.2 方案设计及初步设计工期：中标人应在设计合同签订后</w:t>
      </w:r>
      <w:r>
        <w:rPr>
          <w:rFonts w:hint="eastAsia"/>
          <w:color w:val="auto"/>
          <w:sz w:val="24"/>
          <w:u w:val="single"/>
        </w:rPr>
        <w:t xml:space="preserve"> 15 </w:t>
      </w:r>
      <w:r>
        <w:rPr>
          <w:rFonts w:hint="eastAsia"/>
          <w:color w:val="auto"/>
          <w:sz w:val="24"/>
        </w:rPr>
        <w:t>个日历天内完成方案设计，方案确定后</w:t>
      </w:r>
      <w:r>
        <w:rPr>
          <w:rFonts w:hint="eastAsia"/>
          <w:color w:val="auto"/>
          <w:sz w:val="24"/>
          <w:u w:val="single"/>
        </w:rPr>
        <w:t xml:space="preserve"> 25 </w:t>
      </w:r>
      <w:r>
        <w:rPr>
          <w:rFonts w:hint="eastAsia"/>
          <w:color w:val="auto"/>
          <w:sz w:val="24"/>
        </w:rPr>
        <w:t>个日历天内完成初步设计及概算编制（</w:t>
      </w:r>
      <w:r>
        <w:rPr>
          <w:rFonts w:hint="eastAsia"/>
          <w:color w:val="auto"/>
          <w:spacing w:val="-3"/>
          <w:sz w:val="24"/>
          <w:szCs w:val="24"/>
        </w:rPr>
        <w:t>含方案设计、初步设计说明书、初步设计图纸等成果文件</w:t>
      </w:r>
      <w:r>
        <w:rPr>
          <w:rFonts w:hint="eastAsia"/>
          <w:color w:val="auto"/>
          <w:sz w:val="24"/>
        </w:rPr>
        <w:t>）。如果延误工期，承包人向发包人支付的误期损害赔偿费每天为最终设计费暂定合同价的0.3%；误期损害赔偿费的最高限额为设计费暂定合同价的30%。</w:t>
      </w:r>
    </w:p>
    <w:p>
      <w:pPr>
        <w:spacing w:line="360" w:lineRule="auto"/>
        <w:ind w:firstLine="480" w:firstLineChars="200"/>
        <w:rPr>
          <w:rFonts w:hint="eastAsia"/>
          <w:color w:val="auto"/>
          <w:sz w:val="24"/>
        </w:rPr>
      </w:pPr>
      <w:r>
        <w:rPr>
          <w:rFonts w:hint="eastAsia"/>
          <w:color w:val="auto"/>
          <w:sz w:val="24"/>
        </w:rPr>
        <w:t>1.8.3 误期损害赔偿累计达到最高限额</w:t>
      </w:r>
      <w:r>
        <w:rPr>
          <w:rFonts w:hint="eastAsia"/>
          <w:color w:val="auto"/>
          <w:sz w:val="24"/>
          <w:lang w:eastAsia="zh-CN"/>
        </w:rPr>
        <w:t>（</w:t>
      </w:r>
      <w:r>
        <w:rPr>
          <w:rFonts w:hint="eastAsia" w:eastAsia="宋体" w:cs="Times New Roman"/>
          <w:color w:val="auto"/>
          <w:sz w:val="24"/>
        </w:rPr>
        <w:t>误期赔偿费累计不超过</w:t>
      </w:r>
      <w:r>
        <w:rPr>
          <w:rFonts w:hint="eastAsia" w:eastAsia="宋体" w:cs="Times New Roman"/>
          <w:color w:val="auto"/>
          <w:sz w:val="24"/>
          <w:u w:val="single"/>
          <w:lang w:val="en-US" w:eastAsia="zh-CN"/>
        </w:rPr>
        <w:t>勘察费</w:t>
      </w:r>
      <w:r>
        <w:rPr>
          <w:rFonts w:hint="eastAsia" w:eastAsia="宋体" w:cs="Times New Roman"/>
          <w:color w:val="auto"/>
          <w:sz w:val="24"/>
        </w:rPr>
        <w:t>暂定合同价的30%</w:t>
      </w:r>
      <w:r>
        <w:rPr>
          <w:rFonts w:hint="eastAsia"/>
          <w:color w:val="auto"/>
          <w:sz w:val="24"/>
          <w:lang w:eastAsia="zh-CN"/>
        </w:rPr>
        <w:t>）</w:t>
      </w:r>
      <w:r>
        <w:rPr>
          <w:rFonts w:hint="eastAsia"/>
          <w:color w:val="auto"/>
          <w:sz w:val="24"/>
        </w:rPr>
        <w:t>时</w:t>
      </w:r>
      <w:r>
        <w:rPr>
          <w:rFonts w:hint="eastAsia"/>
          <w:color w:val="auto"/>
          <w:sz w:val="24"/>
          <w:lang w:eastAsia="zh-CN"/>
        </w:rPr>
        <w:t>，</w:t>
      </w:r>
      <w:r>
        <w:rPr>
          <w:rFonts w:hint="eastAsia"/>
          <w:color w:val="auto"/>
          <w:sz w:val="24"/>
        </w:rPr>
        <w:t>招标人有权在追索误期损害赔偿金的基础上解除合同，没收履约保证金，另行组织招标，中标人应为解除合同负全责。</w:t>
      </w:r>
    </w:p>
    <w:p>
      <w:pPr>
        <w:pStyle w:val="15"/>
        <w:ind w:firstLine="480" w:firstLineChars="200"/>
        <w:jc w:val="both"/>
        <w:rPr>
          <w:rFonts w:hint="eastAsia"/>
          <w:color w:val="auto"/>
        </w:rPr>
      </w:pPr>
      <w:r>
        <w:rPr>
          <w:rFonts w:hint="eastAsia" w:eastAsia="宋体"/>
          <w:color w:val="auto"/>
          <w:sz w:val="24"/>
        </w:rPr>
        <w:t>1.8.4 服务期限：合同签订生效之日起至工程竣工验收合格后为服务期限</w:t>
      </w:r>
      <w:r>
        <w:rPr>
          <w:rFonts w:hint="eastAsia"/>
          <w:color w:val="auto"/>
          <w:sz w:val="28"/>
          <w:szCs w:val="28"/>
        </w:rPr>
        <w:t>。</w:t>
      </w:r>
    </w:p>
    <w:p>
      <w:pPr>
        <w:pStyle w:val="6"/>
        <w:autoSpaceDE w:val="0"/>
        <w:autoSpaceDN w:val="0"/>
        <w:spacing w:before="196" w:after="160" w:line="360" w:lineRule="auto"/>
        <w:ind w:left="0"/>
        <w:jc w:val="both"/>
        <w:rPr>
          <w:color w:val="auto"/>
        </w:rPr>
      </w:pPr>
      <w:bookmarkStart w:id="5" w:name="_Toc23354_WPSOffice_Level3"/>
      <w:r>
        <w:rPr>
          <w:rFonts w:hint="eastAsia"/>
          <w:color w:val="auto"/>
          <w:lang w:val="en-US" w:eastAsia="zh-CN"/>
        </w:rPr>
        <w:t xml:space="preserve">1.9  </w:t>
      </w:r>
      <w:r>
        <w:rPr>
          <w:rFonts w:hint="eastAsia"/>
          <w:color w:val="auto"/>
        </w:rPr>
        <w:t>其他事项</w:t>
      </w:r>
      <w:bookmarkEnd w:id="5"/>
    </w:p>
    <w:p>
      <w:pPr>
        <w:spacing w:line="360" w:lineRule="auto"/>
        <w:ind w:firstLine="460" w:firstLineChars="200"/>
        <w:rPr>
          <w:rFonts w:hint="eastAsia"/>
          <w:color w:val="auto"/>
          <w:spacing w:val="-5"/>
          <w:sz w:val="24"/>
          <w:szCs w:val="24"/>
        </w:rPr>
      </w:pPr>
      <w:bookmarkStart w:id="6" w:name="_Toc21760_WPSOffice_Level3"/>
      <w:r>
        <w:rPr>
          <w:rFonts w:hint="eastAsia"/>
          <w:color w:val="auto"/>
          <w:spacing w:val="-5"/>
          <w:sz w:val="24"/>
          <w:szCs w:val="24"/>
        </w:rPr>
        <w:t>1.9.1 投标时是否需要提交设计模型：否。</w:t>
      </w:r>
    </w:p>
    <w:p>
      <w:pPr>
        <w:pStyle w:val="17"/>
        <w:tabs>
          <w:tab w:val="left" w:pos="1500"/>
        </w:tabs>
        <w:kinsoku w:val="0"/>
        <w:overflowPunct w:val="0"/>
        <w:spacing w:before="151" w:line="360" w:lineRule="auto"/>
        <w:ind w:left="0" w:right="348" w:firstLineChars="200"/>
        <w:jc w:val="both"/>
        <w:rPr>
          <w:color w:val="auto"/>
        </w:rPr>
      </w:pPr>
      <w:r>
        <w:rPr>
          <w:color w:val="auto"/>
        </w:rPr>
        <w:t>1.9.2中标人若分包或委托本项目勘察、方案设计、初步设计等</w:t>
      </w:r>
      <w:r>
        <w:rPr>
          <w:color w:val="auto"/>
          <w:spacing w:val="-10"/>
        </w:rPr>
        <w:t>事项，须事先征得招标人同意，并将分包或委托合同</w:t>
      </w:r>
      <w:r>
        <w:rPr>
          <w:color w:val="auto"/>
        </w:rPr>
        <w:t>（</w:t>
      </w:r>
      <w:r>
        <w:rPr>
          <w:color w:val="auto"/>
          <w:spacing w:val="-2"/>
        </w:rPr>
        <w:t>须载明分包人或被委托人本项目</w:t>
      </w:r>
      <w:r>
        <w:rPr>
          <w:color w:val="auto"/>
        </w:rPr>
        <w:t>主要参与人员资历等有关资料）报招标人备案。</w:t>
      </w:r>
    </w:p>
    <w:p>
      <w:pPr>
        <w:pStyle w:val="8"/>
        <w:rPr>
          <w:color w:val="auto"/>
        </w:rPr>
      </w:pPr>
    </w:p>
    <w:p>
      <w:pPr>
        <w:pStyle w:val="6"/>
        <w:autoSpaceDE w:val="0"/>
        <w:autoSpaceDN w:val="0"/>
        <w:spacing w:before="196" w:after="160" w:line="360" w:lineRule="auto"/>
        <w:ind w:left="0"/>
        <w:jc w:val="both"/>
        <w:rPr>
          <w:color w:val="auto"/>
        </w:rPr>
      </w:pPr>
      <w:r>
        <w:rPr>
          <w:rFonts w:hint="eastAsia"/>
          <w:color w:val="auto"/>
          <w:lang w:val="en-US" w:eastAsia="zh-CN"/>
        </w:rPr>
        <w:t xml:space="preserve">1.10 </w:t>
      </w:r>
      <w:r>
        <w:rPr>
          <w:rFonts w:hint="eastAsia"/>
          <w:color w:val="auto"/>
        </w:rPr>
        <w:t>公告媒体</w:t>
      </w:r>
      <w:bookmarkEnd w:id="6"/>
    </w:p>
    <w:p>
      <w:pPr>
        <w:pStyle w:val="16"/>
        <w:tabs>
          <w:tab w:val="left" w:pos="1053"/>
          <w:tab w:val="left" w:pos="1054"/>
        </w:tabs>
        <w:autoSpaceDE w:val="0"/>
        <w:autoSpaceDN w:val="0"/>
        <w:spacing w:before="8" w:after="160" w:line="360" w:lineRule="auto"/>
        <w:ind w:left="0" w:right="-40" w:rightChars="-18" w:firstLine="460" w:firstLineChars="200"/>
        <w:rPr>
          <w:rFonts w:hint="eastAsia"/>
          <w:color w:val="auto"/>
          <w:spacing w:val="-5"/>
          <w:sz w:val="24"/>
          <w:szCs w:val="24"/>
        </w:rPr>
      </w:pPr>
      <w:r>
        <w:rPr>
          <w:rFonts w:hint="eastAsia"/>
          <w:color w:val="auto"/>
          <w:spacing w:val="-5"/>
          <w:sz w:val="24"/>
          <w:szCs w:val="24"/>
        </w:rPr>
        <w:t>本次招标公告同时在广东省招标投标监管网(http://www.gdzbtb.gov.cn/)、广州公共资源交易中心网(http://waw.gzzb.gd.cn/)上发布。如需对本公告进行修改、补充，将在广州公共资源交易中心网发布，本公告在各媒体发布的文本</w:t>
      </w:r>
      <w:r>
        <w:rPr>
          <w:rFonts w:hint="eastAsia"/>
          <w:color w:val="auto"/>
          <w:sz w:val="28"/>
          <w:szCs w:val="28"/>
        </w:rPr>
        <w:t>和时间</w:t>
      </w:r>
      <w:r>
        <w:rPr>
          <w:rFonts w:hint="eastAsia"/>
          <w:color w:val="auto"/>
          <w:spacing w:val="-5"/>
          <w:sz w:val="24"/>
          <w:szCs w:val="24"/>
        </w:rPr>
        <w:t>如有不同之处，以在广州公共资源交易中心网发布的文本为准。招标人的澄清(答疑)、补充、修改等文件一律通过广州公共资源交易网发布。</w:t>
      </w:r>
    </w:p>
    <w:p>
      <w:pPr>
        <w:spacing w:line="360" w:lineRule="auto"/>
        <w:outlineLvl w:val="1"/>
        <w:rPr>
          <w:rFonts w:cs="宋体"/>
          <w:bCs/>
          <w:color w:val="auto"/>
          <w:sz w:val="24"/>
        </w:rPr>
      </w:pPr>
      <w:bookmarkStart w:id="7" w:name="_Toc353"/>
      <w:bookmarkStart w:id="8" w:name="_Toc12909"/>
      <w:bookmarkStart w:id="9" w:name="_Toc65065729"/>
      <w:bookmarkStart w:id="10" w:name="_Toc8502"/>
      <w:r>
        <w:rPr>
          <w:rFonts w:cs="宋体"/>
          <w:b/>
          <w:bCs/>
          <w:color w:val="auto"/>
          <w:sz w:val="24"/>
        </w:rPr>
        <w:t>1.1</w:t>
      </w:r>
      <w:r>
        <w:rPr>
          <w:rFonts w:hint="eastAsia" w:cs="宋体"/>
          <w:b/>
          <w:bCs/>
          <w:color w:val="auto"/>
          <w:sz w:val="24"/>
        </w:rPr>
        <w:t>1 异议与投诉</w:t>
      </w:r>
      <w:bookmarkEnd w:id="7"/>
      <w:bookmarkEnd w:id="8"/>
      <w:bookmarkEnd w:id="9"/>
      <w:bookmarkEnd w:id="10"/>
    </w:p>
    <w:p>
      <w:pPr>
        <w:spacing w:line="360" w:lineRule="auto"/>
        <w:ind w:firstLine="460" w:firstLineChars="200"/>
        <w:rPr>
          <w:rFonts w:hint="eastAsia"/>
          <w:color w:val="auto"/>
          <w:spacing w:val="-5"/>
          <w:sz w:val="24"/>
          <w:szCs w:val="24"/>
        </w:rPr>
      </w:pPr>
      <w:r>
        <w:rPr>
          <w:rFonts w:hint="eastAsia"/>
          <w:color w:val="auto"/>
          <w:spacing w:val="-5"/>
          <w:sz w:val="24"/>
          <w:szCs w:val="24"/>
        </w:rPr>
        <w:t>1.11.1 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10日内向</w:t>
      </w:r>
      <w:r>
        <w:rPr>
          <w:rFonts w:hint="eastAsia"/>
          <w:color w:val="auto"/>
          <w:spacing w:val="-5"/>
          <w:sz w:val="24"/>
          <w:szCs w:val="24"/>
          <w:u w:val="single"/>
        </w:rPr>
        <w:t>雷州市住房和城乡建设局实名投诉，电话：0759-881</w:t>
      </w:r>
      <w:r>
        <w:rPr>
          <w:rFonts w:hint="eastAsia"/>
          <w:color w:val="auto"/>
          <w:spacing w:val="-5"/>
          <w:sz w:val="24"/>
          <w:szCs w:val="24"/>
          <w:u w:val="single"/>
          <w:lang w:val="en-US" w:eastAsia="zh-CN"/>
        </w:rPr>
        <w:t>4576</w:t>
      </w:r>
      <w:r>
        <w:rPr>
          <w:rFonts w:hint="eastAsia"/>
          <w:color w:val="auto"/>
          <w:spacing w:val="-5"/>
          <w:sz w:val="24"/>
          <w:szCs w:val="24"/>
          <w:u w:val="single"/>
        </w:rPr>
        <w:t>。</w:t>
      </w:r>
      <w:r>
        <w:rPr>
          <w:rFonts w:hint="eastAsia"/>
          <w:color w:val="auto"/>
          <w:spacing w:val="-5"/>
          <w:sz w:val="24"/>
          <w:szCs w:val="24"/>
        </w:rPr>
        <w:t>(投诉应当有明确的请求和必要的证明材料，具体要求依照《工程建设项目招标投标活动投诉处理办法》)</w:t>
      </w:r>
    </w:p>
    <w:p>
      <w:pPr>
        <w:spacing w:line="360" w:lineRule="auto"/>
        <w:ind w:firstLine="460" w:firstLineChars="200"/>
        <w:rPr>
          <w:rFonts w:hint="eastAsia"/>
          <w:color w:val="auto"/>
          <w:spacing w:val="-5"/>
          <w:sz w:val="24"/>
          <w:szCs w:val="24"/>
        </w:rPr>
      </w:pPr>
      <w:r>
        <w:rPr>
          <w:rFonts w:hint="eastAsia"/>
          <w:color w:val="auto"/>
          <w:spacing w:val="-5"/>
          <w:sz w:val="24"/>
          <w:szCs w:val="24"/>
        </w:rPr>
        <w:t>1.11.2潜在投标人或其他利害关系人应当充分重视异议、投诉提出的时限，避免异议权、投诉权因时效原因而消失。</w:t>
      </w:r>
    </w:p>
    <w:p>
      <w:pPr>
        <w:pStyle w:val="6"/>
        <w:autoSpaceDE w:val="0"/>
        <w:autoSpaceDN w:val="0"/>
        <w:spacing w:before="196" w:after="160" w:line="360" w:lineRule="auto"/>
        <w:ind w:left="212"/>
        <w:jc w:val="both"/>
        <w:rPr>
          <w:color w:val="auto"/>
        </w:rPr>
      </w:pPr>
      <w:bookmarkStart w:id="11" w:name="_Toc17833_WPSOffice_Level3"/>
      <w:r>
        <w:rPr>
          <w:rFonts w:hint="eastAsia"/>
          <w:color w:val="auto"/>
          <w:lang w:val="en-US" w:eastAsia="zh-CN"/>
        </w:rPr>
        <w:t xml:space="preserve">1.12 </w:t>
      </w:r>
      <w:r>
        <w:rPr>
          <w:rFonts w:hint="eastAsia"/>
          <w:color w:val="auto"/>
        </w:rPr>
        <w:t>招标人</w:t>
      </w:r>
      <w:bookmarkEnd w:id="11"/>
    </w:p>
    <w:p>
      <w:pPr>
        <w:pStyle w:val="16"/>
        <w:autoSpaceDE w:val="0"/>
        <w:autoSpaceDN w:val="0"/>
        <w:spacing w:before="1" w:after="160" w:line="360" w:lineRule="auto"/>
        <w:ind w:left="0" w:firstLine="460" w:firstLineChars="200"/>
        <w:rPr>
          <w:rFonts w:hint="eastAsia"/>
          <w:color w:val="auto"/>
          <w:spacing w:val="-5"/>
          <w:sz w:val="24"/>
          <w:szCs w:val="24"/>
        </w:rPr>
      </w:pPr>
      <w:r>
        <w:rPr>
          <w:rFonts w:hint="eastAsia"/>
          <w:color w:val="auto"/>
          <w:spacing w:val="-5"/>
          <w:sz w:val="24"/>
          <w:szCs w:val="24"/>
        </w:rPr>
        <w:t xml:space="preserve">1.12.1 名称：雷州市公安局      </w:t>
      </w:r>
    </w:p>
    <w:p>
      <w:pPr>
        <w:pStyle w:val="16"/>
        <w:autoSpaceDE w:val="0"/>
        <w:autoSpaceDN w:val="0"/>
        <w:spacing w:before="1" w:after="160" w:line="360" w:lineRule="auto"/>
        <w:ind w:left="0" w:firstLine="460" w:firstLineChars="200"/>
        <w:rPr>
          <w:rFonts w:hint="eastAsia"/>
          <w:color w:val="auto"/>
          <w:spacing w:val="-5"/>
          <w:sz w:val="24"/>
          <w:szCs w:val="24"/>
        </w:rPr>
      </w:pPr>
      <w:r>
        <w:rPr>
          <w:rFonts w:hint="eastAsia"/>
          <w:color w:val="auto"/>
          <w:spacing w:val="-5"/>
          <w:sz w:val="24"/>
          <w:szCs w:val="24"/>
        </w:rPr>
        <w:t xml:space="preserve">1.12.2 联系人：黄喆汶 </w:t>
      </w:r>
    </w:p>
    <w:p>
      <w:pPr>
        <w:pStyle w:val="16"/>
        <w:autoSpaceDE w:val="0"/>
        <w:autoSpaceDN w:val="0"/>
        <w:spacing w:before="1" w:after="160" w:line="360" w:lineRule="auto"/>
        <w:ind w:left="0" w:firstLine="460" w:firstLineChars="200"/>
        <w:rPr>
          <w:color w:val="auto"/>
          <w:spacing w:val="-5"/>
          <w:sz w:val="24"/>
          <w:szCs w:val="24"/>
        </w:rPr>
      </w:pPr>
      <w:r>
        <w:rPr>
          <w:rFonts w:hint="eastAsia"/>
          <w:color w:val="auto"/>
          <w:spacing w:val="-5"/>
          <w:sz w:val="24"/>
          <w:szCs w:val="24"/>
        </w:rPr>
        <w:t>1.12.3 联系方式：0759-8499037</w:t>
      </w:r>
    </w:p>
    <w:p>
      <w:pPr>
        <w:pStyle w:val="6"/>
        <w:autoSpaceDE w:val="0"/>
        <w:autoSpaceDN w:val="0"/>
        <w:spacing w:before="196" w:after="160" w:line="360" w:lineRule="auto"/>
        <w:ind w:left="212"/>
        <w:jc w:val="both"/>
        <w:rPr>
          <w:color w:val="auto"/>
        </w:rPr>
      </w:pPr>
      <w:bookmarkStart w:id="12" w:name="_Toc7471_WPSOffice_Level3"/>
      <w:r>
        <w:rPr>
          <w:rFonts w:hint="eastAsia"/>
          <w:color w:val="auto"/>
          <w:lang w:val="en-US" w:eastAsia="zh-CN"/>
        </w:rPr>
        <w:t xml:space="preserve">1.13  </w:t>
      </w:r>
      <w:r>
        <w:rPr>
          <w:rFonts w:hint="eastAsia"/>
          <w:color w:val="auto"/>
        </w:rPr>
        <w:t>招标代理机构</w:t>
      </w:r>
      <w:bookmarkEnd w:id="12"/>
    </w:p>
    <w:p>
      <w:pPr>
        <w:pStyle w:val="16"/>
        <w:autoSpaceDE w:val="0"/>
        <w:autoSpaceDN w:val="0"/>
        <w:spacing w:before="1" w:after="160" w:line="360" w:lineRule="auto"/>
        <w:ind w:left="0" w:firstLineChars="200"/>
        <w:rPr>
          <w:rFonts w:hint="eastAsia"/>
          <w:color w:val="auto"/>
          <w:sz w:val="24"/>
          <w:szCs w:val="24"/>
        </w:rPr>
      </w:pPr>
      <w:r>
        <w:rPr>
          <w:rFonts w:hint="eastAsia"/>
          <w:color w:val="auto"/>
          <w:sz w:val="24"/>
          <w:szCs w:val="24"/>
        </w:rPr>
        <w:t>1.13.1 名称：北京市建壮咨询有限公司</w:t>
      </w:r>
    </w:p>
    <w:p>
      <w:pPr>
        <w:pStyle w:val="16"/>
        <w:autoSpaceDE w:val="0"/>
        <w:autoSpaceDN w:val="0"/>
        <w:spacing w:before="1" w:after="160" w:line="360" w:lineRule="auto"/>
        <w:ind w:left="0" w:firstLine="460" w:firstLineChars="200"/>
        <w:rPr>
          <w:color w:val="auto"/>
          <w:spacing w:val="-5"/>
          <w:sz w:val="24"/>
          <w:szCs w:val="24"/>
        </w:rPr>
      </w:pPr>
      <w:r>
        <w:rPr>
          <w:rFonts w:hint="eastAsia"/>
          <w:color w:val="auto"/>
          <w:spacing w:val="-5"/>
          <w:sz w:val="24"/>
          <w:szCs w:val="24"/>
        </w:rPr>
        <w:t>1.13.2 地址：广州市小北路65号华宇大厦21楼</w:t>
      </w:r>
    </w:p>
    <w:p>
      <w:pPr>
        <w:pStyle w:val="16"/>
        <w:autoSpaceDE w:val="0"/>
        <w:autoSpaceDN w:val="0"/>
        <w:spacing w:before="1" w:after="160" w:line="360" w:lineRule="auto"/>
        <w:ind w:left="0" w:firstLine="460" w:firstLineChars="200"/>
        <w:rPr>
          <w:rFonts w:hint="eastAsia" w:eastAsia="宋体"/>
          <w:color w:val="auto"/>
          <w:spacing w:val="-5"/>
          <w:sz w:val="24"/>
          <w:szCs w:val="24"/>
          <w:lang w:eastAsia="zh-CN"/>
        </w:rPr>
      </w:pPr>
      <w:r>
        <w:rPr>
          <w:rFonts w:hint="eastAsia"/>
          <w:color w:val="auto"/>
          <w:spacing w:val="-5"/>
          <w:sz w:val="24"/>
          <w:szCs w:val="24"/>
        </w:rPr>
        <w:t>1.13.3 联系人：</w:t>
      </w:r>
      <w:r>
        <w:rPr>
          <w:rFonts w:hint="eastAsia"/>
          <w:color w:val="auto"/>
          <w:spacing w:val="-5"/>
          <w:sz w:val="24"/>
          <w:szCs w:val="24"/>
          <w:lang w:eastAsia="zh-CN"/>
        </w:rPr>
        <w:t>吴工</w:t>
      </w:r>
    </w:p>
    <w:p>
      <w:pPr>
        <w:pStyle w:val="16"/>
        <w:autoSpaceDE w:val="0"/>
        <w:autoSpaceDN w:val="0"/>
        <w:spacing w:before="1" w:after="160" w:line="360" w:lineRule="auto"/>
        <w:ind w:left="0" w:firstLine="460" w:firstLineChars="200"/>
        <w:rPr>
          <w:rFonts w:hint="eastAsia"/>
          <w:color w:val="auto"/>
          <w:spacing w:val="-5"/>
          <w:sz w:val="24"/>
          <w:szCs w:val="24"/>
        </w:rPr>
      </w:pPr>
      <w:r>
        <w:rPr>
          <w:rFonts w:hint="eastAsia"/>
          <w:color w:val="auto"/>
          <w:spacing w:val="-5"/>
          <w:sz w:val="24"/>
          <w:szCs w:val="24"/>
        </w:rPr>
        <w:t>1.13.4 联系方式：020-83517226</w:t>
      </w:r>
    </w:p>
    <w:p>
      <w:pPr>
        <w:pStyle w:val="16"/>
        <w:autoSpaceDE w:val="0"/>
        <w:autoSpaceDN w:val="0"/>
        <w:spacing w:before="1" w:after="160" w:line="360" w:lineRule="auto"/>
        <w:ind w:left="0" w:firstLine="460" w:firstLineChars="200"/>
        <w:rPr>
          <w:color w:val="auto"/>
          <w:spacing w:val="-5"/>
          <w:sz w:val="24"/>
          <w:szCs w:val="24"/>
        </w:rPr>
      </w:pPr>
      <w:r>
        <w:rPr>
          <w:rFonts w:hint="eastAsia"/>
          <w:color w:val="auto"/>
          <w:spacing w:val="-5"/>
          <w:sz w:val="24"/>
          <w:szCs w:val="24"/>
        </w:rPr>
        <w:t>1.13.5 传真号码：020-83517226</w:t>
      </w:r>
    </w:p>
    <w:p>
      <w:pPr>
        <w:pStyle w:val="16"/>
        <w:autoSpaceDE w:val="0"/>
        <w:autoSpaceDN w:val="0"/>
        <w:spacing w:before="1" w:after="160" w:line="360" w:lineRule="auto"/>
        <w:ind w:left="0" w:firstLine="460" w:firstLineChars="200"/>
        <w:rPr>
          <w:rStyle w:val="14"/>
          <w:color w:val="auto"/>
          <w:sz w:val="24"/>
          <w:szCs w:val="24"/>
          <w:u w:val="none"/>
        </w:rPr>
      </w:pPr>
      <w:r>
        <w:rPr>
          <w:rFonts w:hint="eastAsia"/>
          <w:color w:val="auto"/>
          <w:spacing w:val="-5"/>
          <w:sz w:val="24"/>
          <w:szCs w:val="24"/>
        </w:rPr>
        <w:t>1.13.6 电子邮箱</w:t>
      </w:r>
      <w:r>
        <w:rPr>
          <w:rFonts w:hint="eastAsia"/>
          <w:color w:val="auto"/>
          <w:sz w:val="24"/>
          <w:szCs w:val="24"/>
        </w:rPr>
        <w:t>：</w:t>
      </w:r>
      <w:r>
        <w:rPr>
          <w:color w:val="auto"/>
        </w:rPr>
        <w:fldChar w:fldCharType="begin"/>
      </w:r>
      <w:r>
        <w:rPr>
          <w:color w:val="auto"/>
        </w:rPr>
        <w:instrText xml:space="preserve"> HYPERLINK "mailto:zjvczhaobiao@163.com" \h </w:instrText>
      </w:r>
      <w:r>
        <w:rPr>
          <w:color w:val="auto"/>
        </w:rPr>
        <w:fldChar w:fldCharType="separate"/>
      </w:r>
      <w:r>
        <w:rPr>
          <w:rStyle w:val="14"/>
          <w:rFonts w:hint="eastAsia"/>
          <w:color w:val="auto"/>
          <w:sz w:val="24"/>
          <w:szCs w:val="24"/>
          <w:u w:val="none"/>
        </w:rPr>
        <w:t>bjjzgs2022</w:t>
      </w:r>
      <w:r>
        <w:rPr>
          <w:rStyle w:val="14"/>
          <w:color w:val="auto"/>
          <w:sz w:val="24"/>
          <w:szCs w:val="24"/>
          <w:u w:val="none"/>
        </w:rPr>
        <w:t>@163.com</w:t>
      </w:r>
      <w:r>
        <w:rPr>
          <w:color w:val="auto"/>
          <w:sz w:val="24"/>
          <w:szCs w:val="24"/>
        </w:rPr>
        <w:fldChar w:fldCharType="end"/>
      </w:r>
    </w:p>
    <w:p>
      <w:pPr>
        <w:spacing w:after="160" w:line="360" w:lineRule="auto"/>
        <w:ind w:firstLine="5520" w:firstLineChars="2300"/>
        <w:rPr>
          <w:rStyle w:val="14"/>
          <w:color w:val="auto"/>
          <w:sz w:val="24"/>
          <w:szCs w:val="24"/>
          <w:u w:val="none"/>
        </w:rPr>
      </w:pPr>
    </w:p>
    <w:p>
      <w:pPr>
        <w:spacing w:after="160" w:line="360" w:lineRule="auto"/>
        <w:ind w:firstLine="4320" w:firstLineChars="1800"/>
        <w:rPr>
          <w:rFonts w:hint="eastAsia"/>
          <w:color w:val="auto"/>
          <w:lang w:eastAsia="zh-CN"/>
        </w:rPr>
      </w:pPr>
      <w:r>
        <w:rPr>
          <w:rStyle w:val="14"/>
          <w:rFonts w:hint="eastAsia"/>
          <w:color w:val="auto"/>
          <w:sz w:val="24"/>
          <w:szCs w:val="24"/>
          <w:u w:val="none"/>
        </w:rPr>
        <w:t xml:space="preserve">日  期：2022 年 </w:t>
      </w:r>
      <w:r>
        <w:rPr>
          <w:rStyle w:val="14"/>
          <w:rFonts w:hint="eastAsia"/>
          <w:color w:val="auto"/>
          <w:sz w:val="24"/>
          <w:szCs w:val="24"/>
          <w:u w:val="none"/>
          <w:lang w:val="en-US" w:eastAsia="zh-CN"/>
        </w:rPr>
        <w:t>6</w:t>
      </w:r>
      <w:r>
        <w:rPr>
          <w:rStyle w:val="14"/>
          <w:rFonts w:hint="eastAsia"/>
          <w:color w:val="auto"/>
          <w:sz w:val="24"/>
          <w:szCs w:val="24"/>
          <w:u w:val="none"/>
        </w:rPr>
        <w:t xml:space="preserve"> 月 </w:t>
      </w:r>
      <w:r>
        <w:rPr>
          <w:rStyle w:val="14"/>
          <w:rFonts w:hint="eastAsia"/>
          <w:color w:val="auto"/>
          <w:sz w:val="24"/>
          <w:szCs w:val="24"/>
          <w:u w:val="none"/>
          <w:lang w:val="en-US" w:eastAsia="zh-CN"/>
        </w:rPr>
        <w:t>23</w:t>
      </w:r>
      <w:r>
        <w:rPr>
          <w:rStyle w:val="14"/>
          <w:rFonts w:hint="eastAsia"/>
          <w:color w:val="auto"/>
          <w:sz w:val="24"/>
          <w:szCs w:val="24"/>
          <w:u w:val="none"/>
        </w:rPr>
        <w:t xml:space="preserve">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1D"/>
    <w:multiLevelType w:val="multilevel"/>
    <w:tmpl w:val="2F00001D"/>
    <w:lvl w:ilvl="0" w:tentative="0">
      <w:start w:val="1"/>
      <w:numFmt w:val="decimal"/>
      <w:lvlText w:val="%1"/>
      <w:lvlJc w:val="left"/>
      <w:pPr>
        <w:ind w:left="1058" w:hanging="845"/>
      </w:pPr>
      <w:rPr>
        <w:rFonts w:cs="Times New Roman"/>
        <w:w w:val="100"/>
        <w:sz w:val="20"/>
        <w:szCs w:val="20"/>
      </w:rPr>
    </w:lvl>
    <w:lvl w:ilvl="1" w:tentative="0">
      <w:start w:val="1"/>
      <w:numFmt w:val="decimal"/>
      <w:lvlText w:val="%1.%2"/>
      <w:lvlJc w:val="left"/>
      <w:pPr>
        <w:ind w:left="1058" w:hanging="845"/>
      </w:pPr>
      <w:rPr>
        <w:rFonts w:ascii="宋体" w:hAnsi="宋体" w:eastAsia="宋体" w:cs="Times New Roman"/>
        <w:b/>
        <w:w w:val="99"/>
        <w:sz w:val="24"/>
        <w:szCs w:val="24"/>
      </w:rPr>
    </w:lvl>
    <w:lvl w:ilvl="2" w:tentative="0">
      <w:start w:val="1"/>
      <w:numFmt w:val="decimal"/>
      <w:lvlText w:val="%1.%2.%3"/>
      <w:lvlJc w:val="left"/>
      <w:pPr>
        <w:ind w:left="1773" w:hanging="840"/>
      </w:pPr>
      <w:rPr>
        <w:rFonts w:hint="default" w:cs="Times New Roman"/>
        <w:w w:val="100"/>
        <w:sz w:val="24"/>
        <w:szCs w:val="24"/>
      </w:rPr>
    </w:lvl>
    <w:lvl w:ilvl="3" w:tentative="0">
      <w:start w:val="1"/>
      <w:numFmt w:val="decimal"/>
      <w:lvlText w:val="（%4）"/>
      <w:lvlJc w:val="left"/>
      <w:pPr>
        <w:ind w:left="1691" w:hanging="840"/>
      </w:pPr>
      <w:rPr>
        <w:rFonts w:ascii="宋体" w:hAnsi="宋体" w:eastAsia="宋体" w:cs="Times New Roman"/>
        <w:b/>
        <w:spacing w:val="-27"/>
        <w:w w:val="99"/>
        <w:sz w:val="22"/>
        <w:szCs w:val="22"/>
      </w:rPr>
    </w:lvl>
    <w:lvl w:ilvl="4" w:tentative="0">
      <w:start w:val="0"/>
      <w:numFmt w:val="bullet"/>
      <w:lvlText w:val="•"/>
      <w:lvlJc w:val="left"/>
      <w:pPr>
        <w:ind w:left="1180" w:hanging="840"/>
      </w:pPr>
      <w:rPr>
        <w:w w:val="100"/>
        <w:sz w:val="20"/>
      </w:rPr>
    </w:lvl>
    <w:lvl w:ilvl="5" w:tentative="0">
      <w:start w:val="0"/>
      <w:numFmt w:val="bullet"/>
      <w:lvlText w:val="•"/>
      <w:lvlJc w:val="left"/>
      <w:pPr>
        <w:ind w:left="1780" w:hanging="840"/>
      </w:pPr>
      <w:rPr>
        <w:w w:val="100"/>
        <w:sz w:val="20"/>
      </w:rPr>
    </w:lvl>
    <w:lvl w:ilvl="6" w:tentative="0">
      <w:start w:val="0"/>
      <w:numFmt w:val="bullet"/>
      <w:lvlText w:val="•"/>
      <w:lvlJc w:val="left"/>
      <w:pPr>
        <w:ind w:left="3317" w:hanging="840"/>
      </w:pPr>
      <w:rPr>
        <w:w w:val="100"/>
        <w:sz w:val="20"/>
      </w:rPr>
    </w:lvl>
    <w:lvl w:ilvl="7" w:tentative="0">
      <w:start w:val="0"/>
      <w:numFmt w:val="bullet"/>
      <w:lvlText w:val="•"/>
      <w:lvlJc w:val="left"/>
      <w:pPr>
        <w:ind w:left="4854" w:hanging="840"/>
      </w:pPr>
      <w:rPr>
        <w:w w:val="100"/>
        <w:sz w:val="20"/>
      </w:rPr>
    </w:lvl>
    <w:lvl w:ilvl="8" w:tentative="0">
      <w:start w:val="0"/>
      <w:numFmt w:val="bullet"/>
      <w:lvlText w:val="•"/>
      <w:lvlJc w:val="left"/>
      <w:pPr>
        <w:ind w:left="6391" w:hanging="840"/>
      </w:pPr>
      <w:rPr>
        <w:w w:val="10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YzNkN2E3MDhlN2E4MjAzMTYwODhjYWJjNDEwZTkifQ=="/>
  </w:docVars>
  <w:rsids>
    <w:rsidRoot w:val="48EE1717"/>
    <w:rsid w:val="0D3E74F7"/>
    <w:rsid w:val="0DA26F60"/>
    <w:rsid w:val="111169E3"/>
    <w:rsid w:val="18133F4D"/>
    <w:rsid w:val="1EC41FC5"/>
    <w:rsid w:val="1F870EC6"/>
    <w:rsid w:val="211915C6"/>
    <w:rsid w:val="21C42318"/>
    <w:rsid w:val="23F92279"/>
    <w:rsid w:val="264B5CB7"/>
    <w:rsid w:val="26F853DC"/>
    <w:rsid w:val="27E14655"/>
    <w:rsid w:val="28435EB6"/>
    <w:rsid w:val="3E644B44"/>
    <w:rsid w:val="41800FC6"/>
    <w:rsid w:val="46C76F21"/>
    <w:rsid w:val="476263ED"/>
    <w:rsid w:val="485962EF"/>
    <w:rsid w:val="48EE1717"/>
    <w:rsid w:val="4EE377D2"/>
    <w:rsid w:val="5E8D2E18"/>
    <w:rsid w:val="600A1D70"/>
    <w:rsid w:val="692A6320"/>
    <w:rsid w:val="70EC64EF"/>
    <w:rsid w:val="72F60DA2"/>
    <w:rsid w:val="7A5E4120"/>
    <w:rsid w:val="7D6F440F"/>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9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utoSpaceDE w:val="0"/>
      <w:autoSpaceDN w:val="0"/>
    </w:pPr>
    <w:rPr>
      <w:rFonts w:ascii="宋体" w:hAnsi="宋体" w:eastAsia="宋体" w:cs="Times New Roman"/>
      <w:sz w:val="22"/>
      <w:szCs w:val="22"/>
      <w:lang w:val="en-US" w:eastAsia="zh-CN" w:bidi="ar-SA"/>
    </w:rPr>
  </w:style>
  <w:style w:type="paragraph" w:styleId="6">
    <w:name w:val="heading 8"/>
    <w:basedOn w:val="1"/>
    <w:next w:val="1"/>
    <w:qFormat/>
    <w:uiPriority w:val="99"/>
    <w:pPr>
      <w:autoSpaceDE/>
      <w:autoSpaceDN/>
      <w:ind w:left="1632"/>
      <w:outlineLvl w:val="7"/>
    </w:pPr>
    <w:rPr>
      <w:b/>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pPr>
  </w:style>
  <w:style w:type="paragraph" w:styleId="3">
    <w:name w:val="Body Text Indent"/>
    <w:basedOn w:val="1"/>
    <w:next w:val="4"/>
    <w:qFormat/>
    <w:uiPriority w:val="0"/>
    <w:pPr>
      <w:widowControl/>
      <w:spacing w:before="100" w:beforeAutospacing="1" w:after="100" w:afterAutospacing="1"/>
      <w:jc w:val="left"/>
    </w:pPr>
    <w:rPr>
      <w:rFonts w:ascii="宋体" w:hAnsi="宋体"/>
      <w:kern w:val="0"/>
    </w:rPr>
  </w:style>
  <w:style w:type="paragraph" w:styleId="4">
    <w:name w:val="envelope return"/>
    <w:basedOn w:val="1"/>
    <w:qFormat/>
    <w:uiPriority w:val="0"/>
    <w:pPr>
      <w:snapToGrid w:val="0"/>
    </w:pPr>
    <w:rPr>
      <w:rFonts w:ascii="Arial" w:hAnsi="Arial"/>
    </w:rPr>
  </w:style>
  <w:style w:type="paragraph" w:styleId="5">
    <w:name w:val="Body Text"/>
    <w:basedOn w:val="1"/>
    <w:next w:val="1"/>
    <w:qFormat/>
    <w:uiPriority w:val="99"/>
    <w:rPr>
      <w:sz w:val="24"/>
      <w:szCs w:val="24"/>
    </w:rPr>
  </w:style>
  <w:style w:type="paragraph" w:styleId="7">
    <w:name w:val="Normal Indent"/>
    <w:basedOn w:val="1"/>
    <w:qFormat/>
    <w:uiPriority w:val="99"/>
    <w:pPr>
      <w:widowControl w:val="0"/>
      <w:autoSpaceDE/>
      <w:autoSpaceDN/>
      <w:adjustRightInd w:val="0"/>
      <w:spacing w:line="360" w:lineRule="atLeast"/>
      <w:ind w:firstLine="482"/>
      <w:jc w:val="both"/>
      <w:textAlignment w:val="baseline"/>
    </w:pPr>
    <w:rPr>
      <w:rFonts w:ascii="Times New Roman" w:hAnsi="Times New Roman"/>
      <w:sz w:val="24"/>
      <w:szCs w:val="20"/>
    </w:rPr>
  </w:style>
  <w:style w:type="paragraph" w:styleId="8">
    <w:name w:val="Plain Text"/>
    <w:basedOn w:val="1"/>
    <w:qFormat/>
    <w:uiPriority w:val="99"/>
    <w:pPr>
      <w:widowControl w:val="0"/>
      <w:autoSpaceDE/>
      <w:autoSpaceDN/>
      <w:jc w:val="both"/>
    </w:pPr>
    <w:rPr>
      <w:rFonts w:hAnsi="Courier New" w:cs="Courier New"/>
      <w:kern w:val="2"/>
      <w:sz w:val="21"/>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5"/>
    <w:qFormat/>
    <w:uiPriority w:val="0"/>
    <w:pPr>
      <w:spacing w:line="312" w:lineRule="auto"/>
      <w:ind w:firstLine="420"/>
    </w:pPr>
  </w:style>
  <w:style w:type="character" w:styleId="14">
    <w:name w:val="Hyperlink"/>
    <w:basedOn w:val="13"/>
    <w:qFormat/>
    <w:uiPriority w:val="99"/>
    <w:rPr>
      <w:rFonts w:cs="Times New Roman"/>
      <w:color w:val="0000FF"/>
      <w:w w:val="100"/>
      <w:sz w:val="20"/>
      <w:u w:val="single"/>
      <w:shd w:val="clear" w:color="auto" w:fill="auto"/>
    </w:rPr>
  </w:style>
  <w:style w:type="paragraph" w:customStyle="1" w:styleId="15">
    <w:name w:val="BodyText"/>
    <w:basedOn w:val="1"/>
    <w:qFormat/>
    <w:uiPriority w:val="0"/>
    <w:pPr>
      <w:jc w:val="center"/>
    </w:pPr>
    <w:rPr>
      <w:rFonts w:eastAsia="黑体"/>
      <w:sz w:val="44"/>
    </w:rPr>
  </w:style>
  <w:style w:type="paragraph" w:customStyle="1" w:styleId="16">
    <w:name w:val="列出段落1"/>
    <w:basedOn w:val="1"/>
    <w:qFormat/>
    <w:uiPriority w:val="99"/>
    <w:pPr>
      <w:autoSpaceDE/>
      <w:autoSpaceDN/>
      <w:ind w:left="195" w:firstLine="480"/>
    </w:pPr>
  </w:style>
  <w:style w:type="paragraph" w:styleId="17">
    <w:name w:val="List Paragraph"/>
    <w:basedOn w:val="1"/>
    <w:qFormat/>
    <w:uiPriority w:val="1"/>
    <w:pPr>
      <w:spacing w:beforeLines="0" w:afterLines="0"/>
      <w:ind w:left="359" w:firstLine="480"/>
    </w:pPr>
    <w:rPr>
      <w:rFonts w:hint="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4166</Words>
  <Characters>4831</Characters>
  <Lines>0</Lines>
  <Paragraphs>0</Paragraphs>
  <TotalTime>25</TotalTime>
  <ScaleCrop>false</ScaleCrop>
  <LinksUpToDate>false</LinksUpToDate>
  <CharactersWithSpaces>4998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2022-06-07T04:23:00Z</dcterms:created>
  <dc:creator>Administrator</dc:creator>
  <cp:lastModifiedBy>乔</cp:lastModifiedBy>
  <cp:lastPrinted>2022-06-20T07:34:00Z</cp:lastPrinted>
  <dcterms:modified xsi:type="dcterms:W3CDTF">2022-06-23T09:23:22Z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F4E286B4DB9D47E697D6BB5008F19EBA</vt:lpwstr>
  </property>
</Properties>
</file>