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8DAE">
      <w:pPr>
        <w:spacing w:line="360" w:lineRule="auto"/>
        <w:jc w:val="center"/>
        <w:rPr>
          <w:rFonts w:hint="eastAsia" w:ascii="宋体" w:hAnsi="宋体" w:cs="宋体"/>
          <w:b/>
          <w:color w:val="auto"/>
          <w:sz w:val="48"/>
          <w:szCs w:val="48"/>
          <w:highlight w:val="none"/>
          <w:lang w:bidi="ar"/>
        </w:rPr>
      </w:pPr>
    </w:p>
    <w:p w14:paraId="5637132B">
      <w:pPr>
        <w:spacing w:line="360" w:lineRule="auto"/>
        <w:jc w:val="center"/>
        <w:rPr>
          <w:rFonts w:hint="eastAsia" w:ascii="宋体" w:hAnsi="宋体" w:cs="宋体"/>
          <w:b/>
          <w:color w:val="auto"/>
          <w:sz w:val="48"/>
          <w:szCs w:val="48"/>
          <w:highlight w:val="none"/>
          <w:lang w:bidi="ar"/>
        </w:rPr>
      </w:pPr>
    </w:p>
    <w:p w14:paraId="19E732FD">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菊花石大道东侧项目市政排水渠迁改</w:t>
      </w:r>
    </w:p>
    <w:p w14:paraId="559BC9A2">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设计施工总承包</w:t>
      </w:r>
    </w:p>
    <w:p w14:paraId="54932EC2">
      <w:pPr>
        <w:spacing w:line="360" w:lineRule="auto"/>
        <w:rPr>
          <w:rFonts w:hint="eastAsia" w:ascii="宋体" w:hAnsi="宋体" w:cs="宋体"/>
          <w:b/>
          <w:color w:val="auto"/>
          <w:spacing w:val="40"/>
          <w:sz w:val="44"/>
          <w:szCs w:val="44"/>
          <w:highlight w:val="none"/>
        </w:rPr>
      </w:pPr>
    </w:p>
    <w:p w14:paraId="2D759953">
      <w:pPr>
        <w:spacing w:line="360" w:lineRule="auto"/>
        <w:jc w:val="left"/>
        <w:rPr>
          <w:rFonts w:hint="eastAsia" w:ascii="宋体" w:hAnsi="宋体" w:cs="宋体"/>
          <w:color w:val="auto"/>
          <w:sz w:val="36"/>
          <w:szCs w:val="36"/>
          <w:highlight w:val="none"/>
          <w:u w:val="single"/>
          <w:lang w:bidi="ar"/>
        </w:rPr>
      </w:pPr>
    </w:p>
    <w:p w14:paraId="1387DE9F">
      <w:pPr>
        <w:spacing w:line="360" w:lineRule="auto"/>
        <w:jc w:val="left"/>
        <w:rPr>
          <w:rFonts w:hint="eastAsia" w:ascii="宋体" w:hAnsi="宋体" w:cs="宋体"/>
          <w:color w:val="auto"/>
          <w:sz w:val="36"/>
          <w:szCs w:val="36"/>
          <w:highlight w:val="none"/>
          <w:u w:val="single"/>
          <w:lang w:bidi="ar"/>
        </w:rPr>
      </w:pPr>
    </w:p>
    <w:p w14:paraId="5E742897">
      <w:pPr>
        <w:spacing w:line="360" w:lineRule="auto"/>
        <w:jc w:val="left"/>
        <w:rPr>
          <w:rFonts w:hint="eastAsia" w:ascii="宋体" w:hAnsi="宋体" w:cs="宋体"/>
          <w:color w:val="auto"/>
          <w:sz w:val="36"/>
          <w:szCs w:val="36"/>
          <w:highlight w:val="none"/>
          <w:u w:val="single"/>
          <w:lang w:bidi="ar"/>
        </w:rPr>
      </w:pPr>
    </w:p>
    <w:p w14:paraId="294616DA">
      <w:pPr>
        <w:spacing w:line="360" w:lineRule="auto"/>
        <w:jc w:val="left"/>
        <w:rPr>
          <w:rFonts w:hint="eastAsia" w:ascii="宋体" w:hAnsi="宋体" w:cs="宋体"/>
          <w:color w:val="auto"/>
          <w:sz w:val="36"/>
          <w:szCs w:val="36"/>
          <w:highlight w:val="none"/>
          <w:u w:val="single"/>
        </w:rPr>
      </w:pPr>
    </w:p>
    <w:p w14:paraId="00E7758D">
      <w:pPr>
        <w:spacing w:line="360" w:lineRule="auto"/>
        <w:jc w:val="center"/>
        <w:rPr>
          <w:rFonts w:hint="eastAsia" w:ascii="宋体" w:hAnsi="宋体" w:cs="宋体"/>
          <w:b/>
          <w:color w:val="auto"/>
          <w:spacing w:val="26"/>
          <w:sz w:val="110"/>
          <w:szCs w:val="110"/>
          <w:highlight w:val="none"/>
        </w:rPr>
      </w:pPr>
      <w:r>
        <w:rPr>
          <w:rFonts w:hint="eastAsia" w:ascii="宋体" w:hAnsi="宋体" w:cs="宋体"/>
          <w:b/>
          <w:color w:val="auto"/>
          <w:spacing w:val="26"/>
          <w:sz w:val="96"/>
          <w:szCs w:val="96"/>
          <w:highlight w:val="none"/>
          <w:lang w:bidi="ar"/>
        </w:rPr>
        <w:t>招标公告</w:t>
      </w:r>
    </w:p>
    <w:p w14:paraId="4A955938">
      <w:pPr>
        <w:spacing w:line="360" w:lineRule="auto"/>
        <w:rPr>
          <w:rFonts w:hint="eastAsia" w:ascii="宋体" w:hAnsi="宋体" w:cs="宋体"/>
          <w:color w:val="auto"/>
          <w:sz w:val="32"/>
          <w:szCs w:val="32"/>
          <w:highlight w:val="none"/>
        </w:rPr>
      </w:pPr>
    </w:p>
    <w:p w14:paraId="5E8C9F9F">
      <w:pPr>
        <w:spacing w:line="360" w:lineRule="auto"/>
        <w:rPr>
          <w:rFonts w:hint="eastAsia" w:ascii="宋体" w:hAnsi="宋体" w:cs="宋体"/>
          <w:color w:val="auto"/>
          <w:sz w:val="52"/>
          <w:szCs w:val="52"/>
          <w:highlight w:val="none"/>
        </w:rPr>
      </w:pPr>
    </w:p>
    <w:p w14:paraId="53D479BE">
      <w:pPr>
        <w:spacing w:line="360" w:lineRule="auto"/>
        <w:rPr>
          <w:rFonts w:hint="eastAsia" w:ascii="宋体" w:hAnsi="宋体" w:cs="宋体"/>
          <w:color w:val="auto"/>
          <w:sz w:val="52"/>
          <w:szCs w:val="52"/>
          <w:highlight w:val="none"/>
          <w:lang w:bidi="ar"/>
        </w:rPr>
      </w:pPr>
    </w:p>
    <w:p w14:paraId="194F45D8">
      <w:pPr>
        <w:spacing w:line="360" w:lineRule="auto"/>
        <w:rPr>
          <w:rFonts w:hint="eastAsia" w:ascii="宋体" w:hAnsi="宋体" w:cs="宋体"/>
          <w:color w:val="auto"/>
          <w:sz w:val="52"/>
          <w:szCs w:val="52"/>
          <w:highlight w:val="none"/>
          <w:lang w:bidi="ar"/>
        </w:rPr>
      </w:pPr>
    </w:p>
    <w:p w14:paraId="11371E74">
      <w:pPr>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 xml:space="preserve">招 </w:t>
      </w:r>
      <w:r>
        <w:rPr>
          <w:rFonts w:ascii="宋体" w:hAnsi="宋体" w:cs="宋体"/>
          <w:color w:val="auto"/>
          <w:sz w:val="32"/>
          <w:szCs w:val="32"/>
          <w:highlight w:val="none"/>
          <w:lang w:bidi="ar"/>
        </w:rPr>
        <w:t xml:space="preserve">  </w:t>
      </w:r>
      <w:r>
        <w:rPr>
          <w:rFonts w:hint="eastAsia" w:ascii="宋体" w:hAnsi="宋体" w:cs="宋体"/>
          <w:color w:val="auto"/>
          <w:sz w:val="32"/>
          <w:szCs w:val="32"/>
          <w:highlight w:val="none"/>
          <w:lang w:bidi="ar"/>
        </w:rPr>
        <w:t xml:space="preserve">标 </w:t>
      </w:r>
      <w:r>
        <w:rPr>
          <w:rFonts w:ascii="宋体" w:hAnsi="宋体" w:cs="宋体"/>
          <w:color w:val="auto"/>
          <w:sz w:val="32"/>
          <w:szCs w:val="32"/>
          <w:highlight w:val="none"/>
          <w:lang w:bidi="ar"/>
        </w:rPr>
        <w:t xml:space="preserve">  </w:t>
      </w:r>
      <w:r>
        <w:rPr>
          <w:rFonts w:hint="eastAsia" w:ascii="宋体" w:hAnsi="宋体" w:cs="宋体"/>
          <w:color w:val="auto"/>
          <w:sz w:val="32"/>
          <w:szCs w:val="32"/>
          <w:highlight w:val="none"/>
          <w:lang w:bidi="ar"/>
        </w:rPr>
        <w:t>人：广州市花都区花山镇人民政府</w:t>
      </w:r>
    </w:p>
    <w:p w14:paraId="0A97F759">
      <w:pPr>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招标代理机构：广州市中兴工程管理服务有限公司</w:t>
      </w:r>
    </w:p>
    <w:p w14:paraId="02F8D572">
      <w:pPr>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日        期：2024年10月</w:t>
      </w:r>
    </w:p>
    <w:p w14:paraId="1F212E2A">
      <w:pPr>
        <w:spacing w:line="360" w:lineRule="auto"/>
        <w:jc w:val="left"/>
        <w:rPr>
          <w:rFonts w:hint="eastAsia" w:asciiTheme="minorEastAsia" w:hAnsiTheme="minorEastAsia" w:eastAsiaTheme="minorEastAsia"/>
          <w:b/>
          <w:color w:val="auto"/>
          <w:kern w:val="0"/>
          <w:position w:val="-5"/>
          <w:sz w:val="28"/>
          <w:szCs w:val="28"/>
          <w:highlight w:val="none"/>
        </w:rPr>
      </w:pPr>
      <w:r>
        <w:rPr>
          <w:rFonts w:hint="eastAsia" w:asciiTheme="minorEastAsia" w:hAnsiTheme="minorEastAsia" w:eastAsiaTheme="minorEastAsia"/>
          <w:b/>
          <w:color w:val="auto"/>
          <w:kern w:val="0"/>
          <w:position w:val="-5"/>
          <w:sz w:val="28"/>
          <w:szCs w:val="28"/>
          <w:highlight w:val="none"/>
        </w:rPr>
        <w:br w:type="page"/>
      </w:r>
    </w:p>
    <w:p w14:paraId="56F4BA21">
      <w:pPr>
        <w:autoSpaceDE w:val="0"/>
        <w:autoSpaceDN w:val="0"/>
        <w:adjustRightInd w:val="0"/>
        <w:spacing w:line="360" w:lineRule="auto"/>
        <w:jc w:val="center"/>
        <w:rPr>
          <w:rFonts w:hint="eastAsia" w:asciiTheme="minorEastAsia" w:hAnsiTheme="minorEastAsia" w:eastAsiaTheme="minorEastAsia"/>
          <w:b/>
          <w:color w:val="auto"/>
          <w:kern w:val="0"/>
          <w:position w:val="-5"/>
          <w:sz w:val="32"/>
          <w:szCs w:val="32"/>
          <w:highlight w:val="none"/>
        </w:rPr>
      </w:pPr>
      <w:r>
        <w:rPr>
          <w:rFonts w:hint="eastAsia" w:asciiTheme="minorEastAsia" w:hAnsiTheme="minorEastAsia" w:eastAsiaTheme="minorEastAsia"/>
          <w:b/>
          <w:color w:val="auto"/>
          <w:kern w:val="0"/>
          <w:position w:val="-5"/>
          <w:sz w:val="32"/>
          <w:szCs w:val="32"/>
          <w:highlight w:val="none"/>
        </w:rPr>
        <w:t>菊花石大道东侧项目市政排水渠迁改设计施工总承包</w:t>
      </w:r>
    </w:p>
    <w:p w14:paraId="05956FAA">
      <w:pPr>
        <w:autoSpaceDE w:val="0"/>
        <w:autoSpaceDN w:val="0"/>
        <w:adjustRightInd w:val="0"/>
        <w:spacing w:line="360" w:lineRule="auto"/>
        <w:jc w:val="center"/>
        <w:rPr>
          <w:rFonts w:hint="eastAsia" w:asciiTheme="minorEastAsia" w:hAnsiTheme="minorEastAsia" w:eastAsiaTheme="minorEastAsia"/>
          <w:b/>
          <w:color w:val="auto"/>
          <w:kern w:val="0"/>
          <w:position w:val="-5"/>
          <w:sz w:val="32"/>
          <w:szCs w:val="32"/>
          <w:highlight w:val="none"/>
          <w:u w:val="single"/>
        </w:rPr>
      </w:pPr>
      <w:r>
        <w:rPr>
          <w:rFonts w:hint="eastAsia" w:asciiTheme="minorEastAsia" w:hAnsiTheme="minorEastAsia" w:eastAsiaTheme="minorEastAsia"/>
          <w:b/>
          <w:color w:val="auto"/>
          <w:kern w:val="0"/>
          <w:position w:val="-5"/>
          <w:sz w:val="32"/>
          <w:szCs w:val="32"/>
          <w:highlight w:val="none"/>
        </w:rPr>
        <w:t>招标</w:t>
      </w:r>
      <w:r>
        <w:rPr>
          <w:rFonts w:hint="eastAsia" w:asciiTheme="minorEastAsia" w:hAnsiTheme="minorEastAsia" w:eastAsiaTheme="minorEastAsia"/>
          <w:b/>
          <w:color w:val="auto"/>
          <w:spacing w:val="-2"/>
          <w:kern w:val="0"/>
          <w:position w:val="-5"/>
          <w:sz w:val="32"/>
          <w:szCs w:val="32"/>
          <w:highlight w:val="none"/>
        </w:rPr>
        <w:t>公</w:t>
      </w:r>
      <w:r>
        <w:rPr>
          <w:rFonts w:hint="eastAsia" w:asciiTheme="minorEastAsia" w:hAnsiTheme="minorEastAsia" w:eastAsiaTheme="minorEastAsia"/>
          <w:b/>
          <w:color w:val="auto"/>
          <w:kern w:val="0"/>
          <w:position w:val="-5"/>
          <w:sz w:val="32"/>
          <w:szCs w:val="32"/>
          <w:highlight w:val="none"/>
        </w:rPr>
        <w:t>告</w:t>
      </w:r>
    </w:p>
    <w:p w14:paraId="50E980E8">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0" w:name="_Toc25072048"/>
      <w:r>
        <w:rPr>
          <w:rFonts w:hint="eastAsia" w:ascii="宋体" w:hAnsi="宋体" w:eastAsia="宋体" w:cs="宋体"/>
          <w:bCs w:val="0"/>
          <w:color w:val="auto"/>
          <w:kern w:val="0"/>
          <w:sz w:val="28"/>
          <w:szCs w:val="28"/>
          <w:highlight w:val="none"/>
          <w:lang w:bidi="ar"/>
        </w:rPr>
        <w:t>1.招标条件</w:t>
      </w:r>
      <w:bookmarkEnd w:id="0"/>
    </w:p>
    <w:p w14:paraId="29032E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菊花石大道东侧项目市政排水渠迁改</w:t>
      </w:r>
      <w:r>
        <w:rPr>
          <w:rFonts w:hint="eastAsia" w:ascii="宋体" w:hAnsi="宋体" w:cs="宋体"/>
          <w:color w:val="auto"/>
          <w:sz w:val="24"/>
          <w:highlight w:val="none"/>
          <w:lang w:bidi="ar"/>
        </w:rPr>
        <w:t>已由</w:t>
      </w:r>
      <w:r>
        <w:rPr>
          <w:rFonts w:hint="eastAsia" w:ascii="宋体" w:hAnsi="宋体" w:cs="宋体"/>
          <w:color w:val="auto"/>
          <w:sz w:val="24"/>
          <w:highlight w:val="none"/>
          <w:u w:val="single"/>
          <w:lang w:bidi="ar"/>
        </w:rPr>
        <w:t>广东省企业投资项目备案证（项目代码：2409-440114-19-01-710722）</w:t>
      </w:r>
      <w:r>
        <w:rPr>
          <w:rFonts w:hint="eastAsia" w:ascii="宋体" w:hAnsi="宋体" w:cs="宋体"/>
          <w:color w:val="auto"/>
          <w:sz w:val="24"/>
          <w:highlight w:val="none"/>
          <w:lang w:bidi="ar"/>
        </w:rPr>
        <w:t>批准建设，项目业主为</w:t>
      </w:r>
      <w:r>
        <w:rPr>
          <w:rFonts w:hint="eastAsia" w:ascii="宋体" w:hAnsi="宋体" w:cs="宋体"/>
          <w:color w:val="auto"/>
          <w:sz w:val="24"/>
          <w:highlight w:val="none"/>
          <w:u w:val="single"/>
          <w:lang w:bidi="ar"/>
        </w:rPr>
        <w:t>广州市花都区花山镇人民政府</w:t>
      </w:r>
      <w:r>
        <w:rPr>
          <w:rFonts w:hint="eastAsia" w:ascii="宋体" w:hAnsi="宋体" w:cs="宋体"/>
          <w:color w:val="auto"/>
          <w:sz w:val="24"/>
          <w:highlight w:val="none"/>
          <w:lang w:bidi="ar"/>
        </w:rPr>
        <w:t>，建设资金来自</w:t>
      </w:r>
      <w:r>
        <w:rPr>
          <w:rFonts w:hint="eastAsia" w:ascii="宋体" w:hAnsi="宋体" w:cs="宋体"/>
          <w:color w:val="auto"/>
          <w:sz w:val="24"/>
          <w:highlight w:val="none"/>
          <w:u w:val="single"/>
          <w:lang w:bidi="ar"/>
        </w:rPr>
        <w:t xml:space="preserve"> 财政资金</w:t>
      </w:r>
      <w:r>
        <w:rPr>
          <w:rFonts w:hint="eastAsia" w:ascii="宋体" w:hAnsi="宋体" w:cs="宋体"/>
          <w:color w:val="auto"/>
          <w:sz w:val="24"/>
          <w:highlight w:val="none"/>
          <w:lang w:bidi="ar"/>
        </w:rPr>
        <w:t>，项目出资比例为</w:t>
      </w:r>
      <w:r>
        <w:rPr>
          <w:rFonts w:hint="eastAsia" w:ascii="宋体" w:hAnsi="宋体" w:cs="宋体"/>
          <w:color w:val="auto"/>
          <w:sz w:val="24"/>
          <w:highlight w:val="none"/>
          <w:u w:val="single"/>
          <w:lang w:bidi="ar"/>
        </w:rPr>
        <w:t>100%</w:t>
      </w:r>
      <w:r>
        <w:rPr>
          <w:rFonts w:hint="eastAsia" w:ascii="宋体" w:hAnsi="宋体" w:cs="宋体"/>
          <w:color w:val="auto"/>
          <w:sz w:val="24"/>
          <w:highlight w:val="none"/>
          <w:lang w:bidi="ar"/>
        </w:rPr>
        <w:t>，招标人为</w:t>
      </w:r>
      <w:r>
        <w:rPr>
          <w:rFonts w:hint="eastAsia" w:ascii="宋体" w:hAnsi="宋体" w:cs="宋体"/>
          <w:color w:val="auto"/>
          <w:sz w:val="24"/>
          <w:highlight w:val="none"/>
          <w:u w:val="single"/>
          <w:lang w:bidi="ar"/>
        </w:rPr>
        <w:t>广州市花都区花山镇人民政府</w:t>
      </w:r>
      <w:r>
        <w:rPr>
          <w:rFonts w:hint="eastAsia" w:ascii="宋体" w:hAnsi="宋体" w:cs="宋体"/>
          <w:color w:val="auto"/>
          <w:sz w:val="24"/>
          <w:highlight w:val="none"/>
          <w:lang w:bidi="ar"/>
        </w:rPr>
        <w:t>。项目已具备招标条件，现对该项目的</w:t>
      </w:r>
      <w:r>
        <w:rPr>
          <w:rFonts w:hint="eastAsia" w:ascii="宋体" w:hAnsi="宋体" w:cs="宋体"/>
          <w:color w:val="auto"/>
          <w:sz w:val="24"/>
          <w:highlight w:val="none"/>
          <w:u w:val="single"/>
          <w:lang w:bidi="ar"/>
        </w:rPr>
        <w:t>设计施工总承包</w:t>
      </w:r>
      <w:r>
        <w:rPr>
          <w:rFonts w:hint="eastAsia" w:ascii="宋体" w:hAnsi="宋体" w:cs="宋体"/>
          <w:color w:val="auto"/>
          <w:sz w:val="24"/>
          <w:highlight w:val="none"/>
          <w:lang w:bidi="ar"/>
        </w:rPr>
        <w:t>进行公开招标。</w:t>
      </w:r>
    </w:p>
    <w:p w14:paraId="7A1440FF">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1" w:name="_Toc25072049"/>
      <w:r>
        <w:rPr>
          <w:rFonts w:hint="eastAsia" w:ascii="宋体" w:hAnsi="宋体" w:eastAsia="宋体" w:cs="宋体"/>
          <w:bCs w:val="0"/>
          <w:color w:val="auto"/>
          <w:kern w:val="0"/>
          <w:sz w:val="28"/>
          <w:szCs w:val="28"/>
          <w:highlight w:val="none"/>
          <w:lang w:bidi="ar"/>
        </w:rPr>
        <w:t>2.项目概况与招标范围</w:t>
      </w:r>
      <w:bookmarkEnd w:id="1"/>
      <w:bookmarkStart w:id="23" w:name="_GoBack"/>
      <w:bookmarkEnd w:id="23"/>
    </w:p>
    <w:p w14:paraId="760E6E9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2.1招标项目名称：</w:t>
      </w:r>
      <w:r>
        <w:rPr>
          <w:rFonts w:hint="eastAsia" w:ascii="宋体" w:hAnsi="宋体" w:cs="宋体"/>
          <w:color w:val="auto"/>
          <w:sz w:val="24"/>
          <w:highlight w:val="none"/>
          <w:u w:val="single"/>
        </w:rPr>
        <w:t>菊花石大道东侧项目市政排水渠迁改设计施工总承包</w:t>
      </w:r>
    </w:p>
    <w:p w14:paraId="22B5B61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2.2工程建设地点：</w:t>
      </w:r>
      <w:r>
        <w:rPr>
          <w:rFonts w:hint="eastAsia" w:ascii="宋体" w:hAnsi="宋体" w:cs="宋体"/>
          <w:color w:val="auto"/>
          <w:sz w:val="24"/>
          <w:highlight w:val="none"/>
          <w:u w:val="single"/>
        </w:rPr>
        <w:t>广州市花都区花山镇菊花石大道东侧，南村、东方村段</w:t>
      </w:r>
    </w:p>
    <w:p w14:paraId="3016F6A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bidi="ar"/>
        </w:rPr>
        <w:t>2.3工程建设规模：</w:t>
      </w:r>
      <w:bookmarkStart w:id="2" w:name="_Hlk179530869"/>
      <w:r>
        <w:rPr>
          <w:rFonts w:hint="eastAsia" w:ascii="宋体" w:hAnsi="宋体" w:cs="宋体"/>
          <w:color w:val="auto"/>
          <w:sz w:val="24"/>
          <w:highlight w:val="none"/>
          <w:u w:val="single"/>
        </w:rPr>
        <w:t>本项目主要建设内容为迁改西侧排水主通道和东侧排水主通道。西侧排水主通道计划拆除原有明渠222米，沿规划道路新建尺寸为BxH=5.6米x1.4米、长度为678米的市政排水箱涵。东侧排水主通道计划拆除原有明渠58米，沿规划道路新建尺寸为 BxH=3.5米x1.7米、长度为618米的市政排水箱涵。</w:t>
      </w:r>
    </w:p>
    <w:p w14:paraId="7C01594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注：以上建设内容和规模最终以政府主管部门和规划建设管理部门最终批复为准</w:t>
      </w:r>
      <w:bookmarkEnd w:id="2"/>
      <w:r>
        <w:rPr>
          <w:rFonts w:hint="eastAsia" w:ascii="宋体" w:hAnsi="宋体" w:cs="宋体"/>
          <w:color w:val="auto"/>
          <w:sz w:val="24"/>
          <w:highlight w:val="none"/>
          <w:u w:val="single"/>
        </w:rPr>
        <w:t>。</w:t>
      </w:r>
    </w:p>
    <w:p w14:paraId="5ACA04B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本项目估算总投资2799.58万元，其中建安工程费2290.17万元。</w:t>
      </w:r>
    </w:p>
    <w:p w14:paraId="132445FD">
      <w:pPr>
        <w:shd w:val="clear" w:color="auto" w:fill="FFFFFF"/>
        <w:adjustRightInd w:val="0"/>
        <w:spacing w:line="360" w:lineRule="auto"/>
        <w:ind w:firstLine="480" w:firstLineChars="200"/>
        <w:rPr>
          <w:rFonts w:hint="eastAsia" w:ascii="宋体" w:hAnsi="宋体" w:cs="宋体"/>
          <w:color w:val="auto"/>
          <w:kern w:val="0"/>
          <w:sz w:val="24"/>
          <w:highlight w:val="none"/>
          <w:u w:val="single"/>
          <w:shd w:val="clear" w:color="auto" w:fill="FFFFFF"/>
        </w:rPr>
      </w:pPr>
      <w:r>
        <w:rPr>
          <w:rFonts w:hint="eastAsia" w:ascii="宋体" w:hAnsi="宋体" w:cs="宋体"/>
          <w:color w:val="auto"/>
          <w:sz w:val="24"/>
          <w:highlight w:val="none"/>
        </w:rPr>
        <w:t>2.4本工程划分为</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w:t>
      </w:r>
    </w:p>
    <w:p w14:paraId="719DBC65">
      <w:pPr>
        <w:pStyle w:val="6"/>
        <w:tabs>
          <w:tab w:val="left" w:pos="3566"/>
        </w:tabs>
        <w:kinsoku w:val="0"/>
        <w:overflowPunct w:val="0"/>
        <w:spacing w:after="0" w:line="360" w:lineRule="auto"/>
        <w:ind w:firstLine="484" w:firstLineChars="202"/>
        <w:rPr>
          <w:rFonts w:hint="eastAsia" w:ascii="宋体" w:hAnsi="宋体" w:cs="宋体"/>
          <w:color w:val="auto"/>
          <w:kern w:val="0"/>
          <w:sz w:val="24"/>
          <w:highlight w:val="none"/>
          <w:u w:val="single"/>
          <w:shd w:val="clear" w:color="auto" w:fill="FFFFFF"/>
          <w:lang w:bidi="ar"/>
        </w:rPr>
      </w:pPr>
      <w:r>
        <w:rPr>
          <w:rFonts w:hint="eastAsia" w:ascii="宋体" w:hAnsi="宋体" w:cs="宋体"/>
          <w:color w:val="auto"/>
          <w:sz w:val="24"/>
          <w:highlight w:val="none"/>
          <w:shd w:val="clear" w:color="auto" w:fill="FFFFFF"/>
          <w:lang w:bidi="ar"/>
        </w:rPr>
        <w:t>2.5</w:t>
      </w:r>
      <w:r>
        <w:rPr>
          <w:rFonts w:hint="eastAsia" w:ascii="宋体" w:hAnsi="宋体" w:cs="宋体"/>
          <w:color w:val="auto"/>
          <w:kern w:val="0"/>
          <w:sz w:val="24"/>
          <w:highlight w:val="none"/>
          <w:shd w:val="clear" w:color="auto" w:fill="FFFFFF"/>
          <w:lang w:bidi="ar"/>
        </w:rPr>
        <w:t>招标范围：</w:t>
      </w:r>
      <w:bookmarkStart w:id="3" w:name="_Hlk179531260"/>
      <w:r>
        <w:rPr>
          <w:rFonts w:hint="eastAsia" w:ascii="宋体" w:hAnsi="宋体" w:cs="宋体"/>
          <w:color w:val="auto"/>
          <w:kern w:val="0"/>
          <w:sz w:val="24"/>
          <w:highlight w:val="none"/>
          <w:u w:val="single"/>
          <w:shd w:val="clear" w:color="auto" w:fill="FFFFFF"/>
          <w:lang w:bidi="ar"/>
        </w:rPr>
        <w:t>完成本项目设计、建设阶段全过程总承包管理和综合协调、施工、试运行至工程竣工验收、移交的工程总承包，配合办理报建、报批（如有），配合发包人办理相关部门工程结算、财务决算审核，配合发包人的审计和审计调查等工作，具体详见设计任务书和合同约定条款。具体包括以下事项：</w:t>
      </w:r>
      <w:bookmarkEnd w:id="3"/>
    </w:p>
    <w:p w14:paraId="4B516574">
      <w:pPr>
        <w:pStyle w:val="6"/>
        <w:tabs>
          <w:tab w:val="left" w:pos="3566"/>
        </w:tabs>
        <w:kinsoku w:val="0"/>
        <w:overflowPunct w:val="0"/>
        <w:spacing w:after="0" w:line="360" w:lineRule="auto"/>
        <w:ind w:firstLine="484" w:firstLineChars="202"/>
        <w:rPr>
          <w:rFonts w:cs="宋体"/>
          <w:color w:val="auto"/>
          <w:sz w:val="24"/>
          <w:highlight w:val="none"/>
          <w:u w:val="single"/>
        </w:rPr>
      </w:pPr>
      <w:bookmarkStart w:id="4" w:name="_Hlk179531297"/>
      <w:r>
        <w:rPr>
          <w:rFonts w:ascii="宋体" w:hAnsi="宋体" w:cs="宋体"/>
          <w:color w:val="auto"/>
          <w:kern w:val="0"/>
          <w:sz w:val="24"/>
          <w:highlight w:val="none"/>
          <w:shd w:val="clear" w:color="auto" w:fill="FFFFFF"/>
          <w:lang w:bidi="ar"/>
        </w:rPr>
        <w:t>2.5.</w:t>
      </w:r>
      <w:r>
        <w:rPr>
          <w:rFonts w:hint="eastAsia" w:ascii="宋体" w:hAnsi="宋体" w:cs="宋体"/>
          <w:color w:val="auto"/>
          <w:kern w:val="0"/>
          <w:sz w:val="24"/>
          <w:highlight w:val="none"/>
          <w:shd w:val="clear" w:color="auto" w:fill="FFFFFF"/>
          <w:lang w:bidi="ar"/>
        </w:rPr>
        <w:t>1</w:t>
      </w:r>
      <w:r>
        <w:rPr>
          <w:rFonts w:ascii="宋体" w:hAnsi="宋体" w:cs="宋体"/>
          <w:color w:val="auto"/>
          <w:kern w:val="0"/>
          <w:sz w:val="24"/>
          <w:highlight w:val="none"/>
          <w:shd w:val="clear" w:color="auto" w:fill="FFFFFF"/>
          <w:lang w:bidi="ar"/>
        </w:rPr>
        <w:t>设计内容：</w:t>
      </w:r>
      <w:bookmarkStart w:id="5" w:name="_Hlk179540550"/>
      <w:bookmarkStart w:id="6" w:name="_Hlk179530800"/>
      <w:r>
        <w:rPr>
          <w:rFonts w:hint="eastAsia" w:ascii="宋体" w:hAnsi="宋体" w:cs="宋体"/>
          <w:color w:val="auto"/>
          <w:kern w:val="0"/>
          <w:sz w:val="24"/>
          <w:highlight w:val="none"/>
          <w:shd w:val="clear" w:color="auto" w:fill="FFFFFF"/>
          <w:lang w:bidi="ar"/>
        </w:rPr>
        <w:t>包括方案设计、初步设计、概算编制、施工图设计、现场服务、工程变更</w:t>
      </w:r>
      <w:r>
        <w:rPr>
          <w:rFonts w:hint="eastAsia" w:ascii="宋体" w:hAnsi="宋体" w:cs="宋体"/>
          <w:color w:val="auto"/>
          <w:kern w:val="0"/>
          <w:sz w:val="24"/>
          <w:highlight w:val="none"/>
          <w:u w:val="single"/>
          <w:shd w:val="clear" w:color="auto" w:fill="FFFFFF"/>
          <w:lang w:bidi="ar"/>
        </w:rPr>
        <w:t>。</w:t>
      </w:r>
      <w:bookmarkEnd w:id="5"/>
      <w:r>
        <w:rPr>
          <w:rFonts w:hint="eastAsia" w:ascii="宋体" w:hAnsi="宋体" w:cs="宋体"/>
          <w:color w:val="auto"/>
          <w:kern w:val="0"/>
          <w:sz w:val="24"/>
          <w:highlight w:val="none"/>
          <w:u w:val="single"/>
          <w:shd w:val="clear" w:color="auto" w:fill="FFFFFF"/>
          <w:lang w:bidi="ar"/>
        </w:rPr>
        <w:t>（具体以设计任务书和合同约定为准）</w:t>
      </w:r>
      <w:r>
        <w:rPr>
          <w:rFonts w:hint="eastAsia" w:ascii="宋体" w:hAnsi="宋体" w:cs="宋体"/>
          <w:color w:val="auto"/>
          <w:sz w:val="24"/>
          <w:highlight w:val="none"/>
          <w:u w:val="single"/>
        </w:rPr>
        <w:t>。</w:t>
      </w:r>
      <w:bookmarkEnd w:id="6"/>
    </w:p>
    <w:p w14:paraId="0CADE93D">
      <w:pPr>
        <w:pStyle w:val="6"/>
        <w:tabs>
          <w:tab w:val="left" w:pos="3566"/>
        </w:tabs>
        <w:kinsoku w:val="0"/>
        <w:overflowPunct w:val="0"/>
        <w:spacing w:after="0" w:line="360" w:lineRule="auto"/>
        <w:ind w:firstLine="484" w:firstLineChars="202"/>
        <w:rPr>
          <w:rFonts w:hint="eastAsia" w:ascii="宋体" w:hAnsi="宋体" w:cs="宋体"/>
          <w:color w:val="auto"/>
          <w:kern w:val="0"/>
          <w:sz w:val="24"/>
          <w:highlight w:val="none"/>
          <w:shd w:val="clear" w:color="auto" w:fill="FFFFFF"/>
          <w:lang w:bidi="ar"/>
        </w:rPr>
      </w:pPr>
      <w:bookmarkStart w:id="7" w:name="_Toc176925093"/>
      <w:bookmarkEnd w:id="7"/>
      <w:bookmarkStart w:id="8" w:name="_Toc179860352"/>
      <w:bookmarkEnd w:id="8"/>
      <w:bookmarkStart w:id="9" w:name="_Toc176857813"/>
      <w:bookmarkEnd w:id="9"/>
      <w:bookmarkStart w:id="10" w:name="_Toc23488"/>
      <w:bookmarkEnd w:id="10"/>
      <w:bookmarkStart w:id="11" w:name="_Toc176921262"/>
      <w:bookmarkEnd w:id="11"/>
      <w:bookmarkStart w:id="12" w:name="_Toc363571538"/>
      <w:bookmarkEnd w:id="12"/>
      <w:r>
        <w:rPr>
          <w:rFonts w:ascii="宋体" w:hAnsi="宋体" w:cs="宋体"/>
          <w:color w:val="auto"/>
          <w:kern w:val="0"/>
          <w:sz w:val="24"/>
          <w:highlight w:val="none"/>
          <w:shd w:val="clear" w:color="auto" w:fill="FFFFFF"/>
          <w:lang w:bidi="ar"/>
        </w:rPr>
        <w:t>2.5.</w:t>
      </w:r>
      <w:r>
        <w:rPr>
          <w:rFonts w:hint="eastAsia" w:ascii="宋体" w:hAnsi="宋体" w:cs="宋体"/>
          <w:color w:val="auto"/>
          <w:kern w:val="0"/>
          <w:sz w:val="24"/>
          <w:highlight w:val="none"/>
          <w:shd w:val="clear" w:color="auto" w:fill="FFFFFF"/>
          <w:lang w:bidi="ar"/>
        </w:rPr>
        <w:t>2施工内容：</w:t>
      </w:r>
    </w:p>
    <w:p w14:paraId="06D97153">
      <w:pPr>
        <w:spacing w:line="360" w:lineRule="auto"/>
        <w:ind w:firstLine="480" w:firstLineChars="200"/>
        <w:jc w:val="left"/>
        <w:rPr>
          <w:rFonts w:hint="eastAsia" w:ascii="宋体" w:hAnsi="宋体" w:cs="宋体"/>
          <w:color w:val="auto"/>
          <w:sz w:val="24"/>
          <w:highlight w:val="none"/>
          <w:u w:val="single"/>
        </w:rPr>
      </w:pPr>
      <w:bookmarkStart w:id="13" w:name="_Hlk179540667"/>
      <w:bookmarkStart w:id="14" w:name="_Hlk179530823"/>
      <w:r>
        <w:rPr>
          <w:rFonts w:hint="eastAsia" w:ascii="宋体" w:hAnsi="宋体" w:cs="宋体"/>
          <w:color w:val="auto"/>
          <w:sz w:val="24"/>
          <w:highlight w:val="none"/>
          <w:u w:val="single"/>
        </w:rPr>
        <w:t>（1）完成本项目所有施工内容，其中包括：</w:t>
      </w:r>
      <w:bookmarkStart w:id="15" w:name="_Hlk155776142"/>
      <w:r>
        <w:rPr>
          <w:rFonts w:hint="eastAsia" w:ascii="宋体" w:hAnsi="宋体" w:cs="宋体"/>
          <w:color w:val="auto"/>
          <w:sz w:val="24"/>
          <w:highlight w:val="none"/>
          <w:u w:val="single"/>
        </w:rPr>
        <w:t>按照招标文件及合同约定的范围和招标人确定的施工图进行施工总承包，包括</w:t>
      </w:r>
      <w:bookmarkStart w:id="16" w:name="_Hlk179530959"/>
      <w:r>
        <w:rPr>
          <w:rFonts w:hint="eastAsia" w:ascii="宋体" w:hAnsi="宋体" w:cs="宋体"/>
          <w:color w:val="auto"/>
          <w:sz w:val="24"/>
          <w:highlight w:val="none"/>
          <w:u w:val="single"/>
        </w:rPr>
        <w:t>包工、包料、包施工措施（含场地准备及临时设施、临水临电报批及安装、临时便道、临时排水、周边建筑物安全鉴定和保护等，负责和附近厂房协调，确保施工期间场地周边路通水通电等）、包设备、包质量、包造价控制、包安全生产、包文明施工、包环境保护、包保险、包检验检测、包工期、包承包范围内工程验收通过（含各专项验收）、包移交、包施工图预算编制、包结算、包竣工图编制（含可编辑CAD）和资料整理移交档案、包施工总承包管理和现场整体组织、包专业协调及配合、包保修等</w:t>
      </w:r>
      <w:bookmarkEnd w:id="16"/>
      <w:r>
        <w:rPr>
          <w:rFonts w:hint="eastAsia" w:ascii="宋体" w:hAnsi="宋体" w:cs="宋体"/>
          <w:color w:val="auto"/>
          <w:sz w:val="24"/>
          <w:highlight w:val="none"/>
          <w:u w:val="single"/>
        </w:rPr>
        <w:t>（最终以招标文件、设计图纸、工程量清单内容及合同为准）</w:t>
      </w:r>
      <w:bookmarkEnd w:id="15"/>
      <w:r>
        <w:rPr>
          <w:rFonts w:hint="eastAsia" w:ascii="宋体" w:hAnsi="宋体" w:cs="宋体"/>
          <w:color w:val="auto"/>
          <w:sz w:val="24"/>
          <w:highlight w:val="none"/>
          <w:u w:val="single"/>
        </w:rPr>
        <w:t>。</w:t>
      </w:r>
    </w:p>
    <w:p w14:paraId="5EDD3E6A">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（2）负责结算文件的编制工作，并配合结算的送审、评审工作；</w:t>
      </w:r>
    </w:p>
    <w:p w14:paraId="68B04A5D">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（3）负责协助办理工程开工及验收所需的各项手续，包括：办理施工许可证（或临时施工许可）、报监手续、余泥排放证、竣工验收及备案等工作，并支付办理上述手续中应由施工方承担的费用。</w:t>
      </w:r>
    </w:p>
    <w:p w14:paraId="4E21B42A">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（4）完成按有关规定应由承包方负责的检验监测工作，并配合发包人委托的第三方检测工作。</w:t>
      </w:r>
    </w:p>
    <w:p w14:paraId="7E099C0D">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5）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51B4950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（6）项目红线范围内的场地围蔽施工及至本合同项下全部工程移交前的保修维护工作（该部分费用包含在承包人合同价款中）。</w:t>
      </w:r>
    </w:p>
    <w:p w14:paraId="17C64CEB">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7）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工程资料所需费用均包括在承包人合同价款中。</w:t>
      </w:r>
    </w:p>
    <w:p w14:paraId="2D819443">
      <w:pPr>
        <w:pStyle w:val="6"/>
        <w:tabs>
          <w:tab w:val="left" w:pos="3566"/>
        </w:tabs>
        <w:kinsoku w:val="0"/>
        <w:overflowPunct w:val="0"/>
        <w:spacing w:after="0"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8）作为联合体主办方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r>
        <w:rPr>
          <w:rFonts w:hint="eastAsia" w:cs="宋体"/>
          <w:color w:val="auto"/>
          <w:sz w:val="24"/>
          <w:highlight w:val="none"/>
          <w:u w:val="single"/>
        </w:rPr>
        <w:t xml:space="preserve"> </w:t>
      </w:r>
      <w:bookmarkEnd w:id="4"/>
      <w:bookmarkEnd w:id="13"/>
    </w:p>
    <w:bookmarkEnd w:id="14"/>
    <w:p w14:paraId="5F218D5A">
      <w:pPr>
        <w:tabs>
          <w:tab w:val="left" w:pos="210"/>
          <w:tab w:val="left" w:pos="3566"/>
        </w:tabs>
        <w:kinsoku w:val="0"/>
        <w:overflowPunct w:val="0"/>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14:paraId="2538ACAF">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shd w:val="clear" w:color="auto" w:fill="FFFFFF"/>
          <w:lang w:bidi="ar"/>
        </w:rPr>
        <w:t>2.6计划工期：</w:t>
      </w:r>
      <w:r>
        <w:rPr>
          <w:rFonts w:hint="eastAsia" w:ascii="宋体" w:hAnsi="宋体" w:cs="宋体"/>
          <w:color w:val="auto"/>
          <w:sz w:val="24"/>
          <w:highlight w:val="none"/>
          <w:u w:val="single"/>
        </w:rPr>
        <w:t>暂定总工期为450日历天。</w:t>
      </w:r>
    </w:p>
    <w:p w14:paraId="0A457A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.1设计工期：</w:t>
      </w:r>
      <w:r>
        <w:rPr>
          <w:rFonts w:hint="eastAsia" w:ascii="宋体" w:hAnsi="宋体" w:cs="宋体"/>
          <w:color w:val="auto"/>
          <w:sz w:val="24"/>
          <w:highlight w:val="none"/>
          <w:u w:val="single"/>
        </w:rPr>
        <w:t>90</w:t>
      </w:r>
      <w:r>
        <w:rPr>
          <w:rFonts w:hint="eastAsia" w:ascii="宋体" w:hAnsi="宋体" w:cs="宋体"/>
          <w:color w:val="auto"/>
          <w:sz w:val="24"/>
          <w:highlight w:val="none"/>
        </w:rPr>
        <w:t>日历天，</w:t>
      </w:r>
      <w:r>
        <w:rPr>
          <w:rFonts w:hint="eastAsia" w:ascii="宋体" w:hAnsi="宋体" w:cs="宋体"/>
          <w:color w:val="auto"/>
          <w:sz w:val="24"/>
          <w:highlight w:val="none"/>
          <w:u w:val="single"/>
        </w:rPr>
        <w:t>具体开始工作日期以招标人书面通知为准</w:t>
      </w:r>
      <w:r>
        <w:rPr>
          <w:rFonts w:hint="eastAsia" w:ascii="宋体" w:hAnsi="宋体" w:cs="宋体"/>
          <w:color w:val="auto"/>
          <w:sz w:val="24"/>
          <w:highlight w:val="none"/>
        </w:rPr>
        <w:t>。</w:t>
      </w:r>
    </w:p>
    <w:p w14:paraId="266B4BE9">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.2</w:t>
      </w:r>
      <w:r>
        <w:rPr>
          <w:rFonts w:ascii="宋体" w:hAnsi="宋体" w:cs="宋体"/>
          <w:color w:val="auto"/>
          <w:sz w:val="24"/>
          <w:highlight w:val="none"/>
        </w:rPr>
        <w:t>施工工期：</w:t>
      </w:r>
      <w:r>
        <w:rPr>
          <w:rFonts w:hint="eastAsia" w:ascii="宋体" w:hAnsi="宋体" w:cs="宋体"/>
          <w:color w:val="auto"/>
          <w:sz w:val="24"/>
          <w:highlight w:val="none"/>
          <w:u w:val="single"/>
        </w:rPr>
        <w:t>360</w:t>
      </w:r>
      <w:r>
        <w:rPr>
          <w:rFonts w:ascii="宋体" w:hAnsi="宋体" w:cs="宋体"/>
          <w:color w:val="auto"/>
          <w:sz w:val="24"/>
          <w:highlight w:val="none"/>
        </w:rPr>
        <w:t>日历天，</w:t>
      </w:r>
      <w:r>
        <w:rPr>
          <w:rFonts w:hint="eastAsia" w:ascii="宋体" w:hAnsi="宋体" w:cs="宋体"/>
          <w:color w:val="auto"/>
          <w:sz w:val="24"/>
          <w:highlight w:val="none"/>
          <w:u w:val="single"/>
        </w:rPr>
        <w:t>具体开工日期以招标人发出的进场通知书之日起计算为准</w:t>
      </w:r>
      <w:r>
        <w:rPr>
          <w:rFonts w:hint="eastAsia" w:ascii="宋体" w:hAnsi="宋体" w:cs="宋体"/>
          <w:color w:val="auto"/>
          <w:sz w:val="24"/>
          <w:highlight w:val="none"/>
        </w:rPr>
        <w:t>。</w:t>
      </w:r>
    </w:p>
    <w:p w14:paraId="7D4BF02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FFFFF"/>
          <w:lang w:bidi="ar"/>
        </w:rPr>
        <w:t>2.7</w:t>
      </w:r>
      <w:r>
        <w:rPr>
          <w:rFonts w:hint="eastAsia" w:ascii="宋体" w:hAnsi="宋体" w:cs="宋体"/>
          <w:color w:val="auto"/>
          <w:sz w:val="24"/>
          <w:highlight w:val="none"/>
        </w:rPr>
        <w:t>最高投标限价：</w:t>
      </w:r>
    </w:p>
    <w:p w14:paraId="6548DF15">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本次最高投标限价为2370.90万元，其中：</w:t>
      </w:r>
    </w:p>
    <w:p w14:paraId="37A31D71">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（1）设计费最高投标限价为80.73万元。</w:t>
      </w:r>
    </w:p>
    <w:p w14:paraId="07AD58B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（2）建安工程费最高投标限价为2290.17万元，其中暂列金额为68.71万元（按3%计取）。</w:t>
      </w:r>
    </w:p>
    <w:p w14:paraId="2030FDBC">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注：投标总报价不得高于本项目最高投标限价，设计费、建安工程费不得超过上述各项相应的最高投标限价。</w:t>
      </w:r>
    </w:p>
    <w:p w14:paraId="1282D0F1">
      <w:pPr>
        <w:pStyle w:val="17"/>
        <w:spacing w:after="0" w:line="360" w:lineRule="auto"/>
        <w:rPr>
          <w:rFonts w:hint="eastAsia" w:ascii="宋体" w:hAnsi="宋体"/>
          <w:color w:val="auto"/>
          <w:sz w:val="24"/>
          <w:highlight w:val="none"/>
        </w:rPr>
      </w:pPr>
      <w:r>
        <w:rPr>
          <w:rFonts w:hint="eastAsia" w:ascii="宋体" w:hAnsi="宋体"/>
          <w:color w:val="auto"/>
          <w:sz w:val="24"/>
          <w:highlight w:val="none"/>
        </w:rPr>
        <w:t>2.8质量要求：</w:t>
      </w:r>
    </w:p>
    <w:p w14:paraId="3F967781">
      <w:pPr>
        <w:pStyle w:val="17"/>
        <w:spacing w:after="0" w:line="360" w:lineRule="auto"/>
        <w:rPr>
          <w:rFonts w:hint="eastAsia" w:ascii="宋体" w:hAnsi="宋体"/>
          <w:color w:val="auto"/>
          <w:sz w:val="24"/>
          <w:highlight w:val="none"/>
        </w:rPr>
      </w:pPr>
      <w:r>
        <w:rPr>
          <w:rFonts w:hint="eastAsia" w:ascii="宋体" w:hAnsi="宋体"/>
          <w:color w:val="auto"/>
          <w:sz w:val="24"/>
          <w:highlight w:val="none"/>
        </w:rPr>
        <w:t>设计标准：</w:t>
      </w:r>
      <w:r>
        <w:rPr>
          <w:rFonts w:hint="eastAsia" w:ascii="宋体" w:hAnsi="宋体"/>
          <w:color w:val="auto"/>
          <w:sz w:val="24"/>
          <w:highlight w:val="none"/>
          <w:u w:val="single"/>
        </w:rPr>
        <w:t>符合国家、行业、地方相关强制性标准及设计任务书等的要求</w:t>
      </w:r>
      <w:r>
        <w:rPr>
          <w:rFonts w:hint="eastAsia" w:ascii="宋体" w:hAnsi="宋体"/>
          <w:color w:val="auto"/>
          <w:sz w:val="24"/>
          <w:highlight w:val="none"/>
        </w:rPr>
        <w:t>。</w:t>
      </w:r>
    </w:p>
    <w:p w14:paraId="0A73746C">
      <w:pPr>
        <w:pStyle w:val="17"/>
        <w:spacing w:after="0" w:line="360" w:lineRule="auto"/>
        <w:rPr>
          <w:rFonts w:hint="eastAsia" w:ascii="宋体" w:hAnsi="宋体"/>
          <w:color w:val="auto"/>
          <w:sz w:val="24"/>
          <w:highlight w:val="none"/>
        </w:rPr>
      </w:pPr>
      <w:r>
        <w:rPr>
          <w:rFonts w:hint="eastAsia" w:ascii="宋体" w:hAnsi="宋体"/>
          <w:color w:val="auto"/>
          <w:sz w:val="24"/>
          <w:highlight w:val="none"/>
        </w:rPr>
        <w:t>施工标准：</w:t>
      </w:r>
      <w:r>
        <w:rPr>
          <w:rFonts w:hint="eastAsia" w:ascii="宋体" w:hAnsi="宋体"/>
          <w:color w:val="auto"/>
          <w:sz w:val="24"/>
          <w:highlight w:val="none"/>
          <w:u w:val="single"/>
        </w:rPr>
        <w:t>合格</w:t>
      </w:r>
      <w:r>
        <w:rPr>
          <w:rFonts w:hint="eastAsia" w:ascii="宋体" w:hAnsi="宋体"/>
          <w:color w:val="auto"/>
          <w:sz w:val="24"/>
          <w:highlight w:val="none"/>
        </w:rPr>
        <w:t>。</w:t>
      </w:r>
    </w:p>
    <w:p w14:paraId="0A45FD93">
      <w:pPr>
        <w:pStyle w:val="17"/>
        <w:spacing w:after="0" w:line="360" w:lineRule="auto"/>
        <w:rPr>
          <w:rFonts w:hint="eastAsia" w:ascii="宋体" w:hAnsi="宋体"/>
          <w:color w:val="auto"/>
          <w:sz w:val="24"/>
          <w:highlight w:val="none"/>
        </w:rPr>
      </w:pPr>
      <w:r>
        <w:rPr>
          <w:rFonts w:hint="eastAsia" w:ascii="宋体" w:hAnsi="宋体"/>
          <w:color w:val="auto"/>
          <w:sz w:val="24"/>
          <w:highlight w:val="none"/>
        </w:rPr>
        <w:t>2.9安全文明目标：</w:t>
      </w:r>
      <w:r>
        <w:rPr>
          <w:rFonts w:hint="eastAsia" w:ascii="宋体" w:hAnsi="宋体"/>
          <w:color w:val="auto"/>
          <w:sz w:val="24"/>
          <w:highlight w:val="none"/>
          <w:u w:val="single"/>
        </w:rPr>
        <w:t>严格执行有关安全与文明的法律法规和规章制度</w:t>
      </w:r>
      <w:r>
        <w:rPr>
          <w:rFonts w:hint="eastAsia" w:ascii="宋体" w:hAnsi="宋体"/>
          <w:color w:val="auto"/>
          <w:sz w:val="24"/>
          <w:highlight w:val="none"/>
        </w:rPr>
        <w:t>。</w:t>
      </w:r>
    </w:p>
    <w:p w14:paraId="3A1D9591">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17" w:name="_Toc60344354"/>
      <w:r>
        <w:rPr>
          <w:rFonts w:hint="eastAsia" w:ascii="宋体" w:hAnsi="宋体" w:eastAsia="宋体" w:cs="宋体"/>
          <w:bCs w:val="0"/>
          <w:color w:val="auto"/>
          <w:kern w:val="0"/>
          <w:sz w:val="28"/>
          <w:szCs w:val="28"/>
          <w:highlight w:val="none"/>
          <w:lang w:bidi="ar"/>
        </w:rPr>
        <w:t>3. 投标人资格要求</w:t>
      </w:r>
      <w:bookmarkEnd w:id="17"/>
    </w:p>
    <w:p w14:paraId="1BFFB91D">
      <w:pPr>
        <w:autoSpaceDE w:val="0"/>
        <w:autoSpaceDN w:val="0"/>
        <w:adjustRightInd w:val="0"/>
        <w:spacing w:line="360" w:lineRule="auto"/>
        <w:ind w:firstLine="484" w:firstLineChars="2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3.1投标人参加投标的意思表达清楚，投标人代表被授权有效。（联合体投标的，由联合体主办方单位代表联合体授权）。</w:t>
      </w:r>
    </w:p>
    <w:p w14:paraId="3C6D546B">
      <w:pPr>
        <w:autoSpaceDE w:val="0"/>
        <w:autoSpaceDN w:val="0"/>
        <w:adjustRightInd w:val="0"/>
        <w:spacing w:line="360" w:lineRule="auto"/>
        <w:ind w:firstLine="484" w:firstLineChars="2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3.2投标人具有独立法人资格，投标人（联合体投标的，联合体各方均提供）持有工商行政管理部门核发的法人营业执照，按国家法律经营。</w:t>
      </w:r>
    </w:p>
    <w:p w14:paraId="494C6044">
      <w:pPr>
        <w:autoSpaceDE w:val="0"/>
        <w:autoSpaceDN w:val="0"/>
        <w:adjustRightInd w:val="0"/>
        <w:spacing w:line="360" w:lineRule="auto"/>
        <w:ind w:firstLine="484" w:firstLineChars="2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3.3投标人（若联合体投标，由承担施工任务方提供）持有建设行政主管部门颁发的有效期内的安全生产许可证。</w:t>
      </w:r>
    </w:p>
    <w:p w14:paraId="1215F0EA">
      <w:pPr>
        <w:autoSpaceDE w:val="0"/>
        <w:autoSpaceDN w:val="0"/>
        <w:adjustRightInd w:val="0"/>
        <w:spacing w:line="360" w:lineRule="auto"/>
        <w:ind w:firstLine="484" w:firstLineChars="2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3.4投标人同时具有承接本项目所需的建设行政主管部门颁发的以下企业资质证书：</w:t>
      </w:r>
    </w:p>
    <w:p w14:paraId="6EC7FD2C">
      <w:pPr>
        <w:autoSpaceDE w:val="0"/>
        <w:autoSpaceDN w:val="0"/>
        <w:adjustRightInd w:val="0"/>
        <w:spacing w:line="360" w:lineRule="auto"/>
        <w:ind w:firstLine="484" w:firstLineChars="202"/>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3.4.1</w:t>
      </w:r>
      <w:r>
        <w:rPr>
          <w:rFonts w:hint="eastAsia" w:ascii="宋体" w:hAnsi="宋体" w:cs="宋体"/>
          <w:color w:val="auto"/>
          <w:kern w:val="0"/>
          <w:sz w:val="24"/>
          <w:highlight w:val="none"/>
          <w:u w:val="single"/>
        </w:rPr>
        <w:t>工程设计资质：</w:t>
      </w:r>
      <w:r>
        <w:rPr>
          <w:rFonts w:hint="eastAsia" w:ascii="宋体" w:hAnsi="宋体" w:cs="宋体"/>
          <w:color w:val="auto"/>
          <w:sz w:val="24"/>
          <w:highlight w:val="none"/>
          <w:u w:val="single"/>
        </w:rPr>
        <w:t>具备以下资质条件中的任意一项：①</w:t>
      </w:r>
      <w:r>
        <w:rPr>
          <w:rFonts w:hint="eastAsia" w:ascii="宋体" w:hAnsi="宋体" w:cs="宋体"/>
          <w:color w:val="auto"/>
          <w:kern w:val="0"/>
          <w:sz w:val="24"/>
          <w:highlight w:val="none"/>
          <w:u w:val="single"/>
        </w:rPr>
        <w:t>工程设计综合甲级资质；②市政行业工程设计丙级资质；③市政行业（排水工程专业）丙级资质；香港企业参加投标的，须在广东省住房和城乡建设主管部门备案且备案的业务范围应符合本招标项目对工程设计资质的要求。</w:t>
      </w:r>
    </w:p>
    <w:p w14:paraId="09487BB8">
      <w:pPr>
        <w:autoSpaceDE w:val="0"/>
        <w:autoSpaceDN w:val="0"/>
        <w:adjustRightInd w:val="0"/>
        <w:spacing w:line="360" w:lineRule="auto"/>
        <w:ind w:firstLine="484" w:firstLineChars="202"/>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注：①国内申请人具体资质要求按照《建设工程勘察设计资质管理规定》（建设部令第160号）、《建设工程勘察设计资质管理规定实施意见》（建市[2007]202号）、《工程设计资质标准》（建市〔2007〕86号）填写。要求同时具备2项或以上资质证书的，申请人可以组成联合体投标。</w:t>
      </w:r>
    </w:p>
    <w:p w14:paraId="3CBF09B3">
      <w:pPr>
        <w:autoSpaceDE w:val="0"/>
        <w:autoSpaceDN w:val="0"/>
        <w:adjustRightInd w:val="0"/>
        <w:spacing w:line="360" w:lineRule="auto"/>
        <w:ind w:firstLine="484" w:firstLineChars="202"/>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②住房和城乡建设部或广东省各级住房城乡建设主管部门核发的工程勘察、工程设计、建筑业企业、工程监理企业资质，</w:t>
      </w:r>
      <w:r>
        <w:rPr>
          <w:rFonts w:hint="eastAsia" w:ascii="宋体" w:hAnsi="宋体" w:cs="宋体"/>
          <w:color w:val="auto"/>
          <w:sz w:val="24"/>
          <w:highlight w:val="none"/>
          <w:u w:val="single"/>
        </w:rPr>
        <w:t>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的要求设置。地方各级住房和城乡建设主管部门核发的建设工程企业资质证书延续有关政策按各省级住房和城乡建设主管部门规定执行。</w:t>
      </w:r>
    </w:p>
    <w:p w14:paraId="07E3F94A">
      <w:pPr>
        <w:autoSpaceDE w:val="0"/>
        <w:autoSpaceDN w:val="0"/>
        <w:adjustRightInd w:val="0"/>
        <w:spacing w:line="360" w:lineRule="auto"/>
        <w:ind w:firstLine="484" w:firstLineChars="202"/>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③承担设计任务的香港企业参加投标的，可与内地企业组成联合体投标。如与具备设计资质的企业组成联合体投标，承担设计任务的香港企业须在广东省住房和城乡建设主管部门备案且备案的业务范围应符合本招标项目对工程设计资质的要求。</w:t>
      </w:r>
    </w:p>
    <w:p w14:paraId="4FDF3684">
      <w:pPr>
        <w:wordWrap w:val="0"/>
        <w:adjustRightInd w:val="0"/>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413B4D5B">
      <w:pPr>
        <w:autoSpaceDE w:val="0"/>
        <w:autoSpaceDN w:val="0"/>
        <w:adjustRightInd w:val="0"/>
        <w:spacing w:line="360" w:lineRule="auto"/>
        <w:ind w:firstLine="484" w:firstLineChars="202"/>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⑤外国或澳门、台湾的设计企业必须选择一家符合上述条件的企业进行合作设计。香港企业如不组成联合体参加投标，也必须选择一家符合上述条件的企业进行合作设计，并签订合作设计协议。</w:t>
      </w:r>
    </w:p>
    <w:p w14:paraId="1B136903">
      <w:pPr>
        <w:autoSpaceDE w:val="0"/>
        <w:autoSpaceDN w:val="0"/>
        <w:adjustRightInd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3.4.2工程施工资质：</w:t>
      </w:r>
      <w:r>
        <w:rPr>
          <w:rFonts w:hint="eastAsia" w:ascii="宋体" w:hAnsi="宋体" w:cs="宋体"/>
          <w:color w:val="auto"/>
          <w:sz w:val="24"/>
          <w:highlight w:val="none"/>
          <w:u w:val="single"/>
        </w:rPr>
        <w:t>具备的市政公用工程施工总承包叁级或以上资质。</w:t>
      </w:r>
    </w:p>
    <w:p w14:paraId="52B06078">
      <w:pPr>
        <w:autoSpaceDE w:val="0"/>
        <w:autoSpaceDN w:val="0"/>
        <w:adjustRightInd w:val="0"/>
        <w:spacing w:line="360" w:lineRule="auto"/>
        <w:ind w:firstLine="484" w:firstLineChars="202"/>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371C744">
      <w:pPr>
        <w:autoSpaceDE w:val="0"/>
        <w:autoSpaceDN w:val="0"/>
        <w:adjustRightInd w:val="0"/>
        <w:spacing w:line="360" w:lineRule="auto"/>
        <w:ind w:firstLine="484" w:firstLineChars="202"/>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EF65637">
      <w:pPr>
        <w:autoSpaceDE w:val="0"/>
        <w:autoSpaceDN w:val="0"/>
        <w:adjustRightInd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3.5投标人拟担任本工程的主要人员：</w:t>
      </w:r>
    </w:p>
    <w:p w14:paraId="5B566601">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1）项目负责人（可兼任施工负责人，下同）（若联合体投标，由主办方提供）：具备工程建设类注册执业资格，包括注册建筑师或者勘察设计注册工程师或者注册建造师或者注册监理工程师等，或备案的业务范围相当于一级注册建筑师的香港专业人士；未实施注册执业资格的，应取得高级专业技术职称。投标人拟委派的项目负责人不具备市政公用工程专业二级注册建造师的，应委派具备相应资格的注册建造师担任施工负责人。施工负责人应持有在有效期内的安全生产考核合格证（B类）或建筑施工企业项目负责人安全生产考核合格证书，施工负责人应提供有效的建造师执业资格证书。</w:t>
      </w:r>
    </w:p>
    <w:p w14:paraId="1C940F07">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7115123">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E62A47F">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594D94D8">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③项目负责人和专职安全员不能为同一人兼任其中两个或以上岗位，施工负责人和专职安全员不能为同一人兼任其中两个或以上岗位。</w:t>
      </w:r>
    </w:p>
    <w:p w14:paraId="1054144A">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2）设计负责人（若联合体投标，由承担设计任务方提供）：具备市政相关专业高级工程师，或从事相关专业工程10年以上的工程师；或在广东省住房和城乡建设主管部门备案且备案的业务范围符合本招标项目对设计负责人要求的香港专业人士。</w:t>
      </w:r>
    </w:p>
    <w:p w14:paraId="049B0AFE">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专职安全员（若联合体投标，由承担施工任务方提供）：应具有在有效期内的安全生产考核合格证书（C类）或建筑施工企业专职安全生产管理人员安全生产考核合格证书（C3类）或提供广东省建筑施工企业管理人员安全生产考核信息系统安全生产管理人员证书信息并在有效期内的打印页。施工负责人在任职期间不得担任专职安全员，项目专职安全员在任职期间不得担任施工负责人，施工负责人和安全员不为同一人。</w:t>
      </w:r>
    </w:p>
    <w:p w14:paraId="4B0156EA">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（4）拟担任本工程施工技术负责人（若联合体投标，由承担施工任务方提供）为：市政工程类相关专业中（或以上）工程师技术职称。</w:t>
      </w:r>
    </w:p>
    <w:p w14:paraId="0D702208">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3.6投标人已按招标公告附件一的内容签署盖章的《投标人声明》。</w:t>
      </w:r>
    </w:p>
    <w:p w14:paraId="21D64A46">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3.7允许联合体投标。应以承担施工任务一方的为主办方，并签定联合体共同投标协议。联合体共同投标协议应明确约定各方拟承担的工作和责任。由同一专业的单位组成的联合体，按照资质等级较低的单位确定资质等级。</w:t>
      </w:r>
    </w:p>
    <w:p w14:paraId="34EC3034">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注：①参加联合体的各成员不得再以自己的名义单独投标，也不得同时参加两个或两个以上的联合体投标。出现上述情况者，其投标和与此有关的联合体的投标将被拒绝。</w:t>
      </w:r>
    </w:p>
    <w:p w14:paraId="64020D63">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②投标人拟任本工程项目负责人（可兼任施工负责人）、设计负责人、施工技术负责人、专职安全员必须是联合体中对应分工成员的正式员工。</w:t>
      </w:r>
    </w:p>
    <w:p w14:paraId="3DC86848">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③联合体的资格条件按联合体任务分工进行评审（其中施工资质、安全生产许可证、专职安全员、施工负责人、项目负责人、施工技术负责人以承接施工任务的施工单位为准；工程设计资质及设计负责人以承接设计任务的设计单位为准）。</w:t>
      </w:r>
    </w:p>
    <w:p w14:paraId="4C55596A">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3.8资格审查前，投标人（含联合体各方）须在广州交易集团有限公司（广州公共资源交易中心）已办理企业信息登记，拟担任本工程项目负责人、施工负责人、设计负责人、专职安全员须是投标人本企业信息登记中的在册人员（联合体投标的，企业信息登记和人员在册情况为联合体协议分工对应企业库内的登记信息）。</w:t>
      </w:r>
    </w:p>
    <w:p w14:paraId="01540763">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3.9投标人（含联合体成员）未出现以下情形：与其它投标人（含联合体成员）的单位负责人为同一人或者存在控股、管理关系的（按投标人提供的《投标人声明》内容进行评审）。如不同投标申请人出现单位负责人为同一人或者存在控股、管理关系的情形，则均为无效投标。</w:t>
      </w:r>
    </w:p>
    <w:p w14:paraId="0FAC0635">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3.10投标人（含联合体成员）不得是本工程总承包项目的代建单位、项目管理单位、监理单位、造价咨询单位、招标代理单位（按投标人提供的《投标人声明》内容进行评审）。</w:t>
      </w:r>
    </w:p>
    <w:p w14:paraId="5576DD4B">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3.11投标人须承诺应当具有相应的项目管理体系和项目管理能力、财务和风险承担能力（按投标人提供的《投标人声明》内容进行评审）。</w:t>
      </w:r>
    </w:p>
    <w:p w14:paraId="4C147ADF">
      <w:pPr>
        <w:spacing w:line="360" w:lineRule="auto"/>
        <w:ind w:firstLine="484" w:firstLineChars="202"/>
        <w:rPr>
          <w:rFonts w:hint="eastAsia" w:ascii="宋体" w:hAnsi="宋体" w:cs="宋体"/>
          <w:color w:val="auto"/>
          <w:sz w:val="24"/>
          <w:highlight w:val="none"/>
          <w:u w:val="single"/>
        </w:rPr>
      </w:pPr>
      <w:r>
        <w:rPr>
          <w:rFonts w:hint="eastAsia" w:ascii="宋体" w:hAnsi="宋体" w:cs="宋体"/>
          <w:color w:val="auto"/>
          <w:sz w:val="24"/>
          <w:highlight w:val="none"/>
          <w:u w:val="single"/>
        </w:rPr>
        <w:t>3.12投标人（若为联合体投标，指联合体各方）未被列入拖欠农民工工资失信联合惩戒对象名单（按广州公共资源交易中心交易系统比对结果进行评审）。</w:t>
      </w:r>
    </w:p>
    <w:p w14:paraId="48BA9F78">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注：未在招标公告第3点条列的资审合格条件，不作为资审不合格的依据。</w:t>
      </w:r>
    </w:p>
    <w:p w14:paraId="3A848BFF">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18" w:name="_Toc60344355"/>
      <w:r>
        <w:rPr>
          <w:rFonts w:hint="eastAsia" w:ascii="宋体" w:hAnsi="宋体" w:eastAsia="宋体" w:cs="宋体"/>
          <w:bCs w:val="0"/>
          <w:color w:val="auto"/>
          <w:kern w:val="0"/>
          <w:sz w:val="28"/>
          <w:szCs w:val="28"/>
          <w:highlight w:val="none"/>
          <w:lang w:bidi="ar"/>
        </w:rPr>
        <w:t xml:space="preserve">4. </w:t>
      </w:r>
      <w:bookmarkEnd w:id="18"/>
      <w:r>
        <w:rPr>
          <w:rFonts w:hint="eastAsia" w:ascii="宋体" w:hAnsi="宋体" w:eastAsia="宋体" w:cs="宋体"/>
          <w:bCs w:val="0"/>
          <w:color w:val="auto"/>
          <w:kern w:val="0"/>
          <w:sz w:val="28"/>
          <w:szCs w:val="28"/>
          <w:highlight w:val="none"/>
          <w:lang w:bidi="ar"/>
        </w:rPr>
        <w:t>招标文件的获取</w:t>
      </w:r>
    </w:p>
    <w:p w14:paraId="09FB817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4.1凡有意参加投标者，请于</w:t>
      </w:r>
      <w:r>
        <w:rPr>
          <w:rFonts w:hint="eastAsia" w:ascii="宋体" w:hAnsi="宋体" w:cs="宋体"/>
          <w:color w:val="auto"/>
          <w:sz w:val="24"/>
          <w:highlight w:val="none"/>
          <w:u w:val="single"/>
        </w:rPr>
        <w:t>2024年   月  日   时   分至2024年  月   日   时   分</w:t>
      </w:r>
      <w:r>
        <w:rPr>
          <w:rFonts w:hint="eastAsia" w:ascii="宋体" w:hAnsi="宋体" w:cs="宋体"/>
          <w:color w:val="auto"/>
          <w:sz w:val="24"/>
          <w:highlight w:val="none"/>
        </w:rPr>
        <w:t>（北京时间，下同），登录：广州交易集团有限公司（广州公共资源交易中心）网站（http//www.gzggzy.cn）下载电子招标文件。</w:t>
      </w:r>
    </w:p>
    <w:p w14:paraId="10A2852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注：本项目招标文件随招标公告一并在广州交易集团有限公司（广州公共资源交易中心）网站发布。招标文件一经在广州交易集团有限公司（广州公共资源交易中心）发布，视为送达给投标人。</w:t>
      </w:r>
    </w:p>
    <w:p w14:paraId="45DBEC1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4.2本项目采用全流程电子化资格后审方式。</w:t>
      </w:r>
    </w:p>
    <w:p w14:paraId="20FDC311">
      <w:pPr>
        <w:tabs>
          <w:tab w:val="left" w:pos="7513"/>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注：电子招投标操作流程详见广州交易集团有限公司（广州公共资源交易中心）网站发布的最新版操作指引。</w:t>
      </w:r>
    </w:p>
    <w:p w14:paraId="4231354C">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u w:val="single"/>
        </w:rPr>
        <w:t>4.2.1资格审查结果将在广州公共资源交易网和广东省招标投标监管网公示，公示时间不得少于3日。</w:t>
      </w:r>
    </w:p>
    <w:p w14:paraId="74D68171">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19" w:name="_Toc60344356"/>
      <w:r>
        <w:rPr>
          <w:rFonts w:hint="eastAsia" w:ascii="宋体" w:hAnsi="宋体" w:eastAsia="宋体" w:cs="宋体"/>
          <w:bCs w:val="0"/>
          <w:color w:val="auto"/>
          <w:kern w:val="0"/>
          <w:sz w:val="28"/>
          <w:szCs w:val="28"/>
          <w:highlight w:val="none"/>
          <w:lang w:bidi="ar"/>
        </w:rPr>
        <w:t xml:space="preserve">5. </w:t>
      </w:r>
      <w:bookmarkEnd w:id="19"/>
      <w:r>
        <w:rPr>
          <w:rFonts w:hint="eastAsia" w:ascii="宋体" w:hAnsi="宋体" w:eastAsia="宋体" w:cs="宋体"/>
          <w:bCs w:val="0"/>
          <w:color w:val="auto"/>
          <w:kern w:val="0"/>
          <w:sz w:val="28"/>
          <w:szCs w:val="28"/>
          <w:highlight w:val="none"/>
          <w:lang w:bidi="ar"/>
        </w:rPr>
        <w:t>投标文件的递交</w:t>
      </w:r>
    </w:p>
    <w:p w14:paraId="6430CE4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kern w:val="0"/>
          <w:sz w:val="24"/>
          <w:highlight w:val="none"/>
          <w:shd w:val="clear" w:color="auto" w:fill="FFFFFF"/>
          <w:lang w:bidi="ar"/>
        </w:rPr>
        <w:t>5.1</w:t>
      </w:r>
      <w:r>
        <w:rPr>
          <w:rFonts w:hint="eastAsia" w:ascii="宋体" w:hAnsi="宋体" w:cs="宋体"/>
          <w:color w:val="auto"/>
          <w:sz w:val="24"/>
          <w:highlight w:val="none"/>
        </w:rPr>
        <w:t>发布招标公告开始日期（含本日）为</w:t>
      </w:r>
      <w:r>
        <w:rPr>
          <w:rFonts w:hint="eastAsia" w:ascii="宋体" w:hAnsi="宋体" w:cs="宋体"/>
          <w:color w:val="auto"/>
          <w:sz w:val="24"/>
          <w:highlight w:val="none"/>
          <w:u w:val="single"/>
        </w:rPr>
        <w:t>：2024年  月   日   时   分。</w:t>
      </w:r>
    </w:p>
    <w:p w14:paraId="3F6647F2">
      <w:pPr>
        <w:spacing w:line="360" w:lineRule="auto"/>
        <w:ind w:firstLine="960" w:firstLineChars="4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发布招标公告截止日期（含本日）为</w:t>
      </w:r>
      <w:r>
        <w:rPr>
          <w:rFonts w:hint="eastAsia" w:ascii="宋体" w:hAnsi="宋体" w:cs="宋体"/>
          <w:color w:val="auto"/>
          <w:kern w:val="0"/>
          <w:sz w:val="24"/>
          <w:highlight w:val="none"/>
          <w:u w:val="single"/>
          <w:shd w:val="clear" w:color="auto" w:fill="FFFFFF"/>
          <w:lang w:bidi="ar"/>
        </w:rPr>
        <w:t>：</w:t>
      </w:r>
      <w:r>
        <w:rPr>
          <w:rFonts w:hint="eastAsia" w:ascii="宋体" w:hAnsi="宋体" w:cs="宋体"/>
          <w:color w:val="auto"/>
          <w:sz w:val="24"/>
          <w:highlight w:val="none"/>
          <w:u w:val="single"/>
        </w:rPr>
        <w:t>2024年  月   日   时   分</w:t>
      </w:r>
      <w:r>
        <w:rPr>
          <w:rFonts w:hint="eastAsia" w:ascii="宋体" w:hAnsi="宋体" w:cs="宋体"/>
          <w:color w:val="auto"/>
          <w:kern w:val="0"/>
          <w:sz w:val="24"/>
          <w:highlight w:val="none"/>
          <w:u w:val="single"/>
          <w:shd w:val="clear" w:color="auto" w:fill="FFFFFF"/>
          <w:lang w:bidi="ar"/>
        </w:rPr>
        <w:t>。</w:t>
      </w:r>
    </w:p>
    <w:p w14:paraId="51E2D3B3">
      <w:pPr>
        <w:spacing w:line="360" w:lineRule="auto"/>
        <w:ind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05E04A21">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5.2</w:t>
      </w:r>
      <w:r>
        <w:rPr>
          <w:rFonts w:hint="eastAsia" w:ascii="宋体" w:hAnsi="宋体" w:cs="宋体"/>
          <w:color w:val="auto"/>
          <w:sz w:val="24"/>
          <w:highlight w:val="none"/>
        </w:rPr>
        <w:t>递交投标文件起始时间：</w:t>
      </w:r>
      <w:r>
        <w:rPr>
          <w:rFonts w:hint="eastAsia" w:ascii="宋体" w:hAnsi="宋体" w:cs="宋体"/>
          <w:color w:val="auto"/>
          <w:sz w:val="24"/>
          <w:highlight w:val="none"/>
          <w:u w:val="single"/>
        </w:rPr>
        <w:t>2024年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时</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rPr>
        <w:t>；</w:t>
      </w:r>
    </w:p>
    <w:p w14:paraId="08888E23">
      <w:pPr>
        <w:widowControl/>
        <w:adjustRightInd w:val="0"/>
        <w:snapToGrid w:val="0"/>
        <w:spacing w:line="360" w:lineRule="auto"/>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2024年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时</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rPr>
        <w:t>。</w:t>
      </w:r>
    </w:p>
    <w:p w14:paraId="79C18664">
      <w:pPr>
        <w:spacing w:line="360" w:lineRule="auto"/>
        <w:ind w:firstLine="496" w:firstLineChars="200"/>
        <w:rPr>
          <w:rFonts w:hint="eastAsia" w:ascii="宋体" w:hAnsi="宋体" w:cs="宋体"/>
          <w:color w:val="auto"/>
          <w:sz w:val="24"/>
          <w:highlight w:val="none"/>
          <w:u w:val="single"/>
          <w:shd w:val="clear" w:color="auto" w:fill="FFFFFF"/>
        </w:rPr>
      </w:pPr>
      <w:r>
        <w:rPr>
          <w:rFonts w:hint="eastAsia" w:ascii="宋体" w:hAnsi="宋体" w:cs="宋体"/>
          <w:color w:val="auto"/>
          <w:spacing w:val="4"/>
          <w:kern w:val="0"/>
          <w:sz w:val="24"/>
          <w:highlight w:val="none"/>
          <w:shd w:val="clear" w:color="auto" w:fill="FFFFFF"/>
          <w:lang w:bidi="ar"/>
        </w:rPr>
        <w:t>投标人通过</w:t>
      </w:r>
      <w:r>
        <w:rPr>
          <w:rFonts w:hint="eastAsia" w:ascii="宋体" w:hAnsi="宋体" w:cs="宋体"/>
          <w:color w:val="auto"/>
          <w:spacing w:val="4"/>
          <w:kern w:val="0"/>
          <w:sz w:val="24"/>
          <w:highlight w:val="none"/>
          <w:u w:val="single"/>
          <w:shd w:val="clear" w:color="auto" w:fill="FFFFFF"/>
          <w:lang w:bidi="ar"/>
        </w:rPr>
        <w:t>广州交易集团有限公司（广州公共资源交易中心）</w:t>
      </w:r>
      <w:r>
        <w:rPr>
          <w:rFonts w:hint="eastAsia" w:ascii="宋体" w:hAnsi="宋体" w:cs="宋体"/>
          <w:color w:val="auto"/>
          <w:spacing w:val="4"/>
          <w:kern w:val="0"/>
          <w:sz w:val="24"/>
          <w:highlight w:val="none"/>
          <w:shd w:val="clear" w:color="auto" w:fill="FFFFFF"/>
          <w:lang w:bidi="ar"/>
        </w:rPr>
        <w:t>交易平台递交电子投标文件。投标人应在递交电子投标文件截止时间前，登录</w:t>
      </w:r>
      <w:r>
        <w:rPr>
          <w:rFonts w:hint="eastAsia" w:ascii="宋体" w:hAnsi="宋体" w:cs="宋体"/>
          <w:color w:val="auto"/>
          <w:spacing w:val="4"/>
          <w:kern w:val="0"/>
          <w:sz w:val="24"/>
          <w:highlight w:val="none"/>
          <w:u w:val="single"/>
          <w:shd w:val="clear" w:color="auto" w:fill="FFFFFF"/>
          <w:lang w:bidi="ar"/>
        </w:rPr>
        <w:t>广州交易集团有限公司（广州公共资源交易中心）</w:t>
      </w:r>
      <w:r>
        <w:rPr>
          <w:rFonts w:hint="eastAsia" w:ascii="宋体" w:hAnsi="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cs="宋体"/>
          <w:color w:val="auto"/>
          <w:spacing w:val="4"/>
          <w:kern w:val="0"/>
          <w:sz w:val="24"/>
          <w:highlight w:val="none"/>
          <w:u w:val="single"/>
          <w:shd w:val="clear" w:color="auto" w:fill="FFFFFF"/>
          <w:lang w:bidi="ar"/>
        </w:rPr>
        <w:t>广州交易集团有限公司（广州公共资源交易中心）交易网站（网址：http://www.gzggzy.cn）。</w:t>
      </w:r>
    </w:p>
    <w:p w14:paraId="104D9494">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bidi="ar"/>
        </w:rPr>
        <w:t>5.3递交电子投标文件备用光盘或u盘时间：</w:t>
      </w:r>
      <w:r>
        <w:rPr>
          <w:rFonts w:hint="eastAsia" w:ascii="宋体" w:hAnsi="宋体" w:cs="宋体"/>
          <w:color w:val="auto"/>
          <w:sz w:val="24"/>
          <w:highlight w:val="none"/>
          <w:u w:val="single"/>
        </w:rPr>
        <w:t>2024年  月   日   时   分</w:t>
      </w:r>
      <w:r>
        <w:rPr>
          <w:rFonts w:hint="eastAsia" w:ascii="宋体" w:hAnsi="宋体" w:cs="宋体"/>
          <w:color w:val="auto"/>
          <w:kern w:val="0"/>
          <w:sz w:val="24"/>
          <w:highlight w:val="none"/>
          <w:shd w:val="clear" w:color="auto" w:fill="FFFFFF"/>
          <w:lang w:bidi="ar"/>
        </w:rPr>
        <w:t>至</w:t>
      </w:r>
      <w:r>
        <w:rPr>
          <w:rFonts w:hint="eastAsia" w:ascii="宋体" w:hAnsi="宋体" w:cs="宋体"/>
          <w:color w:val="auto"/>
          <w:sz w:val="24"/>
          <w:highlight w:val="none"/>
          <w:u w:val="single"/>
        </w:rPr>
        <w:t>2024年  月   日   时   分</w:t>
      </w:r>
      <w:r>
        <w:rPr>
          <w:rFonts w:hint="eastAsia" w:ascii="宋体" w:hAnsi="宋体" w:cs="宋体"/>
          <w:color w:val="auto"/>
          <w:kern w:val="0"/>
          <w:sz w:val="24"/>
          <w:highlight w:val="none"/>
          <w:shd w:val="clear" w:color="auto" w:fill="FFFFFF"/>
          <w:lang w:bidi="ar"/>
        </w:rPr>
        <w:t>，递交地点：广州交易集团有限公司（广州公共资源交易中心）花都交易部（广州市花都区玫瑰路10号滨晖大厦）</w:t>
      </w:r>
      <w:r>
        <w:rPr>
          <w:rFonts w:hint="eastAsia" w:ascii="宋体" w:hAnsi="宋体" w:cs="宋体"/>
          <w:color w:val="auto"/>
          <w:kern w:val="0"/>
          <w:sz w:val="24"/>
          <w:highlight w:val="none"/>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auto"/>
          <w:kern w:val="0"/>
          <w:sz w:val="24"/>
          <w:highlight w:val="none"/>
          <w:shd w:val="clear" w:color="auto" w:fill="FFFFFF"/>
          <w:lang w:bidi="ar"/>
        </w:rPr>
        <w:t>。电子光盘或u盘需按规定封装。投标人在将数据刻录到光盘或u盘之后，投标前自行检查文件是否可以读取。</w:t>
      </w:r>
    </w:p>
    <w:p w14:paraId="0B49BB20">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bidi="ar"/>
        </w:rPr>
        <w:t>5.4开标时间：</w:t>
      </w:r>
      <w:r>
        <w:rPr>
          <w:rFonts w:hint="eastAsia" w:ascii="宋体" w:hAnsi="宋体" w:cs="宋体"/>
          <w:color w:val="auto"/>
          <w:sz w:val="24"/>
          <w:highlight w:val="none"/>
          <w:u w:val="single"/>
        </w:rPr>
        <w:t>2024年  月   日   时   分</w:t>
      </w:r>
      <w:r>
        <w:rPr>
          <w:rFonts w:hint="eastAsia" w:ascii="宋体" w:hAnsi="宋体" w:cs="宋体"/>
          <w:color w:val="auto"/>
          <w:kern w:val="0"/>
          <w:sz w:val="24"/>
          <w:highlight w:val="none"/>
          <w:shd w:val="clear" w:color="auto" w:fill="FFFFFF"/>
          <w:lang w:bidi="ar"/>
        </w:rPr>
        <w:t>，地点：</w:t>
      </w:r>
      <w:r>
        <w:rPr>
          <w:rFonts w:hint="eastAsia" w:ascii="宋体" w:hAnsi="宋体" w:cs="宋体"/>
          <w:color w:val="auto"/>
          <w:kern w:val="0"/>
          <w:sz w:val="24"/>
          <w:highlight w:val="none"/>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auto"/>
          <w:kern w:val="0"/>
          <w:sz w:val="24"/>
          <w:highlight w:val="none"/>
          <w:shd w:val="clear" w:color="auto" w:fill="FFFFFF"/>
          <w:lang w:bidi="ar"/>
        </w:rPr>
        <w:t>。</w:t>
      </w:r>
    </w:p>
    <w:p w14:paraId="269C676F">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bidi="ar"/>
        </w:rPr>
        <w:t>5.5 递交投标文件截止时间及开标时间是否有变化，请密切留意广州交易集团有限公司（广州公共资源交易中心）网站的相关信息。</w:t>
      </w:r>
    </w:p>
    <w:p w14:paraId="5938D8A0">
      <w:pPr>
        <w:spacing w:line="360" w:lineRule="auto"/>
        <w:ind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5.6逾期送达的投标文件，电子招标投标交易平台将予以拒收。</w:t>
      </w:r>
    </w:p>
    <w:p w14:paraId="74DB6104">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20" w:name="_Toc60344358"/>
      <w:r>
        <w:rPr>
          <w:rFonts w:hint="eastAsia" w:ascii="宋体" w:hAnsi="宋体" w:eastAsia="宋体" w:cs="宋体"/>
          <w:bCs w:val="0"/>
          <w:color w:val="auto"/>
          <w:kern w:val="0"/>
          <w:sz w:val="28"/>
          <w:szCs w:val="28"/>
          <w:highlight w:val="none"/>
          <w:lang w:bidi="ar"/>
        </w:rPr>
        <w:t>6. 发布公告的媒介</w:t>
      </w:r>
      <w:bookmarkEnd w:id="20"/>
    </w:p>
    <w:p w14:paraId="1F25D010">
      <w:pPr>
        <w:spacing w:line="360" w:lineRule="auto"/>
        <w:ind w:firstLine="480" w:firstLineChars="200"/>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08ABC82A">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bookmarkStart w:id="21" w:name="_Toc25072056"/>
      <w:r>
        <w:rPr>
          <w:rFonts w:hint="eastAsia" w:ascii="宋体" w:hAnsi="宋体" w:eastAsia="宋体" w:cs="宋体"/>
          <w:bCs w:val="0"/>
          <w:color w:val="auto"/>
          <w:kern w:val="0"/>
          <w:sz w:val="28"/>
          <w:szCs w:val="28"/>
          <w:highlight w:val="none"/>
          <w:lang w:bidi="ar"/>
        </w:rPr>
        <w:t>7. 联系方式</w:t>
      </w:r>
      <w:bookmarkEnd w:id="21"/>
    </w:p>
    <w:p w14:paraId="412A984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招标人：</w:t>
      </w:r>
      <w:r>
        <w:rPr>
          <w:rFonts w:hint="eastAsia" w:ascii="宋体" w:hAnsi="宋体" w:cs="宋体"/>
          <w:color w:val="auto"/>
          <w:sz w:val="24"/>
          <w:highlight w:val="none"/>
          <w:u w:val="single"/>
        </w:rPr>
        <w:t>广州市花都区花山镇人民政府</w:t>
      </w:r>
    </w:p>
    <w:p w14:paraId="1A2084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广州市花都区花山镇花山大道1号</w:t>
      </w:r>
    </w:p>
    <w:p w14:paraId="6C986D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kern w:val="0"/>
          <w:sz w:val="24"/>
          <w:highlight w:val="none"/>
          <w:u w:val="single"/>
          <w:lang w:bidi="ar"/>
        </w:rPr>
        <w:t xml:space="preserve">赵工   </w:t>
      </w:r>
    </w:p>
    <w:p w14:paraId="2EB0E62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020-86808133</w:t>
      </w:r>
    </w:p>
    <w:p w14:paraId="5379B40A">
      <w:pPr>
        <w:spacing w:line="360" w:lineRule="auto"/>
        <w:rPr>
          <w:rFonts w:hint="eastAsia" w:ascii="宋体" w:hAnsi="宋体" w:cs="宋体"/>
          <w:color w:val="auto"/>
          <w:sz w:val="24"/>
          <w:highlight w:val="none"/>
        </w:rPr>
      </w:pPr>
    </w:p>
    <w:p w14:paraId="7EFCCF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广州市中兴工程管理服务有限公司</w:t>
      </w:r>
    </w:p>
    <w:p w14:paraId="43C39C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bidi="ar"/>
        </w:rPr>
        <w:t>广州市花都区新华街公益路6号华侨商业城63号铺</w:t>
      </w:r>
    </w:p>
    <w:p w14:paraId="425ED0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kern w:val="0"/>
          <w:sz w:val="24"/>
          <w:highlight w:val="none"/>
          <w:u w:val="single"/>
          <w:lang w:bidi="ar"/>
        </w:rPr>
        <w:t>林工</w:t>
      </w:r>
    </w:p>
    <w:p w14:paraId="4A82B8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13450400216</w:t>
      </w:r>
    </w:p>
    <w:p w14:paraId="13FCE385">
      <w:pPr>
        <w:autoSpaceDE w:val="0"/>
        <w:autoSpaceDN w:val="0"/>
        <w:adjustRightInd w:val="0"/>
        <w:spacing w:line="360" w:lineRule="auto"/>
        <w:rPr>
          <w:rFonts w:hint="eastAsia" w:ascii="宋体" w:hAnsi="宋体" w:cs="宋体"/>
          <w:color w:val="auto"/>
          <w:kern w:val="0"/>
          <w:sz w:val="24"/>
          <w:highlight w:val="none"/>
        </w:rPr>
      </w:pPr>
    </w:p>
    <w:p w14:paraId="67B1181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olor w:val="auto"/>
          <w:sz w:val="24"/>
          <w:highlight w:val="none"/>
          <w:u w:val="single"/>
        </w:rPr>
        <w:t>广州市花都区建设工程招标和造价管理中心</w:t>
      </w:r>
    </w:p>
    <w:p w14:paraId="0FF716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广州市花都区公益路39号</w:t>
      </w:r>
    </w:p>
    <w:p w14:paraId="152A2A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020-36897092</w:t>
      </w:r>
      <w:bookmarkStart w:id="22" w:name="_Toc60344359"/>
    </w:p>
    <w:p w14:paraId="0DA37DBE">
      <w:pPr>
        <w:pStyle w:val="17"/>
        <w:spacing w:after="0" w:line="360" w:lineRule="auto"/>
        <w:rPr>
          <w:color w:val="auto"/>
          <w:highlight w:val="none"/>
        </w:rPr>
      </w:pPr>
    </w:p>
    <w:p w14:paraId="541BA71B">
      <w:pPr>
        <w:pStyle w:val="3"/>
        <w:keepNext w:val="0"/>
        <w:keepLines w:val="0"/>
        <w:spacing w:before="0" w:after="0" w:line="360" w:lineRule="auto"/>
        <w:rPr>
          <w:rFonts w:hint="eastAsia" w:ascii="宋体" w:hAnsi="宋体" w:eastAsia="宋体" w:cs="宋体"/>
          <w:bCs w:val="0"/>
          <w:color w:val="auto"/>
          <w:kern w:val="0"/>
          <w:sz w:val="28"/>
          <w:szCs w:val="28"/>
          <w:highlight w:val="none"/>
          <w:lang w:bidi="ar"/>
        </w:rPr>
      </w:pPr>
      <w:r>
        <w:rPr>
          <w:rFonts w:hint="eastAsia" w:ascii="宋体" w:hAnsi="宋体" w:eastAsia="宋体" w:cs="宋体"/>
          <w:bCs w:val="0"/>
          <w:color w:val="auto"/>
          <w:kern w:val="0"/>
          <w:sz w:val="28"/>
          <w:szCs w:val="28"/>
          <w:highlight w:val="none"/>
          <w:lang w:bidi="ar"/>
        </w:rPr>
        <w:t>8. 其它事项</w:t>
      </w:r>
      <w:bookmarkEnd w:id="22"/>
    </w:p>
    <w:p w14:paraId="43E6A2C8">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8.1资格审查方式：本工程采用资格后审方式，由评标委员会负责资格审查。</w:t>
      </w:r>
    </w:p>
    <w:p w14:paraId="01FFA2AF">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8.2满足资格审查合格条件的投标申请人不足3名，或经评审通过</w:t>
      </w:r>
      <w:r>
        <w:rPr>
          <w:rFonts w:ascii="宋体" w:hAnsi="宋体" w:cs="宋体"/>
          <w:color w:val="auto"/>
          <w:sz w:val="24"/>
          <w:highlight w:val="none"/>
        </w:rPr>
        <w:t>初步评审</w:t>
      </w:r>
      <w:r>
        <w:rPr>
          <w:rFonts w:hint="eastAsia" w:ascii="宋体" w:hAnsi="宋体" w:cs="宋体"/>
          <w:color w:val="auto"/>
          <w:sz w:val="24"/>
          <w:highlight w:val="none"/>
        </w:rPr>
        <w:t>有效性审查的投标人少于3人时，均为招标失败。招标人分析招标失败原因，修正招标方案，报有关管理部门核准后，重新组织招标。</w:t>
      </w:r>
    </w:p>
    <w:p w14:paraId="4710C6C0">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8.3费用：</w:t>
      </w:r>
    </w:p>
    <w:p w14:paraId="69A58FE9">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rPr>
        <w:t>投标方案经济补偿：</w:t>
      </w:r>
      <w:r>
        <w:rPr>
          <w:rFonts w:hint="eastAsia" w:ascii="宋体" w:hAnsi="宋体" w:cs="宋体"/>
          <w:color w:val="auto"/>
          <w:sz w:val="24"/>
          <w:highlight w:val="none"/>
          <w:u w:val="single"/>
        </w:rPr>
        <w:t>本工程不设未中标单位经济补偿，投标费用由投标人自理。</w:t>
      </w:r>
    </w:p>
    <w:p w14:paraId="0F8EDE86">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8.4前期服务单位：</w:t>
      </w:r>
      <w:r>
        <w:rPr>
          <w:rFonts w:hint="eastAsia" w:ascii="宋体" w:hAnsi="宋体" w:cs="宋体"/>
          <w:color w:val="auto"/>
          <w:sz w:val="24"/>
          <w:highlight w:val="none"/>
          <w:u w:val="single"/>
        </w:rPr>
        <w:t>广州中恒城市规划勘测设计有限公司</w:t>
      </w:r>
      <w:r>
        <w:rPr>
          <w:rFonts w:hint="eastAsia" w:ascii="宋体" w:hAnsi="宋体" w:cs="宋体"/>
          <w:color w:val="auto"/>
          <w:sz w:val="24"/>
          <w:highlight w:val="none"/>
        </w:rPr>
        <w:t>。</w:t>
      </w:r>
    </w:p>
    <w:p w14:paraId="76FB7E56">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注：如果前期服务机构参加本次投标，应将本公告发布前最终完成的工作成果（含电子文件）在发布招标文件的同时提供给所有投标人参考，否则前期参与的服务机构中标无效。</w:t>
      </w:r>
    </w:p>
    <w:p w14:paraId="292AAA45">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8.5投标时是否需要提交设计模型：</w:t>
      </w:r>
      <w:r>
        <w:rPr>
          <w:rFonts w:hint="eastAsia" w:ascii="宋体" w:hAnsi="宋体" w:cs="宋体"/>
          <w:b/>
          <w:bCs/>
          <w:color w:val="auto"/>
          <w:sz w:val="24"/>
          <w:highlight w:val="none"/>
          <w:u w:val="single"/>
        </w:rPr>
        <w:t>不需要</w:t>
      </w:r>
      <w:r>
        <w:rPr>
          <w:rFonts w:hint="eastAsia" w:ascii="宋体" w:hAnsi="宋体" w:cs="宋体"/>
          <w:color w:val="auto"/>
          <w:sz w:val="24"/>
          <w:highlight w:val="none"/>
        </w:rPr>
        <w:t>。</w:t>
      </w:r>
    </w:p>
    <w:p w14:paraId="64D2EAD0">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8.6投标人须保证其提供的登记资料及投标资料的真实性，招标人有权在招标的任何阶段进行调查和核实，一旦发现虚假，将上报建设管理部门及相关部门严肃查处。</w:t>
      </w:r>
    </w:p>
    <w:p w14:paraId="0A870DED">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8.7参加投标之前，投标人应查询企业诚信登记、拟报项目负责人的使用状态，以免出现企业诚信登记、拟报项目负责人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7A2DE0D6">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8.8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4D17643B">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156D1A41">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1594FBE5">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rPr>
        <w:t>具体操作详见“广州交易集团有限公司（广州公共资源交易中心）门户网站首页－＞服务指南－＞系统帮助－〉操作手册－＞发起及受理异议操作指引”。</w:t>
      </w:r>
    </w:p>
    <w:p w14:paraId="0F903039">
      <w:pPr>
        <w:spacing w:line="360" w:lineRule="auto"/>
        <w:ind w:firstLine="480" w:firstLineChars="200"/>
        <w:jc w:val="left"/>
        <w:rPr>
          <w:rFonts w:hint="eastAsia" w:ascii="宋体" w:hAnsi="宋体" w:cs="宋体"/>
          <w:bCs/>
          <w:color w:val="auto"/>
          <w:sz w:val="24"/>
          <w:highlight w:val="none"/>
          <w:u w:val="single"/>
        </w:rPr>
      </w:pPr>
      <w:r>
        <w:rPr>
          <w:rFonts w:hint="eastAsia" w:ascii="宋体" w:hAnsi="宋体" w:cs="宋体"/>
          <w:color w:val="auto"/>
          <w:sz w:val="24"/>
          <w:highlight w:val="none"/>
          <w:u w:val="single"/>
        </w:rPr>
        <w:t>异议受理部门：广州市花都区花山镇人民政府</w:t>
      </w:r>
    </w:p>
    <w:p w14:paraId="2996BEBE">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电话：</w:t>
      </w:r>
      <w:r>
        <w:rPr>
          <w:rFonts w:hint="eastAsia" w:ascii="宋体" w:hAnsi="宋体" w:cs="宋体"/>
          <w:bCs/>
          <w:color w:val="auto"/>
          <w:sz w:val="24"/>
          <w:highlight w:val="none"/>
          <w:u w:val="single"/>
        </w:rPr>
        <w:t>020-</w:t>
      </w:r>
      <w:r>
        <w:rPr>
          <w:rFonts w:hint="eastAsia" w:ascii="宋体" w:hAnsi="宋体" w:cs="宋体"/>
          <w:color w:val="auto"/>
          <w:sz w:val="24"/>
          <w:highlight w:val="none"/>
          <w:u w:val="single"/>
        </w:rPr>
        <w:t>86808133</w:t>
      </w:r>
      <w:r>
        <w:rPr>
          <w:rFonts w:hint="eastAsia" w:ascii="宋体" w:hAnsi="宋体" w:cs="宋体"/>
          <w:color w:val="auto"/>
          <w:kern w:val="0"/>
          <w:sz w:val="24"/>
          <w:highlight w:val="none"/>
          <w:u w:val="single"/>
          <w:lang w:bidi="ar"/>
        </w:rPr>
        <w:t xml:space="preserve">   </w:t>
      </w:r>
    </w:p>
    <w:p w14:paraId="1720562B">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地址：广州市花都区花山镇花山大道1号</w:t>
      </w:r>
    </w:p>
    <w:p w14:paraId="4E966C9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BD19753">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rPr>
        <w:t>8.9</w:t>
      </w:r>
      <w:r>
        <w:rPr>
          <w:rFonts w:hint="eastAsia" w:ascii="宋体" w:hAnsi="宋体" w:cs="宋体"/>
          <w:color w:val="auto"/>
          <w:sz w:val="24"/>
          <w:highlight w:val="none"/>
          <w:u w:val="single"/>
        </w:rPr>
        <w:t>特别提示：投标人在本项目招标人的工程项目中存在下列行为的，将被拒绝三年内参与我单位后续工程投标。（注：拒绝投标时限自招标人发出通知之日起计）：</w:t>
      </w:r>
    </w:p>
    <w:p w14:paraId="32A7589E">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（1）将中标工程转包或者违法分包的；</w:t>
      </w:r>
    </w:p>
    <w:p w14:paraId="58FF7CD7">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（2）在中标工程中不执行质量、安全生产相关规定的，造成质量或安全事故的；</w:t>
      </w:r>
    </w:p>
    <w:p w14:paraId="5C651CF8">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（3）存在围标或串标情形的；</w:t>
      </w:r>
    </w:p>
    <w:p w14:paraId="2E154045">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（4）在投标文件中提供虚假材料的；</w:t>
      </w:r>
    </w:p>
    <w:p w14:paraId="004F594F">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（5）存在行贿情形的；</w:t>
      </w:r>
    </w:p>
    <w:p w14:paraId="7F21CEB0">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（6）拖欠农民工工资的；</w:t>
      </w:r>
    </w:p>
    <w:p w14:paraId="4F032F79">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（7）未按照国家、省、市有关建筑施工实名制管理和工人工资支付分账管理的规定执行，被行政监管部门处罚的；</w:t>
      </w:r>
    </w:p>
    <w:p w14:paraId="48410EA5">
      <w:pPr>
        <w:spacing w:line="360" w:lineRule="auto"/>
        <w:ind w:firstLine="321" w:firstLineChars="134"/>
        <w:jc w:val="left"/>
        <w:rPr>
          <w:rFonts w:hint="eastAsia" w:ascii="宋体" w:hAnsi="宋体" w:cs="宋体"/>
          <w:color w:val="auto"/>
          <w:sz w:val="24"/>
          <w:highlight w:val="none"/>
        </w:rPr>
      </w:pPr>
      <w:r>
        <w:rPr>
          <w:rFonts w:hint="eastAsia" w:ascii="宋体" w:hAnsi="宋体" w:cs="宋体"/>
          <w:color w:val="auto"/>
          <w:sz w:val="24"/>
          <w:highlight w:val="none"/>
          <w:u w:val="single"/>
        </w:rPr>
        <w:t>（8）存在因过错行为被生效法律文书认定承担违约或侵权责任的。</w:t>
      </w:r>
    </w:p>
    <w:p w14:paraId="02DBBA0B">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8.10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427CF344">
      <w:pPr>
        <w:spacing w:line="360" w:lineRule="auto"/>
        <w:ind w:firstLine="321" w:firstLineChars="134"/>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8.11本工程实行限额设计施工，限额投资。本工程结算金额不得超过经有权审核部门审批的相应的概算金额。</w:t>
      </w:r>
    </w:p>
    <w:p w14:paraId="4E8D452E">
      <w:pPr>
        <w:spacing w:line="360" w:lineRule="auto"/>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A3DF83">
      <w:pPr>
        <w:spacing w:line="360" w:lineRule="auto"/>
        <w:outlineLvl w:val="0"/>
        <w:rPr>
          <w:rFonts w:hint="eastAsia" w:ascii="宋体" w:hAnsi="宋体" w:cs="宋体"/>
          <w:color w:val="auto"/>
          <w:sz w:val="24"/>
          <w:highlight w:val="none"/>
        </w:rPr>
      </w:pPr>
      <w:r>
        <w:rPr>
          <w:rFonts w:hint="eastAsia" w:ascii="宋体" w:hAnsi="宋体" w:cs="宋体"/>
          <w:b/>
          <w:bCs/>
          <w:color w:val="auto"/>
          <w:sz w:val="24"/>
          <w:highlight w:val="none"/>
        </w:rPr>
        <w:t>附件一：</w:t>
      </w:r>
    </w:p>
    <w:p w14:paraId="55C26A59">
      <w:pPr>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投标人声明</w:t>
      </w:r>
    </w:p>
    <w:p w14:paraId="1E76B64B">
      <w:pPr>
        <w:spacing w:line="360" w:lineRule="auto"/>
        <w:rPr>
          <w:rFonts w:hint="eastAsia" w:ascii="宋体" w:hAnsi="宋体" w:cs="宋体"/>
          <w:color w:val="auto"/>
          <w:sz w:val="24"/>
          <w:highlight w:val="none"/>
        </w:rPr>
      </w:pPr>
    </w:p>
    <w:p w14:paraId="4B3C2C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广州市住房和城乡建设局、本招标项目招标人及招标监管机构：</w:t>
      </w:r>
    </w:p>
    <w:p w14:paraId="5E85AD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本公司就参加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投标工作，作出郑重声明：</w:t>
      </w:r>
    </w:p>
    <w:p w14:paraId="495A51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一、本公司保证投标文件及其后提供的一切材料都是真实的。如我司成为本项目中标候选人，我司同意并授权招标人将我司投标文件商务部分的人员、业绩、奖项等资料进行公开。</w:t>
      </w:r>
    </w:p>
    <w:p w14:paraId="28F9BD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二、本公司保证在本项目投标中不与其他单位围标、串标，不出让投标资格，不向招标人或评标委员会成员行贿。</w:t>
      </w:r>
    </w:p>
    <w:p w14:paraId="0FF797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三、本公司不存在下列情形之一：</w:t>
      </w:r>
    </w:p>
    <w:p w14:paraId="287F77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3D0685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（2）为本标段监理人或者与本标段监理人存在隶属关系或者其他利害关系；</w:t>
      </w:r>
    </w:p>
    <w:p w14:paraId="3E4750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（3）为本标段的代建单位、项目管理单位、监理单位、造价咨询单位、招标代理单位；</w:t>
      </w:r>
    </w:p>
    <w:p w14:paraId="50FA62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（4）为本标段提供招标代理服务的；</w:t>
      </w:r>
    </w:p>
    <w:p w14:paraId="309A42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（5）与本标段的监理人或代建人或造价咨询单位或建设管理单位或招标代理机构同为一个法定代表人的；</w:t>
      </w:r>
    </w:p>
    <w:p w14:paraId="28EB50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（6）与本标段的监理人或代建人或造价咨询单位或建设管理单位或招标代理机构互相控股或参股的；</w:t>
      </w:r>
    </w:p>
    <w:p w14:paraId="666F0B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（7）与本标段的监理人或代建人或造价咨询单位或建设管理单位或招标代理机构相互任职或工作的；</w:t>
      </w:r>
    </w:p>
    <w:p w14:paraId="4D13B9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（8）与本标段的检测机构有隶属关系或者其他利害关系；</w:t>
      </w:r>
    </w:p>
    <w:p w14:paraId="08CB4D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（9）与招标人存在利害关系且可能影响招标公正性； </w:t>
      </w:r>
    </w:p>
    <w:p w14:paraId="7A654C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（10）与本标段的其他投标人为同一个单位负责人； </w:t>
      </w:r>
    </w:p>
    <w:p w14:paraId="1B271E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（11）与本标段的其他投标人存在控股、管理关系； </w:t>
      </w:r>
    </w:p>
    <w:p w14:paraId="46CCE6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（12）被暂扣安全生产许可证的</w:t>
      </w:r>
    </w:p>
    <w:p w14:paraId="3DB031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B63D5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（14）被责令停产停业、暂扣或者吊销许可证、暂扣或者吊销执照的（本项事实应当以根据《中华人民共和国行政处罚法》依法作出并已经生效的行政处罚决定为认定依据。）；</w:t>
      </w:r>
    </w:p>
    <w:p w14:paraId="2FF1E4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（15）进入清算程序，或被宣布破产，或其他丧失履约能力的情形；</w:t>
      </w:r>
    </w:p>
    <w:p w14:paraId="6DCAE3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B92A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（17）在近三年内投标人或其法定代表人、拟委派的项目经理有行贿犯罪行为的；</w:t>
      </w:r>
    </w:p>
    <w:p w14:paraId="64A31D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（18）法律法规规定的其他情形。</w:t>
      </w:r>
    </w:p>
    <w:p w14:paraId="60B7673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四、本公司保证本项目拟派的项目负责人（施工负责人）没有在其他在建项目中任施工单位项目负责人（施工负责人），本项目拟派的专职安全员没有在其他在建项目中任职。</w:t>
      </w:r>
    </w:p>
    <w:p w14:paraId="7700A21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E5754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7432E9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75E032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八、与本公司单位负责人为同一人或者与本公司存在控股、管理关系的其他单位包括：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。（注：本条由投标人如实填写，如有，应列出全部满足招标公告资质要求的相关单位的名称；如无，则填写“无”；如联合体，联合体各成员需单独列明。）</w:t>
      </w:r>
    </w:p>
    <w:p w14:paraId="4CACF6B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282BA9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C3D8F2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十一、本公司承诺，具有相应的项目管理体系和项目管理能力、财务和风险承担能力。</w:t>
      </w:r>
    </w:p>
    <w:p w14:paraId="30A9592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BCF124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特此声明</w:t>
      </w:r>
    </w:p>
    <w:p w14:paraId="01FCFC19">
      <w:pPr>
        <w:adjustRightInd w:val="0"/>
        <w:snapToGrid w:val="0"/>
        <w:spacing w:line="360" w:lineRule="auto"/>
        <w:ind w:firstLine="480" w:firstLineChars="200"/>
        <w:rPr>
          <w:rFonts w:hint="eastAsia" w:ascii="宋体" w:hAnsi="宋体" w:cs="宋体"/>
          <w:color w:val="auto"/>
          <w:sz w:val="24"/>
          <w:highlight w:val="none"/>
        </w:rPr>
      </w:pPr>
    </w:p>
    <w:p w14:paraId="615FF783">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声明企业：(企业公章)</w:t>
      </w:r>
    </w:p>
    <w:p w14:paraId="39A751C8">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法定代表人（签字）：</w:t>
      </w:r>
    </w:p>
    <w:p w14:paraId="62F9336E">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项目负责人（签字）：</w:t>
      </w:r>
    </w:p>
    <w:p w14:paraId="0D36F1A2">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施工技术负责人（签字）：</w:t>
      </w:r>
    </w:p>
    <w:p w14:paraId="0FE09232">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设计负责人（签字）：</w:t>
      </w:r>
    </w:p>
    <w:p w14:paraId="35554070">
      <w:pPr>
        <w:spacing w:line="360" w:lineRule="auto"/>
        <w:ind w:firstLine="4072" w:firstLineChars="1697"/>
        <w:jc w:val="left"/>
        <w:rPr>
          <w:rFonts w:hint="eastAsia" w:ascii="宋体" w:hAnsi="宋体" w:cs="宋体"/>
          <w:color w:val="auto"/>
          <w:sz w:val="24"/>
          <w:highlight w:val="none"/>
        </w:rPr>
      </w:pPr>
    </w:p>
    <w:p w14:paraId="2295CBFA">
      <w:pPr>
        <w:spacing w:line="360" w:lineRule="auto"/>
        <w:ind w:firstLine="4072" w:firstLineChars="1697"/>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7BEEDA4">
      <w:pPr>
        <w:pStyle w:val="17"/>
        <w:spacing w:after="0" w:line="360" w:lineRule="auto"/>
        <w:rPr>
          <w:color w:val="auto"/>
          <w:highlight w:val="none"/>
        </w:rPr>
      </w:pPr>
    </w:p>
    <w:p w14:paraId="22AF92C8">
      <w:pPr>
        <w:widowControl/>
        <w:spacing w:line="360" w:lineRule="auto"/>
        <w:ind w:firstLine="482" w:firstLineChars="200"/>
        <w:jc w:val="left"/>
        <w:outlineLvl w:val="1"/>
        <w:rPr>
          <w:rFonts w:hint="eastAsia" w:ascii="宋体" w:hAnsi="宋体" w:cs="宋体"/>
          <w:color w:val="auto"/>
          <w:sz w:val="24"/>
          <w:highlight w:val="none"/>
        </w:rPr>
      </w:pPr>
      <w:r>
        <w:rPr>
          <w:rFonts w:hint="eastAsia" w:ascii="宋体" w:hAnsi="宋体" w:cs="宋体"/>
          <w:b/>
          <w:color w:val="auto"/>
          <w:kern w:val="0"/>
          <w:sz w:val="24"/>
          <w:highlight w:val="none"/>
        </w:rPr>
        <w:t>注：联合体投标的，“声明企业”一栏需填写联合体各方的单位全称【格式表示为：（主）单位全称（成）单位全称】，并由联合体牵头单位盖章。“法定代表人签字” 、“项目负责人签字”、“施工技术负责人签字”、“设计负责人签字”、分别由联合体主办方的法定代表人、项目负责人、施工技术负责人和设计负责人签字。</w:t>
      </w:r>
      <w:r>
        <w:rPr>
          <w:rFonts w:hint="eastAsia" w:ascii="宋体" w:hAnsi="宋体" w:cs="宋体"/>
          <w:color w:val="auto"/>
          <w:sz w:val="24"/>
          <w:highlight w:val="none"/>
        </w:rPr>
        <w:br w:type="page"/>
      </w:r>
      <w:r>
        <w:rPr>
          <w:rFonts w:hint="eastAsia" w:ascii="宋体" w:hAnsi="宋体" w:cs="宋体"/>
          <w:b/>
          <w:bCs/>
          <w:color w:val="auto"/>
          <w:sz w:val="24"/>
          <w:highlight w:val="none"/>
        </w:rPr>
        <w:t>附件二：</w:t>
      </w:r>
    </w:p>
    <w:p w14:paraId="449ED334">
      <w:pPr>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联合体共同投标协议</w:t>
      </w:r>
    </w:p>
    <w:p w14:paraId="1C1955D9">
      <w:pPr>
        <w:spacing w:line="360" w:lineRule="auto"/>
        <w:rPr>
          <w:rFonts w:hint="eastAsia" w:ascii="宋体" w:hAnsi="宋体" w:cs="宋体"/>
          <w:color w:val="auto"/>
          <w:sz w:val="24"/>
          <w:highlight w:val="none"/>
        </w:rPr>
      </w:pPr>
    </w:p>
    <w:p w14:paraId="12FF25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40E8F0">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b/>
          <w:bCs/>
          <w:color w:val="auto"/>
          <w:kern w:val="0"/>
          <w:sz w:val="24"/>
          <w:highlight w:val="none"/>
          <w:u w:val="single"/>
        </w:rPr>
        <w:t xml:space="preserve">              　　    　　  </w:t>
      </w:r>
    </w:p>
    <w:p w14:paraId="123519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14:paraId="1A24F2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66BAD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联合体将严格按照招标文件的各项要求，递交投标文件，履行合同，并对外承担相应责任。</w:t>
      </w:r>
    </w:p>
    <w:p w14:paraId="3BEBB25C">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联合体牵头方（主办方）：（盖章）</w:t>
      </w:r>
      <w:r>
        <w:rPr>
          <w:rFonts w:hint="eastAsia" w:ascii="宋体" w:hAnsi="宋体" w:cs="宋体"/>
          <w:b/>
          <w:bCs/>
          <w:color w:val="auto"/>
          <w:kern w:val="0"/>
          <w:sz w:val="24"/>
          <w:highlight w:val="none"/>
          <w:u w:val="single"/>
        </w:rPr>
        <w:t xml:space="preserve">                         </w:t>
      </w:r>
    </w:p>
    <w:p w14:paraId="5C26495D">
      <w:pPr>
        <w:spacing w:line="360" w:lineRule="auto"/>
        <w:ind w:firstLine="480" w:firstLineChars="200"/>
        <w:rPr>
          <w:rFonts w:hint="eastAsia" w:ascii="宋体" w:hAnsi="宋体" w:cs="宋体"/>
          <w:b/>
          <w:bCs/>
          <w:color w:val="auto"/>
          <w:kern w:val="0"/>
          <w:sz w:val="24"/>
          <w:highlight w:val="none"/>
          <w:u w:val="single"/>
        </w:rPr>
      </w:pPr>
      <w:r>
        <w:rPr>
          <w:rFonts w:hint="eastAsia" w:ascii="宋体" w:hAnsi="宋体" w:cs="宋体"/>
          <w:color w:val="auto"/>
          <w:kern w:val="0"/>
          <w:sz w:val="24"/>
          <w:highlight w:val="none"/>
        </w:rPr>
        <w:t>法定代表人：（签字或盖章）</w:t>
      </w:r>
      <w:r>
        <w:rPr>
          <w:rFonts w:hint="eastAsia" w:ascii="宋体" w:hAnsi="宋体" w:cs="宋体"/>
          <w:b/>
          <w:bCs/>
          <w:color w:val="auto"/>
          <w:kern w:val="0"/>
          <w:sz w:val="24"/>
          <w:highlight w:val="none"/>
          <w:u w:val="single"/>
        </w:rPr>
        <w:t xml:space="preserve">                　　    　　   </w:t>
      </w:r>
    </w:p>
    <w:p w14:paraId="43D95BBD">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分工内容：</w:t>
      </w:r>
      <w:r>
        <w:rPr>
          <w:rFonts w:hint="eastAsia" w:ascii="宋体" w:hAnsi="宋体" w:cs="宋体"/>
          <w:b/>
          <w:bCs/>
          <w:color w:val="auto"/>
          <w:kern w:val="0"/>
          <w:sz w:val="24"/>
          <w:highlight w:val="none"/>
          <w:u w:val="single"/>
        </w:rPr>
        <w:t xml:space="preserve">        　　    　　        　　    　　</w:t>
      </w:r>
      <w:r>
        <w:rPr>
          <w:rFonts w:hint="eastAsia" w:ascii="宋体" w:hAnsi="宋体" w:cs="宋体"/>
          <w:color w:val="auto"/>
          <w:kern w:val="0"/>
          <w:sz w:val="24"/>
          <w:highlight w:val="none"/>
          <w:u w:val="single"/>
        </w:rPr>
        <w:t xml:space="preserve">       </w:t>
      </w:r>
    </w:p>
    <w:p w14:paraId="04A12B2B">
      <w:pPr>
        <w:spacing w:line="360" w:lineRule="auto"/>
        <w:ind w:firstLine="480" w:firstLineChars="200"/>
        <w:rPr>
          <w:rFonts w:hint="eastAsia" w:ascii="宋体" w:hAnsi="宋体" w:cs="宋体"/>
          <w:color w:val="auto"/>
          <w:kern w:val="0"/>
          <w:sz w:val="24"/>
          <w:highlight w:val="none"/>
        </w:rPr>
      </w:pPr>
    </w:p>
    <w:p w14:paraId="3601CB5E">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联合体成员：（盖章）</w:t>
      </w:r>
      <w:r>
        <w:rPr>
          <w:rFonts w:hint="eastAsia" w:ascii="宋体" w:hAnsi="宋体" w:cs="宋体"/>
          <w:b/>
          <w:bCs/>
          <w:color w:val="auto"/>
          <w:kern w:val="0"/>
          <w:sz w:val="24"/>
          <w:highlight w:val="none"/>
          <w:u w:val="single"/>
        </w:rPr>
        <w:t xml:space="preserve">                                     </w:t>
      </w:r>
    </w:p>
    <w:p w14:paraId="7DE39835">
      <w:pPr>
        <w:spacing w:line="360" w:lineRule="auto"/>
        <w:ind w:firstLine="480" w:firstLineChars="200"/>
        <w:rPr>
          <w:rFonts w:hint="eastAsia" w:ascii="宋体" w:hAnsi="宋体" w:cs="宋体"/>
          <w:b/>
          <w:bCs/>
          <w:color w:val="auto"/>
          <w:kern w:val="0"/>
          <w:sz w:val="24"/>
          <w:highlight w:val="none"/>
          <w:u w:val="single"/>
        </w:rPr>
      </w:pPr>
      <w:r>
        <w:rPr>
          <w:rFonts w:hint="eastAsia" w:ascii="宋体" w:hAnsi="宋体" w:cs="宋体"/>
          <w:color w:val="auto"/>
          <w:kern w:val="0"/>
          <w:sz w:val="24"/>
          <w:highlight w:val="none"/>
        </w:rPr>
        <w:t>法定代表人：（签字或盖章）</w:t>
      </w:r>
      <w:r>
        <w:rPr>
          <w:rFonts w:hint="eastAsia" w:ascii="宋体" w:hAnsi="宋体" w:cs="宋体"/>
          <w:b/>
          <w:bCs/>
          <w:color w:val="auto"/>
          <w:kern w:val="0"/>
          <w:sz w:val="24"/>
          <w:highlight w:val="none"/>
          <w:u w:val="single"/>
        </w:rPr>
        <w:t xml:space="preserve">                　　    　　   </w:t>
      </w:r>
    </w:p>
    <w:p w14:paraId="1F5318E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分工内容：</w:t>
      </w:r>
      <w:r>
        <w:rPr>
          <w:rFonts w:hint="eastAsia" w:ascii="宋体" w:hAnsi="宋体" w:cs="宋体"/>
          <w:b/>
          <w:bCs/>
          <w:color w:val="auto"/>
          <w:kern w:val="0"/>
          <w:sz w:val="24"/>
          <w:highlight w:val="none"/>
          <w:u w:val="single"/>
        </w:rPr>
        <w:t xml:space="preserve">        　　    　　        　　    　　</w:t>
      </w:r>
      <w:r>
        <w:rPr>
          <w:rFonts w:hint="eastAsia" w:ascii="宋体" w:hAnsi="宋体" w:cs="宋体"/>
          <w:color w:val="auto"/>
          <w:kern w:val="0"/>
          <w:sz w:val="24"/>
          <w:highlight w:val="none"/>
          <w:u w:val="single"/>
        </w:rPr>
        <w:t xml:space="preserve">       </w:t>
      </w:r>
    </w:p>
    <w:p w14:paraId="51EEFBE8">
      <w:pPr>
        <w:spacing w:line="360" w:lineRule="auto"/>
        <w:ind w:firstLine="480" w:firstLineChars="200"/>
        <w:rPr>
          <w:rFonts w:hint="eastAsia" w:ascii="宋体" w:hAnsi="宋体" w:cs="宋体"/>
          <w:color w:val="auto"/>
          <w:kern w:val="0"/>
          <w:sz w:val="24"/>
          <w:highlight w:val="none"/>
        </w:rPr>
      </w:pPr>
    </w:p>
    <w:p w14:paraId="5842D0A4">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联合体成员：（盖章）</w:t>
      </w:r>
      <w:r>
        <w:rPr>
          <w:rFonts w:hint="eastAsia" w:ascii="宋体" w:hAnsi="宋体" w:cs="宋体"/>
          <w:b/>
          <w:bCs/>
          <w:color w:val="auto"/>
          <w:kern w:val="0"/>
          <w:sz w:val="24"/>
          <w:highlight w:val="none"/>
          <w:u w:val="single"/>
        </w:rPr>
        <w:t xml:space="preserve">                                     </w:t>
      </w:r>
    </w:p>
    <w:p w14:paraId="164B09DC">
      <w:pPr>
        <w:spacing w:line="360" w:lineRule="auto"/>
        <w:ind w:firstLine="480" w:firstLineChars="200"/>
        <w:rPr>
          <w:rFonts w:hint="eastAsia" w:ascii="宋体" w:hAnsi="宋体" w:cs="宋体"/>
          <w:b/>
          <w:bCs/>
          <w:color w:val="auto"/>
          <w:kern w:val="0"/>
          <w:sz w:val="24"/>
          <w:highlight w:val="none"/>
          <w:u w:val="single"/>
        </w:rPr>
      </w:pPr>
      <w:r>
        <w:rPr>
          <w:rFonts w:hint="eastAsia" w:ascii="宋体" w:hAnsi="宋体" w:cs="宋体"/>
          <w:color w:val="auto"/>
          <w:kern w:val="0"/>
          <w:sz w:val="24"/>
          <w:highlight w:val="none"/>
        </w:rPr>
        <w:t>法定代表人：（签字或盖章）</w:t>
      </w:r>
      <w:r>
        <w:rPr>
          <w:rFonts w:hint="eastAsia" w:ascii="宋体" w:hAnsi="宋体" w:cs="宋体"/>
          <w:b/>
          <w:bCs/>
          <w:color w:val="auto"/>
          <w:kern w:val="0"/>
          <w:sz w:val="24"/>
          <w:highlight w:val="none"/>
          <w:u w:val="single"/>
        </w:rPr>
        <w:t xml:space="preserve">                　　    　　   </w:t>
      </w:r>
    </w:p>
    <w:p w14:paraId="57C5EE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分工内容：</w:t>
      </w:r>
      <w:r>
        <w:rPr>
          <w:rFonts w:hint="eastAsia" w:ascii="宋体" w:hAnsi="宋体" w:cs="宋体"/>
          <w:b/>
          <w:bCs/>
          <w:color w:val="auto"/>
          <w:kern w:val="0"/>
          <w:sz w:val="24"/>
          <w:highlight w:val="none"/>
          <w:u w:val="single"/>
        </w:rPr>
        <w:t xml:space="preserve">        　　    　　        　　    　　</w:t>
      </w:r>
      <w:r>
        <w:rPr>
          <w:rFonts w:hint="eastAsia" w:ascii="宋体" w:hAnsi="宋体" w:cs="宋体"/>
          <w:color w:val="auto"/>
          <w:kern w:val="0"/>
          <w:sz w:val="24"/>
          <w:highlight w:val="none"/>
          <w:u w:val="single"/>
        </w:rPr>
        <w:t xml:space="preserve">       </w:t>
      </w:r>
    </w:p>
    <w:p w14:paraId="5F4B2EBC">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日</w:t>
      </w:r>
    </w:p>
    <w:p w14:paraId="624CC859">
      <w:pPr>
        <w:widowControl/>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注：1、投标联合体成员数量若有增减，可按实际自行调整。</w:t>
      </w:r>
    </w:p>
    <w:p w14:paraId="36AEE74F">
      <w:pPr>
        <w:widowControl/>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2、单独投标的，无需提交本协议书。</w:t>
      </w:r>
    </w:p>
    <w:sectPr>
      <w:footerReference r:id="rId3" w:type="default"/>
      <w:pgSz w:w="11906" w:h="16838"/>
      <w:pgMar w:top="1440" w:right="1588" w:bottom="1440"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FEE8">
    <w:pPr>
      <w:pStyle w:val="11"/>
    </w:pPr>
    <w:r>
      <mc:AlternateContent>
        <mc:Choice Requires="wps">
          <w:drawing>
            <wp:anchor distT="0" distB="0" distL="114300" distR="114300" simplePos="0" relativeHeight="251659264" behindDoc="0" locked="0" layoutInCell="1" allowOverlap="1">
              <wp:simplePos x="0" y="0"/>
              <wp:positionH relativeFrom="margin">
                <wp:posOffset>2569845</wp:posOffset>
              </wp:positionH>
              <wp:positionV relativeFrom="paragraph">
                <wp:posOffset>16510</wp:posOffset>
              </wp:positionV>
              <wp:extent cx="214630" cy="130175"/>
              <wp:effectExtent l="0" t="0" r="13970" b="3810"/>
              <wp:wrapNone/>
              <wp:docPr id="1" name="文本框 1"/>
              <wp:cNvGraphicFramePr/>
              <a:graphic xmlns:a="http://schemas.openxmlformats.org/drawingml/2006/main">
                <a:graphicData uri="http://schemas.microsoft.com/office/word/2010/wordprocessingShape">
                  <wps:wsp>
                    <wps:cNvSpPr txBox="1"/>
                    <wps:spPr>
                      <a:xfrm>
                        <a:off x="0" y="0"/>
                        <a:ext cx="214685" cy="1301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74D8D">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35pt;margin-top:1.3pt;height:10.25pt;width:16.9pt;mso-position-horizontal-relative:margin;z-index:251659264;mso-width-relative:page;mso-height-relative:page;" filled="f" stroked="f" coordsize="21600,21600" o:gfxdata="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s4tNcAAAAIAQAADwAAAAAAAAABACAAAAAiAAAAZHJzL2Rvd25yZXYueG1s&#10;UEsBAhQAFAAAAAgAh07iQL/D5j4yAgAAVQQAAA4AAAAAAAAAAQAgAAAAJgEAAGRycy9lMm9Eb2Mu&#10;eG1sUEsFBgAAAAAGAAYAWQEAAMoFAAAAAA==&#10;">
              <v:fill on="f" focussize="0,0"/>
              <v:stroke on="f" weight="0.5pt"/>
              <v:imagedata o:title=""/>
              <o:lock v:ext="edit" aspectratio="f"/>
              <v:textbox inset="0mm,0mm,0mm,0mm">
                <w:txbxContent>
                  <w:p w14:paraId="4A374D8D">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NTAzYmZhM2QwYjNkOGNmZDM1ZmNiODc2YjA2NGIifQ=="/>
  </w:docVars>
  <w:rsids>
    <w:rsidRoot w:val="00C41173"/>
    <w:rsid w:val="0000094C"/>
    <w:rsid w:val="00003C87"/>
    <w:rsid w:val="000278FB"/>
    <w:rsid w:val="00036A37"/>
    <w:rsid w:val="000400EE"/>
    <w:rsid w:val="0005562B"/>
    <w:rsid w:val="00055687"/>
    <w:rsid w:val="00063B60"/>
    <w:rsid w:val="00063F05"/>
    <w:rsid w:val="0006636C"/>
    <w:rsid w:val="00067FA2"/>
    <w:rsid w:val="000746F2"/>
    <w:rsid w:val="000807A6"/>
    <w:rsid w:val="0009571D"/>
    <w:rsid w:val="000978AE"/>
    <w:rsid w:val="00097954"/>
    <w:rsid w:val="000B2DCB"/>
    <w:rsid w:val="000B754F"/>
    <w:rsid w:val="000B77B3"/>
    <w:rsid w:val="000B7B3C"/>
    <w:rsid w:val="000C11D3"/>
    <w:rsid w:val="000E3A6C"/>
    <w:rsid w:val="000F7749"/>
    <w:rsid w:val="00107C8F"/>
    <w:rsid w:val="0011253E"/>
    <w:rsid w:val="00130D89"/>
    <w:rsid w:val="00151BE4"/>
    <w:rsid w:val="00152A29"/>
    <w:rsid w:val="00157808"/>
    <w:rsid w:val="00176275"/>
    <w:rsid w:val="0018689D"/>
    <w:rsid w:val="0019274D"/>
    <w:rsid w:val="00194B66"/>
    <w:rsid w:val="001A612C"/>
    <w:rsid w:val="001B276C"/>
    <w:rsid w:val="001B3966"/>
    <w:rsid w:val="001C4A50"/>
    <w:rsid w:val="001F2656"/>
    <w:rsid w:val="002154A4"/>
    <w:rsid w:val="00220466"/>
    <w:rsid w:val="002248FF"/>
    <w:rsid w:val="00225A29"/>
    <w:rsid w:val="00235EDC"/>
    <w:rsid w:val="00244FDC"/>
    <w:rsid w:val="002539B7"/>
    <w:rsid w:val="00272A47"/>
    <w:rsid w:val="0027603D"/>
    <w:rsid w:val="00293BB5"/>
    <w:rsid w:val="002A575D"/>
    <w:rsid w:val="002A71A3"/>
    <w:rsid w:val="002A7B05"/>
    <w:rsid w:val="002B370D"/>
    <w:rsid w:val="002F7235"/>
    <w:rsid w:val="00307A1D"/>
    <w:rsid w:val="0031027A"/>
    <w:rsid w:val="00312048"/>
    <w:rsid w:val="003154EF"/>
    <w:rsid w:val="00337734"/>
    <w:rsid w:val="00360177"/>
    <w:rsid w:val="00393B5B"/>
    <w:rsid w:val="003A0C86"/>
    <w:rsid w:val="003A2FEF"/>
    <w:rsid w:val="003D10BB"/>
    <w:rsid w:val="003E605F"/>
    <w:rsid w:val="003F43CA"/>
    <w:rsid w:val="00415A56"/>
    <w:rsid w:val="004168B9"/>
    <w:rsid w:val="0042318D"/>
    <w:rsid w:val="00427FFB"/>
    <w:rsid w:val="00447B11"/>
    <w:rsid w:val="00467865"/>
    <w:rsid w:val="00470847"/>
    <w:rsid w:val="00470DEB"/>
    <w:rsid w:val="00490950"/>
    <w:rsid w:val="004B41D3"/>
    <w:rsid w:val="004B6F1E"/>
    <w:rsid w:val="004D0E15"/>
    <w:rsid w:val="004D5071"/>
    <w:rsid w:val="004E1DB1"/>
    <w:rsid w:val="004E3519"/>
    <w:rsid w:val="004E7FEE"/>
    <w:rsid w:val="0051285C"/>
    <w:rsid w:val="005242B7"/>
    <w:rsid w:val="005354BB"/>
    <w:rsid w:val="00543658"/>
    <w:rsid w:val="0054745D"/>
    <w:rsid w:val="005536EB"/>
    <w:rsid w:val="00564FB8"/>
    <w:rsid w:val="005A158D"/>
    <w:rsid w:val="005B53DB"/>
    <w:rsid w:val="005C60D5"/>
    <w:rsid w:val="005E1F74"/>
    <w:rsid w:val="005E3F22"/>
    <w:rsid w:val="005E475B"/>
    <w:rsid w:val="005F021A"/>
    <w:rsid w:val="005F42CB"/>
    <w:rsid w:val="005F5F1C"/>
    <w:rsid w:val="006020D0"/>
    <w:rsid w:val="00646DDE"/>
    <w:rsid w:val="00651485"/>
    <w:rsid w:val="00653816"/>
    <w:rsid w:val="00667D8A"/>
    <w:rsid w:val="006724CC"/>
    <w:rsid w:val="00686A14"/>
    <w:rsid w:val="00693820"/>
    <w:rsid w:val="00694DE2"/>
    <w:rsid w:val="006959FE"/>
    <w:rsid w:val="00697746"/>
    <w:rsid w:val="006A495D"/>
    <w:rsid w:val="006A5437"/>
    <w:rsid w:val="006B0198"/>
    <w:rsid w:val="006C053E"/>
    <w:rsid w:val="006D7951"/>
    <w:rsid w:val="006F720D"/>
    <w:rsid w:val="00742196"/>
    <w:rsid w:val="0075179E"/>
    <w:rsid w:val="00752200"/>
    <w:rsid w:val="007702E7"/>
    <w:rsid w:val="00776545"/>
    <w:rsid w:val="00790F65"/>
    <w:rsid w:val="007A7D9C"/>
    <w:rsid w:val="007A7F28"/>
    <w:rsid w:val="007C2DD7"/>
    <w:rsid w:val="007D53E1"/>
    <w:rsid w:val="007F2302"/>
    <w:rsid w:val="008041A8"/>
    <w:rsid w:val="00812F0C"/>
    <w:rsid w:val="008178BA"/>
    <w:rsid w:val="008224CA"/>
    <w:rsid w:val="008324A6"/>
    <w:rsid w:val="0084791C"/>
    <w:rsid w:val="00862B83"/>
    <w:rsid w:val="00887260"/>
    <w:rsid w:val="00897002"/>
    <w:rsid w:val="008A1302"/>
    <w:rsid w:val="008A6144"/>
    <w:rsid w:val="008B6503"/>
    <w:rsid w:val="008C0762"/>
    <w:rsid w:val="008E14D5"/>
    <w:rsid w:val="008E4033"/>
    <w:rsid w:val="00902967"/>
    <w:rsid w:val="00916340"/>
    <w:rsid w:val="00924C6D"/>
    <w:rsid w:val="00936178"/>
    <w:rsid w:val="00941D8E"/>
    <w:rsid w:val="0096560E"/>
    <w:rsid w:val="009675AA"/>
    <w:rsid w:val="00970812"/>
    <w:rsid w:val="0098558A"/>
    <w:rsid w:val="009955AC"/>
    <w:rsid w:val="0099709B"/>
    <w:rsid w:val="009C2184"/>
    <w:rsid w:val="009C4A91"/>
    <w:rsid w:val="009C6268"/>
    <w:rsid w:val="009D136D"/>
    <w:rsid w:val="009E437C"/>
    <w:rsid w:val="009F5A53"/>
    <w:rsid w:val="009F5C70"/>
    <w:rsid w:val="009F70D0"/>
    <w:rsid w:val="00A05B7B"/>
    <w:rsid w:val="00A31BC3"/>
    <w:rsid w:val="00A36D6D"/>
    <w:rsid w:val="00A54F15"/>
    <w:rsid w:val="00A634D9"/>
    <w:rsid w:val="00A840C3"/>
    <w:rsid w:val="00A864A9"/>
    <w:rsid w:val="00AA02F5"/>
    <w:rsid w:val="00AA5B28"/>
    <w:rsid w:val="00AB48A6"/>
    <w:rsid w:val="00AC174D"/>
    <w:rsid w:val="00AD613E"/>
    <w:rsid w:val="00AE15D8"/>
    <w:rsid w:val="00AF0041"/>
    <w:rsid w:val="00AF552D"/>
    <w:rsid w:val="00AF72C7"/>
    <w:rsid w:val="00B01974"/>
    <w:rsid w:val="00B03F16"/>
    <w:rsid w:val="00B118A7"/>
    <w:rsid w:val="00B2680D"/>
    <w:rsid w:val="00B3331D"/>
    <w:rsid w:val="00B41238"/>
    <w:rsid w:val="00B4513A"/>
    <w:rsid w:val="00B51973"/>
    <w:rsid w:val="00B51E64"/>
    <w:rsid w:val="00B528A8"/>
    <w:rsid w:val="00B52D2F"/>
    <w:rsid w:val="00B608FA"/>
    <w:rsid w:val="00B60D79"/>
    <w:rsid w:val="00B62684"/>
    <w:rsid w:val="00B7127F"/>
    <w:rsid w:val="00B92F4F"/>
    <w:rsid w:val="00BD673A"/>
    <w:rsid w:val="00BE4EC7"/>
    <w:rsid w:val="00C01941"/>
    <w:rsid w:val="00C05390"/>
    <w:rsid w:val="00C110B5"/>
    <w:rsid w:val="00C174D5"/>
    <w:rsid w:val="00C21E02"/>
    <w:rsid w:val="00C23420"/>
    <w:rsid w:val="00C31FB1"/>
    <w:rsid w:val="00C41173"/>
    <w:rsid w:val="00C8048F"/>
    <w:rsid w:val="00C86FA7"/>
    <w:rsid w:val="00C91A48"/>
    <w:rsid w:val="00CA37E7"/>
    <w:rsid w:val="00CB5BE2"/>
    <w:rsid w:val="00CC2C16"/>
    <w:rsid w:val="00CC3C4D"/>
    <w:rsid w:val="00CC59DF"/>
    <w:rsid w:val="00D263AC"/>
    <w:rsid w:val="00D40CFE"/>
    <w:rsid w:val="00D57FB6"/>
    <w:rsid w:val="00D6311E"/>
    <w:rsid w:val="00D90165"/>
    <w:rsid w:val="00DA2161"/>
    <w:rsid w:val="00DA3F2C"/>
    <w:rsid w:val="00DA4122"/>
    <w:rsid w:val="00DB46FA"/>
    <w:rsid w:val="00DB7556"/>
    <w:rsid w:val="00DD1AA3"/>
    <w:rsid w:val="00DD1D02"/>
    <w:rsid w:val="00DE1437"/>
    <w:rsid w:val="00E15264"/>
    <w:rsid w:val="00E2132B"/>
    <w:rsid w:val="00E26121"/>
    <w:rsid w:val="00E30044"/>
    <w:rsid w:val="00E31B66"/>
    <w:rsid w:val="00E54600"/>
    <w:rsid w:val="00E628DD"/>
    <w:rsid w:val="00E76D7E"/>
    <w:rsid w:val="00E8024C"/>
    <w:rsid w:val="00E87E29"/>
    <w:rsid w:val="00EA464F"/>
    <w:rsid w:val="00EB4999"/>
    <w:rsid w:val="00EC2290"/>
    <w:rsid w:val="00ED44DD"/>
    <w:rsid w:val="00ED790E"/>
    <w:rsid w:val="00EE53A4"/>
    <w:rsid w:val="00F35A04"/>
    <w:rsid w:val="00F36306"/>
    <w:rsid w:val="00F503A0"/>
    <w:rsid w:val="00F56345"/>
    <w:rsid w:val="00F85504"/>
    <w:rsid w:val="00F93C97"/>
    <w:rsid w:val="00FA1C67"/>
    <w:rsid w:val="00FA6A33"/>
    <w:rsid w:val="00FA6FF5"/>
    <w:rsid w:val="00FA7DCC"/>
    <w:rsid w:val="00FB18AB"/>
    <w:rsid w:val="00FB30C0"/>
    <w:rsid w:val="00FC08AA"/>
    <w:rsid w:val="00FD3735"/>
    <w:rsid w:val="00FD455E"/>
    <w:rsid w:val="00FD5E7A"/>
    <w:rsid w:val="00FF007E"/>
    <w:rsid w:val="00FF574C"/>
    <w:rsid w:val="01103A85"/>
    <w:rsid w:val="02F62B49"/>
    <w:rsid w:val="03413544"/>
    <w:rsid w:val="036B7036"/>
    <w:rsid w:val="04771566"/>
    <w:rsid w:val="05A86320"/>
    <w:rsid w:val="06AE5BB8"/>
    <w:rsid w:val="06D76E46"/>
    <w:rsid w:val="078C2FC3"/>
    <w:rsid w:val="08714C02"/>
    <w:rsid w:val="09474875"/>
    <w:rsid w:val="099D2692"/>
    <w:rsid w:val="0A823A16"/>
    <w:rsid w:val="0B6F28CA"/>
    <w:rsid w:val="0B8535E8"/>
    <w:rsid w:val="0CCE237A"/>
    <w:rsid w:val="0D8B33D0"/>
    <w:rsid w:val="0F584607"/>
    <w:rsid w:val="0F734EC2"/>
    <w:rsid w:val="14143C49"/>
    <w:rsid w:val="142C49B9"/>
    <w:rsid w:val="14E53569"/>
    <w:rsid w:val="15277F6B"/>
    <w:rsid w:val="1687514F"/>
    <w:rsid w:val="174A5489"/>
    <w:rsid w:val="17885F58"/>
    <w:rsid w:val="178A7F7B"/>
    <w:rsid w:val="17AD0FA2"/>
    <w:rsid w:val="18607876"/>
    <w:rsid w:val="1888507C"/>
    <w:rsid w:val="19D53DA2"/>
    <w:rsid w:val="1BBB0703"/>
    <w:rsid w:val="1D0A6B25"/>
    <w:rsid w:val="1E4E1D03"/>
    <w:rsid w:val="1EF718A7"/>
    <w:rsid w:val="1F7A0FBF"/>
    <w:rsid w:val="202A22FB"/>
    <w:rsid w:val="21DA1CD3"/>
    <w:rsid w:val="22814DBA"/>
    <w:rsid w:val="231F737C"/>
    <w:rsid w:val="23FA3D93"/>
    <w:rsid w:val="25F5515A"/>
    <w:rsid w:val="27162E0F"/>
    <w:rsid w:val="2BAA4F41"/>
    <w:rsid w:val="2BD2547C"/>
    <w:rsid w:val="2C866B0B"/>
    <w:rsid w:val="2C9B5A30"/>
    <w:rsid w:val="2D4C1B03"/>
    <w:rsid w:val="2E6C29B7"/>
    <w:rsid w:val="2EE66FDC"/>
    <w:rsid w:val="30404BC8"/>
    <w:rsid w:val="3046755D"/>
    <w:rsid w:val="31350B00"/>
    <w:rsid w:val="31C3126A"/>
    <w:rsid w:val="329000E2"/>
    <w:rsid w:val="32AF03BC"/>
    <w:rsid w:val="33E66339"/>
    <w:rsid w:val="356F3625"/>
    <w:rsid w:val="35F55D16"/>
    <w:rsid w:val="37A442EA"/>
    <w:rsid w:val="38510960"/>
    <w:rsid w:val="386046B4"/>
    <w:rsid w:val="38C812A9"/>
    <w:rsid w:val="39F15BE9"/>
    <w:rsid w:val="3AC37DBC"/>
    <w:rsid w:val="3B367DC3"/>
    <w:rsid w:val="3BD756CA"/>
    <w:rsid w:val="3C4C7680"/>
    <w:rsid w:val="3CDE3DFA"/>
    <w:rsid w:val="3D465298"/>
    <w:rsid w:val="3ED40BF8"/>
    <w:rsid w:val="41047E4A"/>
    <w:rsid w:val="42B51AA1"/>
    <w:rsid w:val="43043580"/>
    <w:rsid w:val="440C6FD6"/>
    <w:rsid w:val="45A22D76"/>
    <w:rsid w:val="45C30031"/>
    <w:rsid w:val="4751502E"/>
    <w:rsid w:val="48AF39A5"/>
    <w:rsid w:val="4AE12467"/>
    <w:rsid w:val="4B090BB5"/>
    <w:rsid w:val="4C0B5FBA"/>
    <w:rsid w:val="4C703901"/>
    <w:rsid w:val="4CA14696"/>
    <w:rsid w:val="4D9E2C94"/>
    <w:rsid w:val="4E125E21"/>
    <w:rsid w:val="4E765BF4"/>
    <w:rsid w:val="4F3F55F9"/>
    <w:rsid w:val="4F6665FD"/>
    <w:rsid w:val="51024A24"/>
    <w:rsid w:val="51A17E20"/>
    <w:rsid w:val="51BF0FF3"/>
    <w:rsid w:val="524F7247"/>
    <w:rsid w:val="52B123CE"/>
    <w:rsid w:val="52B12C39"/>
    <w:rsid w:val="52DC47A1"/>
    <w:rsid w:val="53284196"/>
    <w:rsid w:val="53BD36E6"/>
    <w:rsid w:val="53CC4660"/>
    <w:rsid w:val="53DE3845"/>
    <w:rsid w:val="55683FB3"/>
    <w:rsid w:val="55CC4CE0"/>
    <w:rsid w:val="55D925F2"/>
    <w:rsid w:val="561C5410"/>
    <w:rsid w:val="581D1822"/>
    <w:rsid w:val="58E12A8F"/>
    <w:rsid w:val="59D65455"/>
    <w:rsid w:val="5A174CEF"/>
    <w:rsid w:val="5A3C0BB7"/>
    <w:rsid w:val="5A6C5756"/>
    <w:rsid w:val="5AB346C0"/>
    <w:rsid w:val="5B573CC7"/>
    <w:rsid w:val="5D883BE2"/>
    <w:rsid w:val="5DAB0BEF"/>
    <w:rsid w:val="5DEB36F2"/>
    <w:rsid w:val="5E861797"/>
    <w:rsid w:val="627C3472"/>
    <w:rsid w:val="62922E0D"/>
    <w:rsid w:val="63A51FFF"/>
    <w:rsid w:val="63A948B2"/>
    <w:rsid w:val="63E74A6C"/>
    <w:rsid w:val="64EC2CA8"/>
    <w:rsid w:val="6818174A"/>
    <w:rsid w:val="68A953D9"/>
    <w:rsid w:val="690310A7"/>
    <w:rsid w:val="694C0EA7"/>
    <w:rsid w:val="6ABA71CA"/>
    <w:rsid w:val="6B763C24"/>
    <w:rsid w:val="6B9A260F"/>
    <w:rsid w:val="6BBE5204"/>
    <w:rsid w:val="6CC12562"/>
    <w:rsid w:val="70080151"/>
    <w:rsid w:val="70F82FD6"/>
    <w:rsid w:val="72495F65"/>
    <w:rsid w:val="72FF7E9B"/>
    <w:rsid w:val="732950C8"/>
    <w:rsid w:val="74DB3A99"/>
    <w:rsid w:val="758978EE"/>
    <w:rsid w:val="76092777"/>
    <w:rsid w:val="76215284"/>
    <w:rsid w:val="76607052"/>
    <w:rsid w:val="766308F1"/>
    <w:rsid w:val="76C84E0D"/>
    <w:rsid w:val="77410383"/>
    <w:rsid w:val="7876306A"/>
    <w:rsid w:val="78DA45EC"/>
    <w:rsid w:val="7A90289B"/>
    <w:rsid w:val="7B923B82"/>
    <w:rsid w:val="7C3945CD"/>
    <w:rsid w:val="7C535229"/>
    <w:rsid w:val="7C947A56"/>
    <w:rsid w:val="7CCA791B"/>
    <w:rsid w:val="7E096221"/>
    <w:rsid w:val="7E714E17"/>
    <w:rsid w:val="7EFE38AC"/>
    <w:rsid w:val="B7CF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Cs/>
      <w:szCs w:val="32"/>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link w:val="34"/>
    <w:semiHidden/>
    <w:unhideWhenUsed/>
    <w:qFormat/>
    <w:uiPriority w:val="99"/>
    <w:pPr>
      <w:jc w:val="left"/>
    </w:pPr>
  </w:style>
  <w:style w:type="paragraph" w:styleId="6">
    <w:name w:val="Body Text"/>
    <w:basedOn w:val="1"/>
    <w:next w:val="1"/>
    <w:qFormat/>
    <w:uiPriority w:val="99"/>
    <w:pPr>
      <w:spacing w:after="120"/>
    </w:pPr>
  </w:style>
  <w:style w:type="paragraph" w:styleId="7">
    <w:name w:val="Body Text Indent"/>
    <w:basedOn w:val="1"/>
    <w:qFormat/>
    <w:uiPriority w:val="99"/>
    <w:pPr>
      <w:ind w:firstLine="570"/>
    </w:pPr>
    <w:rPr>
      <w:kern w:val="0"/>
      <w:sz w:val="28"/>
      <w:szCs w:val="20"/>
    </w:rPr>
  </w:style>
  <w:style w:type="paragraph" w:styleId="8">
    <w:name w:val="index 4"/>
    <w:basedOn w:val="1"/>
    <w:next w:val="1"/>
    <w:unhideWhenUsed/>
    <w:qFormat/>
    <w:uiPriority w:val="99"/>
    <w:pPr>
      <w:ind w:left="600" w:leftChars="600"/>
    </w:pPr>
  </w:style>
  <w:style w:type="paragraph" w:styleId="9">
    <w:name w:val="Plain Text"/>
    <w:basedOn w:val="1"/>
    <w:next w:val="1"/>
    <w:qFormat/>
    <w:uiPriority w:val="0"/>
    <w:rPr>
      <w:rFonts w:ascii="宋体" w:hAnsi="Courier New"/>
      <w:szCs w:val="20"/>
    </w:rPr>
  </w:style>
  <w:style w:type="paragraph" w:styleId="10">
    <w:name w:val="Balloon Text"/>
    <w:basedOn w:val="1"/>
    <w:link w:val="33"/>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unhideWhenUsed/>
    <w:qFormat/>
    <w:uiPriority w:val="39"/>
    <w:pPr>
      <w:ind w:left="420" w:leftChars="200"/>
    </w:pPr>
  </w:style>
  <w:style w:type="paragraph" w:styleId="16">
    <w:name w:val="annotation subject"/>
    <w:basedOn w:val="5"/>
    <w:next w:val="5"/>
    <w:link w:val="35"/>
    <w:semiHidden/>
    <w:unhideWhenUsed/>
    <w:qFormat/>
    <w:uiPriority w:val="99"/>
    <w:rPr>
      <w:b/>
      <w:bCs/>
    </w:rPr>
  </w:style>
  <w:style w:type="paragraph" w:styleId="17">
    <w:name w:val="Body Text First Indent"/>
    <w:basedOn w:val="6"/>
    <w:next w:val="18"/>
    <w:qFormat/>
    <w:uiPriority w:val="0"/>
    <w:pPr>
      <w:ind w:firstLine="420"/>
    </w:pPr>
    <w:rPr>
      <w:rFonts w:cs="Calibri"/>
    </w:rPr>
  </w:style>
  <w:style w:type="paragraph" w:styleId="18">
    <w:name w:val="Body Text First Indent 2"/>
    <w:basedOn w:val="7"/>
    <w:qFormat/>
    <w:uiPriority w:val="0"/>
    <w:pPr>
      <w:spacing w:after="120"/>
      <w:ind w:left="200" w:leftChars="200" w:firstLine="200" w:firstLineChars="200"/>
    </w:pPr>
    <w:rPr>
      <w:rFonts w:ascii="Calibri" w:hAnsi="Calibri"/>
      <w:kern w:val="2"/>
      <w:sz w:val="21"/>
      <w:szCs w:val="24"/>
    </w:r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semiHidden/>
    <w:unhideWhenUsed/>
    <w:qFormat/>
    <w:uiPriority w:val="99"/>
    <w:rPr>
      <w:rFonts w:hint="eastAsia" w:ascii="微软雅黑" w:hAnsi="微软雅黑" w:eastAsia="微软雅黑" w:cs="微软雅黑"/>
      <w:vanish/>
      <w:color w:val="337AB7"/>
      <w:u w:val="none"/>
    </w:rPr>
  </w:style>
  <w:style w:type="character" w:styleId="24">
    <w:name w:val="HTML Definition"/>
    <w:basedOn w:val="20"/>
    <w:semiHidden/>
    <w:unhideWhenUsed/>
    <w:qFormat/>
    <w:uiPriority w:val="99"/>
    <w:rPr>
      <w:i/>
      <w:iCs/>
    </w:rPr>
  </w:style>
  <w:style w:type="character" w:styleId="25">
    <w:name w:val="Hyperlink"/>
    <w:basedOn w:val="20"/>
    <w:qFormat/>
    <w:uiPriority w:val="0"/>
    <w:rPr>
      <w:color w:val="0000FF" w:themeColor="hyperlink"/>
      <w:u w:val="single"/>
      <w14:textFill>
        <w14:solidFill>
          <w14:schemeClr w14:val="hlink"/>
        </w14:solidFill>
      </w14:textFill>
    </w:rPr>
  </w:style>
  <w:style w:type="character" w:styleId="26">
    <w:name w:val="HTML Code"/>
    <w:basedOn w:val="20"/>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27">
    <w:name w:val="annotation reference"/>
    <w:basedOn w:val="20"/>
    <w:semiHidden/>
    <w:unhideWhenUsed/>
    <w:qFormat/>
    <w:uiPriority w:val="99"/>
    <w:rPr>
      <w:sz w:val="21"/>
      <w:szCs w:val="21"/>
    </w:rPr>
  </w:style>
  <w:style w:type="character" w:styleId="28">
    <w:name w:val="HTML Keyboard"/>
    <w:basedOn w:val="20"/>
    <w:semiHidden/>
    <w:unhideWhenUsed/>
    <w:qFormat/>
    <w:uiPriority w:val="99"/>
    <w:rPr>
      <w:rFonts w:ascii="Consolas" w:hAnsi="Consolas" w:eastAsia="Consolas" w:cs="Consolas"/>
      <w:color w:val="FFFFFF"/>
      <w:sz w:val="21"/>
      <w:szCs w:val="21"/>
      <w:shd w:val="clear" w:color="auto" w:fill="333333"/>
    </w:rPr>
  </w:style>
  <w:style w:type="character" w:styleId="29">
    <w:name w:val="HTML Sample"/>
    <w:basedOn w:val="20"/>
    <w:semiHidden/>
    <w:unhideWhenUsed/>
    <w:qFormat/>
    <w:uiPriority w:val="99"/>
    <w:rPr>
      <w:rFonts w:hint="default" w:ascii="Consolas" w:hAnsi="Consolas" w:eastAsia="Consolas" w:cs="Consolas"/>
      <w:sz w:val="21"/>
      <w:szCs w:val="21"/>
    </w:rPr>
  </w:style>
  <w:style w:type="character" w:customStyle="1" w:styleId="30">
    <w:name w:val="页眉 字符"/>
    <w:basedOn w:val="20"/>
    <w:link w:val="13"/>
    <w:qFormat/>
    <w:uiPriority w:val="99"/>
    <w:rPr>
      <w:sz w:val="18"/>
      <w:szCs w:val="18"/>
    </w:rPr>
  </w:style>
  <w:style w:type="character" w:customStyle="1" w:styleId="31">
    <w:name w:val="页脚 字符"/>
    <w:basedOn w:val="20"/>
    <w:link w:val="11"/>
    <w:qFormat/>
    <w:uiPriority w:val="99"/>
    <w:rPr>
      <w:sz w:val="18"/>
      <w:szCs w:val="18"/>
    </w:rPr>
  </w:style>
  <w:style w:type="character" w:customStyle="1" w:styleId="32">
    <w:name w:val="标题 3 字符"/>
    <w:basedOn w:val="20"/>
    <w:link w:val="4"/>
    <w:qFormat/>
    <w:uiPriority w:val="0"/>
    <w:rPr>
      <w:rFonts w:ascii="Times New Roman" w:hAnsi="Times New Roman" w:eastAsia="宋体" w:cs="Times New Roman"/>
      <w:bCs/>
      <w:szCs w:val="32"/>
    </w:rPr>
  </w:style>
  <w:style w:type="character" w:customStyle="1" w:styleId="33">
    <w:name w:val="批注框文本 字符"/>
    <w:basedOn w:val="20"/>
    <w:link w:val="10"/>
    <w:semiHidden/>
    <w:qFormat/>
    <w:uiPriority w:val="99"/>
    <w:rPr>
      <w:rFonts w:ascii="Times New Roman" w:hAnsi="Times New Roman" w:eastAsia="宋体" w:cs="Times New Roman"/>
      <w:sz w:val="18"/>
      <w:szCs w:val="18"/>
    </w:rPr>
  </w:style>
  <w:style w:type="character" w:customStyle="1" w:styleId="34">
    <w:name w:val="批注文字 字符"/>
    <w:basedOn w:val="20"/>
    <w:link w:val="5"/>
    <w:semiHidden/>
    <w:qFormat/>
    <w:uiPriority w:val="99"/>
    <w:rPr>
      <w:rFonts w:ascii="Times New Roman" w:hAnsi="Times New Roman" w:eastAsia="宋体" w:cs="Times New Roman"/>
      <w:szCs w:val="24"/>
    </w:rPr>
  </w:style>
  <w:style w:type="character" w:customStyle="1" w:styleId="35">
    <w:name w:val="批注主题 字符"/>
    <w:basedOn w:val="34"/>
    <w:link w:val="16"/>
    <w:semiHidden/>
    <w:qFormat/>
    <w:uiPriority w:val="99"/>
    <w:rPr>
      <w:rFonts w:ascii="Times New Roman" w:hAnsi="Times New Roman" w:eastAsia="宋体" w:cs="Times New Roman"/>
      <w:b/>
      <w:bCs/>
      <w:szCs w:val="24"/>
    </w:rPr>
  </w:style>
  <w:style w:type="character" w:customStyle="1" w:styleId="36">
    <w:name w:val="username"/>
    <w:basedOn w:val="20"/>
    <w:qFormat/>
    <w:uiPriority w:val="0"/>
  </w:style>
  <w:style w:type="character" w:customStyle="1" w:styleId="37">
    <w:name w:val="title26"/>
    <w:basedOn w:val="20"/>
    <w:qFormat/>
    <w:uiPriority w:val="0"/>
  </w:style>
  <w:style w:type="paragraph" w:customStyle="1" w:styleId="38">
    <w:name w:val="p16"/>
    <w:basedOn w:val="1"/>
    <w:qFormat/>
    <w:uiPriority w:val="0"/>
    <w:pPr>
      <w:widowControl/>
    </w:pPr>
    <w:rPr>
      <w:kern w:val="0"/>
      <w:sz w:val="32"/>
      <w:szCs w:val="32"/>
    </w:rPr>
  </w:style>
  <w:style w:type="character" w:customStyle="1" w:styleId="39">
    <w:name w:val="NormalCharacter"/>
    <w:qFormat/>
    <w:uiPriority w:val="0"/>
  </w:style>
  <w:style w:type="paragraph" w:customStyle="1" w:styleId="40">
    <w:name w:val="_Style 3"/>
    <w:basedOn w:val="1"/>
    <w:qFormat/>
    <w:uiPriority w:val="0"/>
    <w:rPr>
      <w:szCs w:val="21"/>
    </w:rPr>
  </w:style>
  <w:style w:type="paragraph" w:customStyle="1" w:styleId="4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2">
    <w:name w:val="Char Char Char Char Char Char Char Char Char"/>
    <w:basedOn w:val="1"/>
    <w:qFormat/>
    <w:uiPriority w:val="0"/>
    <w:rPr>
      <w:rFonts w:eastAsia="仿宋"/>
      <w:sz w:val="28"/>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11559</Words>
  <Characters>12196</Characters>
  <Lines>91</Lines>
  <Paragraphs>25</Paragraphs>
  <TotalTime>10</TotalTime>
  <ScaleCrop>false</ScaleCrop>
  <LinksUpToDate>false</LinksUpToDate>
  <CharactersWithSpaces>12753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2024-10-10T08:18:00Z</dcterms:created>
  <dc:creator>广州建筑工程监理有限公司</dc:creator>
  <cp:lastModifiedBy>炽</cp:lastModifiedBy>
  <dcterms:modified xsi:type="dcterms:W3CDTF">2024-10-30T10:51:22Z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475B1D44EDE447549E08AA4C2EFD2A2E</vt:lpwstr>
  </property>
</Properties>
</file>